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8"/>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220" w:type="dxa"/>
            <w:vAlign w:val="bottom"/>
          </w:tcPr>
          <w:p>
            <w:pPr>
              <w:jc w:val="center"/>
              <w:ind w:right="33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33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7"/>
              </w:rPr>
              <w:t>280 PARK AVENUE, 38</w:t>
            </w:r>
            <w:r>
              <w:rPr>
                <w:rFonts w:ascii="Arial" w:cs="Arial" w:eastAsia="Arial" w:hAnsi="Arial"/>
                <w:sz w:val="15"/>
                <w:szCs w:val="15"/>
                <w:b w:val="1"/>
                <w:bCs w:val="1"/>
                <w:color w:val="auto"/>
                <w:w w:val="97"/>
              </w:rPr>
              <w:t>TH</w:t>
            </w:r>
            <w:r>
              <w:rPr>
                <w:rFonts w:ascii="Arial" w:cs="Arial" w:eastAsia="Arial" w:hAnsi="Arial"/>
                <w:sz w:val="18"/>
                <w:szCs w:val="18"/>
                <w:b w:val="1"/>
                <w:bCs w:val="1"/>
                <w:color w:val="auto"/>
                <w:w w:val="97"/>
              </w:rPr>
              <w:t xml:space="preserve"> FLOOR</w:t>
            </w:r>
          </w:p>
        </w:tc>
        <w:tc>
          <w:tcPr>
            <w:tcW w:w="1500" w:type="dxa"/>
            <w:vAlign w:val="bottom"/>
          </w:tcPr>
          <w:p>
            <w:pPr>
              <w:spacing w:after="0"/>
              <w:rPr>
                <w:sz w:val="24"/>
                <w:szCs w:val="24"/>
                <w:color w:val="auto"/>
              </w:rPr>
            </w:pPr>
          </w:p>
        </w:tc>
      </w:tr>
      <w:tr>
        <w:trPr>
          <w:trHeight w:val="225"/>
        </w:trPr>
        <w:tc>
          <w:tcPr>
            <w:tcW w:w="6220" w:type="dxa"/>
            <w:vAlign w:val="bottom"/>
          </w:tcPr>
          <w:p>
            <w:pPr>
              <w:jc w:val="center"/>
              <w:ind w:right="3339"/>
              <w:spacing w:after="0"/>
              <w:rPr>
                <w:sz w:val="20"/>
                <w:szCs w:val="20"/>
                <w:color w:val="auto"/>
              </w:rPr>
            </w:pPr>
            <w:r>
              <w:rPr>
                <w:rFonts w:ascii="Arial" w:cs="Arial" w:eastAsia="Arial" w:hAnsi="Arial"/>
                <w:sz w:val="18"/>
                <w:szCs w:val="18"/>
                <w:b w:val="1"/>
                <w:bCs w:val="1"/>
                <w:color w:val="auto"/>
              </w:rPr>
              <w:t>NEW YORK, NEW YORK</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10017</w:t>
            </w:r>
          </w:p>
        </w:tc>
      </w:tr>
      <w:tr>
        <w:trPr>
          <w:trHeight w:val="186"/>
        </w:trPr>
        <w:tc>
          <w:tcPr>
            <w:tcW w:w="6220" w:type="dxa"/>
            <w:vAlign w:val="bottom"/>
          </w:tcPr>
          <w:p>
            <w:pPr>
              <w:jc w:val="center"/>
              <w:ind w:right="3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(Zip code)</w:t>
            </w:r>
          </w:p>
        </w:tc>
      </w:tr>
      <w:tr>
        <w:trPr>
          <w:trHeight w:val="394"/>
        </w:trPr>
        <w:tc>
          <w:tcPr>
            <w:tcW w:w="6220" w:type="dxa"/>
            <w:vAlign w:val="bottom"/>
          </w:tcPr>
          <w:p>
            <w:pPr>
              <w:jc w:val="right"/>
              <w:ind w:right="1359"/>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86"/>
        </w:trPr>
        <w:tc>
          <w:tcPr>
            <w:tcW w:w="6220" w:type="dxa"/>
            <w:vAlign w:val="bottom"/>
          </w:tcPr>
          <w:p>
            <w:pPr>
              <w:jc w:val="center"/>
              <w:ind w:left="21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7" w:lineRule="exact"/>
        <w:rPr>
          <w:sz w:val="20"/>
          <w:szCs w:val="20"/>
          <w:color w:val="auto"/>
        </w:rPr>
      </w:pPr>
      <w:r>
        <w:rPr>
          <w:rFonts w:ascii="MS PGothic" w:cs="MS PGothic" w:eastAsia="MS PGothic" w:hAnsi="MS PGothic"/>
          <w:sz w:val="18"/>
          <w:szCs w:val="18"/>
          <w:color w:val="auto"/>
        </w:rPr>
        <w:t>☒</w:t>
      </w:r>
    </w:p>
    <w:p>
      <w:pPr>
        <w:spacing w:after="0" w:line="248" w:lineRule="exact"/>
        <w:rPr>
          <w:sz w:val="24"/>
          <w:szCs w:val="24"/>
          <w:color w:val="auto"/>
        </w:rPr>
      </w:pPr>
    </w:p>
    <w:p>
      <w:pPr>
        <w:sectPr>
          <w:pgSz w:w="11900" w:h="16838" w:orient="portrait"/>
          <w:cols w:equalWidth="0" w:num="5">
            <w:col w:w="8640" w:space="160"/>
            <w:col w:w="260" w:space="100"/>
            <w:col w:w="160" w:space="180"/>
            <w:col w:w="220" w:space="80"/>
            <w:col w:w="1620"/>
          </w:cols>
          <w:pgMar w:left="240" w:top="230" w:right="239" w:bottom="1440" w:gutter="0" w:footer="0" w:header="0"/>
          <w:type w:val="continuous"/>
        </w:sectPr>
      </w:pPr>
    </w:p>
    <w:p>
      <w:pPr>
        <w:spacing w:after="0" w:line="37" w:lineRule="exact"/>
        <w:rPr>
          <w:sz w:val="24"/>
          <w:szCs w:val="24"/>
          <w:color w:val="auto"/>
        </w:rPr>
      </w:pPr>
    </w:p>
    <w:p>
      <w:pPr>
        <w:ind w:right="160" w:firstLine="456"/>
        <w:spacing w:after="0" w:line="277" w:lineRule="auto"/>
        <w:rPr>
          <w:sz w:val="20"/>
          <w:szCs w:val="20"/>
          <w:color w:val="auto"/>
        </w:rPr>
      </w:pPr>
      <w:r>
        <w:rPr>
          <w:rFonts w:ascii="Arial" w:cs="Arial" w:eastAsia="Arial" w:hAnsi="Arial"/>
          <w:sz w:val="18"/>
          <w:szCs w:val="18"/>
          <w:color w:val="auto"/>
        </w:rPr>
        <w:t>As of October 26, 2015, there were 33,083,617 shares of the registrant’s common stock outstanding (including 129,638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ind w:left="10940"/>
        <w:spacing w:after="0"/>
        <w:rPr>
          <w:sz w:val="20"/>
          <w:szCs w:val="20"/>
          <w:color w:val="auto"/>
        </w:rPr>
      </w:pPr>
      <w:r>
        <w:rPr>
          <w:rFonts w:ascii="Arial" w:cs="Arial" w:eastAsia="Arial" w:hAnsi="Arial"/>
          <w:sz w:val="13"/>
          <w:szCs w:val="13"/>
          <w:b w:val="1"/>
          <w:bCs w:val="1"/>
          <w:u w:val="single" w:color="auto"/>
          <w:color w:val="auto"/>
        </w:rPr>
        <w:t>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8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880" w:type="dxa"/>
            <w:vAlign w:val="bottom"/>
            <w:tcBorders>
              <w:bottom w:val="single" w:sz="8" w:color="0000EE"/>
            </w:tcBorders>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77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9"/>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20" w:type="dxa"/>
            <w:vAlign w:val="bottom"/>
            <w:gridSpan w:val="18"/>
          </w:tcPr>
          <w:p>
            <w:pPr>
              <w:spacing w:after="0" w:line="199"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2015 (Unaudited) and December 31, 2014</w:t>
              </w:r>
            </w:hyperlink>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1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(Unaudited) for the Three Months and Nine Months Ended September 30, 2015 and 2014</w:t>
              </w:r>
            </w:hyperlink>
          </w:p>
        </w:tc>
        <w:tc>
          <w:tcPr>
            <w:tcW w:w="5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 (Loss) (Unaudited) for the Three Months and Nine Months Ended</w:t>
              </w:r>
            </w:hyperlink>
          </w:p>
        </w:tc>
        <w:tc>
          <w:tcPr>
            <w:tcW w:w="6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2015 and 2014</w:t>
              </w:r>
            </w:hyperlink>
          </w:p>
        </w:tc>
        <w:tc>
          <w:tcPr>
            <w:tcW w:w="6280" w:type="dxa"/>
            <w:vAlign w:val="bottom"/>
            <w:tcBorders>
              <w:top w:val="single" w:sz="8" w:color="0000EE"/>
            </w:tcBorders>
            <w:gridSpan w:val="6"/>
          </w:tcPr>
          <w:p>
            <w:pPr>
              <w:spacing w:after="0"/>
              <w:rPr>
                <w:sz w:val="17"/>
                <w:szCs w:val="17"/>
                <w:color w:val="auto"/>
              </w:rPr>
            </w:pPr>
          </w:p>
        </w:tc>
        <w:tc>
          <w:tcPr>
            <w:tcW w:w="100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 (Unaudited) for the Nine Months Ended September 30, 2015 and 2014</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170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52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442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556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820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66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1220" w:type="dxa"/>
            <w:vAlign w:val="bottom"/>
            <w:tcBorders>
              <w:top w:val="single" w:sz="8" w:color="0000EE"/>
            </w:tcBorders>
            <w:gridSpan w:val="4"/>
          </w:tcPr>
          <w:p>
            <w:pPr>
              <w:spacing w:after="0"/>
              <w:rPr>
                <w:sz w:val="24"/>
                <w:szCs w:val="24"/>
                <w:color w:val="auto"/>
              </w:rPr>
            </w:pPr>
          </w:p>
        </w:tc>
        <w:tc>
          <w:tcPr>
            <w:tcW w:w="742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1A.</w:t>
            </w:r>
          </w:p>
        </w:tc>
        <w:tc>
          <w:tcPr>
            <w:tcW w:w="998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4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998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564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w:t>
            </w: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766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5.</w:t>
            </w:r>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82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Exhibits</w:t>
              </w:r>
            </w:hyperlink>
          </w:p>
        </w:tc>
        <w:tc>
          <w:tcPr>
            <w:tcW w:w="9380" w:type="dxa"/>
            <w:vAlign w:val="bottom"/>
            <w:gridSpan w:val="1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64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5"/>
        </w:trPr>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360" w:type="dxa"/>
            <w:vAlign w:val="bottom"/>
            <w:gridSpan w:val="14"/>
          </w:tcPr>
          <w:p>
            <w:pPr>
              <w:jc w:val="right"/>
              <w:ind w:right="136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90,656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176,499</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93,184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11,577</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98,272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80,244</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4,738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4,455</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w:t>
            </w: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w:t>
            </w:r>
          </w:p>
        </w:tc>
        <w:tc>
          <w:tcPr>
            <w:tcW w:w="54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312,284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302,391</w:t>
            </w: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47,071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7,996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11,985</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55,462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171,753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139,599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22,083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23,975</w:t>
            </w: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619,938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8,110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Accrued employee cost</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36,788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37,606</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34,239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40,206</w:t>
            </w: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54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93,255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90,968</w:t>
            </w: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Long term borrowings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18,971</w:t>
            </w:r>
          </w:p>
        </w:tc>
        <w:tc>
          <w:tcPr>
            <w:tcW w:w="54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172,530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154,398</w:t>
            </w: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16)</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$0.001 par value; 100,000,000 shares authorized, 34,749,446 shares issued and 33,083,540 shares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outstanding as of September 30, 2015 and 34,203,352 shares issued and 32,905,467 shares outstanding as of</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2014</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248,614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233,173</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306,227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269,424</w:t>
            </w: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(66,250)</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(55,509)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488,626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447,122</w:t>
            </w:r>
          </w:p>
        </w:tc>
        <w:tc>
          <w:tcPr>
            <w:tcW w:w="100" w:type="dxa"/>
            <w:vAlign w:val="bottom"/>
            <w:shd w:val="clear" w:color="auto" w:fill="CCEEFF"/>
          </w:tcPr>
          <w:p>
            <w:pPr>
              <w:spacing w:after="0"/>
              <w:rPr>
                <w:sz w:val="18"/>
                <w:szCs w:val="18"/>
                <w:color w:val="auto"/>
              </w:rPr>
            </w:pPr>
          </w:p>
        </w:tc>
      </w:tr>
      <w:tr>
        <w:trPr>
          <w:trHeight w:val="209"/>
        </w:trPr>
        <w:tc>
          <w:tcPr>
            <w:tcW w:w="9060" w:type="dxa"/>
            <w:vAlign w:val="bottom"/>
            <w:gridSpan w:val="2"/>
          </w:tcPr>
          <w:p>
            <w:pPr>
              <w:spacing w:after="0"/>
              <w:rPr>
                <w:sz w:val="20"/>
                <w:szCs w:val="20"/>
                <w:color w:val="auto"/>
              </w:rPr>
            </w:pPr>
            <w:r>
              <w:rPr>
                <w:rFonts w:ascii="Arial" w:cs="Arial" w:eastAsia="Arial" w:hAnsi="Arial"/>
                <w:sz w:val="18"/>
                <w:szCs w:val="18"/>
                <w:color w:val="auto"/>
                <w:w w:val="95"/>
              </w:rPr>
              <w:t>Less: 1,665,906 shares as of September 30, 2015 and 1,297,885 shares as of December 31, 2014, held in treasury, at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(41,218)</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(27,964)</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447,408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419,158</w:t>
            </w:r>
          </w:p>
        </w:tc>
        <w:tc>
          <w:tcPr>
            <w:tcW w:w="100" w:type="dxa"/>
            <w:vAlign w:val="bottom"/>
            <w:shd w:val="clear" w:color="auto" w:fill="CCEEFF"/>
          </w:tcPr>
          <w:p>
            <w:pPr>
              <w:spacing w:after="0"/>
              <w:rPr>
                <w:sz w:val="18"/>
                <w:szCs w:val="18"/>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619,938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163,503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103,198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84,983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296,801</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165,833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122,828</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57,428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12,682</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9,117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35,769</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8,057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23,171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20,049</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39,556</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116,368</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20,749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49,465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 / (loss)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2,347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22,727</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56,112</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19,309</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36,803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number of shares used in computing earnings per share: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33,307,312</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32,890,475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33,320,477</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32,743,384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34,180,635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33,676,665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34,147,120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33,594,304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4"/>
                <w:szCs w:val="14"/>
                <w:color w:val="auto"/>
              </w:rPr>
            </w:pPr>
          </w:p>
        </w:tc>
        <w:tc>
          <w:tcPr>
            <w:tcW w:w="23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42"/>
        </w:trPr>
        <w:tc>
          <w:tcPr>
            <w:tcW w:w="116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income/(loss):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2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w w:val="95"/>
              </w:rPr>
              <w:t>Unrealized gain/(loss) on effective cash flow hedges, net of taxes ($822),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($758), ($727) and $1,428, respectively</w:t>
            </w:r>
          </w:p>
        </w:tc>
        <w:tc>
          <w:tcPr>
            <w:tcW w:w="10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(2,704)</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w:t>
            </w:r>
          </w:p>
        </w:tc>
      </w:tr>
      <w:tr>
        <w:trPr>
          <w:trHeight w:val="216"/>
        </w:trPr>
        <w:tc>
          <w:tcPr>
            <w:tcW w:w="6280" w:type="dxa"/>
            <w:vAlign w:val="bottom"/>
            <w:gridSpan w:val="2"/>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(7,092)</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(9,926)</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(1,347)</w:t>
            </w:r>
          </w:p>
        </w:tc>
      </w:tr>
      <w:tr>
        <w:trPr>
          <w:trHeight w:val="216"/>
        </w:trPr>
        <w:tc>
          <w:tcPr>
            <w:tcW w:w="6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Retirement benefits, net of taxes $71, $7, $81 and $7 respectively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Reclassification adjustments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2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w w:val="99"/>
              </w:rPr>
              <w:t>Realized loss on cash flow hedges, net of taxes $175, $312, $393 and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$1,293</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w:t>
            </w:r>
          </w:p>
        </w:tc>
      </w:tr>
      <w:tr>
        <w:trPr>
          <w:trHeight w:val="216"/>
        </w:trPr>
        <w:tc>
          <w:tcPr>
            <w:tcW w:w="6280" w:type="dxa"/>
            <w:vAlign w:val="bottom"/>
            <w:gridSpan w:val="2"/>
          </w:tcPr>
          <w:p>
            <w:pPr>
              <w:ind w:left="720"/>
              <w:spacing w:after="0"/>
              <w:rPr>
                <w:sz w:val="20"/>
                <w:szCs w:val="20"/>
                <w:color w:val="auto"/>
              </w:rPr>
            </w:pPr>
            <w:r>
              <w:rPr>
                <w:rFonts w:ascii="Arial" w:cs="Arial" w:eastAsia="Arial" w:hAnsi="Arial"/>
                <w:sz w:val="18"/>
                <w:szCs w:val="18"/>
                <w:color w:val="auto"/>
                <w:w w:val="99"/>
              </w:rPr>
              <w:t>Retirement benefits, net of taxes $15, $6, $31 and $21, respectively</w:t>
            </w:r>
            <w:r>
              <w:rPr>
                <w:rFonts w:ascii="Arial" w:cs="Arial" w:eastAsia="Arial" w:hAnsi="Arial"/>
                <w:sz w:val="15"/>
                <w:szCs w:val="15"/>
                <w:color w:val="auto"/>
                <w:w w:val="99"/>
              </w:rPr>
              <w:t>(2)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comprehensive (loss) / income</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(9,333)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(7,921)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(10,741)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7,790</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Total comprehensive income /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26,062</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300" w:hanging="452"/>
        <w:spacing w:after="0" w:line="258"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income/(loss) in the unaudited consolidated statements of income. See Note 7 to our unaudited consolidated financial statements contained herein.</w:t>
      </w:r>
    </w:p>
    <w:p>
      <w:pPr>
        <w:spacing w:after="0" w:line="1" w:lineRule="exact"/>
        <w:rPr>
          <w:rFonts w:ascii="Arial" w:cs="Arial" w:eastAsia="Arial" w:hAnsi="Arial"/>
          <w:sz w:val="18"/>
          <w:szCs w:val="18"/>
          <w:i w:val="1"/>
          <w:iCs w:val="1"/>
          <w:color w:val="auto"/>
        </w:rPr>
      </w:pPr>
    </w:p>
    <w:p>
      <w:pPr>
        <w:ind w:left="460" w:right="460" w:hanging="452"/>
        <w:spacing w:after="0" w:line="261"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unaudited consolidated statements of income. See Note 11 to our unaudited consolidated financial statements contained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42"/>
        </w:trPr>
        <w:tc>
          <w:tcPr>
            <w:tcW w:w="20" w:type="dxa"/>
            <w:vAlign w:val="bottom"/>
          </w:tcPr>
          <w:p>
            <w:pPr>
              <w:spacing w:after="0"/>
              <w:rPr>
                <w:sz w:val="12"/>
                <w:szCs w:val="12"/>
                <w:color w:val="auto"/>
              </w:rPr>
            </w:pPr>
          </w:p>
        </w:tc>
        <w:tc>
          <w:tcPr>
            <w:tcW w:w="8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36,803</w:t>
            </w:r>
          </w:p>
        </w:tc>
        <w:tc>
          <w:tcPr>
            <w:tcW w:w="22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24,985</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23,171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20,049</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8,518</w:t>
            </w: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Unrealized foreign exchange loss/(gain)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(2,850)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short term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(14,647)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(1,602)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Accrued employee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(2,598)</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w:t>
            </w: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Advance income tax,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(5,504)</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(2,455)</w:t>
            </w: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(21,127)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(23,762)</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(44,270)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(6,244)</w:t>
            </w: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(109,162)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(7,601)</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w:t>
            </w: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(807)</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Repayments of borrowings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(13,015)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(3,322)</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w:t>
            </w: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w:t>
            </w: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Net (decrease)/increase in cash and cash equivalents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148,065</w:t>
            </w: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90,656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161,428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business process solutions that integrate operations management with analytics and business transformation to deliver actionable business insights and long-term business impact. The Company’s clients are located principally in the U.S. and the U.K.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2014.</w:t>
      </w:r>
    </w:p>
    <w:p>
      <w:pPr>
        <w:spacing w:after="0" w:line="15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85" w:lineRule="exact"/>
        <w:rPr>
          <w:sz w:val="20"/>
          <w:szCs w:val="20"/>
          <w:color w:val="auto"/>
        </w:rPr>
      </w:pPr>
    </w:p>
    <w:p>
      <w:pPr>
        <w:ind w:right="782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ind w:right="140" w:firstLine="456"/>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the fixed price contracts.</w:t>
      </w:r>
    </w:p>
    <w:p>
      <w:pPr>
        <w:spacing w:after="0" w:line="17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accordance with its policy, the Company reviews the estimated useful lives of its fixed assets on an ongoing basis. During the three months ended March 31, 2015, the review indicated that the actual lives of certain fixed assets were longer than the estimated useful lives used for depreciation purposes in the Company’s financial statements. As a result, effective January 1, 2015, the Company changed its estimates of the useful lives of its certain fixed assets to better reflect the estimated periods during which these assets will remain in service. The effect of change in estimated useful life of assets reduced depreciation expense by $468 and $1,403, increased net income by $281 and $842 and increased basic and diluted earnings per share by $0.01 and $0.02, respectively during the three months and nine months ended September 30, 2015.</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part of reimbursing the Travelers Indemnity Company (“Travelers”) for certain of their transition related expenses (the “disentanglement costs”), the Company recognized $9,626 and $17,815 of such reimbursements as a reduction of our revenues during the three months and nine months ended September 30, 2014 respectively, in accordance with Accounting Standards Codification (“ASC”) topic 605-50-45, “Revenue Recognition (“ASC 605-50-45”).” The Company did not incur any reimbursements of disentanglement costs during the three months and nine months ended September 30, 2015 and also does not anticipate incurring any additional reimbursements of disentanglement costs related to Travelers going forward.</w:t>
      </w:r>
    </w:p>
    <w:p>
      <w:pPr>
        <w:spacing w:after="0" w:line="17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Revenue from analytical services including modeling, targeting and designing of campaigns and mail marketing including email marketing and other digital solutions is typically recognized on delivery of such campaigns. In respect of arrangements involving sub-contracting of part or whole of the assigned work, the Company evaluates revenue to be recognized under ASC 605-45 “Revenue recognition – Principal agent considerations”.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Company’s investments consist primarily of time deposits and mutual funds and are in accordance with the Company’s risk management policies. Time deposits with financial institutions are valued at cost and approximate fair value. Interest earned on such investments is included in interest and other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mutual fund investments are in debt and money market funds which invest in instruments of various maturities in India. The Company accounts for these investments in accordance with the fair value option under ASC topic 825-10 (“ASC 825-10”) and change in fair value is included in interest and other income. The fair value represents original cost (on the acquisition date) and the net asset value (“NAV”) as quoted, at each reporting period. Gain or loss on the disposal of these investments is calculated using the weighted average cost of the investments sold or disposed and is included in interest and other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40" w:type="dxa"/>
            <w:vAlign w:val="bottom"/>
            <w:gridSpan w:val="5"/>
          </w:tcPr>
          <w:p>
            <w:pPr>
              <w:jc w:val="center"/>
              <w:ind w:left="2236"/>
              <w:spacing w:after="0"/>
              <w:rPr>
                <w:sz w:val="20"/>
                <w:szCs w:val="20"/>
                <w:color w:val="auto"/>
              </w:rPr>
            </w:pPr>
            <w:r>
              <w:rPr>
                <w:rFonts w:ascii="Arial" w:cs="Arial" w:eastAsia="Arial" w:hAnsi="Arial"/>
                <w:sz w:val="14"/>
                <w:szCs w:val="14"/>
                <w:b w:val="1"/>
                <w:bCs w:val="1"/>
                <w:color w:val="auto"/>
                <w:w w:val="91"/>
              </w:rPr>
              <w:t>September 30,</w:t>
            </w:r>
          </w:p>
        </w:tc>
        <w:tc>
          <w:tcPr>
            <w:tcW w:w="16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Client liability account</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5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34,239</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2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2"/>
          </w:tcPr>
          <w:p>
            <w:pPr>
              <w:ind w:left="460"/>
              <w:spacing w:after="0"/>
              <w:rPr>
                <w:sz w:val="20"/>
                <w:szCs w:val="20"/>
                <w:color w:val="auto"/>
              </w:rPr>
            </w:pPr>
            <w:r>
              <w:rPr>
                <w:rFonts w:ascii="Arial" w:cs="Arial" w:eastAsia="Arial" w:hAnsi="Arial"/>
                <w:sz w:val="18"/>
                <w:szCs w:val="18"/>
                <w:color w:val="auto"/>
              </w:rPr>
              <w:t>Non-current liabilities consist of the following:</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3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4,811</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Retirement benefits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1,477</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1380"/>
              <w:spacing w:after="0"/>
              <w:rPr>
                <w:sz w:val="20"/>
                <w:szCs w:val="20"/>
                <w:color w:val="auto"/>
              </w:rPr>
            </w:pPr>
            <w:r>
              <w:rPr>
                <w:rFonts w:ascii="Arial" w:cs="Arial" w:eastAsia="Arial" w:hAnsi="Arial"/>
                <w:sz w:val="18"/>
                <w:szCs w:val="18"/>
                <w:color w:val="auto"/>
              </w:rPr>
              <w:t>Non-current liabilities</w:t>
            </w:r>
          </w:p>
        </w:tc>
        <w:tc>
          <w:tcPr>
            <w:tcW w:w="238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18,971</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360" w:type="dxa"/>
            <w:vAlign w:val="bottom"/>
            <w:vMerge w:val="restart"/>
          </w:tcPr>
          <w:p>
            <w:pPr>
              <w:jc w:val="right"/>
              <w:ind w:right="1696"/>
              <w:spacing w:after="0"/>
              <w:rPr>
                <w:sz w:val="20"/>
                <w:szCs w:val="20"/>
                <w:color w:val="auto"/>
              </w:rPr>
            </w:pPr>
            <w:r>
              <w:rPr>
                <w:rFonts w:ascii="Arial" w:cs="Arial" w:eastAsia="Arial" w:hAnsi="Arial"/>
                <w:sz w:val="18"/>
                <w:szCs w:val="18"/>
                <w:color w:val="auto"/>
              </w:rPr>
              <w:t>8</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income (expense), net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92"/>
              </w:rPr>
              <w:t>Three months ended September 30,</w:t>
            </w:r>
          </w:p>
        </w:tc>
        <w:tc>
          <w:tcPr>
            <w:tcW w:w="120" w:type="dxa"/>
            <w:vAlign w:val="bottom"/>
          </w:tcPr>
          <w:p>
            <w:pPr>
              <w:spacing w:after="0"/>
              <w:rPr>
                <w:sz w:val="14"/>
                <w:szCs w:val="14"/>
                <w:color w:val="auto"/>
              </w:rPr>
            </w:pPr>
          </w:p>
        </w:tc>
        <w:tc>
          <w:tcPr>
            <w:tcW w:w="24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(983)</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r>
      <w:tr>
        <w:trPr>
          <w:trHeight w:val="223"/>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Other income,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220" w:right="1020" w:hanging="212"/>
        <w:spacing w:after="0" w:line="27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unrealized gain of $1,419 and $2,179 and realized gain of $320 and $335, respectively for the three months and nine months ending September 30, 2015 on investments carried at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(“ASU 2014-09”). Earlier the new standard was effective for reporting periods beginning after December 15, 2016. However, in April 2015, FASB deferred the effective date of the new standard. With this deferral, the new standard is effective for reporting periods beginning after December 15, 2017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2014-09 is effective for the Company in the first quarter of fiscal 2018 using either one of two methods: (i) retrospectively to each prior reporting period presented with the option to elect certain practical expedients as defined within ASU 2014-09; or (ii) retrospectively with the cumulative effect of initially applying ASU 2014-09 recognized at the date of initial application and providing certain additional disclosures as defined per ASU 2014-09. The Company is currently evaluating the impact of adoption and the implementation approach to be used.</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April 2015, FASB issued ASU No. 2015-05, “Intangibles – Goodwill and Other – Internal-Use Software (Subtopic 350-40): Customer’s Accounting for Fees Paid in a Cloud Computing Arrangement” (“ASU 2015-05”). The amendments add guidance to Subtopic 350-40, Intangibles – Goodwill and Other – Internal-Use Software, which will help entities evaluate the accounting for fees paid by a customer in a cloud computing arrangement. The amendments will be effective for fiscal years beginning after December 15, 2015. The Company is currently evaluating the method of adoption and impact this standard will have on its consolidated financial statements and related disclosures.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April 2015, FASB issued ASU No. 2015-03, “Interest—Imputation of Interest” (“ASU 2015-03”), which requires that debt issuance costs related to a recognized debt liability be presented in the balance sheet as a direct deduction from the carrying amount of that debt liability, consistent with debt discounts. The recognition and measurement guidance of debt issuance costs are not affected by the amendments in that update. The standard will be effective for the Company beginning in the first quarter of fiscal year 2016 and requires the Company to apply the new guidance on a retrospective basis on adoption. The Company is currently evaluating the impact of this standard on its consolidated financial statements and related disclosures.</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May 2015, FASB issued ASU No. 2015-08, “Business Combinations (Topic 805): Pushdown Accounting—Amendments to SEC Paragraphs Pursuant to Staff Accounting Bulletin No. 115” (“ASU 2015-08”). The amendments in ASU 2015-08 amend various SEC paragraphs included in FASB’s Accounting Standards Codification to reflect the issuance of Staff Accounting Bulletin No. 115 (“SAB 115”). SAB 115 rescinds portions of the interpretive guidance included in the SEC’s Staff Accounting Bulletins series and brings existing guidance into conformity with ASU No. 2014-17, “Business Combinations (Topic 805): Pushdown Accounting,” which provides an acquired entity with an option to apply pushdown accounting in its separate financial statements upon occurrence of an event in which an acquirer obtains control of the acquired entity. The adoption of this guidance does not have a material impact on the Company’s consolidated financial statements.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2015, FASB issued ASU No. 2015-15, “Presentation and Subsequent Measurement of Debt Issuance Costs Associated with Line of Credit Arrangements” (“ASU 2015-15”). This ASU indicates that the guidance in ASU 2015-03 did not address presentation or subsequent measurement of debt issuance costs related to line of credit arrangements. Given the absence of authoritative guidance within ASU 2015-03, the SEC staff has indicated that they would not object to an entity deferring and presenting debt issuance costs as an asset and subsequently amortizing the costs ratably over the term of the line of credit arrangement, regardless of whether there are any outstanding borrowings on the line of credit arrangement. The Company does not expect the adoption of ASU 2015-15 to have any effect on the Company’s financial position or results of operations.</w:t>
      </w:r>
    </w:p>
    <w:p>
      <w:pPr>
        <w:spacing w:after="0" w:line="165"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September 2015, FASB issued ASU No. 2015-16, “Simplifying the Accounting for Measurement Period Adjustments” (“ASU 2015-16”). ASU 2015-16 require that an acquirer recognize adjustments to provisional amounts that are identified 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The amendments in ASU 2015-16 require an entity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amendments in ASU 2015-16 are effective for fiscal years beginning after December 15, 2015, including interim periods within those fiscal years. The amendments in ASU 2015-16 should be applied prospectively to adjustments to provisional amounts that occur after the effective date of this update with earlier application permitted for financial statements that have not been issued. The Company is currently evaluating the impact of adoption of ASU 2015-16 on its consolidated financial position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September 30,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44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15,162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6,075</w:t>
            </w:r>
          </w:p>
        </w:tc>
        <w:tc>
          <w:tcPr>
            <w:tcW w:w="3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36,803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24,985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w w:val="95"/>
              </w:rPr>
              <w:t>Basic weighted average common shares outstanding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33,307,312</w:t>
            </w: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32,890,475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33,320,477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32,743,384</w:t>
            </w: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share based awards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873,323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786,190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826,643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850,920</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34,180,635</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33,676,665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34,147,120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33,594,304</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72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0.46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0.18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r>
      <w:tr>
        <w:trPr>
          <w:trHeight w:val="216"/>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considered anti-</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dilutive in computing diluted earnings per share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61,738</w:t>
            </w:r>
          </w:p>
        </w:tc>
        <w:tc>
          <w:tcPr>
            <w:tcW w:w="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43,950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98,527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143,096</w:t>
            </w:r>
          </w:p>
        </w:tc>
      </w:tr>
      <w:tr>
        <w:trPr>
          <w:trHeight w:val="365"/>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Company’s business is divided into two reporting segments: Operations Management (previously called Outsourcing Services) and Analytics and Business Transformation (previously called Transformation Services). The Company changed its reporting segment nomenclature in 2014 in order to reflect the changing nature of its engagements with the clients more accurately. For comparability with the prior periods, the business composition of each segment remains unchanged.</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Company provides various types of business process solutions utilizing operations management, analytics and technology. These services are provided in an integrated manner to clients in various industries. The chief operating decision maker (“CODM”) generally reviews financial information at the consolidated statement of income level disaggregated by our two segments, but does not review any information except for revenues and cost of revenues of these individual segments. Therefore, the Company does not allocate or evaluate operating expenses, interest expense or income, capital expenditures, and income taxes to its reporting segments. Consequently, it is not practical to show assets, capital expenditures, depreciation or amortization by segment. The recent acquisition of RPM Direct, LLC and RPM Data Solutions, LLC (collectively, “RPM”) by the Company’s subsidiary ExlService.com, LLC (“ExlService.com”) is classified within the Analytics and Business Transformation segment.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and cost of revenues for each of the three months ended September 30, 2015 and 2014 for the Company’s Operations Management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Analytics and Business Transformation segments, respectively,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5"/>
              </w:rPr>
              <w:t>Three months ended September 30, 2015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1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Operations</w:t>
            </w:r>
          </w:p>
        </w:tc>
        <w:tc>
          <w:tcPr>
            <w:tcW w:w="128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Analytics and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Analytics and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Business</w:t>
            </w:r>
          </w:p>
        </w:tc>
        <w:tc>
          <w:tcPr>
            <w:tcW w:w="10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Business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Transformation</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Management</w:t>
            </w:r>
          </w:p>
        </w:tc>
        <w:tc>
          <w:tcPr>
            <w:tcW w:w="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113,977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163,503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8"/>
              </w:rPr>
              <w:t>Cost of revenues (exclusive of depreciation and amortization)</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72,032</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31,166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103,198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62,870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41,945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60,305</w:t>
            </w:r>
          </w:p>
        </w:tc>
        <w:tc>
          <w:tcPr>
            <w:tcW w:w="3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28,285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and cost of revenues for each of the nine months ended September 30, 2015 and 2014 for the Company’s Operations Management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Analytics and Business Transformation segments, respectively,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7"/>
              </w:rPr>
              <w:t>Nine months ended September 30, 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w w:val="97"/>
              </w:rPr>
              <w:t>Nine months ended September 30,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1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Operations</w:t>
            </w:r>
          </w:p>
        </w:tc>
        <w:tc>
          <w:tcPr>
            <w:tcW w:w="128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Analytics and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Analytics and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Business</w:t>
            </w:r>
          </w:p>
        </w:tc>
        <w:tc>
          <w:tcPr>
            <w:tcW w:w="10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Business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Management</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Management</w:t>
            </w:r>
          </w:p>
        </w:tc>
        <w:tc>
          <w:tcPr>
            <w:tcW w:w="16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Transformation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337,244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462,634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285,560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78,432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363,992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8"/>
              </w:rPr>
              <w:t>Cost of revenues (exclusive of depreciation and amortization)</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214,032</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82,769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296,801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184,263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56,901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241,164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123,212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165,833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101,297</w:t>
            </w: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116,368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19,309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ind w:right="6960" w:firstLine="8"/>
        <w:spacing w:after="0" w:line="400" w:lineRule="auto"/>
        <w:tabs>
          <w:tab w:leader="none" w:pos="1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Goodwill and Intangible Assets RPM Direct LLC and RPM Data Solutions, LLC.</w:t>
      </w:r>
    </w:p>
    <w:p>
      <w:pPr>
        <w:spacing w:after="0" w:line="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March 20, 2015 ExlService.com completed its acquisition of RPM Direct LLC and RPM Data Solutions, LLC (each a “Target Company” and together the “Target Companies” or “RPM”), pursuant to a Securities Purchase Agreement dated February 23, 2015 (the “Purchase Agreement”). Under the terms of the Purchase Agreement ExlService.com acquired all of the issued and outstanding limited liability company membership interests of the Target Companies (the “Securities”) from the security holders of each of the Target Companies.</w:t>
      </w:r>
    </w:p>
    <w:p>
      <w:pPr>
        <w:spacing w:after="0" w:line="17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initial purchase consideration consisted of $46,925 in cash including working capital adjustments of $75, contingent cash consideration of up to $23,000, as described below, and 122,131 restricted shares of common stock of the Company and certain adjustments related to the financial performance of the Target Companies for 2014. There are no adjustments to the purchase price related to the financial performance of 2014.</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purchase agreement allows sellers the ability to earn up to an additional $23,000 (the “earn-out”) based on the achievement of certain performance goals by the Target Companies during the 2015 and 2016 calendar years. The earn-out has an estimated fair value of $4,060. As noted above, the Company issued 122,131 restricted shares of common stock with an aggregate fair value of $4,150 to certain key members of the Target Companies, each of whom have accepted employment positions with the Company upon consummation of the combination. The Company also granted 113,302 restricted stock units with an aggregate fair value of $3,850 to certain employees of Target Companies, who have also accepted employment with the Company. The fair value of these grants will be recognized as compensation expense over the vesting period.</w:t>
      </w:r>
    </w:p>
    <w:p>
      <w:pPr>
        <w:spacing w:after="0" w:line="17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RPM, now as a subsidiary of the Company, specializes in analyzing large consumer data sets to segment populations, predict response rates, forecast customer lifetime value and design targeted, multi-channel marketing campaigns. RPM has focused on the insurance industry, including P&amp;C, life and health, since its inception in 2001. RPM maintains its own database and supports data on over 250 million consumers and 120 million U.S. households. The quantity and combination of data attributes managed by RPM drives optimal, data-driven decision-making and enables it to build models that analyze prospects individually. RPM employs proprietary predictive analytics and domain-specific pattern recognition algorithms to deliver results through a flexible, on-demand service model. Accordingly, the Company paid a premium for the acquisition which is being reflected in the goodwill recognized from the purchase price allocation of the total consideration paid by the Company.</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Company made a preliminary allocation of the purchase price to the net tangible and intangible assets based on their fair values as mentioned below:</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50,985</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Includes amount of $4,125 deposited in escrow accounts in connection with the acquisition.</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customer relationships from the RPM acquisition are being amortized over the weighted average useful life of 5.7 years. Similarly, trade-names are being amortized over a useful life of 3 years, developed technology are being amortized over a useful life of 5 years and non-compete agreements are being amortized over a useful life of 4.6 years.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ASC topic 805, “Business Combinations,” the preliminary allocation of the purchase price to the tangible and intangible assets and liabilities acquired may change up to a period of one year from the date of the acquisition. The Company’s purchase accounting as of September 30, 2015 was incomplete and the Company expects to complete its valuation of the tangible assets, intangible assets and liabilities assumed as of the acquisition date during the fourth quarter of 2015. Accordingly, the Company may adjust the amounts recorded as of September 30, 2015 to reflect the final valuations of the assets acquired or liabilities assumed.</w:t>
      </w:r>
    </w:p>
    <w:p>
      <w:pPr>
        <w:spacing w:after="0" w:line="18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During the nine months ended September 30, 2015 the Company recognized $303 of acquisition related costs. Such amounts are included in general and administrative expenses in the consolidated statements of income. The Company’s results of operations for the three and nine months ended September 30, 2015 includes revenues of $11,557 and $23,068, respectively for RPM since March 20, 2015, the date on which the acquisition was consummated. It is not practicable to disclose the net earnings since management does not allocate or evaluate operating expenses and income taxes to its domestic entities.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goodwill recognized from the RPM acquisition is deductible for tax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September 30,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Operations</w:t>
            </w:r>
          </w:p>
        </w:tc>
        <w:tc>
          <w:tcPr>
            <w:tcW w:w="26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Analytics and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Business</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Transformation</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90,622</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Goodwill arising from Blue Slate acquisition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4,554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arising from Overland acquisition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Allocation on sale of a business unit </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10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118,260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21,339</w:t>
            </w:r>
          </w:p>
        </w:tc>
        <w:tc>
          <w:tcPr>
            <w:tcW w:w="5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$139,599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arising from RPM acquisition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33,155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0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117,259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54,494</w:t>
            </w:r>
          </w:p>
        </w:tc>
        <w:tc>
          <w:tcPr>
            <w:tcW w:w="5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171,753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2"/>
        <w:spacing w:after="0" w:line="286" w:lineRule="auto"/>
        <w:tabs>
          <w:tab w:leader="none" w:pos="4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Relates to the sale of a business unit (acquired with the Business Process Outsourcing, Inc. acquisition) during the year ended December 31, 2014. The net loss recognized from the sale of this business unit was $149 and was included under “other income/ (expense)” in the consolidated statements of income included in the Company’s annual report on Form 10-K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September 30, 2015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Gross</w:t>
            </w:r>
          </w:p>
        </w:tc>
        <w:tc>
          <w:tcPr>
            <w:tcW w:w="4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0"/>
                <w:szCs w:val="10"/>
                <w:color w:val="auto"/>
              </w:rPr>
            </w:pP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$64,823</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(22,240)</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Leasehold benefits</w:t>
            </w:r>
          </w:p>
        </w:tc>
        <w:tc>
          <w:tcPr>
            <w:tcW w:w="3440" w:type="dxa"/>
            <w:vAlign w:val="bottom"/>
            <w:gridSpan w:val="3"/>
          </w:tcPr>
          <w:p>
            <w:pPr>
              <w:jc w:val="right"/>
              <w:ind w:right="180"/>
              <w:spacing w:after="0"/>
              <w:rPr>
                <w:sz w:val="20"/>
                <w:szCs w:val="20"/>
                <w:color w:val="auto"/>
              </w:rPr>
            </w:pPr>
            <w:r>
              <w:rPr>
                <w:rFonts w:ascii="Arial" w:cs="Arial" w:eastAsia="Arial" w:hAnsi="Arial"/>
                <w:sz w:val="18"/>
                <w:szCs w:val="18"/>
                <w:color w:val="auto"/>
              </w:rPr>
              <w:t>2,814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(2,077)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12,234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3440" w:type="dxa"/>
            <w:vAlign w:val="bottom"/>
            <w:gridSpan w:val="3"/>
          </w:tcPr>
          <w:p>
            <w:pPr>
              <w:jc w:val="right"/>
              <w:ind w:right="180"/>
              <w:spacing w:after="0"/>
              <w:rPr>
                <w:sz w:val="20"/>
                <w:szCs w:val="20"/>
                <w:color w:val="auto"/>
              </w:rPr>
            </w:pPr>
            <w:r>
              <w:rPr>
                <w:rFonts w:ascii="Arial" w:cs="Arial" w:eastAsia="Arial" w:hAnsi="Arial"/>
                <w:sz w:val="18"/>
                <w:szCs w:val="18"/>
                <w:color w:val="auto"/>
              </w:rPr>
              <w:t>2,045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3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5,670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87,586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(32,124</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660" w:type="dxa"/>
            <w:vAlign w:val="bottom"/>
            <w:vMerge w:val="restart"/>
          </w:tcPr>
          <w:p>
            <w:pPr>
              <w:jc w:val="right"/>
              <w:ind w:right="1070"/>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Carrying</w:t>
            </w:r>
          </w:p>
        </w:tc>
        <w:tc>
          <w:tcPr>
            <w:tcW w:w="5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$51,598</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(16,836)</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Leasehold benefits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2,927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(2,004)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10,814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Non-compete agreements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1,365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4,990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71,694</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(24,715</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Amortization expense for the three months ended September 30, 2015 and 2014 was $2,642 and $1,441, respectively. Amortization expense for the nine months ended September 30, 2015 and 2014 was $7,509 and $4,467, respectively. The weighted average life of intangible assets was 8.8 years for customer relationships, 8.0 years for leasehold benefits, 6.5 years for developed technology, 4.5 years for non-compete agreements and 6.7 years for trade names and trademarks excluding indefinite life trade names and trademarks. The Company had $900 of indefinite life trade names and trademarks as of September 30, 2015 and December 31, 2014.</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020" w:type="dxa"/>
            <w:vAlign w:val="bottom"/>
          </w:tcPr>
          <w:p>
            <w:pPr>
              <w:spacing w:after="0"/>
              <w:rPr>
                <w:sz w:val="20"/>
                <w:szCs w:val="20"/>
                <w:color w:val="auto"/>
              </w:rPr>
            </w:pPr>
            <w:r>
              <w:rPr>
                <w:rFonts w:ascii="Arial" w:cs="Arial" w:eastAsia="Arial" w:hAnsi="Arial"/>
                <w:sz w:val="14"/>
                <w:szCs w:val="14"/>
                <w:b w:val="1"/>
                <w:bCs w:val="1"/>
                <w:color w:val="auto"/>
              </w:rPr>
              <w:t>Estimated amortization of intangible assets during the year ending September 30,</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10,874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2017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10,843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10,536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2019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10,308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4,236</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2021 and thereafter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7,765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September 30, 2015 and December 31, 2014. The table excludes accounts receivable, accounts payable and accrued expenses for which fair values approximate their carrying amounts.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40" w:type="dxa"/>
            <w:vAlign w:val="bottom"/>
          </w:tcPr>
          <w:p>
            <w:pPr>
              <w:spacing w:after="0"/>
              <w:rPr>
                <w:sz w:val="20"/>
                <w:szCs w:val="20"/>
                <w:color w:val="auto"/>
              </w:rPr>
            </w:pPr>
            <w:r>
              <w:rPr>
                <w:rFonts w:ascii="Arial" w:cs="Arial" w:eastAsia="Arial" w:hAnsi="Arial"/>
                <w:sz w:val="14"/>
                <w:szCs w:val="14"/>
                <w:b w:val="1"/>
                <w:bCs w:val="1"/>
                <w:color w:val="auto"/>
              </w:rPr>
              <w:t>As of September 30, 2015</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spacing w:after="0"/>
              <w:rPr>
                <w:sz w:val="20"/>
                <w:szCs w:val="20"/>
                <w:color w:val="auto"/>
              </w:rPr>
            </w:pPr>
            <w:r>
              <w:rPr>
                <w:rFonts w:ascii="Arial" w:cs="Arial" w:eastAsia="Arial" w:hAnsi="Arial"/>
                <w:sz w:val="18"/>
                <w:szCs w:val="18"/>
                <w:color w:val="auto"/>
              </w:rPr>
              <w:t>113,138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113,138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3,600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113,138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3,600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3,638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 consideration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3,638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4,060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160" w:type="dxa"/>
            <w:vAlign w:val="bottom"/>
            <w:vMerge w:val="restart"/>
          </w:tcPr>
          <w:p>
            <w:pPr>
              <w:jc w:val="right"/>
              <w:ind w:right="8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gridSpan w:val="3"/>
          </w:tcPr>
          <w:p>
            <w:pPr>
              <w:ind w:left="460"/>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127,347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127,347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4,579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23"/>
        </w:trPr>
        <w:tc>
          <w:tcPr>
            <w:tcW w:w="736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127,347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4,579</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spacing w:after="0"/>
              <w:rPr>
                <w:sz w:val="20"/>
                <w:szCs w:val="20"/>
                <w:color w:val="auto"/>
              </w:rPr>
            </w:pPr>
            <w:r>
              <w:rPr>
                <w:rFonts w:ascii="Arial" w:cs="Arial" w:eastAsia="Arial" w:hAnsi="Arial"/>
                <w:sz w:val="18"/>
                <w:szCs w:val="18"/>
                <w:color w:val="auto"/>
              </w:rPr>
              <w:t>2,961</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20" w:right="360" w:hanging="212"/>
        <w:spacing w:after="0" w:line="277"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cash and cash equivalents and short-term investments in the Consolidated Balance Sheet. As of September 30, 2015 mutual funds includes investments carried at fair value of $79,174.</w:t>
      </w:r>
    </w:p>
    <w:p>
      <w:pPr>
        <w:spacing w:after="0" w:line="170"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for derivative financial instruments are based on independent sources including highly rated financial institutions and are classified as Level 2. See Note 7 to our unaudited consolidated financial statements contained herein for further details on Derivatives and Hedge Accounting.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 (ASC 815). The Company also uses derivatives consisting of foreign currency exchange contracts not designated as hedging instruments under ASC 815 to hedge intercompany balances and other monetary assets or liabilities denominated in currencies other than the Company’s functional currency (“fair value hedges”). The Company’s primary exchange rate exposure is with the Indian Rupee, the U.K. pound sterling and the Philippine peso. The Company also has exposure in other local currencies in which it operates.</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had outstanding foreign exchange contracts totaling $295,777 and GBP 13,936 as of September 30, 2015 and totaling $276,018 and GBP 10,889 as of December 31, 2014. The Company estimates that approximately $242 of net derivative gains included in accumulated other comprehensive loss (“AOCI”) could be reclassified into earnings within the next twelve months based on exchange rates prevailing as of September 30, 2015. As of September 30, 2015, the maximum outstanding term of derivative instruments that hedge forecasted transactions was forty-five months.</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evaluates the hedge effectiveness at the time a contract is entered into as well as on an ongoing basis. If during this time a contract is deemed ineffective, the change in the fair value is recorded in the unaudited consolidated statements of income and is included in foreign exchange loss. For hedging positions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during the three and nine months ended September 30, 2015 and 2014.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w w:val="89"/>
              </w:rPr>
              <w:t>September 30,</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8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440" w:type="dxa"/>
            <w:vAlign w:val="bottom"/>
            <w:gridSpan w:val="3"/>
          </w:tcPr>
          <w:p>
            <w:pPr>
              <w:ind w:left="1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1,987</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440" w:type="dxa"/>
            <w:vAlign w:val="bottom"/>
            <w:gridSpan w:val="3"/>
          </w:tcPr>
          <w:p>
            <w:pPr>
              <w:ind w:left="1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1,348</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440" w:type="dxa"/>
            <w:vAlign w:val="bottom"/>
            <w:gridSpan w:val="3"/>
          </w:tcPr>
          <w:p>
            <w:pPr>
              <w:ind w:left="1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1,745</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440" w:type="dxa"/>
            <w:vAlign w:val="bottom"/>
            <w:gridSpan w:val="3"/>
          </w:tcPr>
          <w:p>
            <w:pPr>
              <w:ind w:left="1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1,893</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r>
      <w:tr>
        <w:trPr>
          <w:trHeight w:val="526"/>
        </w:trPr>
        <w:tc>
          <w:tcPr>
            <w:tcW w:w="6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8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September 30,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Gain/(Loss)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5"/>
            <w:vMerge w:val="restart"/>
          </w:tcPr>
          <w:p>
            <w:pPr>
              <w:jc w:val="center"/>
              <w:ind w:right="268"/>
              <w:spacing w:after="0"/>
              <w:rPr>
                <w:sz w:val="20"/>
                <w:szCs w:val="20"/>
                <w:color w:val="auto"/>
              </w:rPr>
            </w:pPr>
            <w:r>
              <w:rPr>
                <w:rFonts w:ascii="Arial" w:cs="Arial" w:eastAsia="Arial" w:hAnsi="Arial"/>
                <w:sz w:val="14"/>
                <w:szCs w:val="14"/>
                <w:b w:val="1"/>
                <w:bCs w:val="1"/>
                <w:color w:val="auto"/>
                <w:w w:val="95"/>
              </w:rPr>
              <w:t>Amount of Gain/</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Location of Gain/</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6"/>
            <w:vMerge w:val="restart"/>
          </w:tcPr>
          <w:p>
            <w:pPr>
              <w:jc w:val="center"/>
              <w:ind w:right="400"/>
              <w:spacing w:after="0"/>
              <w:rPr>
                <w:sz w:val="20"/>
                <w:szCs w:val="20"/>
                <w:color w:val="auto"/>
              </w:rPr>
            </w:pPr>
            <w:r>
              <w:rPr>
                <w:rFonts w:ascii="Arial" w:cs="Arial" w:eastAsia="Arial" w:hAnsi="Arial"/>
                <w:sz w:val="14"/>
                <w:szCs w:val="14"/>
                <w:b w:val="1"/>
                <w:bCs w:val="1"/>
                <w:color w:val="auto"/>
                <w:w w:val="95"/>
              </w:rPr>
              <w:t>Amount of Gain/</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Portion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5"/>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(Loss)</w:t>
            </w:r>
          </w:p>
        </w:tc>
        <w:tc>
          <w:tcPr>
            <w:tcW w:w="6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240" w:type="dxa"/>
            <w:vAlign w:val="bottom"/>
          </w:tcPr>
          <w:p>
            <w:pPr>
              <w:spacing w:after="0"/>
              <w:rPr>
                <w:sz w:val="12"/>
                <w:szCs w:val="12"/>
                <w:color w:val="auto"/>
              </w:rPr>
            </w:pPr>
          </w:p>
        </w:tc>
        <w:tc>
          <w:tcPr>
            <w:tcW w:w="1780" w:type="dxa"/>
            <w:vAlign w:val="bottom"/>
            <w:gridSpan w:val="5"/>
          </w:tcPr>
          <w:p>
            <w:pPr>
              <w:jc w:val="center"/>
              <w:ind w:right="268"/>
              <w:spacing w:after="0" w:line="149" w:lineRule="exact"/>
              <w:rPr>
                <w:sz w:val="20"/>
                <w:szCs w:val="20"/>
                <w:color w:val="auto"/>
              </w:rPr>
            </w:pPr>
            <w:r>
              <w:rPr>
                <w:rFonts w:ascii="Arial" w:cs="Arial" w:eastAsia="Arial" w:hAnsi="Arial"/>
                <w:sz w:val="14"/>
                <w:szCs w:val="14"/>
                <w:b w:val="1"/>
                <w:bCs w:val="1"/>
                <w:color w:val="auto"/>
                <w:w w:val="99"/>
              </w:rPr>
              <w:t>AOCI on</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60" w:type="dxa"/>
            <w:vAlign w:val="bottom"/>
          </w:tcPr>
          <w:p>
            <w:pPr>
              <w:spacing w:after="0"/>
              <w:rPr>
                <w:sz w:val="12"/>
                <w:szCs w:val="12"/>
                <w:color w:val="auto"/>
              </w:rPr>
            </w:pPr>
          </w:p>
        </w:tc>
        <w:tc>
          <w:tcPr>
            <w:tcW w:w="196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(Loss) Reclassified from</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Excluded from</w:t>
            </w:r>
          </w:p>
        </w:tc>
        <w:tc>
          <w:tcPr>
            <w:tcW w:w="240" w:type="dxa"/>
            <w:vAlign w:val="bottom"/>
          </w:tcPr>
          <w:p>
            <w:pPr>
              <w:spacing w:after="0"/>
              <w:rPr>
                <w:sz w:val="12"/>
                <w:szCs w:val="12"/>
                <w:color w:val="auto"/>
              </w:rPr>
            </w:pPr>
          </w:p>
        </w:tc>
        <w:tc>
          <w:tcPr>
            <w:tcW w:w="166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4"/>
        </w:trPr>
        <w:tc>
          <w:tcPr>
            <w:tcW w:w="2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5"/>
          </w:tcPr>
          <w:p>
            <w:pPr>
              <w:jc w:val="center"/>
              <w:ind w:right="268"/>
              <w:spacing w:after="0" w:line="145" w:lineRule="exact"/>
              <w:rPr>
                <w:sz w:val="20"/>
                <w:szCs w:val="20"/>
                <w:color w:val="auto"/>
              </w:rPr>
            </w:pPr>
            <w:r>
              <w:rPr>
                <w:rFonts w:ascii="Arial" w:cs="Arial" w:eastAsia="Arial" w:hAnsi="Arial"/>
                <w:sz w:val="14"/>
                <w:szCs w:val="14"/>
                <w:b w:val="1"/>
                <w:bCs w:val="1"/>
                <w:color w:val="auto"/>
                <w:w w:val="95"/>
              </w:rPr>
              <w:t>Derivative</w:t>
            </w: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7"/>
              </w:rPr>
              <w:t>AOCI into Income</w:t>
            </w:r>
          </w:p>
        </w:tc>
        <w:tc>
          <w:tcPr>
            <w:tcW w:w="60" w:type="dxa"/>
            <w:vAlign w:val="bottom"/>
          </w:tcPr>
          <w:p>
            <w:pPr>
              <w:spacing w:after="0"/>
              <w:rPr>
                <w:sz w:val="12"/>
                <w:szCs w:val="12"/>
                <w:color w:val="auto"/>
              </w:rPr>
            </w:pPr>
          </w:p>
        </w:tc>
        <w:tc>
          <w:tcPr>
            <w:tcW w:w="1960" w:type="dxa"/>
            <w:vAlign w:val="bottom"/>
            <w:gridSpan w:val="6"/>
          </w:tcPr>
          <w:p>
            <w:pPr>
              <w:jc w:val="center"/>
              <w:ind w:right="400"/>
              <w:spacing w:after="0" w:line="145" w:lineRule="exact"/>
              <w:rPr>
                <w:sz w:val="20"/>
                <w:szCs w:val="20"/>
                <w:color w:val="auto"/>
              </w:rPr>
            </w:pPr>
            <w:r>
              <w:rPr>
                <w:rFonts w:ascii="Arial" w:cs="Arial" w:eastAsia="Arial" w:hAnsi="Arial"/>
                <w:sz w:val="14"/>
                <w:szCs w:val="14"/>
                <w:b w:val="1"/>
                <w:bCs w:val="1"/>
                <w:color w:val="auto"/>
                <w:w w:val="99"/>
              </w:rPr>
              <w:t>AOCI into</w:t>
            </w: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Effectiveness</w:t>
            </w:r>
          </w:p>
        </w:tc>
        <w:tc>
          <w:tcPr>
            <w:tcW w:w="240" w:type="dxa"/>
            <w:vAlign w:val="bottom"/>
          </w:tcPr>
          <w:p>
            <w:pPr>
              <w:spacing w:after="0"/>
              <w:rPr>
                <w:sz w:val="12"/>
                <w:szCs w:val="12"/>
                <w:color w:val="auto"/>
              </w:rPr>
            </w:pPr>
          </w:p>
        </w:tc>
        <w:tc>
          <w:tcPr>
            <w:tcW w:w="1660" w:type="dxa"/>
            <w:vAlign w:val="bottom"/>
            <w:gridSpan w:val="6"/>
          </w:tcPr>
          <w:p>
            <w:pPr>
              <w:jc w:val="center"/>
              <w:ind w:right="80"/>
              <w:spacing w:after="0" w:line="145" w:lineRule="exact"/>
              <w:rPr>
                <w:sz w:val="20"/>
                <w:szCs w:val="20"/>
                <w:color w:val="auto"/>
              </w:rPr>
            </w:pPr>
            <w:r>
              <w:rPr>
                <w:rFonts w:ascii="Arial" w:cs="Arial" w:eastAsia="Arial" w:hAnsi="Arial"/>
                <w:sz w:val="14"/>
                <w:szCs w:val="14"/>
                <w:b w:val="1"/>
                <w:bCs w:val="1"/>
                <w:color w:val="auto"/>
                <w:w w:val="97"/>
              </w:rPr>
              <w:t>Amount Excluded from</w:t>
            </w:r>
          </w:p>
        </w:tc>
        <w:tc>
          <w:tcPr>
            <w:tcW w:w="0" w:type="dxa"/>
            <w:vAlign w:val="bottom"/>
          </w:tcPr>
          <w:p>
            <w:pPr>
              <w:spacing w:after="0"/>
              <w:rPr>
                <w:sz w:val="1"/>
                <w:szCs w:val="1"/>
                <w:color w:val="auto"/>
              </w:rPr>
            </w:pPr>
          </w:p>
        </w:tc>
      </w:tr>
      <w:tr>
        <w:trPr>
          <w:trHeight w:val="176"/>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Hedging Relationships</w:t>
            </w:r>
          </w:p>
        </w:tc>
        <w:tc>
          <w:tcPr>
            <w:tcW w:w="240" w:type="dxa"/>
            <w:vAlign w:val="bottom"/>
          </w:tcPr>
          <w:p>
            <w:pPr>
              <w:spacing w:after="0"/>
              <w:rPr>
                <w:sz w:val="15"/>
                <w:szCs w:val="15"/>
                <w:color w:val="auto"/>
              </w:rPr>
            </w:pPr>
          </w:p>
        </w:tc>
        <w:tc>
          <w:tcPr>
            <w:tcW w:w="1780" w:type="dxa"/>
            <w:vAlign w:val="bottom"/>
            <w:gridSpan w:val="5"/>
          </w:tcPr>
          <w:p>
            <w:pPr>
              <w:jc w:val="center"/>
              <w:ind w:right="248"/>
              <w:spacing w:after="0"/>
              <w:rPr>
                <w:sz w:val="20"/>
                <w:szCs w:val="20"/>
                <w:color w:val="auto"/>
              </w:rPr>
            </w:pPr>
            <w:r>
              <w:rPr>
                <w:rFonts w:ascii="Arial" w:cs="Arial" w:eastAsia="Arial" w:hAnsi="Arial"/>
                <w:sz w:val="14"/>
                <w:szCs w:val="14"/>
                <w:b w:val="1"/>
                <w:bCs w:val="1"/>
                <w:color w:val="auto"/>
                <w:w w:val="94"/>
              </w:rPr>
              <w:t>(Effective Portion)</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(Effective Portion)</w:t>
            </w:r>
          </w:p>
        </w:tc>
        <w:tc>
          <w:tcPr>
            <w:tcW w:w="202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4"/>
              </w:rPr>
              <w:t>Income (Effective Portion)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Testing)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Effectiveness Testing)</w:t>
            </w: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2015</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620" w:type="dxa"/>
            <w:vAlign w:val="bottom"/>
            <w:tcBorders>
              <w:top w:val="single" w:sz="8" w:color="CCEEFF"/>
            </w:tcBorders>
            <w:gridSpan w:val="2"/>
            <w:shd w:val="clear" w:color="auto" w:fill="CCEEFF"/>
          </w:tcPr>
          <w:p>
            <w:pPr>
              <w:spacing w:after="0" w:line="110" w:lineRule="exact"/>
              <w:rPr>
                <w:sz w:val="20"/>
                <w:szCs w:val="20"/>
                <w:color w:val="auto"/>
              </w:rPr>
            </w:pPr>
            <w:r>
              <w:rPr>
                <w:rFonts w:ascii="Arial" w:cs="Arial" w:eastAsia="Arial" w:hAnsi="Arial"/>
                <w:sz w:val="12"/>
                <w:szCs w:val="12"/>
                <w:color w:val="auto"/>
              </w:rPr>
              <w:t>Foreign exchange</w:t>
            </w:r>
          </w:p>
        </w:tc>
        <w:tc>
          <w:tcPr>
            <w:tcW w:w="2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400" w:type="dxa"/>
            <w:vAlign w:val="bottom"/>
            <w:tcBorders>
              <w:top w:val="single" w:sz="8" w:color="CCEEFF"/>
            </w:tcBorders>
            <w:gridSpan w:val="2"/>
            <w:shd w:val="clear" w:color="auto" w:fill="CCEEFF"/>
          </w:tcPr>
          <w:p>
            <w:pPr>
              <w:spacing w:after="0" w:line="110" w:lineRule="exact"/>
              <w:rPr>
                <w:sz w:val="20"/>
                <w:szCs w:val="20"/>
                <w:color w:val="auto"/>
              </w:rPr>
            </w:pPr>
            <w:r>
              <w:rPr>
                <w:rFonts w:ascii="Arial" w:cs="Arial" w:eastAsia="Arial" w:hAnsi="Arial"/>
                <w:sz w:val="12"/>
                <w:szCs w:val="12"/>
                <w:color w:val="auto"/>
              </w:rPr>
              <w:t>Foreign exchange</w:t>
            </w: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46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Foreign exchange</w:t>
            </w: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contracts</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(3,526)</w:t>
            </w:r>
          </w:p>
        </w:tc>
        <w:tc>
          <w:tcPr>
            <w:tcW w:w="1040" w:type="dxa"/>
            <w:vAlign w:val="bottom"/>
            <w:gridSpan w:val="3"/>
            <w:shd w:val="clear" w:color="auto" w:fill="CCEEFF"/>
          </w:tcPr>
          <w:p>
            <w:pPr>
              <w:jc w:val="right"/>
              <w:ind w:right="208"/>
              <w:spacing w:after="0"/>
              <w:rPr>
                <w:sz w:val="20"/>
                <w:szCs w:val="20"/>
                <w:color w:val="auto"/>
              </w:rPr>
            </w:pPr>
            <w:r>
              <w:rPr>
                <w:rFonts w:ascii="Arial" w:cs="Arial" w:eastAsia="Arial" w:hAnsi="Arial"/>
                <w:sz w:val="14"/>
                <w:szCs w:val="14"/>
                <w:color w:val="auto"/>
              </w:rPr>
              <w:t>$  (3,602)</w:t>
            </w:r>
          </w:p>
        </w:tc>
        <w:tc>
          <w:tcPr>
            <w:tcW w:w="1400" w:type="dxa"/>
            <w:vAlign w:val="bottom"/>
            <w:gridSpan w:val="2"/>
            <w:shd w:val="clear" w:color="auto" w:fill="CCEEFF"/>
          </w:tcPr>
          <w:p>
            <w:pPr>
              <w:jc w:val="center"/>
              <w:ind w:right="1180"/>
              <w:spacing w:after="0"/>
              <w:rPr>
                <w:sz w:val="20"/>
                <w:szCs w:val="20"/>
                <w:color w:val="auto"/>
              </w:rPr>
            </w:pPr>
            <w:r>
              <w:rPr>
                <w:rFonts w:ascii="Arial" w:cs="Arial" w:eastAsia="Arial" w:hAnsi="Arial"/>
                <w:sz w:val="14"/>
                <w:szCs w:val="14"/>
                <w:color w:val="auto"/>
                <w:w w:val="88"/>
              </w:rPr>
              <w:t>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(1,418)</w:t>
            </w:r>
          </w:p>
        </w:tc>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2"/>
        </w:trPr>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2"/>
              </w:rPr>
              <w:t>Amount of Gain/(Loss)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Location of Gain/(Loss)</w:t>
            </w:r>
          </w:p>
        </w:tc>
        <w:tc>
          <w:tcPr>
            <w:tcW w:w="60" w:type="dxa"/>
            <w:vAlign w:val="bottom"/>
          </w:tcPr>
          <w:p>
            <w:pPr>
              <w:spacing w:after="0"/>
              <w:rPr>
                <w:sz w:val="12"/>
                <w:szCs w:val="12"/>
                <w:color w:val="auto"/>
              </w:rPr>
            </w:pPr>
          </w:p>
        </w:tc>
        <w:tc>
          <w:tcPr>
            <w:tcW w:w="196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62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color w:val="auto"/>
              </w:rPr>
              <w:t>as Hedging</w:t>
            </w: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vMerge w:val="restart"/>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Recognized in Income</w:t>
            </w: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6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509"/>
              <w:spacing w:after="0"/>
              <w:rPr>
                <w:sz w:val="20"/>
                <w:szCs w:val="20"/>
                <w:color w:val="auto"/>
              </w:rPr>
            </w:pPr>
            <w:r>
              <w:rPr>
                <w:rFonts w:ascii="Arial" w:cs="Arial" w:eastAsia="Arial" w:hAnsi="Arial"/>
                <w:sz w:val="14"/>
                <w:szCs w:val="14"/>
                <w:b w:val="1"/>
                <w:bCs w:val="1"/>
                <w:color w:val="auto"/>
                <w:w w:val="91"/>
              </w:rPr>
              <w:t>on Derivatives</w:t>
            </w:r>
          </w:p>
        </w:tc>
        <w:tc>
          <w:tcPr>
            <w:tcW w:w="2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Foreign exchange contracts</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40" w:type="dxa"/>
            <w:vAlign w:val="bottom"/>
            <w:gridSpan w:val="3"/>
            <w:shd w:val="clear" w:color="auto" w:fill="CCEEFF"/>
          </w:tcPr>
          <w:p>
            <w:pPr>
              <w:ind w:left="100"/>
              <w:spacing w:after="0" w:line="142" w:lineRule="exact"/>
              <w:rPr>
                <w:sz w:val="20"/>
                <w:szCs w:val="20"/>
                <w:color w:val="auto"/>
              </w:rPr>
            </w:pPr>
            <w:r>
              <w:rPr>
                <w:rFonts w:ascii="Arial" w:cs="Arial" w:eastAsia="Arial" w:hAnsi="Arial"/>
                <w:sz w:val="14"/>
                <w:szCs w:val="14"/>
                <w:color w:val="auto"/>
              </w:rPr>
              <w:t>Foreign exchange income</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(9)</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nine months ended September 30, 2015 and 2014:</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Derivatives in Cash Flow</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977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Foreign exchange contracts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 not</w:t>
      </w:r>
    </w:p>
    <w:p>
      <w:pPr>
        <w:spacing w:after="0" w:line="226" w:lineRule="auto"/>
        <w:rPr>
          <w:sz w:val="20"/>
          <w:szCs w:val="20"/>
          <w:color w:val="auto"/>
        </w:rPr>
      </w:pPr>
      <w:r>
        <w:rPr>
          <w:rFonts w:ascii="Arial" w:cs="Arial" w:eastAsia="Arial" w:hAnsi="Arial"/>
          <w:sz w:val="14"/>
          <w:szCs w:val="14"/>
          <w:b w:val="1"/>
          <w:bCs w:val="1"/>
          <w:color w:val="auto"/>
        </w:rPr>
        <w:t>designated</w:t>
      </w:r>
    </w:p>
    <w:p>
      <w:pPr>
        <w:spacing w:after="0" w:line="222" w:lineRule="auto"/>
        <w:rPr>
          <w:sz w:val="20"/>
          <w:szCs w:val="20"/>
          <w:color w:val="auto"/>
        </w:rPr>
      </w:pPr>
      <w:r>
        <w:rPr>
          <w:rFonts w:ascii="Arial" w:cs="Arial" w:eastAsia="Arial" w:hAnsi="Arial"/>
          <w:sz w:val="14"/>
          <w:szCs w:val="14"/>
          <w:b w:val="1"/>
          <w:bCs w:val="1"/>
          <w:color w:val="auto"/>
        </w:rPr>
        <w:t>as Hedging</w:t>
      </w:r>
    </w:p>
    <w:p>
      <w:pPr>
        <w:spacing w:after="0"/>
        <w:rPr>
          <w:sz w:val="20"/>
          <w:szCs w:val="20"/>
          <w:color w:val="auto"/>
        </w:rPr>
      </w:pPr>
      <w:r>
        <w:rPr>
          <w:rFonts w:ascii="Arial" w:cs="Arial" w:eastAsia="Arial" w:hAnsi="Arial"/>
          <w:sz w:val="14"/>
          <w:szCs w:val="14"/>
          <w:b w:val="1"/>
          <w:bCs w:val="1"/>
          <w:u w:val="single" w:color="auto"/>
          <w:color w:val="auto"/>
        </w:rPr>
        <w:t>Instruments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Foreign exchange contracts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vMerge w:val="restart"/>
          </w:tcPr>
          <w:p>
            <w:pPr>
              <w:jc w:val="center"/>
              <w:ind w:right="8"/>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5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5"/>
              </w:rPr>
              <w:t>Amount of Gain/</w:t>
            </w:r>
          </w:p>
        </w:tc>
        <w:tc>
          <w:tcPr>
            <w:tcW w:w="18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 Portion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0" w:type="dxa"/>
            <w:vAlign w:val="bottom"/>
          </w:tcPr>
          <w:p>
            <w:pPr>
              <w:spacing w:after="0"/>
              <w:rPr>
                <w:sz w:val="1"/>
                <w:szCs w:val="1"/>
                <w:color w:val="auto"/>
              </w:rPr>
            </w:pPr>
          </w:p>
        </w:tc>
      </w:tr>
      <w:tr>
        <w:trPr>
          <w:trHeight w:val="149"/>
        </w:trPr>
        <w:tc>
          <w:tcPr>
            <w:tcW w:w="15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and 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15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AOCI on</w:t>
            </w: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00" w:type="dxa"/>
            <w:vAlign w:val="bottom"/>
          </w:tcPr>
          <w:p>
            <w:pPr>
              <w:spacing w:after="0"/>
              <w:rPr>
                <w:sz w:val="12"/>
                <w:szCs w:val="12"/>
                <w:color w:val="auto"/>
              </w:rPr>
            </w:pPr>
          </w:p>
        </w:tc>
        <w:tc>
          <w:tcPr>
            <w:tcW w:w="176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(Loss) Reclassified from</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200" w:type="dxa"/>
            <w:vAlign w:val="bottom"/>
          </w:tcPr>
          <w:p>
            <w:pPr>
              <w:spacing w:after="0"/>
              <w:rPr>
                <w:sz w:val="12"/>
                <w:szCs w:val="12"/>
                <w:color w:val="auto"/>
              </w:rPr>
            </w:pPr>
          </w:p>
        </w:tc>
        <w:tc>
          <w:tcPr>
            <w:tcW w:w="15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9"/>
        </w:trPr>
        <w:tc>
          <w:tcPr>
            <w:tcW w:w="15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200" w:type="dxa"/>
            <w:vAlign w:val="bottom"/>
          </w:tcPr>
          <w:p>
            <w:pPr>
              <w:spacing w:after="0"/>
              <w:rPr>
                <w:sz w:val="12"/>
                <w:szCs w:val="12"/>
                <w:color w:val="auto"/>
              </w:rPr>
            </w:pPr>
          </w:p>
        </w:tc>
        <w:tc>
          <w:tcPr>
            <w:tcW w:w="15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Amount Excluded from</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w w:val="94"/>
              </w:rPr>
              <w:t>(Effective Portion)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Testing)</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8"/>
              <w:spacing w:after="0"/>
              <w:rPr>
                <w:sz w:val="20"/>
                <w:szCs w:val="20"/>
                <w:color w:val="auto"/>
              </w:rPr>
            </w:pPr>
            <w:r>
              <w:rPr>
                <w:rFonts w:ascii="Arial" w:cs="Arial" w:eastAsia="Arial" w:hAnsi="Arial"/>
                <w:sz w:val="14"/>
                <w:szCs w:val="14"/>
                <w:b w:val="1"/>
                <w:bCs w:val="1"/>
                <w:color w:val="auto"/>
                <w:w w:val="88"/>
              </w:rPr>
              <w:t>Effectiveness Testing)</w:t>
            </w:r>
          </w:p>
        </w:tc>
        <w:tc>
          <w:tcPr>
            <w:tcW w:w="0" w:type="dxa"/>
            <w:vAlign w:val="bottom"/>
          </w:tcPr>
          <w:p>
            <w:pPr>
              <w:spacing w:after="0"/>
              <w:rPr>
                <w:sz w:val="1"/>
                <w:szCs w:val="1"/>
                <w:color w:val="auto"/>
              </w:rPr>
            </w:pPr>
          </w:p>
        </w:tc>
      </w:tr>
      <w:tr>
        <w:trPr>
          <w:trHeight w:val="142"/>
        </w:trPr>
        <w:tc>
          <w:tcPr>
            <w:tcW w:w="5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5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148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2"/>
              </w:rPr>
              <w:t>Foreign exchange loss</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2"/>
              </w:rPr>
              <w:t>Foreign exchange loss</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76"/>
        </w:trPr>
        <w:tc>
          <w:tcPr>
            <w:tcW w:w="520" w:type="dxa"/>
            <w:vAlign w:val="bottom"/>
          </w:tcPr>
          <w:p>
            <w:pPr>
              <w:jc w:val="right"/>
              <w:spacing w:after="0"/>
              <w:rPr>
                <w:sz w:val="20"/>
                <w:szCs w:val="20"/>
                <w:color w:val="auto"/>
              </w:rPr>
            </w:pPr>
            <w:r>
              <w:rPr>
                <w:rFonts w:ascii="Arial" w:cs="Arial" w:eastAsia="Arial" w:hAnsi="Arial"/>
                <w:sz w:val="14"/>
                <w:szCs w:val="14"/>
                <w:color w:val="auto"/>
                <w:w w:val="89"/>
              </w:rPr>
              <w:t>$ (2,741)</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  5,950</w:t>
            </w:r>
          </w:p>
        </w:tc>
        <w:tc>
          <w:tcPr>
            <w:tcW w:w="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(963)</w:t>
            </w:r>
          </w:p>
        </w:tc>
        <w:tc>
          <w:tcPr>
            <w:tcW w:w="3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(5,877)</w:t>
            </w: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8"/>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Amount of Gain/(Loss)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or (Loss)</w:t>
            </w:r>
          </w:p>
        </w:tc>
        <w:tc>
          <w:tcPr>
            <w:tcW w:w="200" w:type="dxa"/>
            <w:vAlign w:val="bottom"/>
          </w:tcPr>
          <w:p>
            <w:pPr>
              <w:spacing w:after="0"/>
              <w:rPr>
                <w:sz w:val="12"/>
                <w:szCs w:val="12"/>
                <w:color w:val="auto"/>
              </w:rPr>
            </w:pPr>
          </w:p>
        </w:tc>
        <w:tc>
          <w:tcPr>
            <w:tcW w:w="17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1"/>
              </w:rPr>
              <w:t>Recognized in Income on</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548"/>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gridSpan w:val="4"/>
          </w:tcPr>
          <w:p>
            <w:pPr>
              <w:ind w:left="80"/>
              <w:spacing w:after="0"/>
              <w:rPr>
                <w:sz w:val="20"/>
                <w:szCs w:val="20"/>
                <w:color w:val="auto"/>
              </w:rPr>
            </w:pPr>
            <w:r>
              <w:rPr>
                <w:rFonts w:ascii="Arial" w:cs="Arial" w:eastAsia="Arial" w:hAnsi="Arial"/>
                <w:sz w:val="14"/>
                <w:szCs w:val="14"/>
                <w:color w:val="auto"/>
              </w:rPr>
              <w:t>Foreign exchange income</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94</w:t>
            </w:r>
          </w:p>
        </w:tc>
        <w:tc>
          <w:tcPr>
            <w:tcW w:w="3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3,442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-861060</wp:posOffset>
            </wp:positionV>
            <wp:extent cx="72466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-123825</wp:posOffset>
            </wp:positionV>
            <wp:extent cx="72466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720"/>
            <w:col w:w="8100"/>
          </w:cols>
          <w:pgMar w:left="240" w:top="459" w:right="27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4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2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Network equipment, computers and software</w:t>
            </w:r>
          </w:p>
        </w:tc>
        <w:tc>
          <w:tcPr>
            <w:tcW w:w="2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91,091</w:t>
            </w:r>
          </w:p>
        </w:tc>
        <w:tc>
          <w:tcPr>
            <w:tcW w:w="380" w:type="dxa"/>
            <w:vAlign w:val="bottom"/>
          </w:tcPr>
          <w:p>
            <w:pPr>
              <w:spacing w:after="0"/>
              <w:rPr>
                <w:sz w:val="18"/>
                <w:szCs w:val="18"/>
                <w:color w:val="auto"/>
              </w:rPr>
            </w:pP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Land</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13,397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Capital work in progress</w:t>
            </w:r>
          </w:p>
        </w:tc>
        <w:tc>
          <w:tcPr>
            <w:tcW w:w="2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8"/>
              </w:rPr>
              <w:t>Less: Accumulated depreciation and amortization</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(91,985)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(82,947)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46,481</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Assets under capital leases:</w:t>
            </w:r>
          </w:p>
        </w:tc>
        <w:tc>
          <w:tcPr>
            <w:tcW w:w="2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8"/>
              </w:rPr>
              <w:t>Less: Accumulated depreciation and amortization</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47,071</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20" w:type="dxa"/>
            <w:vAlign w:val="bottom"/>
            <w:vMerge w:val="restart"/>
          </w:tcPr>
          <w:p>
            <w:pPr>
              <w:jc w:val="right"/>
              <w:ind w:right="1633"/>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Depreciation and amortization expense excluding amortization of acquisition-related intangibles for the three months ended September 30, 2015 and 2014 was $5,415 and $5,573, respectively, and $15,662 and $15,582 for the nine months ended September 30, 2015 and 2014, respectively.</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fixed assets, the cost of fixed assets and internally generated software costs not yet ready to be placed in 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the three months ended September 30, 2015 and 2014, the Company did not acquire any shares of common stock from employees in connection with withholding tax payments related to the vesting of restricted stock.</w:t>
      </w:r>
    </w:p>
    <w:p>
      <w:pPr>
        <w:spacing w:after="0" w:line="170"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During the nine months ended September 30, 2015 and 2014, the Company acquired 13,573 and 18,256 shares of common stock, respectively, from employees in connection with withholding tax payments related to the vesting of restricted stock for a total consideration of $421 and $459. The weighted average purchase price of $30.99 and $25.14, respectively, was the average of the high and low price of the Company’s shares of common stock on the Nasdaq Global Select Market on the trading day prior to the vesting date of the shares of restricted stock.</w:t>
      </w:r>
    </w:p>
    <w:p>
      <w:pPr>
        <w:spacing w:after="0" w:line="17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On December 30, 2014, the Company’s Board of Directors authorized a common stock repurchase program of up to $20,000 annually (the “2014 Repurchase Program”), under which shares may be purchased by the Company from time to time from the open market and through private transactions during each of the fiscal years 2015 to 2017. During the three months and nine months ended September 30, 2015, the Company purchased 220,579 and 354,448 shares of its common stock for an aggregate purchase price of approximately $8,149 and $12,834 including commissions, representing an average purchase price per share of $36.94 and $36.21, respectively under the 2014 Repurchase Program.</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Company’s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24, 2014, the Company entered into a credit agreement (as amended, the “Credit Agreement”) with certain lenders and JPMorgan Chase Bank, N.A., as Administrative Agent. The Credit Agreement provides for a $50,000 revolving credit facility (the “Credit Facility”), including a letter of credit sub-facility, for a period of five years. The Company had an option to increase the commitments under the Credit Facility by up to an additional $50,000, subject to certain approvals and conditions as set forth in the Credit Agreement. On February 23, 2015, via an amendment to the Credit Agreement the Company exercised its option to increase credit commitments by another $50,000 upon the same terms and conditions which were available in the Credit Agreement. The Credit Facility has a maturity date of October 24, 2019 and is voluntarily pre-payable from time to time without premium or penalty. The Credit Facility carried an effective interest rate of 1.56% per annum during the three and nine months ended September 30, 2015. The Company entered into a second amendment to the Credit Agreement effective as of September 28, 2015 to address a minor clarification to the definition of change of control.</w:t>
      </w:r>
    </w:p>
    <w:p>
      <w:pPr>
        <w:spacing w:after="0" w:line="166"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Borrowings under the Credit Facility may be used for working capital, general corporate purposes and for acquisitions. The Company has an outstanding debt of $70,000 ($10,000, expected to be repaid within next twelve months included under “short-term borrowings” in the consolidated balance sheet) and $50,000 under the Credit Facility as of September 30, 2015 and December 31, 2014, respectively. The Company borrowed an additional $30,000 and repaid $10,000 during the nine months ended September 30, 2015. In connection with the financing, the Company incurred certain debt issuance costs, which are deferred and amortized as an adjustment to interest expense over the term of the Credit Facility. The unamortized debt issuance costs of $392 and $460 as of September 30, 2015 and December 31, 2014, respectively are included in the “other assets” in the consolidated balance sheet.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under the Credit Agreement are secured by all or substantially all of the assets of the Company and its material domestic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contains certain covenants including a restriction on indebtedness of the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Gratuity Plans in India and the Philippines provide a lump-sum payment to its vested employees upon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8"/>
              </w:rPr>
              <w:t>Three months ended September 30,</w:t>
            </w:r>
          </w:p>
        </w:tc>
        <w:tc>
          <w:tcPr>
            <w:tcW w:w="160" w:type="dxa"/>
            <w:vAlign w:val="bottom"/>
          </w:tcPr>
          <w:p>
            <w:pPr>
              <w:spacing w:after="0"/>
              <w:rPr>
                <w:sz w:val="14"/>
                <w:szCs w:val="14"/>
                <w:color w:val="auto"/>
              </w:rPr>
            </w:pPr>
          </w:p>
        </w:tc>
        <w:tc>
          <w:tcPr>
            <w:tcW w:w="24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30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403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w w:val="79"/>
              </w:rPr>
              <w:t>135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417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(94)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Actuarial loss</w:t>
            </w:r>
          </w:p>
        </w:tc>
        <w:tc>
          <w:tcPr>
            <w:tcW w:w="8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14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495</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1,526</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w:t>
            </w:r>
          </w:p>
        </w:tc>
      </w:tr>
      <w:tr>
        <w:trPr>
          <w:trHeight w:val="20"/>
        </w:trPr>
        <w:tc>
          <w:tcPr>
            <w:tcW w:w="3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Gratuity Plans in India are partially funded and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9.0% on these Gratuity Plans for the year ended March 31, 2015.</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Plan assets at January 1, 2015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$4,752</w:t>
            </w: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Actual return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Benefits Paid</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(624)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Plan assets at September 30, 2015</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4,270</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 maintains the Exl Service 401(k) Plan (the “401(k) Plan”) under Section 401(k) of the Internal Revenue Code of 1986 (the “Code”), covering all eligible employees, as defined. The Company may make discretionary contributions of up to a maximum of 3% of employee compensation within certain limits. The Company has made provisions for contributions to the 401(k) Plan amounting to $400 and $192 during the three month periods ended September 30, 2015 and 2014, respectively, and $1,551 and $1,037 during the nine month periods ended September 30, 2015 and 2014, respectively.</w:t>
      </w:r>
    </w:p>
    <w:p>
      <w:pPr>
        <w:spacing w:after="0" w:line="15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During the three and nine month periods ended September 30, 2015 and 2014, the Company contributed the following amounts to various defined contribution plans on behalf of its employees in India, the Philippines, Romania, Bulgaria and the Czech Republic:</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2015</w:t>
            </w:r>
          </w:p>
        </w:tc>
        <w:tc>
          <w:tcPr>
            <w:tcW w:w="4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Three months ended September 30, 2014</w:t>
            </w:r>
          </w:p>
        </w:tc>
        <w:tc>
          <w:tcPr>
            <w:tcW w:w="4380" w:type="dxa"/>
            <w:vAlign w:val="bottom"/>
          </w:tcPr>
          <w:p>
            <w:pPr>
              <w:jc w:val="right"/>
              <w:ind w:right="10"/>
              <w:spacing w:after="0"/>
              <w:rPr>
                <w:sz w:val="20"/>
                <w:szCs w:val="20"/>
                <w:color w:val="auto"/>
              </w:rPr>
            </w:pPr>
            <w:r>
              <w:rPr>
                <w:rFonts w:ascii="Arial" w:cs="Arial" w:eastAsia="Arial" w:hAnsi="Arial"/>
                <w:sz w:val="18"/>
                <w:szCs w:val="18"/>
                <w:color w:val="auto"/>
              </w:rPr>
              <w:t>$1,418</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2015</w:t>
            </w:r>
          </w:p>
        </w:tc>
        <w:tc>
          <w:tcPr>
            <w:tcW w:w="4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$4,393</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Nine months ended September 30, 2014</w:t>
            </w:r>
          </w:p>
        </w:tc>
        <w:tc>
          <w:tcPr>
            <w:tcW w:w="4380" w:type="dxa"/>
            <w:vAlign w:val="bottom"/>
          </w:tcPr>
          <w:p>
            <w:pPr>
              <w:jc w:val="right"/>
              <w:ind w:right="10"/>
              <w:spacing w:after="0"/>
              <w:rPr>
                <w:sz w:val="20"/>
                <w:szCs w:val="20"/>
                <w:color w:val="auto"/>
              </w:rPr>
            </w:pPr>
            <w:r>
              <w:rPr>
                <w:rFonts w:ascii="Arial" w:cs="Arial" w:eastAsia="Arial" w:hAnsi="Arial"/>
                <w:sz w:val="18"/>
                <w:szCs w:val="18"/>
                <w:color w:val="auto"/>
              </w:rPr>
              <w:t>$4,279</w:t>
            </w:r>
          </w:p>
        </w:tc>
      </w:tr>
      <w:tr>
        <w:trPr>
          <w:trHeight w:val="350"/>
        </w:trPr>
        <w:tc>
          <w:tcPr>
            <w:tcW w:w="3380" w:type="dxa"/>
            <w:vAlign w:val="bottom"/>
          </w:tcPr>
          <w:p>
            <w:pPr>
              <w:spacing w:after="0"/>
              <w:rPr>
                <w:sz w:val="24"/>
                <w:szCs w:val="24"/>
                <w:color w:val="auto"/>
              </w:rPr>
            </w:pPr>
          </w:p>
        </w:tc>
        <w:tc>
          <w:tcPr>
            <w:tcW w:w="4380" w:type="dxa"/>
            <w:vAlign w:val="bottom"/>
          </w:tcPr>
          <w:p>
            <w:pPr>
              <w:jc w:val="right"/>
              <w:ind w:right="371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jc w:val="both"/>
        <w:ind w:right="680" w:firstLine="456"/>
        <w:spacing w:after="0" w:line="342" w:lineRule="auto"/>
        <w:rPr>
          <w:sz w:val="20"/>
          <w:szCs w:val="20"/>
          <w:color w:val="auto"/>
        </w:rPr>
      </w:pPr>
      <w:r>
        <w:rPr>
          <w:rFonts w:ascii="Arial" w:cs="Arial" w:eastAsia="Arial" w:hAnsi="Arial"/>
          <w:sz w:val="16"/>
          <w:szCs w:val="16"/>
          <w:color w:val="auto"/>
        </w:rPr>
        <w:t>The Company finances its use of certain leasehold improvements, furniture, fixtures, office equipment and motor vehicles under various lease arrangements provided by financial institutions. Future minimum lease payments under these capital leases as of September 30, 2015 are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$541</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304</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The Company conducts its operations using facilities leased under non-cancelable operating lease agreements that expire at various dates. Future minimum lease payments under non-cancelable agreements expiring after September 30, 2015 are set forth below:</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2021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21,600</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accounts for scheduled rent on such leases on a straight line basis over the non-cancelable lease period determined under ASC Topic 840 Lease Accounting (“ASC 840”). Rent expense under both cancelable and non-cancelable operating leases was $4,994 and $4,897 for the three months ended September 30, 2015 and 2014, respectively, and $15,089 and $14,153 for the nine months ended September 30, 2015 and 2014, respectively. Deferred rent as of September 30, 2015 and December 31, 2014 was $6,789 and $6,544, respectively, and is included under “Accrued expenses and other current liabilities” and “Non-current liabilities” in the consolidated balance sheets.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recorded income tax expense of $7,565 and $1,002 for the three months ended September 30, 2015 and 2014, respectively. Income tax expense for the nine months ended September 30, 2015 and 2014 was $19,309 and $4,523, respectively.</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effective tax rate increased from 14.2% during the three months ended September 30, 2014 to 33.3% during the three months ended September 30, 2015. The increase in effective tax rate is primarily due to higher income in the U.S. due to reimbursement of disentanglement costs to Travelers during the three months ended September 30, 2014 and due to expiration of a tax holiday in some of our operating centers in India. Further, the effective tax rate increased due to a tax expense related to the taxability of certain foreign income in prior years during the three months ended September 30, 2015.</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effective rate of taxes increased from 15.3% during the nine months ended September 30, 2014 to 34.4% during the nine months ended September 30, 2015. The increase in effective tax rate was primarily due to immaterial errors related to prior years (individually as well as when aggregated) which were recorded during the nine months ended September 30, 2015, and resulted in an increase in income tax expense of approximately $2,400 (including approximately $1,900 related to the taxability of certain foreign income in prior years for which the Company recorded a reserve for an unrecognized tax benefit). The effective tax rate further increased during the nine months ended September 30, 2015 due to reversal of an unrecognized tax benefit of $2,173 and higher income in the U.S. due to reimbursement of disentanglement costs to Travelers during the nine months ended September 30, 2014 and the expiration of a tax holiday in some of the Company’s operating centers in the Philippines and India.</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accordance with ASC Topic 250, Accounting Changes and Error Corrections, the Company evaluated the effects of the errors on its financial statements for those prior years and the expected full year financial results for the year ending December 31, 2015 and concluded that the results of operations for these periods are not materially misstated. In reaching its conclusion, the Company considered qualitative and quantitative factors.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related to the gross unrecognized tax benefits from January 1, 2015 through September 30, 2015:</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9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1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9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2015</w:t>
            </w:r>
          </w:p>
        </w:tc>
        <w:tc>
          <w:tcPr>
            <w:tcW w:w="19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4,511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September 30, 2015 of $4,511, if recognized, would impact the effective tax rate.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During the three months ended September 30, 2015 and 2014, the Company has recognized interest of $74 and $54 respectively, which are included in the income tax expense in the unaudited consolidated statements of income. As of September 30, 2015 and December 31, 2014, the Company has accrued approximately $1,300 and $1,117, respectively in interest relating to unrecognized tax benefits.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may increase or decrease in the next twelve months depending on the Company’s tax position.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4"/>
                <w:szCs w:val="14"/>
                <w:color w:val="auto"/>
              </w:rPr>
            </w:pPr>
          </w:p>
        </w:tc>
        <w:tc>
          <w:tcPr>
            <w:tcW w:w="23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42"/>
        </w:trPr>
        <w:tc>
          <w:tcPr>
            <w:tcW w:w="5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1,613</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2,118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8,518</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 June 19, 2015, at the Company’s 2015 Annual Meeting of Stockholders (the “Annual Meeting”), the stockholders of ExlService Holdings, Inc. (the “Company”) approved the 2015 Amendment and Restatement of the 2006 Omnibus Award Plan (the “2015 Plan”), which amended and restated the 2006 Omnibus Award Plan to, among other things, increase the total number of shares reserved for grants of awards under the 2015 Plan by 1,700,000 shares. As of September 30, 2015, the Company had 2,418,055 shares available for grant under the 2015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7"/>
              </w:rPr>
              <w:t>Weighted-</w:t>
            </w:r>
          </w:p>
        </w:tc>
        <w:tc>
          <w:tcPr>
            <w:tcW w:w="12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2"/>
              </w:rPr>
              <w:t>Aggregate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Intrinsic</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1,433,179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$ 17,889</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(207,122)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15.26</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Forfeited/Expired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(6,058)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24.77</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1,219,999</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16.35</w:t>
            </w:r>
          </w:p>
        </w:tc>
        <w:tc>
          <w:tcPr>
            <w:tcW w:w="12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1"/>
              </w:rPr>
              <w:t>$ 25,108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1,138,136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15.74</w:t>
            </w:r>
          </w:p>
        </w:tc>
        <w:tc>
          <w:tcPr>
            <w:tcW w:w="6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$ 24,113</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unrecognized compensation cost for unvested options as of September 30, 2015 is $292 which is expected to be expensed over a weighted average period of 0.34 years. The weighted-average fair value of options granted during the nine months ended September 30, 2015 and 2014 was $0 and $9.77 respectively. The total grant date fair value of options vested during the three months ended September 30, 2015 and 2014 was $0 and $693 respectively. The total grant date fair value of options vested during the nine months ended September 30, 2015 and 2014 was $1,170 and $1,917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Restricted Stock</w:t>
            </w:r>
          </w:p>
        </w:tc>
        <w:tc>
          <w:tcPr>
            <w:tcW w:w="2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240" w:type="dxa"/>
            <w:vAlign w:val="bottom"/>
            <w:tcBorders>
              <w:top w:val="single" w:sz="8" w:color="auto"/>
            </w:tcBorders>
            <w:gridSpan w:val="2"/>
            <w:vMerge w:val="restart"/>
          </w:tcPr>
          <w:p>
            <w:pPr>
              <w:jc w:val="right"/>
              <w:ind w:right="588"/>
              <w:spacing w:after="0"/>
              <w:rPr>
                <w:sz w:val="20"/>
                <w:szCs w:val="20"/>
                <w:color w:val="auto"/>
              </w:rPr>
            </w:pPr>
            <w:r>
              <w:rPr>
                <w:rFonts w:ascii="Arial" w:cs="Arial" w:eastAsia="Arial" w:hAnsi="Arial"/>
                <w:sz w:val="14"/>
                <w:szCs w:val="14"/>
                <w:b w:val="1"/>
                <w:bCs w:val="1"/>
                <w:color w:val="auto"/>
              </w:rPr>
              <w:t>Number</w:t>
            </w:r>
          </w:p>
        </w:tc>
        <w:tc>
          <w:tcPr>
            <w:tcW w:w="11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58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Weighted-Average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Intrinsic Value</w:t>
            </w:r>
          </w:p>
        </w:tc>
        <w:tc>
          <w:tcPr>
            <w:tcW w:w="1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1,189,691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w w:val="95"/>
              </w:rPr>
              <w:t>122,131</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35.91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471,160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(34,147)</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29.29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(320,049)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68"/>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29.29</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(72,386)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5"/>
              </w:rPr>
              <w:t>129,638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35.53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1,268,416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20" w:right="440" w:hanging="212"/>
        <w:spacing w:after="0" w:line="277"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143,224 and 128,000 vested restricted stock units as of September 30, 2015 and December 31, 2014, respectively for which the underlying common stock is yet to be issued.</w:t>
      </w:r>
    </w:p>
    <w:p>
      <w:pPr>
        <w:spacing w:after="0" w:line="170"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As of September 30, 2015, unrecognized compensation cost of $33,834 is expected to be expensed over a weighted average period of 2.74 years. 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Stock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restricted stock unit (the “PRSU’s”) activity under the Company’s stock plans is shown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Revenue Based PRSU’s</w:t>
            </w:r>
          </w:p>
        </w:tc>
        <w:tc>
          <w:tcPr>
            <w:tcW w:w="600" w:type="dxa"/>
            <w:vAlign w:val="bottom"/>
          </w:tcPr>
          <w:p>
            <w:pPr>
              <w:spacing w:after="0"/>
              <w:rPr>
                <w:sz w:val="14"/>
                <w:szCs w:val="14"/>
                <w:color w:val="auto"/>
              </w:rPr>
            </w:pPr>
          </w:p>
        </w:tc>
        <w:tc>
          <w:tcPr>
            <w:tcW w:w="2440" w:type="dxa"/>
            <w:vAlign w:val="bottom"/>
            <w:tcBorders>
              <w:bottom w:val="single" w:sz="8" w:color="auto"/>
            </w:tcBorders>
            <w:gridSpan w:val="5"/>
          </w:tcPr>
          <w:p>
            <w:pPr>
              <w:jc w:val="right"/>
              <w:ind w:right="113"/>
              <w:spacing w:after="0"/>
              <w:rPr>
                <w:sz w:val="20"/>
                <w:szCs w:val="20"/>
                <w:color w:val="auto"/>
              </w:rPr>
            </w:pPr>
            <w:r>
              <w:rPr>
                <w:rFonts w:ascii="Arial" w:cs="Arial" w:eastAsia="Arial" w:hAnsi="Arial"/>
                <w:sz w:val="14"/>
                <w:szCs w:val="14"/>
                <w:b w:val="1"/>
                <w:bCs w:val="1"/>
                <w:color w:val="auto"/>
              </w:rPr>
              <w:t>Market Condition Based PRSU’s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Weighted Avg</w:t>
            </w: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Weighted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3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Intrinsic</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 31,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25.63</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62,788</w:t>
            </w:r>
          </w:p>
        </w:tc>
        <w:tc>
          <w:tcPr>
            <w:tcW w:w="1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34.75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162,787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28.53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107,213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30.88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207,212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2015, unrecognized compensation cost of $8,570 is expected to be expensed over a weighted average period of 2.09 years.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4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net</w:t>
            </w:r>
          </w:p>
        </w:tc>
        <w:tc>
          <w:tcPr>
            <w:tcW w:w="2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940" w:type="dxa"/>
            <w:vAlign w:val="bottom"/>
            <w:gridSpan w:val="5"/>
          </w:tcPr>
          <w:p>
            <w:pPr>
              <w:jc w:val="right"/>
              <w:ind w:right="100"/>
              <w:spacing w:after="0"/>
              <w:rPr>
                <w:sz w:val="20"/>
                <w:szCs w:val="20"/>
                <w:color w:val="auto"/>
              </w:rPr>
            </w:pPr>
            <w:r>
              <w:rPr>
                <w:rFonts w:ascii="Arial" w:cs="Arial" w:eastAsia="Arial" w:hAnsi="Arial"/>
                <w:sz w:val="18"/>
                <w:szCs w:val="18"/>
                <w:color w:val="auto"/>
              </w:rPr>
              <w:t>$129,886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89,337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$364,591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$267,638</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28,262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26,060</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81,550</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74,215</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21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5,355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16,493</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22,139</w:t>
            </w:r>
          </w:p>
        </w:tc>
      </w:tr>
      <w:tr>
        <w:trPr>
          <w:trHeight w:val="27"/>
        </w:trPr>
        <w:tc>
          <w:tcPr>
            <w:tcW w:w="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163,503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122,457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462,634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363,992</w:t>
            </w:r>
          </w:p>
        </w:tc>
      </w:tr>
      <w:tr>
        <w:trPr>
          <w:trHeight w:val="20"/>
        </w:trPr>
        <w:tc>
          <w:tcPr>
            <w:tcW w:w="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2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India</w:t>
            </w:r>
          </w:p>
        </w:tc>
        <w:tc>
          <w:tcPr>
            <w:tcW w:w="2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24,383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8,930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Philippines</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12,338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7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47,071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45,369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September 30, 2015, the Company had committed to spend approximately $3,404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Company’s operations centers in the Philippines are registered with the Philippine Economic Zone Authority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 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ExlService.com LLC are engaged in tax litigation with the income-tax authorities in India on the issue of permanent establishment.</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aggregate disputed amount demanded by Indian tax authorities from the Company related to its transfer pricing issues for various years ranging from tax years 2003 to 2011 and its permanent establishment issues ranging from tax years 2003 to 2011 as of September 30, 2015 and December 31, 2014 is $19,265 and $22,866, respectively, of which the Company has already made payments or provided bank guarantees to the extent of $14,703 and $14,666, respectively. Amounts paid as deposits in respect of such assessments aggregating to $12,683 and $12,564 as of September 30, 2015 and December 31, 2014, respectively, are included in “Other assets” and amounts deposited for bank guarantees aggregating to $2,020 and $2,102 as of September 30, 2015 and December 31, 2014, respectively, are included in “Restricted cash” in the non-current assets section of the Company’s unaudited consolidated balance sheet as of September 30, 2015 and consolidated balance sheet as of December 31, 2014.</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2014. Some of the statements in the following discussion are forward looking statements. See “Forward Looking Statements.” Dollar amounts within Item 2 are presented as actual, approximated, dollar amounts.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8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 joint ventures;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withstand the loss of any significant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are a leading provider of business process solutions to Fortune 500 and Global 2000 companies. Working as a strategic partner, we help our clients simplify and streamline business operations, manage compliance, create new channels for growth, and better adapt to change. Our solutions integrate operations management with analytics and business transformation to deliver actionable business insights and long-term business impact. We help shape our clients’ operating environments through process and technology interventions and analytics driven insights into business performance with the goal of increasing quality and productivity while improving risk management and control.</w:t>
      </w:r>
    </w:p>
    <w:p>
      <w:pPr>
        <w:spacing w:after="0" w:line="173"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We changed our reporting segments nomenclature in 2014 to Operations Management (previously called Outsourcing Services) and Analytics and Business Transformation (previously called Transformation Services) in order to more accurately reflect the changing nature of our engagements with our clients. For comparability with our prior periods, the business composition of each segment remains unchanged.</w:t>
      </w:r>
    </w:p>
    <w:p>
      <w:pPr>
        <w:spacing w:after="0" w:line="166"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global delivery network, comprising highly trained industry and process specialists across the United States, Europe and Asia, is a key asset. We have operations centers in India, the U.S., the Philippines, Bulgaria, Romania, the Czech Republic and South Africa. We also established two new operating centers, one in India and the other in Colombia during the three months ended September 30, 2015.</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Consistent with our growth strategy, on March 20, 2015 we acquired RPM Direct LLC and RPM Data Solutions, LLC (together, “RPM”), which focuses on the insurance industry, including property and casualty (“P&amp;C”), life and health, and specialized in analyzing large consumer data sets to segment populations, predicting response rates, forecasting customer lifetime value and designing targeted, multi-channel marketing campaigns.</w:t>
      </w:r>
    </w:p>
    <w:p>
      <w:pPr>
        <w:spacing w:after="0" w:line="166"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On July 1, 2014 and October 24, 2014, we acquired Blue Slate Solutions, LLC (the “Blue Slate acquisition”) and Overland Holdings, Inc. (the “Overland acquisition”), respectively. The Blue Slate acquisition increases our Business Process Management and Technology Solutions capabilities that specialize in transforming operations through business process automation, use of innovative technologies, data integration and analytics. The Overland acquisition increases our underwriting support services capabilities for our clients in the P&amp;C insurance industry.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part of reimbursing the Travelers Indemnity Company (“Travelers”) for certain of their transition related expenses (the “disentanglement costs”), we recognized $9.6 million and $17.8 million of such reimbursements as a reduction of our revenues during the three months and nine months ended September 30, 2014, respectively. We did not incur any reimbursements of disentanglement costs during the three months and nine months ended September 30, 2015, and we do not anticipate incurring any additional reimbursements of disentanglement costs related to Travelers going forward.</w:t>
      </w:r>
    </w:p>
    <w:p>
      <w:pPr>
        <w:spacing w:after="0" w:line="15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three months ended September 30, 2015, we had total revenues of $163.5 million compared to total revenues of $122.5 million (net of $9.6 million of reimbursement of disentanglement costs to Travelers) for the three months ended September 30, 2014, an increase of $41.0 million or 33.5%. Revenues from operations management services were $114.0 million for the three months ended September 30, 2015 compared to $91.2 million (net of $9.6 million of reimbursement of disentanglement costs to Travelers) for the three months ended September 30, 2014. Revenues from analytics and business transformation services were $49.5 million for the three months ended September 30, 2015 compared to $31.3 million for the three months ended September 30, 2014.</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nine months ended September 30, 2015, we had total revenues of $462.6 million compared to total revenues of $364.0 million (net of $17.8 million of reimbursement of disentanglement costs to Travelers) for the nine months ended September 30, 2014, an increase of $98.6 million or 27.1%. Revenues from operations management services were $337.2 million for the nine months ended September 30, 2015 compared to $285.6 million (net of $17.8 million of reimbursement of disentanglement costs to Travelers) for the nine months ended September 30, 2014. Revenues from analytics and business transformation services were $125.4 million for the nine months ended September 30, 2015 compared to $78.4 million for the nine months ended September 30, 2014.</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serve clients mainly in the U.S. and the U.K., with these two regions generating 79.4% and 17.3%, respectively, of our total revenues for the three months ended September 30, 2015 and 73.0% and 21.3%, respectively, of our total revenues for the three months ended September 30, 2014. For the nine months ended September 30, 2015, these two regions generated 78.8% and 17.6%, respectively, of our total revenues and 73.5% and 20.4%, respectively, of our total revenues for the nine months ended September 30, 2014.</w:t>
      </w:r>
    </w:p>
    <w:p>
      <w:pPr>
        <w:spacing w:after="0" w:line="18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For the three months ended September 30, 2015 and 2014, revenues from our top ten clients accounted for 42.4% and 52.2% of our total revenues, respectively. For the nine months ended September 30, 2015 and 2014, revenues from our top ten clients accounted for 43.4% and 51.5% of our total revenues, respectively. None of our clients accounted for more than 10% of our total revenues during the three and nine months ended September 30, 2015 and 2014. Although we are continually increasing and diversifying our customer base, we expect in the near future that a significant portion of our revenue will continue to be contributed by a limited number of large clients.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derived revenues from nine and twenty-four new clients for our services in the three and nine months ended September 30, 2015, respectively, compared to five and twenty-one new clients in the three and nine months ended September 30, 2014, respectively. Another three clients acquired during the three months ended September 30, 2015 did not generate revenues, but are expected to generate revenues beginning next quarter.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is divided into two reporting segments: Operations Management and Analytics and Business Transformation. RPM’s results are included in our Analytics and Business Transformation segment. We market our services to our existing and prospective clients through our sales and client management teams, which are aligned by key industry verticals and cross-industry domains such as finance and accounting. Our sales and client management teams operate from the U.S. and Europe.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Operations Management</w:t>
      </w:r>
      <w:r>
        <w:rPr>
          <w:rFonts w:ascii="Arial" w:cs="Arial" w:eastAsia="Arial" w:hAnsi="Arial"/>
          <w:sz w:val="18"/>
          <w:szCs w:val="18"/>
          <w:color w:val="auto"/>
        </w:rPr>
        <w:t>: We provide our clients with a range of operations management solutions principally in the insurance, healthcare, utilities,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and financial services, and travel, transportation and logistics sectors, as well as cross-industry operations management solutions, such as finance and accounting services.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The operations management solutions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 For most business process outsourcing engagements we enter into long-term agreements with our clients with typical initial terms ranging from three to eight years. These contracts also usually contain provisions permitting termination of the contract after a notice period set forth in the contract. Although these agreements provide us with a relatively predictable revenue base for a substantial portion of our business, the long selling cycle for our operations management solutions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8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U.S. dollar/ U.K. pound sterling foreign currency exposure.</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been observing a shift in industry pricing models toward transaction-based pricing, outcome-based pricing and other pricing models. We believe this trend will continue and we have begun to use transaction-based, outcome-based and other pricing models with some of our current clients and are seeking to move certain other clients from a billing rate model to a transaction-based or other pricing model. These transaction-based pricing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 to meet competition.</w:t>
      </w:r>
    </w:p>
    <w:p>
      <w:pPr>
        <w:spacing w:after="0" w:line="182"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Within our Operations Management solutions, we also offer software to provide BPaaS services for our insurance and healthcare clients. We have added these capabilities through acquisitions over the last few years. Depending on the software, the fees derived may be based on licenses, installation, support and maintenance, and/or recoveries from claims. We believe our proprietary software technology will be an important source of growth in the future as clients choose to transfer certain business functions to a third-party-owned technology provider.</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the short term.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Analytics and Business Transformation</w:t>
      </w:r>
      <w:r>
        <w:rPr>
          <w:rFonts w:ascii="Arial" w:cs="Arial" w:eastAsia="Arial" w:hAnsi="Arial"/>
          <w:sz w:val="16"/>
          <w:szCs w:val="16"/>
          <w:color w:val="auto"/>
        </w:rPr>
        <w:t>: Our Analytics and Business Transformation solutions include our Analytics, Operations Consulting,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Transformation services. These services focus on improving our clients’ operating environments, whether or not they are managed by us, through cost reduction, additional insight for business forecasting, enhanced efficiency and productivity, improved effectiveness of business decisions and creation of an improved risk and control environment. We actively cross-sell and, where appropriate, integrate our Analytics and Business Transformation solutions with Operations Management as part of a comprehensive solution for our clients. Our Analytics solutions involve accessing and analyzing large volumes of data from multiple data sources to generate insights about past business performance or predict future business outcomes. In order to provide services, we leverage a large pool of analytics professionals and data scientists who deploy our proprietary analytics tools and methodologies to help clients better utilize their data to generate actionable business insights. These insights generated by our analytics tools, statistical models and data scientists assist clients in making quicker, more accurate and data-driven business decisions, which we believe leads to better business outcomes and tangible financial benefits.</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Analytics and Business Transformation solutions consist of both recurring and specific projects with contract terms generally not exceeding one to three years.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Analytics and Business Transformation services can be affected by variations in business cycles. We have experienced a significant increase in demand for our annuity-based analytics and business transformation solutions, with the majority of our revenues generated from engagements that are contracted for one- to three-year terms.</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anticipate that revenues from our Analytics and Business Transformation services will grow as we expand our service offerings and client base, both organically and through acquisitions.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1 of the Notes to the Consolidated Financial Statements included in our 2014 Annual Report on Form 10-K for the year ended December 31, 2014.</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and nine months ended on September 30, 2015 and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462.6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103.2</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296.8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122.8</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116.3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 / (loss)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Interest and other income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340" w:type="dxa"/>
            <w:vAlign w:val="bottom"/>
            <w:vMerge w:val="restart"/>
          </w:tcPr>
          <w:p>
            <w:pPr>
              <w:jc w:val="right"/>
              <w:ind w:right="1710"/>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402" w:lineRule="auto"/>
        <w:rPr>
          <w:sz w:val="20"/>
          <w:szCs w:val="20"/>
          <w:color w:val="auto"/>
        </w:rPr>
      </w:pPr>
      <w:r>
        <w:rPr>
          <w:rFonts w:ascii="Arial" w:cs="Arial" w:eastAsia="Arial" w:hAnsi="Arial"/>
          <w:sz w:val="18"/>
          <w:szCs w:val="18"/>
          <w:b w:val="1"/>
          <w:bCs w:val="1"/>
          <w:i w:val="1"/>
          <w:iCs w:val="1"/>
          <w:color w:val="auto"/>
        </w:rPr>
        <w:t>Three Months Ended September 30, 2015 Compared to Three Months Ended September 30, 2014 Revenues.</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1"/>
              </w:rPr>
              <w:t>Three months ended September 30,</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2014</w:t>
            </w:r>
          </w:p>
        </w:tc>
        <w:tc>
          <w:tcPr>
            <w:tcW w:w="560" w:type="dxa"/>
            <w:vAlign w:val="bottom"/>
          </w:tcPr>
          <w:p>
            <w:pPr>
              <w:spacing w:after="0"/>
              <w:rPr>
                <w:sz w:val="12"/>
                <w:szCs w:val="12"/>
                <w:color w:val="auto"/>
              </w:rPr>
            </w:pPr>
          </w:p>
        </w:tc>
        <w:tc>
          <w:tcPr>
            <w:tcW w:w="10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Operations Management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114.0</w:t>
            </w: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91.2</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$ 22.8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Analytics and Business Transformation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31.3</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18.2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122.5</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$ 41.0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Revenue growth in Operations Management services of $22.8 million includes revenues of $17.3 million from our Overland Holdings, Inc. (“Overland”) acquisition and $7.7 million of net volume increases from our new and existing clients, offset by $2.2 million due to the impact of depreciation of the Indian rupee and the U.K. pound sterling against the U.S. dollar during the three months ended September 30, 2015 compared to the three months ended September 30, 2014.</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Revenue growth in Analytics and Business Transformation services of $18.2 million was driven by increased revenues in our analytics services of $17.8 million (including $11.6 million from our RPM acquisition) and business transformation services of $1.0 million due to increased business from existing clients as well as new client wins. The increase was partially offset by $0.6 million due to the depreciation of the U.K. pound sterling against the U.S. dollar during the three months ended September 30, 2015 compared to the three months ended September 30, 2014.</w:t>
      </w:r>
    </w:p>
    <w:p>
      <w:pPr>
        <w:spacing w:after="0" w:line="17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Revenues from new clients for Analytics and Business Transformation services were $0.3 million and $0.2 million during the three months ended September 30,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2"/>
              </w:rPr>
              <w:t>Three months ended September 30,</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122.5</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$ 41.0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 of revenues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103.2</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5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increase in cost of revenues was primarily due to an increase in employee-related costs of $13.9 million (including $12.8 million of employee-related costs related to our recent acquisitions). The increase of $1.1 million in employee-related cost is primarily due to annual wage increases and an increase in our average headcount of personnel directly involved in providing services to our clients. We also experienced an increase in facilities, technology and other operating expenses of $8.7 million, primarily related to our recent acquisitions. This increase is partially offset by a decrease in reimbursable expenses of $0.5 million, which resulted in a corresponding decrease in revenues and a decrease of $3.9 million due to the impact of depreciation of the Indian rupee, the U.K pound sterling and the Philippine peso against the U.S. dollar during the three months ended September 30, 2015 compared to the three months ended September 30, 2014.</w:t>
      </w:r>
    </w:p>
    <w:p>
      <w:pPr>
        <w:spacing w:after="0" w:line="18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by $22.8 million, or 60.9% from $37.5 million for the three months ended September 30, 2014 to $60.3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2015. The increase is primarily due to higher revenues and depreciation of the Indian Rupee and the U.K. pound sterling against the U.S. dollar during the three months ended September 30, 2015 compared to the three months ended September 30, 2014.</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w w:val="98"/>
              </w:rPr>
              <w:t>(dollars in millions)</w:t>
            </w:r>
          </w:p>
        </w:tc>
        <w:tc>
          <w:tcPr>
            <w:tcW w:w="6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6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60"/>
              <w:spacing w:after="0"/>
              <w:rPr>
                <w:sz w:val="20"/>
                <w:szCs w:val="20"/>
                <w:color w:val="auto"/>
              </w:rPr>
            </w:pPr>
            <w:r>
              <w:rPr>
                <w:rFonts w:ascii="Arial" w:cs="Arial" w:eastAsia="Arial" w:hAnsi="Arial"/>
                <w:sz w:val="18"/>
                <w:szCs w:val="18"/>
                <w:color w:val="auto"/>
              </w:rPr>
              <w:t>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increase in SG&amp;A expenses was primarily due to an increase in employee-related costs of $5.1 million (including $4.2 million of employee-related costs related to our recent acquisitions). The increase of $0.9 million in employee-related cost is primarily due to annual wage increments and an increase in our average headcount to support the increased business volumes. We also experienced an increase in our other SG&amp;A expenses of $2.0 million (including $1.0 million related to our recent acquisitions), primarily due to an increase in our facility, legal and professional fees, travel and other marketing related costs. This increase was partially offset by a decrease of $0.7 million due to the impact of depreciation of the Indian rupee, the U.K. pound sterling and the Philippine peso against the U.S. dollar during the three months ended September 30, 2015 compared to the three months ended September 30, 2014.</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20" w:type="dxa"/>
            <w:vAlign w:val="bottom"/>
            <w:tcBorders>
              <w:bottom w:val="single" w:sz="8" w:color="auto"/>
            </w:tcBorders>
            <w:gridSpan w:val="5"/>
          </w:tcPr>
          <w:p>
            <w:pPr>
              <w:jc w:val="center"/>
              <w:ind w:left="148"/>
              <w:spacing w:after="0"/>
              <w:rPr>
                <w:sz w:val="20"/>
                <w:szCs w:val="20"/>
                <w:color w:val="auto"/>
              </w:rPr>
            </w:pPr>
            <w:r>
              <w:rPr>
                <w:rFonts w:ascii="Arial" w:cs="Arial" w:eastAsia="Arial" w:hAnsi="Arial"/>
                <w:sz w:val="14"/>
                <w:szCs w:val="14"/>
                <w:b w:val="1"/>
                <w:bCs w:val="1"/>
                <w:color w:val="auto"/>
                <w:w w:val="91"/>
              </w:rPr>
              <w:t>Three months ended September 30,</w:t>
            </w:r>
          </w:p>
        </w:tc>
        <w:tc>
          <w:tcPr>
            <w:tcW w:w="2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Depreciation and amortization expense increased $1.0 million, or 14.9% from $7.0 million for the three months ended September 30, 2014 to $8.0 million for the three months ended September 30, 2015. The increase in depreciation and amortization expense was primarily due to amortization of intangible assets associated with our recent acquisitions.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$15.4 million or 284.9% from $5.4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to $20.8 million for the three months ended September 30, 2015. As a percentage of revenues, income from operations increased from 4.4% for the three months ended September 30, 2014 to 12.7% for the three months ended September 30, 2015, which is primarily due to higher gross margins and lower SG&amp;A expense and depreciation and amortization expenses as a percentage of revenues during the three months ended September 30, 2015 compared to the three months ended September 30,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 (Loss)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Net foreign exchange gains and losses are attributable to movement of the U.S. dollar against the Indian rupee, the U.K. pound sterling and the Philippine peso during the three months ended September 30, 2015. The average exchange rate of the Indian rupee against the U.S. dollar increased from 60.94 during the three months ended September 30, 2014 to 65.39 during the three months ended September 30, 2015. We recorded a net foreign exchange gain of $0.2 million for the three months ended September 30, 2015 compared to $0.6 million for the three months ended September 30, 2014.</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2"/>
              </w:rPr>
              <w:t>Three months ended 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Other income/(expense)</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0.7</w:t>
            </w:r>
          </w:p>
        </w:tc>
        <w:tc>
          <w:tcPr>
            <w:tcW w:w="6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Increase in interest and dividend income was primarily due to higher yield on investments during the three months ended September 30, 2015 compared to the three months ended September 30, 2014. This increase in interest and dividend income was partially offset by an increase in interest expense of $0.3 million related to the Credit Facility and the amortization of the related deferred financing cost.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from $1.0 million during the three months ended September 30, 2014 to $7.6 million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2015. The effective tax rate increased from 14.2% during the three months ended September 30, 2014 to 33.3% during the three months ended September 30, 2015. The effective tax rate increased primarily due to higher income in the U.S. due to the reimbursement of disentanglement costs to Travelers during the three months ended September 30, 2014 and due to expiration of a tax holiday in some of our operating centers in India. Further, the effective tax rate increased due to a tax expense related to the taxability of certain foreign income in prior years during the three months ended September 30, 2015. (Refer to Note 13 to the unaudited consolidated financial statements for further details).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$6.1 million for the three months ended September 30, 2014 to $15.2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2015, primarily due to an increase in income from operations of $15.4 million and in other income and foreign exchange gain of $0.3 million, partially offset by higher income tax expense of $6.6 million. As a percentage of revenues, net income increased from 5.0% for the three months ended September 30, 2014 to 9.2% for the three months ended September 30, 2015.</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300"/>
        <w:spacing w:after="0" w:line="402" w:lineRule="auto"/>
        <w:rPr>
          <w:sz w:val="20"/>
          <w:szCs w:val="20"/>
          <w:color w:val="auto"/>
        </w:rPr>
      </w:pPr>
      <w:r>
        <w:rPr>
          <w:rFonts w:ascii="Arial" w:cs="Arial" w:eastAsia="Arial" w:hAnsi="Arial"/>
          <w:sz w:val="18"/>
          <w:szCs w:val="18"/>
          <w:b w:val="1"/>
          <w:bCs w:val="1"/>
          <w:i w:val="1"/>
          <w:iCs w:val="1"/>
          <w:color w:val="auto"/>
        </w:rPr>
        <w:t>Nine Months Ended September 30, 2015 Compared to Nine Months Ended September 30, 2014 Revenues.</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2"/>
              </w:rPr>
              <w:t>Nine months ended September 30,</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2014</w:t>
            </w:r>
          </w:p>
        </w:tc>
        <w:tc>
          <w:tcPr>
            <w:tcW w:w="560" w:type="dxa"/>
            <w:vAlign w:val="bottom"/>
          </w:tcPr>
          <w:p>
            <w:pPr>
              <w:spacing w:after="0"/>
              <w:rPr>
                <w:sz w:val="12"/>
                <w:szCs w:val="12"/>
                <w:color w:val="auto"/>
              </w:rPr>
            </w:pPr>
          </w:p>
        </w:tc>
        <w:tc>
          <w:tcPr>
            <w:tcW w:w="10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Operations Management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285.6</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$ 51.6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Analytics and Business Transformation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125.4</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78.4</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47.0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364.0</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$ 98.6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 growth in Operations Management services of $51.6 million was driven by net volume increases from our new and existing clients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$16.9 million and revenues of $51.6 million from our Overland acquisition, offset by a decrease in revenues from Travelers of $12.5 million (net of $17.8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reimbursement of disentanglement costs) and $4.4 million due to the impact of the depreciation of the Indian rupee and the U.K. pound sterling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against the U.S. dollar during the nine months ended September 30, 2015 compared to the nine months ended September 30, 2014.</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growth in Analytics and Business Transformation services of $47.0 million was driven by increased revenues in our analytics services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$40.2 million (including $23.1 million from our RPM acquisition) and business transformation services of $8.8 million (including $4.8 million from our Blue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Slate acquisition) due to increased business from existing clients as well as new client wins. The increase was partially offset by $2.0 million due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depreciation of the U.K. pound sterling against the U.S. dollar during the nine months ended September 30, 2015 compared to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Revenues from new clients for business transformation services were $2.0 million and $4.2 million during the nine months ended September 30,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96"/>
              </w:rPr>
              <w:t>2014</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462.6</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364.0</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$ 98.6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Cost of revenues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296.8</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55.6</w:t>
            </w:r>
          </w:p>
        </w:tc>
        <w:tc>
          <w:tcPr>
            <w:tcW w:w="5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122.8</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$ 43.0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increase in cost of revenues was primarily due to an increase in employee-related costs of $45.2 million (including $39.4 million of employee-related costs related to our recent acquisitions). The increase of $5.8 million in employee-related cost is primarily due to annual wage increases of personnel directly involved in providing services to our clients. We also experienced an increase in facilities, technology and other operating expenses of $19.0 million, primarily related to our recent acquisitions. This increase was partially offset by a decrease in reimbursable expenses of $0.7 million, resulting in a corresponding decrease in revenues and a decrease of $7.8 million due to the impact of depreciation of the Indian rupee, the U.K pound sterling and the Philippine peso against the U.S. dollar during the nine months ended September 30, 2015 compared to the nine months ended September 30, 2014.</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by $43.0 million, or 35.0% from $122.8 million for the nine months ended September 30, 2014 to $165.8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September 30, 2015. The increase is primarily due to higher revenues and depreciation of the Indian Rupee, the Philippine Peso and the U.K. pound sterling against the U.S. dollar. This increase was partially offset by higher cost of revenues during the nine months ended September 30, 2015 compared to the nine months ended September 30, 2014.</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91"/>
              </w:rPr>
              <w:t>Nine months ended September 30,</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2"/>
                <w:szCs w:val="12"/>
                <w:color w:val="auto"/>
              </w:rPr>
            </w:pPr>
          </w:p>
        </w:tc>
        <w:tc>
          <w:tcPr>
            <w:tcW w:w="108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5"/>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jc w:val="center"/>
              <w:ind w:left="398"/>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6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47.0</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$ 10.4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6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85"/>
              </w:rPr>
              <w:t>35.7</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85"/>
              </w:rPr>
              <w:t>28.8</w:t>
            </w:r>
          </w:p>
        </w:tc>
        <w:tc>
          <w:tcPr>
            <w:tcW w:w="7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5"/>
              </w:rPr>
              <w:t>93.1</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5"/>
              </w:rPr>
              <w:t>75.8</w:t>
            </w:r>
          </w:p>
        </w:tc>
        <w:tc>
          <w:tcPr>
            <w:tcW w:w="7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$ 17.3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20.8%</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The increase in SG&amp;A expenses was primarily due to an increase in employee-related costs of $13.3 million (including $10.5 million of employee-related costs related to our recent acquisitions). The increase of $2.8 million in employee-related cost is primarily due to annual wage increments and an increase in our average headcount to support the increased business volumes. We also experienced an increase in our other SG&amp;A expenses of $5.6 million (including $3.4 million related to our recent acquisitions). The increase in other SG&amp;A was primarily due to an increase in our facilities costs in connection with our new operations centers in India and the Philippines and other travel and marketing related costs. This increase was partially offset by a decrease of $1.6 million due to the impact of depreciation of the Indian rupee, the U.K. pound sterling and the Philippine peso against the U.S. dollar during the nine months ended September 30, 2015 compared to the nine months ended September 30, 2014.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3"/>
              </w:rPr>
              <w:t>Nine months ended September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3.0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6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Depreciation and amortization expense increased $3.2 million, or 15.6% from $20.0 million for the nine months ended September 30, 2014 to $23.2 million for the nine months ended September 30, 2015. The increase in depreciation and amortization expense was primarily due to amortization of intangible assets associated with our recent acquisitions.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$22.5 million or 83.4% from $27.0 million for the nine months ended September 30,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$49.5 million for the nine months ended September 30, 2015. As a percentage of revenues, income from operations increased from 7.4% for the nine months ended September 30, 2014 to 10.7% for the nine months ended September 30, 2015, which is primarily due to higher gross margins, lower SG&amp;A expense and depreciation and amortization expenses as a percentage of revenues during the nine months ended September 30, 2015 compared to nine months ended September 30,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 Loss)</w:t>
      </w:r>
    </w:p>
    <w:p>
      <w:pPr>
        <w:spacing w:after="0" w:line="117"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Net foreign exchange gains and losses are attributable to movement of the U.S. dollar against the Indian rupee, the U.K. pound sterling and the Philippine peso during the nine months ended September 30, 2015. The average exchange rate of the Indian rupee against the U.S. dollar increased from 60.76 during the nine months ended September 30, 2014 to 63.68 during the nine months ended September 30, 2015. We recorded a net foreign exchange gain of $2.3 million for the nine months ended September 30, 2015 compared to a net foreign exchange loss of $0.3 million for the nine months ended September 30, 2014.</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w w:val="93"/>
              </w:rPr>
              <w:t>Nine months ended September 30,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96"/>
              </w:rPr>
              <w:t>2014</w:t>
            </w:r>
          </w:p>
        </w:tc>
        <w:tc>
          <w:tcPr>
            <w:tcW w:w="72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Other income/(expense)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7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7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Increase in interest and dividend income was primarily due to higher yield on investments during the nine months ended September 30, 2015 compared to the nine months ended September 30, 2014. This increase in interest and dividend income was partially offset by an increase in interest expense of $0.9 million related to the Credit Facility and the amortization of related deferred financing cost.</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Income tax expense increased from $4.5 million during the nine months ended September 30, 2014 to $19.3 million during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2015. The effective tax rate increased from 15.3% during the nine months ended September 30, 2014 to 34.4 % during the nine months ended September 30, 2015. The increase in the effective tax rate was primarily due to immaterial errors related to prior years (individually as well as when aggregated) which were recorded during the nine months ended September 30, 2015, and resulted in an increase in income tax expense of $2.4 million (including $1.9 million related to the taxability of certain foreign income in those prior years for which we recorded a reserve for an unrecognized tax benefit). The effective tax rate further increased due to reversal of an unrecognized tax benefit of $2.2 million and lower income in the U.S. due to reimbursement of disentanglement costs to Travelers during the nine months ended September 30, 2014 and expiration of tax holiday in some of our operating centers in India and the Philippines during the nine months ended September 30, 2015 (refer to Note 13 to the unaudited consolidated financial statements for further details).</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$25.0 million for the nine months ended September 30, 2014 to $36.8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2015, primarily due to an increase in income from operations of $22.5 million and an increase in other income and foreign exchange gain of $4.1 million, partially offset by higher income tax expense of $14.8 million. As a percentage of revenues, net income increased from 6.9% for the nine months ended September 30, 2014 to 8.0% for the nine months ended September 30,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7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7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Opening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(145.9)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Closing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September 30, 2015 and December 31, 2014, we had $183.8 million and $188.1 million, respectively in cash and cash equivalents and short-term investments (including $121.2 million and $110.5 million, respectively held by our foreign subsidiaries). We do not intend to repatriate our overseas funds since our future growth partially depends upon continued infrastructure and technology investments, geographical expansions and acquisitions outside of the U.S. Therefore, we need to continuously and permanently reinvest the earnings generated outside of the U.S. If we were to repatriate our overseas funds, we would accrue and pay applicable taxes.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increased from $44.3 million for the nine months ended September 30, 2014 to $54.6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2015. Generally, factors that affect our earnings – including pricing, volume of services, costs and productivity – 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increase in cash flows provided by operations for the nine months ended September 30, 2015 was predominantly due to an increase in net income adjusted for non-cash expenses of $16.0 million during the nine months ended September 30, 2015 compared to the nine months ended September 30, 2014. This increase was partially offset by an increase in working capital of $15.8 million during the nine months ended September 30, 2015 compared to an increase of $10.5 million during the nine months ended September 30, 2014.</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increased from $30.6 million for the nine months ended September 30, 2014 to $145.9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2015. The increase was primarily due to cash paid for the RPM acquisition (net of cash acquired) of $44.3 million, net increase in short term investments of $80.5 million (carried at fair value $79.2 million), partially offset by decrease in capital expenditure of $2.6 million during the nine months ended September 30, 2015 compared to the nine months ended September 30, 2014 and cash paid for Blue Slate acquisition of $6.2 million in the nine months ended September 30, 2015.</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provided by financing activities increased from $0.8 million for the nine months ended September 30, 2014 to</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$9.5 million for the nine months ended September 30, 2015. The increase was primarily due to $20 million of net borrowings under the Credit Agreement (as described below in “– Financing Arrangements”), partially offset by an increase in cash paid for shares repurchases of $9.7 million during the nine months ended September 30, 2015.</w:t>
      </w:r>
    </w:p>
    <w:p>
      <w:pPr>
        <w:spacing w:after="0" w:line="19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$21.1 million of capital expenditures in the nine months ended September 30, 2015. We expect to incur capital expenditures of between $2 million to $5 million in the remainder of 2015,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7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(refer to Note 16 to our unaudited consolidated financial statements for further details).</w:t>
      </w:r>
    </w:p>
    <w:p>
      <w:pPr>
        <w:spacing w:after="0" w:line="12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and certain of our subsidiaries entered into the Credit Agreement, which became effective as of October 27, 2014. The Credit Agreement provides for a $50 million revolving credit facility and an option to increase the commitments under the Credit Agreement by an additional $50 million, subject to certain approvals and conditions as set forth in the Credit Agreement. We exercised the option under the Credit Agreement on February 23, 2015 and increased our credit facility to $100 million. As of September 30, 2015, we had a total debt of $70.0 million under the Credit Agreement. Borrowings under the Credit Agreement may be used for working capital and general corporate purposes of the Company and its subsidiaries and for acquisitions.</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our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our leverage ratio, and ranges from 0.20% to 0.30% per annum on the average daily amount by which the aggregate revolving commitments exceed the sum of outstanding revolving loans and letter of credit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2015 and December 31, 2014, we had no off-balance sheet arrangements or obligations.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51"/>
              <w:spacing w:after="0"/>
              <w:rPr>
                <w:sz w:val="20"/>
                <w:szCs w:val="20"/>
                <w:color w:val="auto"/>
              </w:rPr>
            </w:pPr>
            <w:r>
              <w:rPr>
                <w:rFonts w:ascii="Arial" w:cs="Arial" w:eastAsia="Arial" w:hAnsi="Arial"/>
                <w:sz w:val="14"/>
                <w:szCs w:val="14"/>
                <w:b w:val="1"/>
                <w:bCs w:val="1"/>
                <w:color w:val="auto"/>
              </w:rPr>
              <w:t>Payment Due by Period</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rPr>
              <w:t>1-3</w:t>
            </w:r>
          </w:p>
        </w:tc>
        <w:tc>
          <w:tcPr>
            <w:tcW w:w="20" w:type="dxa"/>
            <w:vAlign w:val="bottom"/>
          </w:tcPr>
          <w:p>
            <w:pPr>
              <w:spacing w:after="0"/>
              <w:rPr>
                <w:sz w:val="10"/>
                <w:szCs w:val="10"/>
                <w:color w:val="auto"/>
              </w:rPr>
            </w:pPr>
          </w:p>
        </w:tc>
        <w:tc>
          <w:tcPr>
            <w:tcW w:w="860" w:type="dxa"/>
            <w:vAlign w:val="bottom"/>
            <w:gridSpan w:val="2"/>
          </w:tcPr>
          <w:p>
            <w:pPr>
              <w:jc w:val="right"/>
              <w:ind w:right="36"/>
              <w:spacing w:after="0" w:line="119" w:lineRule="exact"/>
              <w:rPr>
                <w:sz w:val="20"/>
                <w:szCs w:val="20"/>
                <w:color w:val="auto"/>
              </w:rPr>
            </w:pPr>
            <w:r>
              <w:rPr>
                <w:rFonts w:ascii="Arial" w:cs="Arial" w:eastAsia="Arial" w:hAnsi="Arial"/>
                <w:sz w:val="13"/>
                <w:szCs w:val="13"/>
                <w:b w:val="1"/>
                <w:bCs w:val="1"/>
                <w:color w:val="auto"/>
              </w:rPr>
              <w:t>4-5</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years</w:t>
            </w:r>
          </w:p>
        </w:tc>
        <w:tc>
          <w:tcPr>
            <w:tcW w:w="44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years</w:t>
            </w:r>
          </w:p>
        </w:tc>
        <w:tc>
          <w:tcPr>
            <w:tcW w:w="40" w:type="dxa"/>
            <w:vAlign w:val="bottom"/>
          </w:tcPr>
          <w:p>
            <w:pPr>
              <w:spacing w:after="0"/>
              <w:rPr>
                <w:sz w:val="14"/>
                <w:szCs w:val="14"/>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6"/>
              </w:rPr>
              <w:t>5 years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Fair value of earn-out consideration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5"/>
                <w:szCs w:val="15"/>
                <w:color w:val="auto"/>
              </w:rPr>
              <w:t>(a)</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Principal payments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Interest Payments</w:t>
            </w:r>
            <w:r>
              <w:rPr>
                <w:rFonts w:ascii="Arial" w:cs="Arial" w:eastAsia="Arial" w:hAnsi="Arial"/>
                <w:sz w:val="15"/>
                <w:szCs w:val="15"/>
                <w:color w:val="auto"/>
              </w:rPr>
              <w:t>(b)</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(c)</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18.3</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116.2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estimated payments under the Gratuity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on borrowings is calculated based on the effective interest rate during the nine months ended September 30, 2015.</w:t>
      </w:r>
    </w:p>
    <w:p>
      <w:pPr>
        <w:spacing w:after="0" w:line="9"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$4.5 million related to uncertain tax positions, since the extent of the amount and timing of payment is currently not reliably estimable or determinable.</w:t>
      </w:r>
    </w:p>
    <w:p>
      <w:pPr>
        <w:spacing w:after="0" w:line="18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 Philippines meet certain performance and investment criteria. We believe that these centers have in the past satisfied and will continue to satisfy the required criteria.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a description of recent accounting pronouncements, see Note 2 – “Recent Accounting Pronouncements” under Item 1 –“Financial Statements” to our unaudited consolidated financial statements contained herein.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the nine months ended September 30, 2015,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2014.</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2015. Based upon that evaluation, the CEO and CFO have concluded that, as of September 30, 2015, our disclosure controls and procedures were effective.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During the three months ended September 30, 2015,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making its assessment of the changes in internal control over financial reporting during the three months ended September 30, 2015, our management excluded an evaluation of the disclosure controls and procedures of RPM which we acquired on March 20, 2015. See Note 5 to our unaudited consolidated financial statements contained herein for details of our acquisitions.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16 to our unaudited consolidated financial statements contained herein for details regarding our tax proceedings.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year ended December 31, 2014 a number of risks which may materially affect our business, financial condition or results of operations. You should carefully consider the “Risk Factors” set forth in our Annual Report on Form 10-K for the year ended December 31, 2014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September 30, 2015, purchases of common stock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7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as Part of</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Price</w:t>
            </w:r>
          </w:p>
        </w:tc>
        <w:tc>
          <w:tcPr>
            <w:tcW w:w="17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Publicly</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500" w:type="dxa"/>
            <w:vAlign w:val="bottom"/>
            <w:vMerge w:val="restart"/>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Paid per</w:t>
            </w:r>
          </w:p>
        </w:tc>
        <w:tc>
          <w:tcPr>
            <w:tcW w:w="17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5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w:t>
            </w:r>
          </w:p>
        </w:tc>
        <w:tc>
          <w:tcPr>
            <w:tcW w:w="6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 through July 31, 2015</w:t>
            </w:r>
          </w:p>
        </w:tc>
        <w:tc>
          <w:tcPr>
            <w:tcW w:w="10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3"/>
              </w:rPr>
              <w:t>77,586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$ 36.28</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Aug 1, 2015 through Aug 31, 2015</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72,985</w:t>
            </w:r>
          </w:p>
        </w:tc>
        <w:tc>
          <w:tcPr>
            <w:tcW w:w="1440" w:type="dxa"/>
            <w:vAlign w:val="bottom"/>
            <w:gridSpan w:val="3"/>
          </w:tcPr>
          <w:p>
            <w:pPr>
              <w:jc w:val="right"/>
              <w:ind w:right="620"/>
              <w:spacing w:after="0"/>
              <w:rPr>
                <w:sz w:val="20"/>
                <w:szCs w:val="20"/>
                <w:color w:val="auto"/>
              </w:rPr>
            </w:pPr>
            <w:r>
              <w:rPr>
                <w:rFonts w:ascii="Arial" w:cs="Arial" w:eastAsia="Arial" w:hAnsi="Arial"/>
                <w:sz w:val="18"/>
                <w:szCs w:val="18"/>
                <w:color w:val="auto"/>
              </w:rPr>
              <w:t>36.99</w:t>
            </w: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72,985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9,800,240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 1, 2015 through Sep 30, 2015</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70,008</w:t>
            </w: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37.62</w:t>
            </w: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70,008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220,579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$ 36.94</w:t>
            </w:r>
          </w:p>
        </w:tc>
        <w:tc>
          <w:tcPr>
            <w:tcW w:w="6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220,579</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Pr>
          <w:p>
            <w:pPr>
              <w:jc w:val="right"/>
              <w:ind w:right="517"/>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10500" w:type="dxa"/>
            <w:vAlign w:val="bottom"/>
          </w:tcPr>
          <w:p>
            <w:pPr>
              <w:ind w:left="240"/>
              <w:spacing w:after="0"/>
              <w:rPr>
                <w:sz w:val="20"/>
                <w:szCs w:val="20"/>
                <w:color w:val="auto"/>
              </w:rPr>
            </w:pPr>
            <w:r>
              <w:rPr>
                <w:rFonts w:ascii="Arial" w:cs="Arial" w:eastAsia="Arial" w:hAnsi="Arial"/>
                <w:sz w:val="18"/>
                <w:szCs w:val="18"/>
                <w:color w:val="auto"/>
                <w:w w:val="95"/>
              </w:rPr>
              <w:t>Amended and Restated Certificate of Incorporation of the Company (incorporated by reference to Exhibit 3.1 of the Company’s Current</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Report on Form 8-K filed on October 25, 2006).</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Third Amended and Restated By-laws of the Company (incorporated by reference to Exhibit 3.1 of the Company’s Current Report on Form 8-</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K filed on May 2, 2011).</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0500" w:type="dxa"/>
            <w:vAlign w:val="bottom"/>
          </w:tcPr>
          <w:p>
            <w:pPr>
              <w:ind w:left="240"/>
              <w:spacing w:after="0"/>
              <w:rPr>
                <w:sz w:val="20"/>
                <w:szCs w:val="20"/>
                <w:color w:val="auto"/>
              </w:rPr>
            </w:pPr>
            <w:r>
              <w:rPr>
                <w:rFonts w:ascii="Arial" w:cs="Arial" w:eastAsia="Arial" w:hAnsi="Arial"/>
                <w:sz w:val="18"/>
                <w:szCs w:val="18"/>
                <w:color w:val="auto"/>
                <w:w w:val="94"/>
              </w:rPr>
              <w:t>Second Amendment to Credit Agreement, dated as of September 28, 2015, by and among the Company, the Loan Guarantors identified</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therein, JPMorgan Chase Bank, N.A., in its capacity as administrative agent, and the Lenders identified therein.</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10500" w:type="dxa"/>
            <w:vAlign w:val="bottom"/>
          </w:tcPr>
          <w:p>
            <w:pPr>
              <w:ind w:left="240"/>
              <w:spacing w:after="0"/>
              <w:rPr>
                <w:sz w:val="20"/>
                <w:szCs w:val="20"/>
                <w:color w:val="auto"/>
              </w:rPr>
            </w:pPr>
            <w:r>
              <w:rPr>
                <w:rFonts w:ascii="Arial" w:cs="Arial" w:eastAsia="Arial" w:hAnsi="Arial"/>
                <w:sz w:val="18"/>
                <w:szCs w:val="18"/>
                <w:color w:val="auto"/>
                <w:w w:val="94"/>
              </w:rPr>
              <w:t>Certification of the Chief Executive Officer of ExlService Holdings, pursuant to Rule 13a-14 of the Exchange Act, as adopted pursuant to</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10500" w:type="dxa"/>
            <w:vAlign w:val="bottom"/>
          </w:tcPr>
          <w:p>
            <w:pPr>
              <w:ind w:left="240"/>
              <w:spacing w:after="0"/>
              <w:rPr>
                <w:sz w:val="20"/>
                <w:szCs w:val="20"/>
                <w:color w:val="auto"/>
              </w:rPr>
            </w:pPr>
            <w:r>
              <w:rPr>
                <w:rFonts w:ascii="Arial" w:cs="Arial" w:eastAsia="Arial" w:hAnsi="Arial"/>
                <w:sz w:val="18"/>
                <w:szCs w:val="18"/>
                <w:color w:val="auto"/>
                <w:w w:val="95"/>
              </w:rPr>
              <w:t>Certification of the Chief Financial Officer of ExlService Holdings, pursuant to Rule 13a-14 of the Exchange Act, as adopted pursuant to</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Certification of the Chief Executive Officer pursuant to Rule 13a-14(b) of the Exchange Act and 18 U.S.C. Section 1350, as adopted pursuant</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to Section 906 of the Sarbanes-Oxley Act of 2002.</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32.2</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r>
      <w:tr>
        <w:trPr>
          <w:trHeight w:val="365"/>
        </w:trPr>
        <w:tc>
          <w:tcPr>
            <w:tcW w:w="9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8"/>
          <w:szCs w:val="18"/>
          <w:color w:val="auto"/>
        </w:rPr>
        <w:t>By:  /s/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(Duly Authorized Signatory, Principal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00"/>
          </w:cols>
          <w:pgMar w:left="240" w:top="459" w:right="8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CREDIT AGREEMENT</w:t>
      </w:r>
    </w:p>
    <w:p>
      <w:pPr>
        <w:spacing w:after="0" w:line="229"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THIS SECOND AMENDMENT TO CREDIT AGREEMENT, dated as of September 28th, 2015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by and among ExlService Holdings,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Loan Guarantors identified on the signature pages hereto, JPMorgan Chase Bank, N.A., in its capacity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Lenders identified on the signature pages hereto.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WHEREAS, reference is made to that certain Credit Agreement, dated as of October 24, 2014, by and among the Borrower, certain of the Loan Guarantors, the Administrative Agent and certain of the Lenders (as amended, restated,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WHEREAS, on or about February 23, 2015 the Borrower, certain of the Loan Guarantors, the Administrative Agent and the Lenders entered into that certain First Amendment to Credit Agreement and Incremental Facility Agreement (the “</w:t>
      </w:r>
      <w:r>
        <w:rPr>
          <w:rFonts w:ascii="Arial" w:cs="Arial" w:eastAsia="Arial" w:hAnsi="Arial"/>
          <w:sz w:val="18"/>
          <w:szCs w:val="18"/>
          <w:u w:val="single" w:color="auto"/>
          <w:color w:val="auto"/>
        </w:rPr>
        <w:t>First Amendment</w:t>
      </w:r>
      <w:r>
        <w:rPr>
          <w:rFonts w:ascii="Arial" w:cs="Arial" w:eastAsia="Arial" w:hAnsi="Arial"/>
          <w:sz w:val="18"/>
          <w:szCs w:val="18"/>
          <w:color w:val="auto"/>
        </w:rPr>
        <w: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WHEREAS, pursuant to the First Amendment, Bank of America, N.A. became a Lender and an Issuing Bank under the Credit Agreement and, with the other Lenders, agreed to an aggregate increase in the Commitments under the Credit Agreement in the amount of $50,000,000, thereby increasing the amount of the total Commitments under the Credit Agreement to $100,000,000;</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WHEREAS, pursuant to that certain Joinder Agreement dated as of May 8, 2015 (the “Joinder Agreement”) by and among the Administrative Agent and the New Subsidiaries (as defined in the Joinder Agreement), RPM Direct LLC, a New Jersey limited liability company, RPM Data Solutions, LLC, a New Jersey limited liability company, JCG New Media, LLC, a Pennsylvania limited liability company, were joined to the Credit Agreement as Loan Guarantors; and</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WHEREAS, the parties hereto desire to amend certain terms of the Credit Agreement as hereinafter provided and the Administrative Agent and the Lenders are willing to make such modifications, subject to the terms and conditions of this Amendment;</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NOW, THEREFORE, the parties hereto, in consideration of their mutual covenants and agreements hereinafter set forth and intending to be legally bound hereby, covenant and agree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Definitions</w:t>
      </w:r>
      <w:r>
        <w:rPr>
          <w:rFonts w:ascii="Arial" w:cs="Arial" w:eastAsia="Arial" w:hAnsi="Arial"/>
          <w:sz w:val="16"/>
          <w:szCs w:val="16"/>
          <w:color w:val="auto"/>
        </w:rPr>
        <w:t>. Defined terms used herein unless otherwise defined herein shall have the respective meanings ascribed to them in the Credit Agreement.</w:t>
      </w:r>
    </w:p>
    <w:p>
      <w:pPr>
        <w:sectPr>
          <w:pgSz w:w="11900" w:h="16838" w:orient="portrait"/>
          <w:cols w:equalWidth="0" w:num="1">
            <w:col w:w="11420"/>
          </w:cols>
          <w:pgMar w:left="240" w:top="121" w:right="239" w:bottom="1440" w:gutter="0" w:footer="0" w:header="0"/>
        </w:sectPr>
      </w:pPr>
    </w:p>
    <w:bookmarkStart w:id="41" w:name="page42"/>
    <w:bookmarkEnd w:id="41"/>
    <w:p>
      <w:pPr>
        <w:ind w:left="-20" w:right="120" w:firstLine="464"/>
        <w:spacing w:after="0" w:line="277" w:lineRule="auto"/>
        <w:tabs>
          <w:tab w:leader="none" w:pos="61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of Credit Agreement</w:t>
      </w:r>
      <w:r>
        <w:rPr>
          <w:rFonts w:ascii="Arial" w:cs="Arial" w:eastAsia="Arial" w:hAnsi="Arial"/>
          <w:sz w:val="18"/>
          <w:szCs w:val="18"/>
          <w:color w:val="auto"/>
        </w:rPr>
        <w:t>. The definition of “Change in Control” contained in Section 1.01 of the Credit Agreement is hereby amended and restated in its entirety to read as follows:</w:t>
      </w:r>
    </w:p>
    <w:p>
      <w:pPr>
        <w:spacing w:after="0" w:line="62" w:lineRule="exact"/>
        <w:rPr>
          <w:sz w:val="20"/>
          <w:szCs w:val="20"/>
          <w:color w:val="auto"/>
        </w:rPr>
      </w:pPr>
    </w:p>
    <w:p>
      <w:pPr>
        <w:ind w:left="44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40% of the aggregate ordinary voting power represented by the issued and outstanding Equity Interests of the Borrower, or (b) the occupation of a majority of the seats (other than vacant seats) on the board of directors of the Borrower by Persons who were neither (i) nominated or approved by the board of directors of the Borrower nor (ii) appointed by directors so nominated.</w:t>
      </w:r>
    </w:p>
    <w:p>
      <w:pPr>
        <w:spacing w:after="0" w:line="173" w:lineRule="exact"/>
        <w:rPr>
          <w:sz w:val="20"/>
          <w:szCs w:val="20"/>
          <w:color w:val="auto"/>
        </w:rPr>
      </w:pPr>
    </w:p>
    <w:p>
      <w:pPr>
        <w:ind w:left="-20" w:right="20" w:firstLine="464"/>
        <w:spacing w:after="0" w:line="273"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Loan Parties, by executing this Amendment, hereby certifies and confirms that as of the date hereof and after giving effect to this Amendment: (a) the execution, delivery and performance of this Amendment and any and all other documents executed and/or delivered in connection herewith have been authorized by all requisite action on the part of the Loan Parties and will not violate the certificate of formation or operating agreement of any Loan Party; (b) no Event of Default or Default under the Credit Agreement shall have occurred and be continuing or shall exist after the execution and effectiveness of this Amendment; and (c) the Credit Agreement (as amended by this Amendment) and all other Loan Documents are and remain legal, valid, binding and enforceable obligations in accordance with the terms thereof.</w:t>
      </w:r>
    </w:p>
    <w:p>
      <w:pPr>
        <w:spacing w:after="0" w:line="178" w:lineRule="exact"/>
        <w:rPr>
          <w:rFonts w:ascii="Arial" w:cs="Arial" w:eastAsia="Arial" w:hAnsi="Arial"/>
          <w:sz w:val="17"/>
          <w:szCs w:val="17"/>
          <w:color w:val="auto"/>
        </w:rPr>
      </w:pPr>
    </w:p>
    <w:p>
      <w:pPr>
        <w:ind w:left="-20" w:firstLine="464"/>
        <w:spacing w:after="0" w:line="264" w:lineRule="auto"/>
        <w:tabs>
          <w:tab w:leader="none" w:pos="61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Force and Effect</w:t>
      </w:r>
      <w:r>
        <w:rPr>
          <w:rFonts w:ascii="Arial" w:cs="Arial" w:eastAsia="Arial" w:hAnsi="Arial"/>
          <w:sz w:val="18"/>
          <w:szCs w:val="18"/>
          <w:color w:val="auto"/>
        </w:rPr>
        <w:t>. Each of the Loan Parties reconfirms, restates, and ratifies the Credit Agreement, the other Loan Documents and all other documents executed in connection therewith except to the extent any such documents are expressly modified by this Amendment and each of the Loan Parties confirms that all such documents have remained in full force and effect since the date of their execution.</w:t>
      </w:r>
    </w:p>
    <w:p>
      <w:pPr>
        <w:spacing w:after="0" w:line="181" w:lineRule="exact"/>
        <w:rPr>
          <w:rFonts w:ascii="Arial" w:cs="Arial" w:eastAsia="Arial" w:hAnsi="Arial"/>
          <w:sz w:val="18"/>
          <w:szCs w:val="18"/>
          <w:color w:val="auto"/>
        </w:rPr>
      </w:pPr>
    </w:p>
    <w:p>
      <w:pPr>
        <w:ind w:left="-20" w:right="560" w:firstLine="464"/>
        <w:spacing w:after="0" w:line="342" w:lineRule="auto"/>
        <w:tabs>
          <w:tab w:leader="none" w:pos="61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deemed to be a contract under the Laws of the State of New York and shall, pursuant to New York General Obligations Law 51401, for all purposes be governed by and construed and enforced in accordance with the laws of the State of New York.</w:t>
      </w:r>
    </w:p>
    <w:p>
      <w:pPr>
        <w:spacing w:after="0" w:line="123" w:lineRule="exact"/>
        <w:rPr>
          <w:rFonts w:ascii="Arial" w:cs="Arial" w:eastAsia="Arial" w:hAnsi="Arial"/>
          <w:sz w:val="16"/>
          <w:szCs w:val="16"/>
          <w:color w:val="auto"/>
        </w:rPr>
      </w:pPr>
    </w:p>
    <w:p>
      <w:pPr>
        <w:ind w:left="-20" w:right="180" w:firstLine="464"/>
        <w:spacing w:after="0" w:line="264" w:lineRule="auto"/>
        <w:tabs>
          <w:tab w:leader="none" w:pos="61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signed in any number of counterparts each of which shall be deemed an original, but all of which together shall constitute one and the same instrument, and delivery of executed signature pages hereof by telecopy or other electronic transmission from one party to another shall constitute effective and binding execution and delivery of this Amendment by such party.</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Amendment as Loan Document</w:t>
      </w:r>
      <w:r>
        <w:rPr>
          <w:rFonts w:ascii="Arial" w:cs="Arial" w:eastAsia="Arial" w:hAnsi="Arial"/>
          <w:sz w:val="18"/>
          <w:szCs w:val="18"/>
          <w:color w:val="auto"/>
        </w:rPr>
        <w:t>. The parties hereto acknowledge and agree that this Amendment constitutes a Loan Document.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42" w:name="page43"/>
    <w:bookmarkEnd w:id="42"/>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 a Delaware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[EXL – SECOND AMENDMENT TO CREDIT AGREEMENT]</w:t>
      </w:r>
    </w:p>
    <w:p>
      <w:pPr>
        <w:sectPr>
          <w:pgSz w:w="11900" w:h="16838" w:orient="portrait"/>
          <w:cols w:equalWidth="0" w:num="1">
            <w:col w:w="11420"/>
          </w:cols>
          <w:pgMar w:left="240" w:top="274" w:right="239" w:bottom="1440" w:gutter="0" w:footer="0" w:header="0"/>
        </w:sectPr>
      </w:pPr>
    </w:p>
    <w:bookmarkStart w:id="43" w:name="page44"/>
    <w:bookmarkEnd w:id="4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EXLSERVICE.COM, LLC</w:t>
      </w:r>
      <w:r>
        <w:rPr>
          <w:rFonts w:ascii="Arial" w:cs="Arial" w:eastAsia="Arial" w:hAnsi="Arial"/>
          <w:sz w:val="18"/>
          <w:szCs w:val="18"/>
          <w:color w:val="auto"/>
        </w:rPr>
        <w:t>, a Delaware limited liability</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14605</wp:posOffset>
            </wp:positionV>
            <wp:extent cx="25558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Rohit Kapoor</w:t>
      </w:r>
    </w:p>
    <w:p>
      <w:pPr>
        <w:spacing w:after="0" w:line="23"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BUSINESS PROCESS OUTSOURCING, L.L.C.</w:t>
      </w:r>
      <w:r>
        <w:rPr>
          <w:rFonts w:ascii="Arial" w:cs="Arial" w:eastAsia="Arial" w:hAnsi="Arial"/>
          <w:sz w:val="18"/>
          <w:szCs w:val="18"/>
          <w:color w:val="auto"/>
        </w:rPr>
        <w:t>,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Delaware limited liability company</w:t>
      </w:r>
    </w:p>
    <w:p>
      <w:pPr>
        <w:spacing w:after="0" w:line="211"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14605</wp:posOffset>
            </wp:positionV>
            <wp:extent cx="25558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Rohit Kapoor</w:t>
      </w:r>
    </w:p>
    <w:p>
      <w:pPr>
        <w:spacing w:after="0" w:line="23"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EXLSERVICE TECHNOLOGY SOLUTIONS, LLC</w:t>
      </w:r>
      <w:r>
        <w:rPr>
          <w:rFonts w:ascii="Arial" w:cs="Arial" w:eastAsia="Arial" w:hAnsi="Arial"/>
          <w:sz w:val="18"/>
          <w:szCs w:val="18"/>
          <w:color w:val="auto"/>
        </w:rPr>
        <w:t>,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Delaware limited liability company</w:t>
      </w:r>
    </w:p>
    <w:p>
      <w:pPr>
        <w:spacing w:after="0" w:line="211"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14605</wp:posOffset>
            </wp:positionV>
            <wp:extent cx="25558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Rohit Kapoor</w:t>
      </w:r>
    </w:p>
    <w:p>
      <w:pPr>
        <w:spacing w:after="0" w:line="23"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OUTSOURCE PARTNERS INTERNATIONAL, INC.</w:t>
      </w:r>
      <w:r>
        <w:rPr>
          <w:rFonts w:ascii="Arial" w:cs="Arial" w:eastAsia="Arial" w:hAnsi="Arial"/>
          <w:sz w:val="18"/>
          <w:szCs w:val="18"/>
          <w:color w:val="auto"/>
        </w:rPr>
        <w:t>,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Delaware corporation</w:t>
      </w:r>
    </w:p>
    <w:p>
      <w:pPr>
        <w:spacing w:after="0" w:line="211"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14605</wp:posOffset>
            </wp:positionV>
            <wp:extent cx="25558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Rohit Kapoor</w:t>
      </w:r>
    </w:p>
    <w:p>
      <w:pPr>
        <w:spacing w:after="0" w:line="23"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RPM DIRECT LLC</w:t>
      </w:r>
    </w:p>
    <w:p>
      <w:pPr>
        <w:spacing w:after="0" w:line="229"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14605</wp:posOffset>
            </wp:positionV>
            <wp:extent cx="25558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Rohit Kapoor</w:t>
      </w:r>
    </w:p>
    <w:p>
      <w:pPr>
        <w:spacing w:after="0" w:line="23"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[EXL – SECOND AMENDMENT TO CREDIT AGREEMENT]</w:t>
      </w:r>
    </w:p>
    <w:p>
      <w:pPr>
        <w:sectPr>
          <w:pgSz w:w="11900" w:h="16838" w:orient="portrait"/>
          <w:cols w:equalWidth="0" w:num="1">
            <w:col w:w="10220"/>
          </w:cols>
          <w:pgMar w:left="1440" w:top="270" w:right="239" w:bottom="1440" w:gutter="0" w:footer="0" w:header="0"/>
        </w:sectPr>
      </w:pPr>
    </w:p>
    <w:bookmarkStart w:id="44" w:name="page45"/>
    <w:bookmarkEnd w:id="4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RPM DATA SOLUTIONS,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JCG NEW MEDIA,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OVERLAND HOLDINGS,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OVERLAND SOLUTIONS,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INSIGHT SOLUTIONS,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[EXL – SECOND AMENDMENT TO CREDIT AGREEMENT]</w:t>
      </w:r>
    </w:p>
    <w:p>
      <w:pPr>
        <w:sectPr>
          <w:pgSz w:w="11900" w:h="16838" w:orient="portrait"/>
          <w:cols w:equalWidth="0" w:num="1">
            <w:col w:w="10220"/>
          </w:cols>
          <w:pgMar w:left="1440" w:top="270" w:right="239" w:bottom="1440" w:gutter="0" w:footer="0" w:header="0"/>
        </w:sectPr>
      </w:pPr>
    </w:p>
    <w:bookmarkStart w:id="45" w:name="page46"/>
    <w:bookmarkEnd w:id="4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w:t>
      </w:r>
      <w:r>
        <w:rPr>
          <w:rFonts w:ascii="Arial" w:cs="Arial" w:eastAsia="Arial" w:hAnsi="Arial"/>
          <w:sz w:val="18"/>
          <w:szCs w:val="18"/>
          <w:color w:val="auto"/>
        </w:rPr>
        <w:t>, individually 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as Administrative Agent and as an Issuing Bank</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J. McDonnell</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Officer</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[EXL – SECOND AMENDMENT TO CREDIT AGREEMENT]</w:t>
      </w:r>
    </w:p>
    <w:p>
      <w:pPr>
        <w:sectPr>
          <w:pgSz w:w="11900" w:h="16838" w:orient="portrait"/>
          <w:cols w:equalWidth="0" w:num="1">
            <w:col w:w="10220"/>
          </w:cols>
          <w:pgMar w:left="1440" w:top="270" w:right="239" w:bottom="1440" w:gutter="0" w:footer="0" w:header="0"/>
        </w:sectPr>
      </w:pPr>
    </w:p>
    <w:bookmarkStart w:id="46" w:name="page47"/>
    <w:bookmarkEnd w:id="4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w:t>
      </w:r>
      <w:r>
        <w:rPr>
          <w:rFonts w:ascii="Arial" w:cs="Arial" w:eastAsia="Arial" w:hAnsi="Arial"/>
          <w:sz w:val="18"/>
          <w:szCs w:val="18"/>
          <w:color w:val="auto"/>
        </w:rPr>
        <w:t>, as a Lender and an Issuing Bank</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Allen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William Allen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Citibank, N.A.</w:t>
            </w:r>
          </w:p>
        </w:tc>
      </w:tr>
    </w:tbl>
    <w:p>
      <w:pPr>
        <w:spacing w:after="0" w:line="13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[EXL – SECOND AMENDMENT TO CREDIT AGREEMENT]</w:t>
      </w:r>
    </w:p>
    <w:p>
      <w:pPr>
        <w:sectPr>
          <w:pgSz w:w="11900" w:h="16838" w:orient="portrait"/>
          <w:cols w:equalWidth="0" w:num="1">
            <w:col w:w="10220"/>
          </w:cols>
          <w:pgMar w:left="1440" w:top="270" w:right="239" w:bottom="1440" w:gutter="0" w:footer="0" w:header="0"/>
        </w:sectPr>
      </w:pPr>
    </w:p>
    <w:bookmarkStart w:id="47" w:name="page48"/>
    <w:bookmarkEnd w:id="4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r>
        <w:rPr>
          <w:rFonts w:ascii="Arial" w:cs="Arial" w:eastAsia="Arial" w:hAnsi="Arial"/>
          <w:sz w:val="18"/>
          <w:szCs w:val="18"/>
          <w:color w:val="auto"/>
        </w:rPr>
        <w:t>, as a Lender and an Issuing</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Jana L. Baker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Jana L. Baker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3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[EXL – SECOND AMENDMENT TO CREDIT AGREEMENT]</w:t>
      </w:r>
    </w:p>
    <w:p>
      <w:pPr>
        <w:sectPr>
          <w:pgSz w:w="11900" w:h="16838" w:orient="portrait"/>
          <w:cols w:equalWidth="0" w:num="1">
            <w:col w:w="10220"/>
          </w:cols>
          <w:pgMar w:left="1440" w:top="27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13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460" w:righ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460" w:right="8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 Chief Executive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1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2015,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2015,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1."/>
      <w:numFmt w:val="decimal"/>
      <w:start w:val="3"/>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3"/>
      <w:numFmt w:val="bullet"/>
      <w:start w:val="1"/>
    </w:lvl>
  </w:abstractNum>
  <w:abstractNum w:abstractNumId="16">
    <w:nsid w:val="3F2DBA31"/>
    <w:multiLevelType w:val="hybridMultilevel"/>
    <w:lvl w:ilvl="0">
      <w:lvlJc w:val="left"/>
      <w:lvlText w:val="%1."/>
      <w:numFmt w:val="decimal"/>
      <w:start w:val="4"/>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2019-12-29T15:32:26Z</dcterms:created>
  <dcterms:modified xsi:type="dcterms:W3CDTF">2019-12-29T15:32:26Z</dcterms:modified>
</cp:coreProperties>
</file>