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44043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440436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6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2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tcPr>
          <w:p>
            <w:pPr>
              <w:spacing w:after="0" w:line="181" w:lineRule="exact"/>
              <w:rPr>
                <w:rFonts w:ascii="Arial" w:cs="Arial" w:eastAsia="Arial" w:hAnsi="Arial"/>
                <w:sz w:val="16"/>
                <w:szCs w:val="16"/>
                <w:color w:val="0000EE"/>
                <w:w w:val="90"/>
              </w:rPr>
            </w:pPr>
            <w:hyperlink r:id="rId11">
              <w:r>
                <w:rPr>
                  <w:rFonts w:ascii="Arial" w:cs="Arial" w:eastAsia="Arial" w:hAnsi="Arial"/>
                  <w:sz w:val="16"/>
                  <w:szCs w:val="16"/>
                  <w:color w:val="0000EE"/>
                  <w:w w:val="90"/>
                </w:rPr>
                <w:t>Kini Narasimha</w:t>
              </w:r>
            </w:hyperlink>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0000EE"/>
            </w:tcBorders>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1000" w:type="dxa"/>
            <w:vAlign w:val="bottom"/>
          </w:tcPr>
          <w:p>
            <w:pPr>
              <w:spacing w:after="0"/>
              <w:rPr>
                <w:sz w:val="9"/>
                <w:szCs w:val="9"/>
                <w:color w:val="auto"/>
              </w:rPr>
            </w:pPr>
          </w:p>
        </w:tc>
        <w:tc>
          <w:tcPr>
            <w:tcW w:w="2500" w:type="dxa"/>
            <w:vAlign w:val="bottom"/>
            <w:gridSpan w:val="2"/>
            <w:vMerge w:val="restart"/>
          </w:tcPr>
          <w:p>
            <w:pPr>
              <w:ind w:left="1240"/>
              <w:spacing w:after="0"/>
              <w:rPr>
                <w:sz w:val="20"/>
                <w:szCs w:val="20"/>
                <w:color w:val="auto"/>
              </w:rPr>
            </w:pPr>
            <w:r>
              <w:rPr>
                <w:rFonts w:ascii="Arial" w:cs="Arial" w:eastAsia="Arial" w:hAnsi="Arial"/>
                <w:sz w:val="13"/>
                <w:szCs w:val="13"/>
                <w:color w:val="0000FF"/>
              </w:rPr>
              <w:t>10/05/2021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25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(Last)</w:t>
            </w:r>
          </w:p>
        </w:tc>
        <w:tc>
          <w:tcPr>
            <w:tcW w:w="1000" w:type="dxa"/>
            <w:vAlign w:val="bottom"/>
          </w:tcPr>
          <w:p>
            <w:pPr>
              <w:ind w:left="20"/>
              <w:spacing w:after="0"/>
              <w:rPr>
                <w:sz w:val="20"/>
                <w:szCs w:val="20"/>
                <w:color w:val="auto"/>
              </w:rPr>
            </w:pPr>
            <w:r>
              <w:rPr>
                <w:rFonts w:ascii="Arial" w:cs="Arial" w:eastAsia="Arial" w:hAnsi="Arial"/>
                <w:sz w:val="10"/>
                <w:szCs w:val="10"/>
                <w:color w:val="auto"/>
              </w:rPr>
              <w:t>(First)</w:t>
            </w:r>
          </w:p>
        </w:tc>
        <w:tc>
          <w:tcPr>
            <w:tcW w:w="2500" w:type="dxa"/>
            <w:vAlign w:val="bottom"/>
            <w:gridSpan w:val="2"/>
          </w:tcPr>
          <w:p>
            <w:pPr>
              <w:ind w:left="8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0000FF"/>
              </w:rPr>
              <w:t>EXLSERVICE HOLDINGS INC</w:t>
            </w:r>
          </w:p>
        </w:tc>
        <w:tc>
          <w:tcPr>
            <w:tcW w:w="1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3"/>
          </w:tcPr>
          <w:p>
            <w:pPr>
              <w:spacing w:after="0"/>
              <w:rPr>
                <w:sz w:val="20"/>
                <w:szCs w:val="20"/>
                <w:color w:val="auto"/>
              </w:rPr>
            </w:pPr>
            <w:r>
              <w:rPr>
                <w:rFonts w:ascii="Arial" w:cs="Arial" w:eastAsia="Arial" w:hAnsi="Arial"/>
                <w:sz w:val="13"/>
                <w:szCs w:val="13"/>
                <w:color w:val="0000FF"/>
                <w:w w:val="97"/>
              </w:rPr>
              <w:t>320 PARK AVENUE, 29TH FLOOR</w:t>
            </w: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6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0000FF"/>
              </w:rPr>
              <w:t>NEW YORK</w:t>
            </w:r>
          </w:p>
        </w:tc>
        <w:tc>
          <w:tcPr>
            <w:tcW w:w="1000" w:type="dxa"/>
            <w:vAlign w:val="bottom"/>
          </w:tcPr>
          <w:p>
            <w:pPr>
              <w:ind w:left="20"/>
              <w:spacing w:after="0"/>
              <w:rPr>
                <w:sz w:val="20"/>
                <w:szCs w:val="20"/>
                <w:color w:val="auto"/>
              </w:rPr>
            </w:pPr>
            <w:r>
              <w:rPr>
                <w:rFonts w:ascii="Arial" w:cs="Arial" w:eastAsia="Arial" w:hAnsi="Arial"/>
                <w:sz w:val="13"/>
                <w:szCs w:val="13"/>
                <w:color w:val="0000FF"/>
              </w:rPr>
              <w:t>NY</w:t>
            </w:r>
          </w:p>
        </w:tc>
        <w:tc>
          <w:tcPr>
            <w:tcW w:w="1120" w:type="dxa"/>
            <w:vAlign w:val="bottom"/>
          </w:tcPr>
          <w:p>
            <w:pPr>
              <w:ind w:left="80"/>
              <w:spacing w:after="0"/>
              <w:rPr>
                <w:sz w:val="20"/>
                <w:szCs w:val="20"/>
                <w:color w:val="auto"/>
              </w:rPr>
            </w:pPr>
            <w:r>
              <w:rPr>
                <w:rFonts w:ascii="Arial" w:cs="Arial" w:eastAsia="Arial" w:hAnsi="Arial"/>
                <w:sz w:val="13"/>
                <w:szCs w:val="13"/>
                <w:color w:val="0000FF"/>
              </w:rPr>
              <w:t>10022</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40" w:type="dxa"/>
            <w:vAlign w:val="bottom"/>
            <w:gridSpan w:val="5"/>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1240" w:type="dxa"/>
            <w:vAlign w:val="bottom"/>
            <w:tcBorders>
              <w:top w:val="single" w:sz="8" w:color="0000EE"/>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60" w:type="dxa"/>
            <w:vAlign w:val="bottom"/>
            <w:gridSpan w:val="2"/>
          </w:tcPr>
          <w:p>
            <w:pPr>
              <w:ind w:left="120"/>
              <w:spacing w:after="0" w:line="91" w:lineRule="exact"/>
              <w:rPr>
                <w:sz w:val="20"/>
                <w:szCs w:val="20"/>
                <w:color w:val="auto"/>
              </w:rPr>
            </w:pPr>
            <w:r>
              <w:rPr>
                <w:rFonts w:ascii="Arial" w:cs="Arial" w:eastAsia="Arial" w:hAnsi="Arial"/>
                <w:sz w:val="10"/>
                <w:szCs w:val="10"/>
                <w:color w:val="auto"/>
              </w:rPr>
              <w:t>Director</w:t>
            </w:r>
          </w:p>
        </w:tc>
        <w:tc>
          <w:tcPr>
            <w:tcW w:w="1180" w:type="dxa"/>
            <w:vAlign w:val="bottom"/>
          </w:tcPr>
          <w:p>
            <w:pPr>
              <w:ind w:left="40"/>
              <w:spacing w:after="0" w:line="91"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Arial" w:cs="Arial" w:eastAsia="Arial" w:hAnsi="Arial"/>
                <w:sz w:val="13"/>
                <w:szCs w:val="13"/>
                <w:color w:val="0000FF"/>
              </w:rPr>
              <w:t>X</w:t>
            </w:r>
          </w:p>
        </w:tc>
        <w:tc>
          <w:tcPr>
            <w:tcW w:w="1660" w:type="dxa"/>
            <w:vAlign w:val="bottom"/>
            <w:gridSpan w:val="2"/>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2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3"/>
            <w:vMerge w:val="restart"/>
          </w:tcPr>
          <w:p>
            <w:pPr>
              <w:ind w:left="340"/>
              <w:spacing w:after="0"/>
              <w:rPr>
                <w:sz w:val="20"/>
                <w:szCs w:val="20"/>
                <w:color w:val="auto"/>
              </w:rPr>
            </w:pPr>
            <w:r>
              <w:rPr>
                <w:rFonts w:ascii="Arial" w:cs="Arial" w:eastAsia="Arial" w:hAnsi="Arial"/>
                <w:sz w:val="13"/>
                <w:szCs w:val="13"/>
                <w:color w:val="0000FF"/>
              </w:rPr>
              <w:t>EVP, Emerging Bus Unit Leader</w:t>
            </w:r>
          </w:p>
        </w:tc>
        <w:tc>
          <w:tcPr>
            <w:tcW w:w="140" w:type="dxa"/>
            <w:vAlign w:val="bottom"/>
          </w:tcPr>
          <w:p>
            <w:pPr>
              <w:spacing w:after="0"/>
              <w:rPr>
                <w:sz w:val="14"/>
                <w:szCs w:val="14"/>
                <w:color w:val="auto"/>
              </w:rPr>
            </w:pPr>
          </w:p>
        </w:tc>
        <w:tc>
          <w:tcPr>
            <w:tcW w:w="2620" w:type="dxa"/>
            <w:vAlign w:val="bottom"/>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48"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000" w:type="dxa"/>
            <w:vAlign w:val="bottom"/>
          </w:tcPr>
          <w:p>
            <w:pPr>
              <w:ind w:left="40"/>
              <w:spacing w:after="0"/>
              <w:rPr>
                <w:sz w:val="20"/>
                <w:szCs w:val="20"/>
                <w:color w:val="auto"/>
              </w:rPr>
            </w:pPr>
            <w:r>
              <w:rPr>
                <w:rFonts w:ascii="Arial" w:cs="Arial" w:eastAsia="Arial" w:hAnsi="Arial"/>
                <w:sz w:val="13"/>
                <w:szCs w:val="13"/>
                <w:color w:val="0000FF"/>
              </w:rPr>
              <w:t>Common Stock, par value $0.001 per share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958"/>
              <w:spacing w:after="0"/>
              <w:rPr>
                <w:sz w:val="20"/>
                <w:szCs w:val="20"/>
                <w:color w:val="auto"/>
              </w:rPr>
            </w:pPr>
            <w:r>
              <w:rPr>
                <w:rFonts w:ascii="Arial" w:cs="Arial" w:eastAsia="Arial" w:hAnsi="Arial"/>
                <w:sz w:val="13"/>
                <w:szCs w:val="13"/>
                <w:color w:val="0000FF"/>
              </w:rPr>
              <w:t>14,038</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300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740" w:type="dxa"/>
            <w:vAlign w:val="bottom"/>
            <w:gridSpan w:val="5"/>
          </w:tcPr>
          <w:p>
            <w:pPr>
              <w:ind w:left="7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0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7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(1)</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8,121</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(2)</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2,660</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(3)</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1,763</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(4)</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(4)</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6,850</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(5)</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(5)</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1,170</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(6)</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(6)</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488</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September 1, 2021, the reporting person was granted 8,121 restricted stock units. The restricted stock units will vest in two installments, one-third on the second anniversary of the grant date, and two-thirds on the third anniversary of the grant date.</w:t>
      </w:r>
    </w:p>
    <w:p>
      <w:pPr>
        <w:spacing w:after="0" w:line="46" w:lineRule="exact"/>
        <w:rPr>
          <w:rFonts w:ascii="Arial" w:cs="Arial" w:eastAsia="Arial" w:hAnsi="Arial"/>
          <w:sz w:val="9"/>
          <w:szCs w:val="9"/>
          <w:color w:val="008000"/>
        </w:rPr>
      </w:pPr>
    </w:p>
    <w:p>
      <w:pPr>
        <w:ind w:left="40" w:right="60" w:hanging="10"/>
        <w:spacing w:after="0" w:line="282"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February 17, 2021, the reporting person was granted 2,660 restricted stock units, twenty-five percent of the restricted stock units will vest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5" w:lineRule="exact"/>
        <w:rPr>
          <w:rFonts w:ascii="Arial" w:cs="Arial" w:eastAsia="Arial" w:hAnsi="Arial"/>
          <w:sz w:val="9"/>
          <w:szCs w:val="9"/>
          <w:color w:val="008000"/>
        </w:rPr>
      </w:pPr>
    </w:p>
    <w:p>
      <w:pPr>
        <w:ind w:left="40" w:right="80" w:hanging="10"/>
        <w:spacing w:after="0" w:line="238"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February 19, 2020, the reporting person was granted 2,350 restricted stock units, twenty-five percent of the restricted stock units became vested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24"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October 22, 2019, the reporting person was granted 6,850 restricted stock units, fifty percent of the restricted stock units will vest on October 22, 2021, and the remaining balance of fifty percent of the restricted stock units will vest on October 22, 2022.</w:t>
      </w:r>
    </w:p>
    <w:p>
      <w:pPr>
        <w:spacing w:after="0" w:line="46" w:lineRule="exact"/>
        <w:rPr>
          <w:rFonts w:ascii="Arial" w:cs="Arial" w:eastAsia="Arial" w:hAnsi="Arial"/>
          <w:sz w:val="9"/>
          <w:szCs w:val="9"/>
          <w:color w:val="008000"/>
        </w:rPr>
      </w:pPr>
    </w:p>
    <w:p>
      <w:pPr>
        <w:ind w:left="40" w:right="80" w:hanging="10"/>
        <w:spacing w:after="0" w:line="238"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February 20, 2019, the reporting person was granted 2,340 restricted stock units, twenty five percent of the restricted stock units became vested on February 20, 2020, an additional twenty five percent of the restricted stock units became vested on February 20, 2021, an additional twenty five percent of the restricted stock units will vest on February 20, 2022, and the remaining balance of twenty five percent of the restricted stock units will vest on February 20, 2023.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24" w:lineRule="exact"/>
        <w:rPr>
          <w:rFonts w:ascii="Arial" w:cs="Arial" w:eastAsia="Arial" w:hAnsi="Arial"/>
          <w:sz w:val="10"/>
          <w:szCs w:val="10"/>
          <w:color w:val="008000"/>
        </w:rPr>
      </w:pPr>
    </w:p>
    <w:p>
      <w:pPr>
        <w:ind w:left="40" w:right="80" w:hanging="10"/>
        <w:spacing w:after="0" w:line="238"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February 22, 2018, the reporting person was granted 1,950 restricted stock units, twenty-five percent of the restricted stock units became vested on February 22, 2019, an additional twenty-five percent of the restricted stock units became vested February 22, 2020, an additional twenty-five percent of the restricted stock units became vested on February 22, 2021, and the remaining balance of twenty-five percent of the restricted stock units will vest on February 22, 2022. On February 22, 2018,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Remarks: Mr. Oseni is the Company's Head of Administration and Accounts Exhibit List Exhibit 24.1: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Lazbart Oseni,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10/20/2021</w:t>
            </w:r>
          </w:p>
        </w:tc>
      </w:tr>
      <w:tr>
        <w:trPr>
          <w:trHeight w:val="170"/>
        </w:trPr>
        <w:tc>
          <w:tcPr>
            <w:tcW w:w="6580" w:type="dxa"/>
            <w:vAlign w:val="bottom"/>
          </w:tcPr>
          <w:p>
            <w:pPr>
              <w:spacing w:after="0"/>
              <w:rPr>
                <w:sz w:val="14"/>
                <w:szCs w:val="14"/>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Rohit Kapoor, Maurizio Nicolelli, Ajay Ayyappan, Lazb</w:t>
      </w:r>
    </w:p>
    <w:p>
      <w:pPr>
        <w:spacing w:after="0" w:line="153" w:lineRule="exact"/>
        <w:rPr>
          <w:sz w:val="20"/>
          <w:szCs w:val="20"/>
          <w:color w:val="auto"/>
        </w:rPr>
      </w:pPr>
    </w:p>
    <w:p>
      <w:pPr>
        <w:ind w:left="540" w:hanging="540"/>
        <w:spacing w:after="0"/>
        <w:tabs>
          <w:tab w:leader="none" w:pos="54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ExlService Holdings, Inc.</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153" w:lineRule="exact"/>
        <w:rPr>
          <w:rFonts w:ascii="Courier New" w:cs="Courier New" w:eastAsia="Courier New" w:hAnsi="Courier New"/>
          <w:sz w:val="13"/>
          <w:szCs w:val="13"/>
          <w:color w:val="auto"/>
        </w:rPr>
      </w:pPr>
    </w:p>
    <w:p>
      <w:pPr>
        <w:spacing w:after="0" w:line="488" w:lineRule="auto"/>
        <w:tabs>
          <w:tab w:leader="none" w:pos="547"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respect IN WITNESS WHEREOF, the undersigned has caused this Power of Attorney to be executed as of October 14, 2021.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Narasimha Kini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Narasimha Kini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363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2021-10-20T16:27:25Z</dcterms:created>
  <dcterms:modified xsi:type="dcterms:W3CDTF">2021-10-20T16:27:25Z</dcterms:modified>
</cp:coreProperties>
</file>