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17, 2006</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6</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5"/>
          <w:szCs w:val="15"/>
          <w:b w:val="1"/>
          <w:bCs w:val="1"/>
          <w:color w:val="auto"/>
        </w:rPr>
        <w:t>541990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82-0572194</w:t>
      </w:r>
    </w:p>
    <w:p>
      <w:pPr>
        <w:spacing w:after="0" w:line="29" w:lineRule="exact"/>
        <w:rPr>
          <w:sz w:val="24"/>
          <w:szCs w:val="24"/>
          <w:color w:val="auto"/>
        </w:rPr>
      </w:pPr>
    </w:p>
    <w:p>
      <w:pPr>
        <w:sectPr>
          <w:pgSz w:w="11900" w:h="16838" w:orient="portrait"/>
          <w:cols w:equalWidth="0" w:num="3">
            <w:col w:w="4860" w:space="720"/>
            <w:col w:w="2880" w:space="720"/>
            <w:col w:w="2240"/>
          </w:cols>
          <w:pgMar w:left="240" w:top="230" w:right="2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27" w:lineRule="exact"/>
        <w:rPr>
          <w:sz w:val="24"/>
          <w:szCs w:val="24"/>
          <w:color w:val="auto"/>
        </w:rPr>
      </w:pPr>
    </w:p>
    <w:p>
      <w:pPr>
        <w:sectPr>
          <w:pgSz w:w="11900" w:h="16838" w:orient="portrait"/>
          <w:cols w:equalWidth="0" w:num="3">
            <w:col w:w="4260" w:space="720"/>
            <w:col w:w="2920" w:space="720"/>
            <w:col w:w="28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60"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480" w:type="dxa"/>
            <w:vAlign w:val="bottom"/>
          </w:tcPr>
          <w:p>
            <w:pPr>
              <w:jc w:val="center"/>
              <w:ind w:right="672"/>
              <w:spacing w:after="0"/>
              <w:rPr>
                <w:sz w:val="20"/>
                <w:szCs w:val="20"/>
                <w:color w:val="auto"/>
              </w:rPr>
            </w:pPr>
            <w:r>
              <w:rPr>
                <w:rFonts w:ascii="Arial" w:cs="Arial" w:eastAsia="Arial" w:hAnsi="Arial"/>
                <w:sz w:val="14"/>
                <w:szCs w:val="14"/>
                <w:b w:val="1"/>
                <w:bCs w:val="1"/>
                <w:color w:val="auto"/>
                <w:w w:val="85"/>
              </w:rPr>
              <w:t>John C. Kennedy, Esq.</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6"/>
              </w:rPr>
              <w:t>Amit Shashank, Esq.</w:t>
            </w:r>
          </w:p>
        </w:tc>
        <w:tc>
          <w:tcPr>
            <w:tcW w:w="3060" w:type="dxa"/>
            <w:vAlign w:val="bottom"/>
          </w:tcPr>
          <w:p>
            <w:pPr>
              <w:jc w:val="center"/>
              <w:ind w:left="692"/>
              <w:spacing w:after="0"/>
              <w:rPr>
                <w:sz w:val="20"/>
                <w:szCs w:val="20"/>
                <w:color w:val="auto"/>
              </w:rPr>
            </w:pPr>
            <w:r>
              <w:rPr>
                <w:rFonts w:ascii="Arial" w:cs="Arial" w:eastAsia="Arial" w:hAnsi="Arial"/>
                <w:sz w:val="14"/>
                <w:szCs w:val="14"/>
                <w:b w:val="1"/>
                <w:bCs w:val="1"/>
                <w:color w:val="auto"/>
                <w:w w:val="86"/>
              </w:rPr>
              <w:t>Janet L. Fisher, Esq.</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90"/>
              </w:rPr>
              <w:t>Paul, Weiss, Rifkind, Wharton &amp; Garrison LLP</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General Counsel and Vice President</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91"/>
              </w:rPr>
              <w:t>Cleary Gottlieb Steen &amp; Hamilton LLP</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5"/>
              </w:rPr>
              <w:t>1285 Avenue of the Americas</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ExlService Holdings, Inc.</w:t>
            </w:r>
          </w:p>
        </w:tc>
        <w:tc>
          <w:tcPr>
            <w:tcW w:w="306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0"/>
              </w:rPr>
              <w:t>One Liberty Plaza</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8"/>
              </w:rPr>
              <w:t>New York, New York 10019-6064</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350 Park Avenue</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9"/>
              </w:rPr>
              <w:t>New York, New York 10006</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87"/>
              </w:rPr>
              <w:t>(212) 373-3000</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New York, New York 10022</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7"/>
              </w:rPr>
              <w:t>(212) 225-2000</w:t>
            </w:r>
          </w:p>
        </w:tc>
      </w:tr>
      <w:tr>
        <w:trPr>
          <w:trHeight w:val="174"/>
        </w:trPr>
        <w:tc>
          <w:tcPr>
            <w:tcW w:w="348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7"/>
              </w:rPr>
              <w:t>(212) 277-7100</w:t>
            </w:r>
          </w:p>
        </w:tc>
        <w:tc>
          <w:tcPr>
            <w:tcW w:w="3060" w:type="dxa"/>
            <w:vAlign w:val="bottom"/>
          </w:tcPr>
          <w:p>
            <w:pPr>
              <w:spacing w:after="0"/>
              <w:rPr>
                <w:sz w:val="15"/>
                <w:szCs w:val="15"/>
                <w:color w:val="auto"/>
              </w:rPr>
            </w:pPr>
          </w:p>
        </w:tc>
      </w:tr>
    </w:tbl>
    <w:p>
      <w:pPr>
        <w:ind w:left="360"/>
        <w:spacing w:after="0"/>
        <w:tabs>
          <w:tab w:leader="none" w:pos="5260" w:val="left"/>
        </w:tabs>
        <w:rPr>
          <w:sz w:val="20"/>
          <w:szCs w:val="20"/>
          <w:color w:val="auto"/>
        </w:rPr>
      </w:pPr>
      <w:r>
        <w:rPr>
          <w:rFonts w:ascii="Arial" w:cs="Arial" w:eastAsia="Arial" w:hAnsi="Arial"/>
          <w:sz w:val="18"/>
          <w:szCs w:val="18"/>
          <w:b w:val="1"/>
          <w:bCs w:val="1"/>
          <w:color w:val="auto"/>
        </w:rPr>
        <w:t>Approximate date of commencement of proposed sale to public:</w:t>
      </w:r>
      <w:r>
        <w:rPr>
          <w:sz w:val="20"/>
          <w:szCs w:val="20"/>
          <w:color w:val="auto"/>
        </w:rPr>
        <w:tab/>
      </w:r>
      <w:r>
        <w:rPr>
          <w:rFonts w:ascii="Arial" w:cs="Arial" w:eastAsia="Arial" w:hAnsi="Arial"/>
          <w:sz w:val="15"/>
          <w:szCs w:val="15"/>
          <w:color w:val="auto"/>
        </w:rPr>
        <w:t>As soon as practicable after this Registration Statement becomes effective.</w:t>
      </w:r>
    </w:p>
    <w:p>
      <w:pPr>
        <w:spacing w:after="0" w:line="8" w:lineRule="exact"/>
        <w:rPr>
          <w:sz w:val="24"/>
          <w:szCs w:val="24"/>
          <w:color w:val="auto"/>
        </w:rPr>
      </w:pPr>
    </w:p>
    <w:p>
      <w:pPr>
        <w:ind w:right="420" w:firstLine="342"/>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420" w:firstLine="342"/>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80" w:firstLine="342"/>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60" w:firstLine="342"/>
        <w:spacing w:after="0" w:line="22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57785</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jc w:val="center"/>
              <w:ind w:right="6"/>
              <w:spacing w:after="0"/>
              <w:rPr>
                <w:sz w:val="20"/>
                <w:szCs w:val="20"/>
                <w:color w:val="auto"/>
              </w:rPr>
            </w:pPr>
            <w:r>
              <w:rPr>
                <w:rFonts w:ascii="Arial" w:cs="Arial" w:eastAsia="Arial" w:hAnsi="Arial"/>
                <w:sz w:val="14"/>
                <w:szCs w:val="14"/>
                <w:b w:val="1"/>
                <w:bCs w:val="1"/>
                <w:color w:val="auto"/>
                <w:w w:val="82"/>
              </w:rPr>
              <w:t>Title of each class</w:t>
            </w:r>
          </w:p>
        </w:tc>
        <w:tc>
          <w:tcPr>
            <w:tcW w:w="2400" w:type="dxa"/>
            <w:vAlign w:val="bottom"/>
          </w:tcPr>
          <w:p>
            <w:pPr>
              <w:jc w:val="center"/>
              <w:ind w:left="286"/>
              <w:spacing w:after="0"/>
              <w:rPr>
                <w:sz w:val="20"/>
                <w:szCs w:val="20"/>
                <w:color w:val="auto"/>
              </w:rPr>
            </w:pPr>
            <w:r>
              <w:rPr>
                <w:rFonts w:ascii="Arial" w:cs="Arial" w:eastAsia="Arial" w:hAnsi="Arial"/>
                <w:sz w:val="14"/>
                <w:szCs w:val="14"/>
                <w:b w:val="1"/>
                <w:bCs w:val="1"/>
                <w:color w:val="auto"/>
                <w:w w:val="88"/>
              </w:rPr>
              <w:t>Amount to be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 maximum</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 maximum</w:t>
            </w:r>
          </w:p>
        </w:tc>
        <w:tc>
          <w:tcPr>
            <w:tcW w:w="1320" w:type="dxa"/>
            <w:vAlign w:val="bottom"/>
          </w:tcPr>
          <w:p>
            <w:pPr>
              <w:jc w:val="center"/>
              <w:ind w:left="386"/>
              <w:spacing w:after="0"/>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312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3"/>
              </w:rPr>
              <w:t>of securities to be registered</w:t>
            </w:r>
          </w:p>
        </w:tc>
        <w:tc>
          <w:tcPr>
            <w:tcW w:w="2400" w:type="dxa"/>
            <w:vAlign w:val="bottom"/>
            <w:tcBorders>
              <w:bottom w:val="single" w:sz="8" w:color="auto"/>
            </w:tcBorders>
          </w:tcPr>
          <w:p>
            <w:pPr>
              <w:jc w:val="center"/>
              <w:ind w:left="286"/>
              <w:spacing w:after="0"/>
              <w:rPr>
                <w:sz w:val="20"/>
                <w:szCs w:val="20"/>
                <w:color w:val="auto"/>
              </w:rPr>
            </w:pPr>
            <w:r>
              <w:rPr>
                <w:rFonts w:ascii="Arial" w:cs="Arial" w:eastAsia="Arial" w:hAnsi="Arial"/>
                <w:sz w:val="14"/>
                <w:szCs w:val="14"/>
                <w:b w:val="1"/>
                <w:bCs w:val="1"/>
                <w:color w:val="auto"/>
                <w:w w:val="85"/>
              </w:rPr>
              <w:t>registered (1)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 per unit</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aggregate offering price (2)</w:t>
            </w:r>
          </w:p>
        </w:tc>
        <w:tc>
          <w:tcPr>
            <w:tcW w:w="1320" w:type="dxa"/>
            <w:vAlign w:val="bottom"/>
            <w:tcBorders>
              <w:bottom w:val="single" w:sz="8" w:color="auto"/>
            </w:tcBorders>
          </w:tcPr>
          <w:p>
            <w:pPr>
              <w:jc w:val="center"/>
              <w:ind w:left="366"/>
              <w:spacing w:after="0"/>
              <w:rPr>
                <w:sz w:val="20"/>
                <w:szCs w:val="20"/>
                <w:color w:val="auto"/>
              </w:rPr>
            </w:pPr>
            <w:r>
              <w:rPr>
                <w:rFonts w:ascii="Arial" w:cs="Arial" w:eastAsia="Arial" w:hAnsi="Arial"/>
                <w:sz w:val="14"/>
                <w:szCs w:val="14"/>
                <w:b w:val="1"/>
                <w:bCs w:val="1"/>
                <w:color w:val="auto"/>
                <w:w w:val="86"/>
              </w:rPr>
              <w:t>registration fee</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Common Stock, par value $0.001</w:t>
            </w:r>
          </w:p>
        </w:tc>
        <w:tc>
          <w:tcPr>
            <w:tcW w:w="2400" w:type="dxa"/>
            <w:vAlign w:val="bottom"/>
          </w:tcPr>
          <w:p>
            <w:pPr>
              <w:jc w:val="center"/>
              <w:ind w:left="286"/>
              <w:spacing w:after="0"/>
              <w:rPr>
                <w:sz w:val="20"/>
                <w:szCs w:val="20"/>
                <w:color w:val="auto"/>
              </w:rPr>
            </w:pPr>
            <w:r>
              <w:rPr>
                <w:rFonts w:ascii="Arial" w:cs="Arial" w:eastAsia="Arial" w:hAnsi="Arial"/>
                <w:sz w:val="18"/>
                <w:szCs w:val="18"/>
                <w:color w:val="auto"/>
                <w:w w:val="86"/>
              </w:rPr>
              <w:t>5,750,000 shares</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$12.00</w:t>
            </w: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$69,000,000</w:t>
            </w:r>
          </w:p>
        </w:tc>
        <w:tc>
          <w:tcPr>
            <w:tcW w:w="1320" w:type="dxa"/>
            <w:vAlign w:val="bottom"/>
          </w:tcPr>
          <w:p>
            <w:pPr>
              <w:jc w:val="center"/>
              <w:ind w:left="366"/>
              <w:spacing w:after="0"/>
              <w:rPr>
                <w:sz w:val="20"/>
                <w:szCs w:val="20"/>
                <w:color w:val="auto"/>
              </w:rPr>
            </w:pPr>
            <w:r>
              <w:rPr>
                <w:rFonts w:ascii="Arial" w:cs="Arial" w:eastAsia="Arial" w:hAnsi="Arial"/>
                <w:sz w:val="18"/>
                <w:szCs w:val="18"/>
                <w:color w:val="auto"/>
                <w:w w:val="88"/>
              </w:rPr>
              <w:t>$7,383(3)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750,000 additional shares of common stock which may be purchased by the underwriters at their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457(o) of the Securities Act of 1933.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registration fee of $9,503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75565</wp:posOffset>
            </wp:positionV>
            <wp:extent cx="951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6" w:lineRule="exact"/>
        <w:rPr>
          <w:sz w:val="24"/>
          <w:szCs w:val="24"/>
          <w:color w:val="auto"/>
        </w:rPr>
      </w:pPr>
    </w:p>
    <w:p>
      <w:pPr>
        <w:jc w:val="both"/>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October 17,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186690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an initial public offering of 5,000,000 shares of common stock of ExlService Holdings, Inc., all of which are being offered by us.</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the common stock. We currently estimate that the initial public offering price per share will be between $10.00 and $12.00 per share. We have applied to list our common stock on the Nasdaq Global Select Market under the symbol “EXLS.”</w:t>
      </w:r>
    </w:p>
    <w:p>
      <w:pPr>
        <w:spacing w:after="0" w:line="53" w:lineRule="exact"/>
        <w:rPr>
          <w:sz w:val="20"/>
          <w:szCs w:val="20"/>
          <w:color w:val="auto"/>
        </w:rPr>
      </w:pPr>
    </w:p>
    <w:p>
      <w:pPr>
        <w:ind w:right="4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12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95250</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93980</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95"/>
        </w:trPr>
        <w:tc>
          <w:tcPr>
            <w:tcW w:w="60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602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41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Underwriting discount and commission</w:t>
            </w:r>
          </w:p>
        </w:tc>
        <w:tc>
          <w:tcPr>
            <w:tcW w:w="41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Proceeds, before expenses</w:t>
            </w:r>
          </w:p>
        </w:tc>
        <w:tc>
          <w:tcPr>
            <w:tcW w:w="41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the extent that the underwriters sell more than 5,000,000 shares of our common stock, they have the option to purchase up to an additional 750,000 shares from us at the public offering price less the underwriting discount. Up to 5% of the shares offered hereby have been reserved for sale at the initial public offering price to specified persons under our directed share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102870</wp:posOffset>
            </wp:positionV>
            <wp:extent cx="1106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underwriters expect to deliver the shares to purchasers against payment in New York, New York on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auto"/>
        </w:rPr>
        <w:t>, 2006.</w:t>
      </w:r>
    </w:p>
    <w:p>
      <w:pPr>
        <w:spacing w:after="0" w:line="159" w:lineRule="exact"/>
        <w:rPr>
          <w:sz w:val="20"/>
          <w:szCs w:val="20"/>
          <w:color w:val="auto"/>
        </w:rPr>
      </w:pPr>
    </w:p>
    <w:p>
      <w:pPr>
        <w:sectPr>
          <w:pgSz w:w="11900" w:h="16838" w:orient="portrait"/>
          <w:cols w:equalWidth="0" w:num="2">
            <w:col w:w="7960" w:space="720"/>
            <w:col w:w="2740"/>
          </w:cols>
          <w:pgMar w:left="240" w:top="459" w:right="239" w:bottom="1440" w:gutter="0" w:footer="0" w:header="0"/>
          <w:type w:val="continuous"/>
        </w:sectPr>
      </w:pPr>
    </w:p>
    <w:p>
      <w:pPr>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Goldman, Sachs &amp; Co.</w:t>
      </w:r>
    </w:p>
    <w:p>
      <w:pPr>
        <w:spacing w:after="0" w:line="192" w:lineRule="exact"/>
        <w:rPr>
          <w:sz w:val="20"/>
          <w:szCs w:val="20"/>
          <w:color w:val="auto"/>
        </w:rPr>
      </w:pPr>
    </w:p>
    <w:p>
      <w:pPr>
        <w:sectPr>
          <w:pgSz w:w="11900" w:h="16838" w:orient="portrait"/>
          <w:cols w:equalWidth="0" w:num="2">
            <w:col w:w="7540" w:space="720"/>
            <w:col w:w="3160"/>
          </w:cols>
          <w:pgMar w:left="240" w:top="459" w:right="239" w:bottom="1440" w:gutter="0" w:footer="0" w:header="0"/>
          <w:type w:val="continuous"/>
        </w:sectPr>
      </w:pPr>
    </w:p>
    <w:p>
      <w:pPr>
        <w:spacing w:after="0"/>
        <w:rPr>
          <w:sz w:val="20"/>
          <w:szCs w:val="20"/>
          <w:color w:val="auto"/>
        </w:rPr>
      </w:pPr>
      <w:r>
        <w:rPr>
          <w:rFonts w:ascii="Arial" w:cs="Arial" w:eastAsia="Arial" w:hAnsi="Arial"/>
          <w:sz w:val="23"/>
          <w:szCs w:val="23"/>
          <w:b w:val="1"/>
          <w:bCs w:val="1"/>
          <w:color w:val="auto"/>
        </w:rPr>
        <w:t>Merrill Lynch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Thomas Weisel Partners LLC</w:t>
      </w:r>
    </w:p>
    <w:p>
      <w:pPr>
        <w:spacing w:after="0" w:line="199" w:lineRule="exact"/>
        <w:rPr>
          <w:sz w:val="20"/>
          <w:szCs w:val="20"/>
          <w:color w:val="auto"/>
        </w:rPr>
      </w:pPr>
    </w:p>
    <w:p>
      <w:pPr>
        <w:sectPr>
          <w:pgSz w:w="11900" w:h="16838" w:orient="portrait"/>
          <w:cols w:equalWidth="0" w:num="2">
            <w:col w:w="7600" w:space="720"/>
            <w:col w:w="31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2006.</w:t>
      </w:r>
    </w:p>
    <w:p>
      <w:pPr>
        <w:sectPr>
          <w:pgSz w:w="11900" w:h="16838" w:orient="portrait"/>
          <w:cols w:equalWidth="0" w:num="2">
            <w:col w:w="1400" w:space="720"/>
            <w:col w:w="930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220345</wp:posOffset>
            </wp:positionV>
            <wp:extent cx="7237730" cy="9587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95878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b w:val="1"/>
          <w:bCs w:val="1"/>
          <w:color w:val="auto"/>
        </w:rPr>
        <w:t>You should rely only on the information contained in this prospectus. Neither we nor the underwriters have authorized any other person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assume that the information appearing in this prospectus is accurate only as of the date on the front cover of this prospectus or such other date stated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125730</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60" w:type="dxa"/>
            <w:vAlign w:val="bottom"/>
            <w:gridSpan w:val="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4"/>
        </w:trPr>
        <w:tc>
          <w:tcPr>
            <w:tcW w:w="1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00" w:type="dxa"/>
            <w:vAlign w:val="bottom"/>
            <w:gridSpan w:val="8"/>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Dividend Policy</w:t>
              </w:r>
            </w:hyperlink>
          </w:p>
        </w:tc>
        <w:tc>
          <w:tcPr>
            <w:tcW w:w="4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0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Capitalization</w:t>
              </w:r>
            </w:hyperlink>
          </w:p>
        </w:tc>
        <w:tc>
          <w:tcPr>
            <w:tcW w:w="600" w:type="dxa"/>
            <w:vAlign w:val="bottom"/>
            <w:gridSpan w:val="4"/>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Dilution</w:t>
              </w:r>
            </w:hyperlink>
          </w:p>
        </w:tc>
        <w:tc>
          <w:tcPr>
            <w:tcW w:w="1000" w:type="dxa"/>
            <w:vAlign w:val="bottom"/>
            <w:gridSpan w:val="10"/>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Consolidated Financial and Other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40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Unaudited Pro Forma Consolidated Financial Information</w:t>
              </w:r>
            </w:hyperlink>
          </w:p>
        </w:tc>
        <w:tc>
          <w:tcPr>
            <w:tcW w:w="69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64">
              <w:r>
                <w:rPr>
                  <w:rFonts w:ascii="Arial" w:cs="Arial" w:eastAsia="Arial" w:hAnsi="Arial"/>
                  <w:sz w:val="18"/>
                  <w:szCs w:val="18"/>
                  <w:color w:val="0000EE"/>
                  <w:w w:val="84"/>
                </w:rPr>
                <w:t>Business</w:t>
              </w:r>
            </w:hyperlink>
          </w:p>
        </w:tc>
        <w:tc>
          <w:tcPr>
            <w:tcW w:w="960" w:type="dxa"/>
            <w:vAlign w:val="bottom"/>
            <w:tcBorders>
              <w:top w:val="single" w:sz="8" w:color="0000EE"/>
            </w:tcBorders>
            <w:gridSpan w:val="9"/>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46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The Inductis Acquisition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Management</w:t>
              </w:r>
            </w:hyperlink>
          </w:p>
        </w:tc>
        <w:tc>
          <w:tcPr>
            <w:tcW w:w="16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6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Principal Stockholders</w:t>
              </w:r>
            </w:hyperlink>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4"/>
        </w:trPr>
        <w:tc>
          <w:tcPr>
            <w:tcW w:w="338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114">
              <w:r>
                <w:rPr>
                  <w:rFonts w:ascii="Arial" w:cs="Arial" w:eastAsia="Arial" w:hAnsi="Arial"/>
                  <w:sz w:val="18"/>
                  <w:szCs w:val="18"/>
                  <w:color w:val="0000EE"/>
                  <w:w w:val="87"/>
                </w:rPr>
                <w:t>Certain Relationships and Related Transactions</w:t>
              </w:r>
            </w:hyperlink>
          </w:p>
        </w:tc>
        <w:tc>
          <w:tcPr>
            <w:tcW w:w="768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20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Description of Capital Stock</w:t>
              </w:r>
            </w:hyperlink>
          </w:p>
        </w:tc>
        <w:tc>
          <w:tcPr>
            <w:tcW w:w="904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Shares Available for Future Sale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Material U.S. Federal Tax Considerations for Non-U.S.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4"/>
        </w:trPr>
        <w:tc>
          <w:tcPr>
            <w:tcW w:w="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Underwriting</w:t>
              </w:r>
            </w:hyperlink>
          </w:p>
        </w:tc>
        <w:tc>
          <w:tcPr>
            <w:tcW w:w="640" w:type="dxa"/>
            <w:vAlign w:val="bottom"/>
            <w:tcBorders>
              <w:top w:val="single" w:sz="8" w:color="0000EE"/>
            </w:tcBorders>
            <w:gridSpan w:val="6"/>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64"/>
        </w:trPr>
        <w:tc>
          <w:tcPr>
            <w:tcW w:w="1600" w:type="dxa"/>
            <w:vAlign w:val="bottom"/>
            <w:gridSpan w:val="12"/>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Legal Matters</w:t>
              </w:r>
            </w:hyperlink>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64"/>
        </w:trPr>
        <w:tc>
          <w:tcPr>
            <w:tcW w:w="980" w:type="dxa"/>
            <w:vAlign w:val="bottom"/>
            <w:tcBorders>
              <w:top w:val="single" w:sz="8" w:color="0000EE"/>
            </w:tcBorders>
            <w:gridSpan w:val="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Experts</w:t>
              </w:r>
            </w:hyperlink>
          </w:p>
        </w:tc>
        <w:tc>
          <w:tcPr>
            <w:tcW w:w="620" w:type="dxa"/>
            <w:vAlign w:val="bottom"/>
            <w:gridSpan w:val="5"/>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Enforceability of Judgments</w:t>
              </w:r>
            </w:hyperlink>
          </w:p>
        </w:tc>
        <w:tc>
          <w:tcPr>
            <w:tcW w:w="9060" w:type="dxa"/>
            <w:vAlign w:val="bottom"/>
            <w:gridSpan w:val="12"/>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Where You Can Find More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2800" w:type="dxa"/>
            <w:vAlign w:val="bottom"/>
            <w:gridSpan w:val="1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Index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4"/>
        </w:trPr>
        <w:tc>
          <w:tcPr>
            <w:tcW w:w="1600" w:type="dxa"/>
            <w:vAlign w:val="bottom"/>
            <w:gridSpan w:val="12"/>
          </w:tcPr>
          <w:p>
            <w:pPr>
              <w:ind w:left="460"/>
              <w:spacing w:after="0"/>
              <w:rPr>
                <w:sz w:val="20"/>
                <w:szCs w:val="20"/>
                <w:color w:val="auto"/>
              </w:rPr>
            </w:pPr>
            <w:r>
              <w:rPr>
                <w:rFonts w:ascii="Arial" w:cs="Arial" w:eastAsia="Arial" w:hAnsi="Arial"/>
                <w:sz w:val="18"/>
                <w:szCs w:val="18"/>
                <w:color w:val="auto"/>
              </w:rPr>
              <w:t>Until</w:t>
            </w:r>
          </w:p>
        </w:tc>
        <w:tc>
          <w:tcPr>
            <w:tcW w:w="9820" w:type="dxa"/>
            <w:vAlign w:val="bottom"/>
            <w:gridSpan w:val="16"/>
          </w:tcPr>
          <w:p>
            <w:pPr>
              <w:jc w:val="right"/>
              <w:ind w:right="13"/>
              <w:spacing w:after="0"/>
              <w:rPr>
                <w:sz w:val="20"/>
                <w:szCs w:val="20"/>
                <w:color w:val="auto"/>
              </w:rPr>
            </w:pPr>
            <w:r>
              <w:rPr>
                <w:rFonts w:ascii="Arial" w:cs="Arial" w:eastAsia="Arial" w:hAnsi="Arial"/>
                <w:sz w:val="18"/>
                <w:szCs w:val="18"/>
                <w:color w:val="auto"/>
                <w:w w:val="89"/>
              </w:rPr>
              <w:t>, 2006 (25 days after the date of this prospectus), all dealers that buy, sell or trade our common stock, whether or not participating in this</w:t>
            </w:r>
          </w:p>
        </w:tc>
      </w:tr>
    </w:tbl>
    <w:p>
      <w:pPr>
        <w:ind w:right="540"/>
        <w:spacing w:after="0" w:line="261" w:lineRule="auto"/>
        <w:rPr>
          <w:sz w:val="20"/>
          <w:szCs w:val="20"/>
          <w:color w:val="auto"/>
        </w:rPr>
      </w:pPr>
      <w:r>
        <w:rPr>
          <w:rFonts w:ascii="Arial" w:cs="Arial" w:eastAsia="Arial" w:hAnsi="Arial"/>
          <w:sz w:val="18"/>
          <w:szCs w:val="18"/>
          <w:color w:val="auto"/>
        </w:rPr>
        <w:t>offering, may be required to deliver a prospectus. This is in addition to the dealers’ obligation to deliver a prospectus when acting as underwriters and with respect to their unsold allotments or subscriptions.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Industry and market data used throughout this prospectus were obtained through company research, surveys and studies conducted by third parties, and industry and general publications. The information contained in the joint report, or the NASSCOM-McKinsey report, published by the National Association of Software and Service Companies, or NASSCOM, and McKinsey &amp; Company, or McKinsey, in December 2005, is based on studies and analysis of surveys of business process outsourcing service providers and customers conducted by McKinsey.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This summary highlights all material information about us and this offering, but does not contain all of the information you should consider before investing in our common stock. You should read this entire prospectus carefully, including “Risk Factors” and the consolidated financial statements and related notes included herewith. This prospectus includes forward-looking statements that involve risks and uncertainties. See “Forward-Looking Statements.” Except where otherwise indicated, all information presented in this prospectus on a pro forma basis gives effect to the acquisition of Inductis, Inc., or Inductis, as described under “Unaudited Pro Forma Consolidated Financial Information” and “The Inductis Acquisition.”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recognized provider of offshore business process outsourcing services, primarily serving the needs of Global 1000 companies in the banking, financial services and insurance sector. We provide a broad range of outsourcing services, including business process outsourcing services, research and analytics services and advisory services. The business process outsourcing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$60.5 million in 2004 and $74.0 million in 2005 for a compound annual growth rate of 63.2% during that period. Our revenue growth over the three-year period is driven by a combination of new clients, ongoing growth in existing client relationships as well as the inclusion of full-year revenues from clients added in the preceding year. On a pro forma basis, our revenues were $60.4 million for the six months ended June 30, 2006.</w:t>
      </w:r>
    </w:p>
    <w:p>
      <w:pPr>
        <w:spacing w:after="0" w:line="10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combine in-depth knowledge of the banking, financial services and insurance, or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research and analytics services, we have expanded the types and sophistication of research and analytics services we offer. We believe that this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167005</wp:posOffset>
            </wp:positionV>
            <wp:extent cx="4631055" cy="2444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3105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largest clients in 2005, on a pro forma basis, were Norwich Union (an Aviva company), American Express Financial Corporation, or American Express, and Dell (including Dell Financial Services). Other clients include Centrica plc, Prudential Financial, Indymac Bank, one of the three largest U.S. banks, two of the five largest U.S. insurers and one of the largest global providers of business information. Our operations centers are located in India, which enables us to leverage India’s large pool of highly qualified and educated English-speaking technical professionals, who are able to handle complex processes and services that require functional skills and industry expertise. We also believe we can offer consistently high quality services at substantially lower costs than those available from in-house facilities or U.S. or U.K.-based outsourcing providers. Our total number of employees, substantially all of whom are based in India, has grown from approximately 1,800 at December 31, 2002 to approximately 7,300 at July 1,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Business process outsourcing, or BPO, providers work with clients to develop and deliver operational improvements with the goal of achieving higher performance at lower costs. Outsourcing of business processes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report and the data within the report are based on studies and analysis of surveys of BPO service providers and customers conducted by McKinsey &amp;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 and Business Strategy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have a number of competitive strengths, including:</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Deep and Comprehensive BPO Processing Experience Within the BFSI Sector</w:t>
      </w:r>
      <w:r>
        <w:rPr>
          <w:rFonts w:ascii="Arial" w:cs="Arial" w:eastAsia="Arial" w:hAnsi="Arial"/>
          <w:sz w:val="16"/>
          <w:szCs w:val="16"/>
          <w:color w:val="auto"/>
        </w:rPr>
        <w:t>. With 85.8% of our pro forma BPO revenues in 2005 derived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BFSI sector, we have gained a deep understanding of that sector, especially in functions such as loan underwriting support, claims processing, premium research and reconciliation, collections and accounts receivable management. Our expertise stems from our early association with Conseco Inc., or Conseco, and has allowed us to provide a full range of services to our clients. While the outsourcing industry is highly fragmented, we believe that we are recognized within the industry and among prospective clients as being among a small number of BPO companies that can offer depth of expertise in the BFSI sector.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i w:val="1"/>
          <w:iCs w:val="1"/>
          <w:color w:val="auto"/>
        </w:rPr>
        <w:t xml:space="preserve">Long-term Client Relationships that Result in a High Level of Recurring and Predictable Revenues in Our BPO Business. </w:t>
      </w:r>
      <w:r>
        <w:rPr>
          <w:rFonts w:ascii="Arial" w:cs="Arial" w:eastAsia="Arial" w:hAnsi="Arial"/>
          <w:sz w:val="15"/>
          <w:szCs w:val="15"/>
          <w:color w:val="auto"/>
        </w:rPr>
        <w:t>A substantial majority of our</w:t>
      </w:r>
      <w:r>
        <w:rPr>
          <w:rFonts w:ascii="Arial" w:cs="Arial" w:eastAsia="Arial" w:hAnsi="Arial"/>
          <w:sz w:val="15"/>
          <w:szCs w:val="15"/>
          <w:i w:val="1"/>
          <w:iCs w:val="1"/>
          <w:color w:val="auto"/>
        </w:rPr>
        <w:t xml:space="preserve"> </w:t>
      </w:r>
      <w:r>
        <w:rPr>
          <w:rFonts w:ascii="Arial" w:cs="Arial" w:eastAsia="Arial" w:hAnsi="Arial"/>
          <w:sz w:val="15"/>
          <w:szCs w:val="15"/>
          <w:color w:val="auto"/>
        </w:rPr>
        <w:t>BPO services are provided under long-term contracts with initial terms ranging from three to seven years. This contract structure provides us with relatively predictable and recurring revenues for a substantial portion of our business and reduces our sales and marketing costs relative to project-based service providers.</w:t>
      </w:r>
    </w:p>
    <w:p>
      <w:pPr>
        <w:spacing w:after="0" w:line="75"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2005, 38.3% of our pro forma revenues were generated by our largest BPO client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In 2005, 11.9% of our pro forma revenues were generated by our second-largest BPO client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 Our other BPO clients can terminate their contracts without cause during the initial term.</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Strong Focus on Process Migration, Operations Management and Process Excellence. </w:t>
      </w:r>
      <w:r>
        <w:rPr>
          <w:rFonts w:ascii="Arial" w:cs="Arial" w:eastAsia="Arial" w:hAnsi="Arial"/>
          <w:sz w:val="16"/>
          <w:szCs w:val="16"/>
          <w:color w:val="auto"/>
        </w:rPr>
        <w:t>Our ability to deliver continuous process improvements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reputation for superior service have proven to be strong competitive advantages when developing new client relationships.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use well-known techniques to continually improve the services we offer, including the Six Sigma methodology for reducing defects in business operations and Kaizen initiatives, which stress continuous incremental improvements in each stage of a business process. We have also developed proprietary tools to identify and continue to deliver process improvements for our clients. We have been awarded an ISO 9001:2000 certification for quality assurance, a BS7799 certification for information security and an OHSAS certification for employee health and safety.</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Robust Human Resources and Technology Infrastructure. </w:t>
      </w:r>
      <w:r>
        <w:rPr>
          <w:rFonts w:ascii="Arial" w:cs="Arial" w:eastAsia="Arial" w:hAnsi="Arial"/>
          <w:sz w:val="18"/>
          <w:szCs w:val="18"/>
          <w:color w:val="auto"/>
        </w:rPr>
        <w:t>Our investment in employee recruitment, training and retention provides us with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rapidly increase the scale of our operations to respond to the needs of our clients. We currently have the ability to recruit and train an average of 390 employees per month and believe that the strength of our human resource function will enable us to continue to attract highly qualified and motivated employees, notwithstanding competitive pressures. We have also developed an extensive technological infrastructure with a focus on redundancies, scalability and, most importantly, information security.</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Experienced Management Team With a Significant Equity Stake. </w:t>
      </w:r>
      <w:r>
        <w:rPr>
          <w:rFonts w:ascii="Arial" w:cs="Arial" w:eastAsia="Arial" w:hAnsi="Arial"/>
          <w:sz w:val="16"/>
          <w:szCs w:val="16"/>
          <w:color w:val="auto"/>
        </w:rPr>
        <w:t>We pride ourselves on the strength and depth of our management and their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to our ongoing success. With the Inductis acquisition, we have significantly expanded the depth of our management pool, including senior managers with long-term client relationships in key areas of our business. Our top 32 senior managers at or above the level of vice president have an average of approximately ten years of experience in the BFSI sector and extensive working experience with the business practices of multinational corporations. In addition, 32 members of our senior management team beneficially own 26.8% of our outstanding common stock and will continue to beneficially own 21.9% of our outstanding common stock following the consummation of this offering. The incentives that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Weaknesses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further described in “Risk Factors” beginning on page 12 of this prospectus, our operations face a number of risks. For example, our revenues depend substantially on three clients and a few industries. In addition, wage increases in India may prevent us from sustaining our competitive advantage and may reduce our profit margin. Furthermore, if we fail to effectively manage our rapid infrastructure and personnel growth, there could be a material adverse effect on our business, results of operations, financial condition and cash flows. Finally, the market for outsourcing services is highly competitive, and we expect competition to intensify from a number of sources.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Maintaining Our Focus on Large-scale, Long-term Relationships. </w:t>
      </w:r>
      <w:r>
        <w:rPr>
          <w:rFonts w:ascii="Arial" w:cs="Arial" w:eastAsia="Arial" w:hAnsi="Arial"/>
          <w:sz w:val="18"/>
          <w:szCs w:val="18"/>
          <w:color w:val="auto"/>
        </w:rPr>
        <w:t>We believe there are significant opportunities for additional growth with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and we seek to expand these relationships by increasing the depth and breadth of the services we provide.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Offering a Broad Range of Outsourcing Services. </w:t>
      </w:r>
      <w:r>
        <w:rPr>
          <w:rFonts w:ascii="Arial" w:cs="Arial" w:eastAsia="Arial" w:hAnsi="Arial"/>
          <w:sz w:val="16"/>
          <w:szCs w:val="16"/>
          <w:color w:val="auto"/>
        </w:rPr>
        <w:t>We seek to differentiate ourselves by emphasizing the broad range of outsourcing services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Many of our services are complementary, enabling us to combine them and provide a more sophisticated overall level of service for our clients. We will continue to identify opportunities for cross-selling our service offerings and enhancing client satisfaction.</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Expanding Our Client Base. </w:t>
      </w:r>
      <w:r>
        <w:rPr>
          <w:rFonts w:ascii="Arial" w:cs="Arial" w:eastAsia="Arial" w:hAnsi="Arial"/>
          <w:sz w:val="18"/>
          <w:szCs w:val="18"/>
          <w:color w:val="auto"/>
        </w:rPr>
        <w:t>We intend to develop long-term relationships that present recurring revenue opportunities with new clients by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experience and expanding our marketing activities. In developing such relationships, we continue to be highly selective and seek industry-leading clients who are committed to long-term and strategic relationships with us.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Extending Our Industry Expertise. </w:t>
      </w:r>
      <w:r>
        <w:rPr>
          <w:rFonts w:ascii="Arial" w:cs="Arial" w:eastAsia="Arial" w:hAnsi="Arial"/>
          <w:sz w:val="18"/>
          <w:szCs w:val="18"/>
          <w:color w:val="auto"/>
        </w:rPr>
        <w:t>We intend to continue to strengthen our processing capabilities for the BFSI sector and other high-potential sectors by</w:t>
      </w:r>
      <w:r>
        <w:rPr>
          <w:rFonts w:ascii="Arial" w:cs="Arial" w:eastAsia="Arial" w:hAnsi="Arial"/>
          <w:sz w:val="18"/>
          <w:szCs w:val="18"/>
          <w:i w:val="1"/>
          <w:iCs w:val="1"/>
          <w:color w:val="auto"/>
        </w:rPr>
        <w:t xml:space="preserve"> </w:t>
      </w:r>
      <w:r>
        <w:rPr>
          <w:rFonts w:ascii="Arial" w:cs="Arial" w:eastAsia="Arial" w:hAnsi="Arial"/>
          <w:sz w:val="18"/>
          <w:szCs w:val="18"/>
          <w:color w:val="auto"/>
        </w:rPr>
        <w:t>focusing on the more complex and value-enhancing services that are common to these sectors. We have begun to implement this strategy, expanding into the utilities, healthcare and media sectors during 2006.</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Continuing to Focus on Complex Processes. </w:t>
      </w:r>
      <w:r>
        <w:rPr>
          <w:rFonts w:ascii="Arial" w:cs="Arial" w:eastAsia="Arial" w:hAnsi="Arial"/>
          <w:sz w:val="16"/>
          <w:szCs w:val="16"/>
          <w:color w:val="auto"/>
        </w:rPr>
        <w:t>We intend to continue to leverage our industry expertise to provide increasingly more complex services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clients. As a result of our established and developing industry expertise and knowledge of our clients’ businesses and processes, our employees are able to handle processes that are non-routine and that cannot be readily automated or transferred to other parties.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Continuing to Invest in Operational Infrastructure. </w:t>
      </w:r>
      <w:r>
        <w:rPr>
          <w:rFonts w:ascii="Arial" w:cs="Arial" w:eastAsia="Arial" w:hAnsi="Arial"/>
          <w:sz w:val="18"/>
          <w:szCs w:val="18"/>
          <w:color w:val="auto"/>
        </w:rPr>
        <w:t>We will continue to invest in infrastructure, including human resources, process optimization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platforms, to meet our growing client requirements. We will also continue to invest in developing and refining methodologies and analytical models and tools.</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Pursuing Strategic Relationships and Acquisitions. </w:t>
      </w:r>
      <w:r>
        <w:rPr>
          <w:rFonts w:ascii="Arial" w:cs="Arial" w:eastAsia="Arial" w:hAnsi="Arial"/>
          <w:sz w:val="16"/>
          <w:szCs w:val="16"/>
          <w:color w:val="auto"/>
        </w:rPr>
        <w:t>We will continue to selectively consider strategic relationships with industry leaders or acquisitions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such as the Inductis acquisition, that would expand the scope of our existing services, add new clients or allow us to enter new geographic markets.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Company</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pre-predecessor, ExlService.com, Inc., or EXL Inc., a Delaware corporation, was formed on April 9, 1999 and began commercial operations in October 2000. On August 1, 2001, EXL Inc. was acquired by Conseco in the 2001 Acquisition, and operated as Conseco’s wholly owned subsidiary until November 14, 2002. We were formed by a group including Vikram Talwar, Rohit Kapoor, Oak Hill Capital Partners L.P., FTVentures and certain other senior members of our management team, and on November 14, 2002 we purchased EXL Inc. from Conseco in the 2002 Acquisition, and EXL Inc. became our wholly owned subsidiary.</w:t>
      </w:r>
    </w:p>
    <w:p>
      <w:pPr>
        <w:spacing w:after="0" w:line="12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completed the acquisition of Inductis, a provider of research and analytics services, which we refer to as the Inductis Acquisition, on July 1, 2006. The Inductis Acquisition has expanded the types and sophistication of the research and analytics services we offer. Inductis had approximately 250 employees and had revenues of $13.6 million in the first six months of 2006 and $20.9 million in fiscal year 2005. We estimate that the total consideration for the Inductis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535,918 shares of our Series A common stock (1,071,836 shares of our common stock after giving effect to the Share Conversion), subject to reduction for any cashless withholding in respect of taxes, $0.9 million in transaction costs and a $0.4 million bonus payable in January 2007. We assumed $4.3 million of Inductis debt, which we repaid in full on September 26, 2006. We are obligated to make additional working capital adjustment, earnout and contingent payments to former holders of Inductis securities based on certain agreed-upon financial performance goals. The maximum number of shares to be issued in the earnout payment is 389,906 shares of Series A common stock (779,812 shares of our common stock after giving effect to the Share Conversion). The value of the contingent payment, payable in a mix of cash and additional shares of our common stock, the mix of which cannot be determined until the size of the contingent payment, if any, is determined, is expected to range from $0.6 million to $6.5 million. The actual value of the shares of our common stock to be issued in the earnout and contingent payments will vary based upon trading prices for our common stock at the time of issuance. See “The Inductis Acquisition” for a more detailed description of the terms of the Inductis Acquisition.</w:t>
      </w:r>
    </w:p>
    <w:p>
      <w:pPr>
        <w:spacing w:after="0" w:line="11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subsidiaries are EXL Inc., ExlService.com (India) Private Limited, an Indian corporation, or EXL India, Noida Customer Operations Private Limited, an Indian corporation, or NCOP, ExlService (U.K.) Limited, an entity formed in the United Kingdom, or EXL U.K., Exl Support Service Private Limited, an Indian corporation, or ESS, and Inductis, a Delaware corporation, and its wholly owned subsidiaries, Inductis LLC, a Delaware limited liability company, Inductis India Private Limited, an Indian corporation, or Inductis India, and Inductis (Singapore) PTE Ltd., a Singapore corporation.</w:t>
      </w:r>
    </w:p>
    <w:p>
      <w:pPr>
        <w:spacing w:after="0" w:line="9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selected and other financial information included in this prospectus include those of both our company and our predecessor, EXL Inc. Periods prior to August 1, 2001 represent the accounts of EXL Inc. prior to the 2001 Acquisition, or the pre-predecessor; periods on or after August 1, 2001 and prior to November 15, 2002 represent the accounts of EXL Inc. after the 2001 Acquisition, or the predecessor; and periods on or after November 15, 2002 represent our accounts after the 2002 Acquisition, or the successor. Our fiscal year ends on December 31.</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unaudited pro forma financial and statistical information included in this prospectus reflect the Inductis Acquisition and are based on the historical financial statements of ExlService Holdings, Inc., or ExlService Holdings, and Inductis, subject to certain assumptions and adjustments.</w:t>
      </w:r>
    </w:p>
    <w:p>
      <w:pPr>
        <w:spacing w:after="0" w:line="7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ExlService Holdings was incorporated in Delaware on October 29, 2002. Our principal executive offices are located at 350 Park Avenue, New York, New York 10022, and our telephone number at that address is (212) 277-7100. Our website address is http://www.exlservice.com. The information on our website is not part of, nor is it incorporated into, this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35" w:lineRule="auto"/>
        <w:rPr>
          <w:sz w:val="20"/>
          <w:szCs w:val="20"/>
          <w:color w:val="auto"/>
        </w:rPr>
      </w:pPr>
      <w:r>
        <w:rPr>
          <w:rFonts w:ascii="Arial" w:cs="Arial" w:eastAsia="Arial" w:hAnsi="Arial"/>
          <w:sz w:val="18"/>
          <w:szCs w:val="18"/>
          <w:color w:val="auto"/>
        </w:rPr>
        <w:t>Unless the context indicates or requires otherwise, the terms “EXL,” “we,” “our,” “us” and “the company” refer collectively to ExlService Holdings and its wholly owned subsidiaries and all predecessor entities. ProMPT</w:t>
      </w:r>
      <w:r>
        <w:rPr>
          <w:rFonts w:ascii="Arial" w:cs="Arial" w:eastAsia="Arial" w:hAnsi="Arial"/>
          <w:sz w:val="22"/>
          <w:szCs w:val="22"/>
          <w:color w:val="auto"/>
          <w:vertAlign w:val="superscript"/>
        </w:rPr>
        <w:t>™</w:t>
      </w:r>
      <w:r>
        <w:rPr>
          <w:rFonts w:ascii="Arial" w:cs="Arial" w:eastAsia="Arial" w:hAnsi="Arial"/>
          <w:sz w:val="18"/>
          <w:szCs w:val="18"/>
          <w:color w:val="auto"/>
        </w:rPr>
        <w:t>, SOFT</w:t>
      </w:r>
      <w:r>
        <w:rPr>
          <w:rFonts w:ascii="Arial" w:cs="Arial" w:eastAsia="Arial" w:hAnsi="Arial"/>
          <w:sz w:val="22"/>
          <w:szCs w:val="22"/>
          <w:color w:val="auto"/>
          <w:vertAlign w:val="superscript"/>
        </w:rPr>
        <w:t>™</w:t>
      </w:r>
      <w:r>
        <w:rPr>
          <w:rFonts w:ascii="Arial" w:cs="Arial" w:eastAsia="Arial" w:hAnsi="Arial"/>
          <w:sz w:val="18"/>
          <w:szCs w:val="18"/>
          <w:color w:val="auto"/>
        </w:rPr>
        <w:t>, MOST</w:t>
      </w:r>
      <w:r>
        <w:rPr>
          <w:rFonts w:ascii="Arial" w:cs="Arial" w:eastAsia="Arial" w:hAnsi="Arial"/>
          <w:sz w:val="22"/>
          <w:szCs w:val="22"/>
          <w:color w:val="auto"/>
          <w:vertAlign w:val="superscript"/>
        </w:rPr>
        <w:t>™</w:t>
      </w:r>
      <w:r>
        <w:rPr>
          <w:rFonts w:ascii="Arial" w:cs="Arial" w:eastAsia="Arial" w:hAnsi="Arial"/>
          <w:sz w:val="18"/>
          <w:szCs w:val="18"/>
          <w:color w:val="auto"/>
        </w:rPr>
        <w:t>, ECS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MICROANALYTIX are unregistered trademarks of EXL or our subsidiaries.</w:t>
      </w:r>
    </w:p>
    <w:p>
      <w:pPr>
        <w:spacing w:after="0" w:line="144"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this prospectus, certain financial data has been rounded to ensure arithmetical accuracy. Certain U.S. dollar figures in this prospectus have been converted from Indian rupees at a rate of 45.56 rupees to $1.00, the exchange rate in effect on June 30, 2006, unless otherwise specified.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Conversion</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a two to one stock split, which we refer to as the Stock Split. As a result, after this offering, we will only have one class of common stock outstanding, which will be referred to as common stock. Investors will be acquiring common stock in this offering. We refer to the conversion of all our shares of Series B common stock into Series A common stock, the Stock Split and the other transactions described above collectively in this prospectus as the “Share Conversion.”</w:t>
      </w:r>
    </w:p>
    <w:p>
      <w:pPr>
        <w:spacing w:after="0" w:line="10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After the Share Conversion and the consummation of this offering, we will have 27,507,638 shares of common stock outstanding (or 28,257,638 shares if the underwriters exercise their option in full), 1,921,476 shares of common stock issuable upon the exercise of options to purchase common stock and 317,004 unvested shares of restricted stock. 5,000,000 shares of common stock offered hereby (or 5,750,000 shares if the underwriters exercise their option in full) will be freely tradable. Following this offering, we intend to file a registration statement under the Securities Act registering 4,231,130 shares of our common stock reserved for issuance under our equity incentive plans and 807,258 shares held for resale by our existing stockholders that were previously issued under our equity incentive plans. In addition, we intend to enter into a registration rights agreement with certain of our stockholders pursuant to which these holders will have the right, subject to certain conditions and the expiration of the lock-up applicable to those stockholders in connection with this offering, to require us to file registration statements covering 18,493,816 shares of our common stock (including restricted stock and shares issuable upon the exercise of currently outstanding options) or to include those shares and 2,124,940 additional shares of common stock in registration statements that we may file on our behalf or on behalf of other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8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Assuming that the underwriters do not exercise their option to purchase additional shares, immediately following the Share Conversion and the consummation of this offering, Oak Hill Capital Partners L.P. and certain of its affiliates will beneficially own 10,542,504 shares (or 38.3%) of our outstanding common stock; FTVentures and certain of its affiliates will beneficially own 3,514,168 shares (or 12.8%) of our outstanding common stock; our Vice Chairman and Chief Executive Officer, Vikram Talwar, will beneficially own 2,106,072 shares (or 7.7%) of our outstanding common stock; our President and Chief Financial Officer, Rohit Kapoor, will beneficially own 2,106,072 shares (or 7.7%) of our outstanding common stock; and certain other members of our management will beneficially own, collectively, 1,407,628 shares (or 5.1%) of our outstanding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Investing in our shares involves risks, which include, among other things:</w:t>
      </w:r>
    </w:p>
    <w:p>
      <w:pPr>
        <w:spacing w:after="0" w:line="77" w:lineRule="exact"/>
        <w:rPr>
          <w:sz w:val="20"/>
          <w:szCs w:val="20"/>
          <w:color w:val="auto"/>
        </w:rPr>
      </w:pPr>
    </w:p>
    <w:p>
      <w:pPr>
        <w:ind w:left="780" w:right="6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limited number of clients and provide services to few industries. In 2005, 62.8% of our pro forma revenues came from three clients and our contracts with two of those clients, representing 24.5% of such pro forma revenues, are terminable without cause with 30 days or less prior notice to us;</w:t>
      </w:r>
    </w:p>
    <w:p>
      <w:pPr>
        <w:spacing w:after="0" w:line="45"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operating results may experience significant variability and as a result it may be difficult for us to make accurate financial forecasts;</w:t>
      </w:r>
    </w:p>
    <w:p>
      <w:pPr>
        <w:spacing w:after="0" w:line="126"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senior management team is critical to our continued success and the loss of one or more members of our senior management team could harm our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Wage increases in India may prevent us from sustaining our competitive advantage and may reduce our profit margin;</w:t>
      </w:r>
    </w:p>
    <w:p>
      <w:pPr>
        <w:spacing w:after="0" w:line="103"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client contracts contain certain termination and other provisions, including provisions generally permitting our clients to terminate their agreements with us without cause and with limited prior notice generally ranging from 30 days to six months. As a result, our expected revenue stream could experience significant fluctuations;</w:t>
      </w:r>
    </w:p>
    <w:p>
      <w:pPr>
        <w:spacing w:after="0" w:line="45" w:lineRule="exact"/>
        <w:rPr>
          <w:rFonts w:ascii="Arial" w:cs="Arial" w:eastAsia="Arial" w:hAnsi="Arial"/>
          <w:sz w:val="18"/>
          <w:szCs w:val="18"/>
          <w:color w:val="auto"/>
        </w:rPr>
      </w:pPr>
    </w:p>
    <w:p>
      <w:pPr>
        <w:ind w:left="780" w:right="100" w:hanging="326"/>
        <w:spacing w:after="0" w:line="30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agreements with our largest client, Norwich Union, which represented 38.3% of our pro forma revenues in fiscal year 2005, give it the option to assume the operations of one of our facilities. Norwich Union has recently publicly announced its intention to start exercising its option to assume the operations of the facilities of certain of its third party vendor-contractors, including one of our facilities in Pune; and</w:t>
      </w:r>
    </w:p>
    <w:p>
      <w:pPr>
        <w:spacing w:after="0" w:line="12"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Oak Hill Capital Partners L.P. and FTVentures, which, together with certain of their respective affiliates, beneficially own 49.6% and 16.5%, respectively, of our outstanding voting stock have the ability to control substantially all matters brought before our board of directors and their interests in our business may be different than yours. They will continue to beneficially own 38.3% and 12.8%, respectively, of our outstanding common stock following the consummation of this offering.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 Factors” for a description of these and other risks of investing in our common stock.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438" w:lineRule="auto"/>
        <w:rPr>
          <w:sz w:val="20"/>
          <w:szCs w:val="20"/>
          <w:color w:val="auto"/>
        </w:rPr>
      </w:pPr>
      <w:r>
        <w:rPr>
          <w:rFonts w:ascii="Arial" w:cs="Arial" w:eastAsia="Arial" w:hAnsi="Arial"/>
          <w:sz w:val="18"/>
          <w:szCs w:val="18"/>
          <w:color w:val="auto"/>
        </w:rPr>
        <w:t>Common stock outstanding before this offering Common stock offered by us</w:t>
      </w:r>
    </w:p>
    <w:p>
      <w:pPr>
        <w:spacing w:after="0" w:line="1"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80"/>
        <w:spacing w:after="0" w:line="456" w:lineRule="auto"/>
        <w:rPr>
          <w:sz w:val="20"/>
          <w:szCs w:val="20"/>
          <w:color w:val="auto"/>
        </w:rPr>
      </w:pPr>
      <w:r>
        <w:rPr>
          <w:rFonts w:ascii="Arial" w:cs="Arial" w:eastAsia="Arial" w:hAnsi="Arial"/>
          <w:sz w:val="18"/>
          <w:szCs w:val="18"/>
          <w:color w:val="auto"/>
        </w:rPr>
        <w:t>Proposed Nasdaq Global Select Market symbol 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22,507,638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5,000,000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27,507,638 shares.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expect to use the net proceeds from this offering:</w:t>
      </w:r>
    </w:p>
    <w:p>
      <w:pPr>
        <w:spacing w:after="0" w:line="90" w:lineRule="exact"/>
        <w:rPr>
          <w:sz w:val="20"/>
          <w:szCs w:val="20"/>
          <w:color w:val="auto"/>
        </w:rPr>
      </w:pPr>
    </w:p>
    <w:p>
      <w:pPr>
        <w:ind w:left="660" w:right="40" w:hanging="437"/>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our Series A preferred stock held by certain of our directors, officers and significant stockholders;</w:t>
      </w:r>
    </w:p>
    <w:p>
      <w:pPr>
        <w:spacing w:after="0" w:line="37" w:lineRule="exact"/>
        <w:rPr>
          <w:rFonts w:ascii="Arial" w:cs="Arial" w:eastAsia="Arial" w:hAnsi="Arial"/>
          <w:sz w:val="18"/>
          <w:szCs w:val="18"/>
          <w:color w:val="auto"/>
        </w:rPr>
      </w:pPr>
    </w:p>
    <w:p>
      <w:pPr>
        <w:ind w:left="660" w:right="180" w:hanging="437"/>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certain of our directors, officers and significant stockholders; and</w:t>
      </w:r>
    </w:p>
    <w:p>
      <w:pPr>
        <w:spacing w:after="0" w:line="37" w:lineRule="exact"/>
        <w:rPr>
          <w:rFonts w:ascii="Arial" w:cs="Arial" w:eastAsia="Arial" w:hAnsi="Arial"/>
          <w:sz w:val="18"/>
          <w:szCs w:val="18"/>
          <w:color w:val="auto"/>
        </w:rPr>
      </w:pPr>
    </w:p>
    <w:p>
      <w:pPr>
        <w:ind w:left="660" w:hanging="43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EXLS.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w:t>
      </w:r>
    </w:p>
    <w:p>
      <w:pPr>
        <w:spacing w:after="0" w:line="143" w:lineRule="exact"/>
        <w:rPr>
          <w:sz w:val="20"/>
          <w:szCs w:val="20"/>
          <w:color w:val="auto"/>
        </w:rPr>
      </w:pPr>
    </w:p>
    <w:p>
      <w:pPr>
        <w:sectPr>
          <w:pgSz w:w="11900" w:h="16838" w:orient="portrait"/>
          <w:cols w:equalWidth="0" w:num="2">
            <w:col w:w="3620" w:space="500"/>
            <w:col w:w="7260"/>
          </w:cols>
          <w:pgMar w:left="240" w:top="459" w:right="279" w:bottom="1440" w:gutter="0" w:footer="0" w:header="0"/>
        </w:sectPr>
      </w:pPr>
    </w:p>
    <w:p>
      <w:pPr>
        <w:ind w:left="460"/>
        <w:spacing w:after="0"/>
        <w:rPr>
          <w:sz w:val="20"/>
          <w:szCs w:val="20"/>
          <w:color w:val="auto"/>
        </w:rPr>
      </w:pPr>
      <w:r>
        <w:rPr>
          <w:rFonts w:ascii="Arial" w:cs="Arial" w:eastAsia="Arial" w:hAnsi="Arial"/>
          <w:sz w:val="18"/>
          <w:szCs w:val="18"/>
          <w:color w:val="auto"/>
        </w:rPr>
        <w:t>Unless we specifically state otherwise, the information in this prospectus:</w:t>
      </w:r>
    </w:p>
    <w:p>
      <w:pPr>
        <w:spacing w:after="0" w:line="7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an initial public offering price of $11.00 per share, the mid-point of the offering range set forth on the cover of this prospectus;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gives effect to the Share Conversion;</w:t>
      </w:r>
    </w:p>
    <w:p>
      <w:pPr>
        <w:spacing w:after="0" w:line="103" w:lineRule="exact"/>
        <w:rPr>
          <w:rFonts w:ascii="Arial" w:cs="Arial" w:eastAsia="Arial" w:hAnsi="Arial"/>
          <w:sz w:val="18"/>
          <w:szCs w:val="18"/>
          <w:color w:val="auto"/>
        </w:rPr>
      </w:pPr>
    </w:p>
    <w:p>
      <w:pPr>
        <w:ind w:left="780" w:hanging="326"/>
        <w:spacing w:after="0" w:line="298"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excludes, in the number of shares of common stock to be outstanding after this offering, options to purchase 1,921,476 shares of common stock that are currently outstanding under our equity incentive plans or otherwise or that are to be granted upon consummation of this offering under our equity incentive plans, 317,004 unvested shares of restricted stock that are currently outstanding under our equity incentive plans and any additional shares of common stock that may be issued as an earnout or contingent payment in connection with the Inductis Acquisition; and</w:t>
      </w:r>
    </w:p>
    <w:p>
      <w:pPr>
        <w:spacing w:after="0" w:line="18" w:lineRule="exact"/>
        <w:rPr>
          <w:rFonts w:ascii="Arial" w:cs="Arial" w:eastAsia="Arial" w:hAnsi="Arial"/>
          <w:sz w:val="16"/>
          <w:szCs w:val="16"/>
          <w:color w:val="auto"/>
        </w:rPr>
      </w:pPr>
    </w:p>
    <w:p>
      <w:pPr>
        <w:ind w:left="780" w:right="28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up to 750,000 additional shares. If the underwriters exercise this option in full, we will offer 750,000 additional shares of common stock and any such shares that are sold will thereafter be outstanding. See “Underwriting.”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our summary consolidated financial and other data for the six months ended June 30, 2006 and June 30, 2005, and the fiscal years ended December 31, 2005, 2004 and 2003.</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summary balance sheet data as of December 31, 2005, and the summary statement of operations data for the years ended December 31, 2005, 2004 and 2003 are derived from our consolidated financial statements, which have been audited by Ernst &amp; Young LLP, our independent registered public accounting firm, and are included elsewhere in this prospectus. The balance sheet data as of June 30, 2006 and the income statement data for the six months ended June 30,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also presents summary unaudited pro forma consolidated financial data for the year ended December 31, 2005 and as of and for the six months ended June 30, 2006 that give effect to the Inductis Acquisition. The unaudited pro forma consolidated statement of operations data for the year ended December 31, 2005 and the six months ended June 30, 2006 give effect to the Inductis Acquisition as if it had occurred at the beginning of the respective periods, and the unaudited pro forma consolidated balance sheet data at June 30, 2006 give effect to the Inductis Acquisition as if it had occurred on June 30, 2006. Such data has been derived from our audited and unaudited consolidated financial statements referred to above and the audited and unaudited financial statements of Inductis which are included elsewhere in this prospectus.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You should read the following information in conjunction with “Capitalization,” “Selected Historical Consolidated Financial and Other Data,” “Management’s Discussion and Analysis of Financial Condition and Results of Operations,” our audited and unaudited consolidated financial statements and related notes thereto and the audited and unaudited consolidated financial statements of Inductis and the related notes thereto included elsewhere in this prospectus. The summary unaudited pro forma consolidated financial data should be read in conjunction with the data set forth in “Unaudited Pro Forma Consolidated Financial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Pro Forma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880" w:type="dxa"/>
            <w:vAlign w:val="bottom"/>
            <w:gridSpan w:val="4"/>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4"/>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3"/>
            <w:vMerge w:val="restart"/>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8"/>
            <w:vMerge w:val="restart"/>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gridSpan w:val="4"/>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8"/>
                <w:szCs w:val="8"/>
                <w:color w:val="auto"/>
              </w:rPr>
            </w:pPr>
          </w:p>
        </w:tc>
        <w:tc>
          <w:tcPr>
            <w:tcW w:w="21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gridSpan w:val="4"/>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2"/>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113"/>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44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7"/>
              </w:rPr>
              <w:t>(unaudited)</w:t>
            </w:r>
          </w:p>
        </w:tc>
        <w:tc>
          <w:tcPr>
            <w:tcW w:w="36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Revenues(1)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74.0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60.5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Selling and marketing expenses(3)</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Unaudited Financial Data:</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EBITDA(4)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-600710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-600710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-600710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-600710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-600710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-600710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-600710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-600710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-600710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-600710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-600710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-600710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-600710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-600710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-600710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-600710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-600710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-600710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-600710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-600710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-600710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6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87"/>
              </w:rPr>
              <w:t>Pro Forma As Adjusted at</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At June 30,</w:t>
            </w:r>
          </w:p>
        </w:tc>
        <w:tc>
          <w:tcPr>
            <w:tcW w:w="10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At December 31,</w:t>
            </w:r>
          </w:p>
        </w:tc>
      </w:tr>
      <w:tr>
        <w:trPr>
          <w:trHeight w:val="174"/>
        </w:trPr>
        <w:tc>
          <w:tcPr>
            <w:tcW w:w="11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6"/>
              </w:rPr>
              <w:t>June 30, 2006(5)</w:t>
            </w:r>
          </w:p>
        </w:tc>
        <w:tc>
          <w:tcPr>
            <w:tcW w:w="16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2006</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r>
      <w:tr>
        <w:trPr>
          <w:trHeight w:val="95"/>
        </w:trPr>
        <w:tc>
          <w:tcPr>
            <w:tcW w:w="11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6"/>
              </w:rPr>
              <w:t>(unaudited)</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1"/>
        </w:trPr>
        <w:tc>
          <w:tcPr>
            <w:tcW w:w="11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06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capital(6)</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2"/>
          </w:tcPr>
          <w:p>
            <w:pPr>
              <w:jc w:val="right"/>
              <w:ind w:right="106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68.0</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Series A preferred stock (liquidation preference)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108"/>
        </w:trPr>
        <w:tc>
          <w:tcPr>
            <w:tcW w:w="118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00" w:lineRule="exact"/>
        <w:rPr>
          <w:sz w:val="20"/>
          <w:szCs w:val="20"/>
          <w:color w:val="auto"/>
        </w:rPr>
      </w:pPr>
    </w:p>
    <w:p>
      <w:pPr>
        <w:ind w:left="460" w:right="6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U.S. generally accepted accounting principles, or GAAP, we include the amount of telecommunications and travel-related costs that are billed to and reimbursed by our clients in our revenues. Revenues include reimbursable expenses of $2.0 million ($3.1 million on a pro forma basis) for the six months ended June 30, 2006, $1.6 million for the six months ended June 30, 2005, $3.4 million ($5.1 million on a pro forma basis) in 2005, $4.2 million in 2004 and $0.6 million in 2003.</w:t>
      </w:r>
    </w:p>
    <w:p>
      <w:pPr>
        <w:spacing w:after="0" w:line="1"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and selling and marketing expenses, or SG&amp;A expenses, include non-cash amortization of deferred stock compensation expense relating to our issuance of stock options to our non-operations staff.</w:t>
      </w:r>
    </w:p>
    <w:p>
      <w:pPr>
        <w:ind w:left="460" w:right="50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represents net income (loss) to common stockholders before deductions for interest, income taxes, the effects of dividends and accretion on preferred stock and depreciation, amortization and impairment. EBITDA is a supplemental non-GAAP financial measure used by management, and industry analysts to evaluate operations.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income to EBITDA (in millions):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Pro Forma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Six Months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8"/>
          </w:tcPr>
          <w:p>
            <w:pPr>
              <w:jc w:val="right"/>
              <w:ind w:right="6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
              <w:spacing w:after="0" w:line="135"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Year Ended</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
              <w:spacing w:after="0" w:line="129" w:lineRule="exact"/>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9"/>
              </w:rPr>
              <w:t>2006</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w w:val="83"/>
              </w:rPr>
              <w:t>2006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to common stockholders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5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Depreciation and amortization and impairment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5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-29210</wp:posOffset>
            </wp:positionV>
            <wp:extent cx="42418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7274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We believe that EBITDA is useful to investors as a measure of comparative operating performance, as it is less susceptible to variances in actual performance resulting from depreciation, amortization and other non-cash charges and more reflective of changes in pricing decisions, cost controls and other factors that affect operating performance. Management also uses EBITDA to develop incentive compensation plans and to measure operating performance. We are also presenting EBITDA because we believe it is useful to investors as a way to measure our ability to incur and service debt, make capital expenditures and meet working capital requirements. EBITDA is not intended as an alternative to net income as an indicator of our operating performance, or as an alternative to any other measure of performance in conformity with GAAP or as an alternative to cash flow from operating activities.</w:t>
      </w:r>
    </w:p>
    <w:p>
      <w:pPr>
        <w:spacing w:after="0" w:line="2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further adjusted to give effect to this offering and the application of the offering proceeds.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adversely affect our business, financial condition or results of operations. The market price of our common stock could decline if one or more of these risks and uncertainties develop into actual events, causing you to lose all or part of the money you paid to buy our shares. Certain statements in “Risk Factors” are forward-looking statements. See “Forward-Looking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a limited number of clients and provide services to few industries. In 2005, 62.8% of our pro forma revenues came from three clients.</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derived and believe that we will continue to derive a substantial portion of our revenues from a limited number of large clients. In 2005, our three largest clients, Norwich Union (an Aviva company), a United Kingdom-based company, American Express and Dell (including Dell Financial Services), accounted for 62.8% of our pro forma revenues under several contracts. We provide services to Norwich Union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American Express may terminate its agreement with us at any time and without cause with five days prior notice. We provide services to Dell (including Dell Financial Services)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We expect that a significant portion of our revenues will continue to be contributed by a limited number of large clients in the near future. The loss or financial difficulties of any of our large clients would have a material adverse effect on our business, results of operations, financial condition and cash flows.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BPO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substantial portion of our BPO clients are concentrated in the BFSI sector. In 2005, 85.8% of our pro forma BPO revenues were derived from clients in those industries, including 66.9% of our pro forma BPO revenues that were derived from clients in the insurance industry. Our business and growth largely depend on continued demand for our services from clients and potential clients in these industries and those industries where we are focusing expansion efforts, such as utilities, healthcare and media.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 In addition, our agreements with Norwich Union and American Express also contain certain restrictions (limited in duration or scope) on our ability to provide services to certain competitors of these entities without the approval of these entities.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the quarter ended June 30, 2006, our turnover rate for billable employees—employees who execute business processes for our clients following the completion of our six-month probationary period—was approximately 38%. There is significant competition for professionals in India with skills necessary to perform the services we offer to our clients. Increased competition for these professionals, in the BPO industry or otherwise, could have an adverse effect on us. A significant increase in the turnover rate among our employees in India,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operating facilities where we have access to the skilled workforce needed for the business. In 2005, on a pro forma basis, we incurred approximately $1.0 million on recruitment and approximately $0.4 million on training costs due to employee turnover, thereby increasing our cost of revenues and reducing our pro forma profit margins for that period by $1.4 million.</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either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02"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Our agreements with our largest client give it the option to assume the operations of one of our facilities and operating subsidiaries, and the exercise of that option could have an adverse effect on our business and results of operations.</w:t>
      </w:r>
    </w:p>
    <w:p>
      <w:pPr>
        <w:spacing w:after="0" w:line="3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Under one of our agreements with Norwich Union, our largest client, Norwich Union has the option from January 2008 through February 2011 to purchase the shares of our subsidiary that operates one of our facilities in Pune, India, by paying us an amount approximating the net asset value of that facility on the date of transfer. The affected facility generated 23.9% of our revenues and 18.5% of our pro forma revenues in the six months ended June 30, 2006 and 26.7% of our revenues and 20.8% of our pro forma revenues in 2005. Norwich Union has recently publicly announced its intention to start exercising its option to assume the operations of the facilities of certain of its third party vendor-contractors, including one of our facilities in Pune. In addition, under our other agreement with Norwich Union, it also has the option to purchase certain of the assets of our operating subsidiary, EXL India, for the book value of those assets if we are in a material default of our agreement and such default affects the insurance services provided by more than 300 of our full-time employees or prejudices or is likely to prejudice the reputation of Norwich Union or its affiliates, or if there is a change of control that is not approved by Norwich Union. The exercise of either of these options would result in both a loss of revenues and a loss of our employees who are at that time working in the related facilities.</w:t>
      </w:r>
    </w:p>
    <w:p>
      <w:pPr>
        <w:spacing w:after="0" w:line="106"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 long selling cycle for our BPO services, which requires significant investment of capital, resources and time by both our clients and us. Before committing to use our services, potential clients require us to expend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12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revenues.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When we are engaged by a client after the selling process,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30"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3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initial terms of our BPO client contracts typically range from three to seven years. In many of our BPO contracts we commit to long-term pricing with our clients and therefore bear the risk of cost overruns, completion delays and wage inflation in connection with these contracts. If we fail to estimate accurately the resources and time required for a contract, future wage inflation rates or currency exchange rates or if we fail to complete our contractual obligations within the contracted timeframe, our revenues and profitability may be negatively affected.</w:t>
      </w:r>
    </w:p>
    <w:p>
      <w:pPr>
        <w:spacing w:after="0" w:line="99"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If we are unable to adjust our pricing terms to meet the changing demands of our BPO clients and potential BPO clients, our results of operations may be adversely affected.</w:t>
      </w:r>
    </w:p>
    <w:p>
      <w:pPr>
        <w:spacing w:after="0" w:line="3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research and analytics services and our advisory services are cyclical and based on specific projects involving short-term contracts.</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research and analytics services and our advisory services are cyclical and can be significantly affected by variations in business cycles. Changes in the deadlines or the scope of work required for compliance with the requirements of the Sarbanes-Oxley Act of 2002, for example, could have a significant impact on certain risk advisory service offerings of our advisory services business.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our research and analytics services and our advisory services usually consist of specific projects with contract terms generally not exceeding one year and may not produce ongoing or recurring business for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 In 2005, 31.6% of our pro forma revenues were generated by our research and analytics services and our advisory services.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0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 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operational facilities and infrastructure (including hiring new employees or constructing new operations centers), changes to our pricing structure or that of our competitors, currency fluctuation, seasonal changes in the operations of our clients and other events identified under “Forward-Looking Statements.” Our revenues are also affected by changes in pricing under our contracts at the time of renewal or by pricing under new contracts. For example, because the majority of our revenues are denominated in pounds sterling or U.S. dollars while most of our expenses are incurred and paid in Indian rupees, our revenues can decrease or increase significantly if the exchange rates among the Indian rupee, the pound sterling and the U.S. dollar fluctuate significantly. Furthermore, Dell, one of our largest clients, experiences seasonal changes in its operations in connection with the year-end holiday season and the school year, which affects our period-to-period results.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10"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3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Vikram Talwar, or of our President and Chief Financial Officer, Rohit Kapoor,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Messrs. Talwar and Kapoor and certain of their affiliates will have certain registration rights with respect to their shares of common stock following the consummation of this offering, including the right to make one demand to register their shares of common stock after the earlier of 18 months from the consummation of this offering or 12 months after the consummation of this offering if a demand registration with regard to our shares of common stock has been completed, subject to certain conditions. See “Certain Relationships and Related Transactions—Transactions entered into in connection with this offering—Registration Rights Agreements.” 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six operations facilities in India, including a new facility in Noida, India, that became operational in February 2006. Our employees have increased from approximately 1,800 on December 31, 2002 to approximately 7,300 on July 1, 2006. We expect to develop and improve our internal systems in the locations where we operate in order to address the anticipated growth of our business. In addition, we are actively looking at a few specific locations to invest in an operations facility outside of India and are contractually committed to one of our clients to do so by March 2007.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facilities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Wage increases in India may prevent us from sustaining our competitive advantage and may reduce our profit margin.</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because of rapid economic growth in India, increased demand for BPO to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and retaining the quality and number of employees that our business requires. Wages are generally higher for employees performing research and analytics services and advisory services than for employees performing other BPO services. As the scale of our research and analytics services and our advisory services increases, wages as a percentage of revenues will likely increase.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Indian rupee, the pound sterling and the U.S. dollar fluctuate significantly.</w:t>
      </w:r>
    </w:p>
    <w:p>
      <w:pPr>
        <w:spacing w:after="0" w:line="111"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In particular, our dependence on our offshore operations centers requires us to maintain active voice and data communications among our main operations centers in India,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disruptions to basic infrastructure like power and telecommunications could impede our ability to provide services to our clients, have a negative impact on our reputation, cause us to lose clients, reduce our revenues and harm our business.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0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05"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3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based our strategy of future growth on certain assumptions regarding our industry and future developments in the BFSI market.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9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material and adverse effect on our business, results of operations, financial condition and cash flows. In addition, it is possible that legislation could be adopted that would restrict U.S. private sector companies that have federal or state government contracts from outsourcing their services to offshore service providers. Such restrictions could affect our ability to attract or retain clients that have such contracts in the future.</w:t>
      </w:r>
    </w:p>
    <w:p>
      <w:pPr>
        <w:spacing w:after="0" w:line="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other countries, such as the United Kingdom where we derived 40.4% of our pro forma revenues in 2005, there has also been some negative publicity and concern expressed regarding the possible effect of job losses caused by outsourcing. Recent legislation introduced in the United Kingdom (consolidating past case law)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service level agreements we enter into in the future with United Kingdom clients. Although we are not yet able to assess at this time the potential impact of this new legislation, which came into effect in April 2006, we expect this legislation to have a material adverse effect on potential business from clients in the United Kingdom.</w:t>
      </w:r>
    </w:p>
    <w:p>
      <w:pPr>
        <w:spacing w:after="0" w:line="114" w:lineRule="exact"/>
        <w:rPr>
          <w:sz w:val="20"/>
          <w:szCs w:val="20"/>
          <w:color w:val="auto"/>
        </w:rPr>
      </w:pPr>
    </w:p>
    <w:p>
      <w:pPr>
        <w:ind w:left="240" w:right="160"/>
        <w:spacing w:after="0" w:line="325"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services and technological and industry expertise. We face significant competition for our services from our clients’ own in-house groups, including, in some cases, in-house groups operating offshore. For example, Norwich Union, our largest client, has the option under one of our contracts to purchase the shares of our subsidiary that operates one of our facilities in Pune, India. Norwich Union has recently publicly announced its intention to start exercising its option to assume the operations of the facilities of certain of its third party vendor-contractors, including one of our facilities in Pune. We also face competition from non-U.S.-based outsourcing and information technology, or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client contracts contain certain termination provisions that could have an adverse effect on our business and results of operations.</w:t>
      </w:r>
    </w:p>
    <w:p>
      <w:pPr>
        <w:spacing w:after="0" w:line="10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provide services to Norwich Union under two framework agreements and work orders generated by these agreements. The first framework agreement expires in January 2007 and can be terminated by our client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 initial term expires, these agreements can be terminated without cause or penalty by Norwich Union with six months notice. “Cause” under the Norwich contracts includes our failure to perform services agreed upon in a specific work order adequately, disposal of our material assets, our filing for bankruptcy or a change of control where our new controlling party is a named competitor of Norwich Union. Our agreement with American Express, which represented 12.6% of our pro forma revenues in 2005, permits American Express to terminate the agreement at any time and without cause with five days prior notice. We provide services to Dell (including Dell Financial Services) under two main agreements which represented 11.9% of our pro forma revenues in 2005.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Contracts representing approximately 3.6% of our pro forma revenues from our other BPO clients in 2005 will expire within 12 months. The termination of a substantial percentage of these contracts with or without cause could have a material adverse impact on the predictability of our expected revenue stream. Many of our client contracts do not commit our clients to provide us with a specific volume of business, and any failure to meet a client’s expectations could result in a cancellation or non-renewal of a contract or a decrease in business provided to us. We may not be able to replace any client that elects to terminate or not renew its contract with us, which would reduce our revenues.</w:t>
      </w:r>
    </w:p>
    <w:p>
      <w:pPr>
        <w:spacing w:after="0" w:line="115" w:lineRule="exact"/>
        <w:rPr>
          <w:sz w:val="20"/>
          <w:szCs w:val="20"/>
          <w:color w:val="auto"/>
        </w:rPr>
      </w:pPr>
    </w:p>
    <w:p>
      <w:pPr>
        <w:ind w:left="240" w:right="80"/>
        <w:spacing w:after="0" w:line="325" w:lineRule="auto"/>
        <w:rPr>
          <w:sz w:val="20"/>
          <w:szCs w:val="20"/>
          <w:color w:val="auto"/>
        </w:rPr>
      </w:pPr>
      <w:r>
        <w:rPr>
          <w:rFonts w:ascii="Arial" w:cs="Arial" w:eastAsia="Arial" w:hAnsi="Arial"/>
          <w:sz w:val="16"/>
          <w:szCs w:val="16"/>
          <w:b w:val="1"/>
          <w:bCs w:val="1"/>
          <w:i w:val="1"/>
          <w:iCs w:val="1"/>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Almost all of the issued and outstanding shares of our common stock are currently beneficially owned by Oak Hill Capital Partners L.P., FTVentures and certain of their respective affiliates, our Vice Chairman and Chief Executive Officer, Vikram Talwar, our President and Chief Financial Officer, Rohit Kapoor, and certain other members of management. Assuming that the underwriters do not exercise their option to purchase additional shares, immediately following the consummation of this offering, Oak Hill Capital Partners L.P. and certain of its affiliates will beneficially own 10,542,504 shares (or 38.3%) of our outstanding common stock; FTVentures and certain of its affiliates will beneficially own 3,514,168 shares (or 12.8%) of our outstanding common stock; Mr. Talwar will beneficially own 2,106,072 shares (or 7.7%) of our outstanding common stock; Mr. Kapoor will beneficially own 2,106,072 shares (or 7.7%) of our outstanding common stock; and certain other members of our management will beneficially own 1,407,628 shares (or 5.1%)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11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Inductis or any other acquired business into our operations, which could have a material adverse effect on our operations, results of operations and financial condition.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Our management may not be able to successfully integrate Inductis or any other acquired business into our operations, and any acquisition we do complete, including the Inductis Acquisition, may not result in long-term benefits to us. Acquisitions involve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realize in full all of the benefits that we anticipate from the Inductis Acquisition.</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value of our common stock will reflect the combined results of ExlService Holdings and Inductis, and will be affected by our ability to achieve the benefits expected from the Inductis Acquisition. Achieving these benefits will depend in part upon meeting the challenges inherent in the successful combination of two business enterprises of the size and scope of ExlService Holdings and Inductis, which include the possible loss of management-level and highly qualified employees and the possible inability to integrate the management culture and enterprise systems and operations of these two companies. We may not be able to meet these challenges, which could have a material adverse effect on our operations following the Inductis Acquisition and prevent the combined company from realizing any of the anticipated benefits of the Inductis Acquisition.</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addition, the senior management of Inductis has significant relationships with key Inductis clients, and the services provided by Inductis are highly dependent on developing client relationships of trust and confidence. The loss of any member of the senior management of Inductis could adversely affect our relationship with those clients or result in the loss of their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independent operating history and our future business prospects are difficult to evaluate.</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limited operating history. We started commercial operations in our first facility in October 2000. In August 2001, we were acquired by our then-largest client, Conseco, and until November 2002, we operated as Conseco’s subsidiary. While substantially all of our revenues were generated by Conseco and its affiliates in 2001 and 2002, in November 2002, our ownership again changed, and since that time revenues from Conseco and its affiliates have substantially decreased to $1.5 million, $1.5 million and $4.9 million in 2005, 2004 and 2003, respectively. We have serviced large unaffiliated clients only for a limited time, and we may not continue to succeed in securing or retaining additional business from non-affiliates. In addition, we did not become profitable until the three months ended September 30, 2003, and we incurred losses in each of our financial reporting periods until that quarter. We may incur additional operating losses in the future, and we may not remain profitable.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all but one U.S. state that have non-exempt requirements and have separate “per-customer” exemptions with respect to our ongoing collection obligations. Other federal laws and regulations that apply to certain portions of our business include the Fair Credit Reporting Act, the Gramm-Leach-Bliley Act, the Health Insurance Portability and Accountability Act of 1996, the Truth in Lending Act, the Fair Credit Billing Act and U.S. Federal Deposit Insurance Corporation, or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subject to the Sarbanes-Oxley Act of 2002, and our management faces challenges in implementing those requirements.</w:t>
      </w:r>
    </w:p>
    <w:p>
      <w:pPr>
        <w:spacing w:after="0" w:line="3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As a public company, we will incur significant additional legal, accounting and other expenses that we did not incur as a private company. The Sarbanes-Oxley Act of 2002, as well as new rules subsequently implemented by the Securities and Exchange Commission, or the Commission, and the Nasdaq Stock Market, have required more regulation and more corporate governance practices of public companies. We expect that our legal and financial compliance costs will increase and that a significant portion of management’s time will be diverted to comply with these rules. For example, we are reviewing and adopting comprehensive new policies regarding internal control over financial reporting and disclosure controls and procedures. We are also evaluating and testing our internal controls systems in anticipation of compliance with Section 404 of the Sarbanes-Oxley Act. If we do not implement the requirements of Section 404 in a timely manner or with adequate compliance, we may not be able to accurately report our financial results or prevent fraud and might be subject to sanctions or investigation by regulatory authorities, such as the Commission. Any such action could harm our business or investors’ confidence in our company, and could cause our stock price to fall. We will also incur additional costs associated with our reporting requirements as a public company. We also expect that the need to comply with these rules and regulations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India and the International Nature of our Business</w:t>
      </w:r>
    </w:p>
    <w:p>
      <w:pPr>
        <w:spacing w:after="0" w:line="83"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the Government of India reduces or withdraws tax benefits and other incentives it currently provides to companies within our industry, or if the same are not available for other reasons.</w:t>
      </w:r>
    </w:p>
    <w:p>
      <w:pPr>
        <w:spacing w:after="0" w:line="37"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Under the Indian Finance Act, 2000, we currently benefit from a holiday from Indian corporate income taxes. As a result, our service operations have been subject to relatively lower tax liabilities. We incurred minimal income tax expense in 2005 as a result of the tax holiday, compared to approximately $2.4 million that we would have incurred if the tax holiday had not been available for that period (without accounting for double taxation treaty set-offs). The Indian Finance Act, 2000 phases out the tax holiday over a ten-year period from fiscal 2000 through fiscal 2009. Our current tax holidays expire by location by 2009. When our tax holiday expires or terminates, our tax expense will materially increase.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Indian taxing authorities recently issued an assessment order with respect to their audit of EXL India’s 2003-04 tax year alleging that the transfer price we applied to transactions between EXL India and EXL Inc. was not appropriate and disallowing certain expenses claimed as tax deductible by EXL India. Indian transfer pricing regulations require that any international transaction involving related corporations be at an arms’ length price. Transactions among our subsidiaries and us may be considered such transactions. This assessment demands that EXL India pay additional taxes in the amount of 96,796,762 Indian rupees (approximately $2.1 million at the exchange rate in effect on June 30, 2006).</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Indian taxing authorities also recently issued a second assessment order alleging that EXL Inc. has a permanent establishment in India and demanding the payment of additional taxes in the amount of 146,655,473 Indian rupees (approximately $3.2 million at the exchange rate in effect on June 30, 2006). If EXL Inc. were found to have a permanent establishment in India, it would be required to pay Indian taxes on the income deemed attributed to such permanent establishment not only for the 2003-04 tax year but for subsequent years as well.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Indian tax authorities also initiated proceedings seeking to levy certain penalties in connection with these two assessments.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are contesting both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Under Indian tax regulations, we have been required to pay approximately 20.0 million Indian rupees (approximately $436,000 at the exchange rate in effect on June 30, 2006) as a deposit on the first assessment before exhausting all our available opportunities to appeal this assessment. In the appeal process, we may be required to pay additional amounts with respect to the first and second assessments. Any amount paid by us will be refunded to us with interest if we succeed in our appeals. We cannot assure you that our appeals will be successful.</w:t>
      </w:r>
    </w:p>
    <w:p>
      <w:pPr>
        <w:spacing w:after="0" w:line="13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the Indian tax authorities are conducting an audit of our 2004-05 tax year. While no assessments have yet been made in connection with the 2004-05 audit, there can be no assurance that we will not receive additional assessments or be required to pay significant additional taxes with respect to that tax year, or that the Indian taxing authorities will not pursue audits for other tax years.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failure of our appeals or further assessments would reduce our profitability and cash flows.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 substantial portion of our assets and operations are located in India, and we are subject to regulatory, economic and political uncertainties in India.</w:t>
      </w:r>
    </w:p>
    <w:p>
      <w:pPr>
        <w:spacing w:after="0" w:line="11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primary operating subsidiaries are incorporated in India, and virtually all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the rate of economic liberalization could change, and specific laws and policies affecting technology companies, foreign investment, currency exchange rates and other matters affecting investment in our securities could also change. Since 1996, the Government of India has changed six times. The current Indian government is a coalition of many parties, some of which are communist and other far left parties in India, some of which do not want to continue India’s current economic policies.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market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05" w:lineRule="exact"/>
        <w:rPr>
          <w:sz w:val="20"/>
          <w:szCs w:val="20"/>
          <w:color w:val="auto"/>
        </w:rPr>
      </w:pPr>
    </w:p>
    <w:p>
      <w:pPr>
        <w:ind w:left="240" w:right="260"/>
        <w:spacing w:after="0" w:line="325"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financial condition and cash flows.</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Terrorist attacks and other acts of violence or war, including those involving India, the United States or other countries, may adversely affect worldwide financial markets and could potentially lead to economic recession, which could adversely affect our business, results of operations, financial condition and cash flows.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South Asia has, from time to time, experienced instances of civil unrest and hostilities among neighboring countries, including India, Pakistan and China. In recent years there have been several instances of military confrontations along the Indo-Pakistani border. There continues to be potential for hostilities between India and Pakistan due to recent terrorist activities, troop mobilizations along the border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07"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3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The outbreak in 2003 of Severe Acute Respiratory Syndrome in Asia and the outbreak of avian influenza, or bird flu, across Asia and Europe, including recent outbreaks in parts of India,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131"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financial condition and cash flows.</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India is susceptible to natural disasters, including typhoons, tsunamis, floods and earthquakes. Substantially all of our facilities and employees are located in India. If our facilities are damaged by a typhoon, tsunami, flood, earthquake or other natural disaster, our operations and our ability to provide services to our clients could be interrupted or delayed significantly. Our insurance coverage may not be sufficient to cover all of our potential losses. In addition, although all six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could have a material adverse effect on our business, results of operation, financial condition and cash flows.</w:t>
      </w:r>
    </w:p>
    <w:p>
      <w:pPr>
        <w:spacing w:after="0" w:line="10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3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Currency fluctuations among the Indian rupee, the pound sterling and the U.S. dollar could have a material adverse effect on our results of operations.</w:t>
      </w:r>
    </w:p>
    <w:p>
      <w:pPr>
        <w:spacing w:after="0" w:line="11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We report our financial results in U.S. dollars. The exchange rates among the Indian rupee, the pound sterling and the U.S. dollar have changed substantially in recent years and may fluctuate substantially in the future. The average Indian rupee/U.S. dollar exchange rate in 2005 was approximately 44.0 (based on the noon buying rate in the City of New York for cable transfers as certified for customs purposes by the Federal Reserve Bank of New York), representing depreciation of 2.9% compared to the average exchange rate for 2004. The average Indian rupee/pound sterling exchange rate in 2005 was approximately 80.2 (based on the Bloomberg Composite Rate), representing depreciation of 3.4% compared to the average exchange rate in 2004. The average U.S. dollar/pound sterling exchange rate remained stable from 2004 to 2005. Although we take steps to hedge a substantial portion of our Indian rupee-U.S. dollar foreign currency exposures, our results of operations may be adversely affected if the Indian rupee fluctuates significantly against the pound sterling or the U.S. dollar, the pound sterling depreciates against the U.S. dollar or our hedging strategy is unsuccessful.</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more stringent labor laws or other industry standards become applicable to us, our profitability may be adversely affected.</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131"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3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primary operating subsidiaries are organized in India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99"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Section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3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United States, Section 13 of the Civil Code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the party seeking to enforce in India a judgment obtained in the United States would also be required to obtain approval from the Reserve Bank of India under the Foreign Exchange Management Act, 1999 to execute such a judgment or to repatriate any money recovered in an Indian court.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8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Because the initial public offering price per common share is substantially higher than our book value per common share, purchasers in this offering will immediately experience a substantial dilution in net tangible book value.</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Purchasers of our common stock will experience immediate and substantial dilution in net tangible book value per share from the initial public offering price per share. After giving effect to the Share Conversion and the Inductis Acquisition, the sale of the 5,000,000 shares of common stock we have offered hereby, and after deducting underwriting discounts and commissions and estimated offering expenses payable by us, and the application of the net proceeds therefrom, our pro forma as adjusted net tangible book value as of June 30, 2006, would have been $81.2 million, or $2.97 per share of common stock. This represents an immediate dilution in pro forma net tangible book value of $8.03 per share to new investors purchasing shares of our common stock in this offering. A calculation of the dilution purchasers will incur is provided under “Dilution.”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Substantial future sales of shares of our common stock in the public market could cause our stock price to fall.</w:t>
      </w:r>
    </w:p>
    <w:p>
      <w:pPr>
        <w:spacing w:after="0" w:line="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Upon consummation of this offering, we will have outstanding 27,507,638 shares of common stock (approximately 28,257,638 if the underwriters exercise their option in full). Of these shares, the 5,000,000 shares of common stock offered hereby will be freely tradable without restriction in the public market, unless purchased by our affiliates. Upon completion of this offering, our existing stockholders will beneficially own 22,507,638 shares of our common stock, which will represent approximately 81.8% of our outstanding common stock (approximately 79.7% if the underwriters exercise their option in full). In addition, we could issue up to 389,906 additional shares of our Series A common stock (779,812 shares of our common stock after giving effect to the Share Conversion) under the earnout payment provisions relating to the Inductis Acquisition. Based on satisfaction of agreed upon financial performance goals in 2007, we also agreed to make certain additional contingent payments to former holders of Inductis securities in a mix of cash and additional shares of our common stock, the mix of which cannot be determined until the size of the contingent payments, if any, is determined. The value of any such contingent payment will range from $0.6 million to $6.5 million. Immediately following the consummation of this offering, the holders of approximately 103,912 shares of common stock will be entitled to dispose of their shares pursuant to Rule 144 under the Securities Act, the holders of approximately 21,240,768 shares of common stock, representing approximately 77.6% of our outstanding common stock, will be entitled to dispose of their shares following the expiration of an initial 180-day “lock-up” period pursuant to the volume and other restrictions of Rule 144 and the holders of approximately 130,346 shares of common stock, will be entitled to dispose of their shares following the expiration of an initial 180-day “lock-up” pursuant to the holding, volume and other restrictions of Rule 144. The underwriters are entitled to waive these lock-up provisions at their discretion prior to the expiration dates of such lock-up agreements. In addition, beginning June 30, 2007 holders of approximately 1,071,836 shares of common stock will be entitled to dispose of an aggregate of 357,278 of such shares on June 30 of each year. The Company is entitled to waive these lock-up provisions at its discretion prior to the expiration date of such lock-up restrictions.</w:t>
      </w:r>
    </w:p>
    <w:p>
      <w:pPr>
        <w:spacing w:after="0" w:line="11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this offering, we intend to enter into a registration rights agreement with Oak Hill Capital Partners L.P., FTVentures, Vikram Talwar, Rohit Kapoor and certain of their respective affiliates. We have also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agreed to provide registration rights to Norwich Union, TCV V, L.P., TCV V Member Fund and Prudential Financial. Pursuant to these agreements, these holders will have the right, subject to some conditions, to require us to file registration statements covering 18,493,816 shares of our common stock (including restricted stock and shares issuable upon the exercise of currently outstanding options) which they will own upon consummation of this offering or to include those shares and 2,124,940 additional shares of common stock in registration statements that we may file for ourselves or other stockholders. Following their registration and sale under the applicable registration statement, those shares will become freely tradeable. By exercising their registration rights and selling a large number of shares, these holders could cause the price of our common stock to decline. In addition, options to purchase 1,921,476 shares of common stock will be outstanding upon consummation of this offering. Following this offering, we intend to file a registration statement under the Securities Act registering 4,231,130 shares of our common stock reserved for issuance under our equity incentive plans and 807,258 shares held for resale by our existing stockholders that were previously issued under our equity incentive plans.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have never declared or paid any cash dividends on our common stock. For the foreseeable future, we intend to retain any earnings to finance the development and expansion of our business, and we do not anticipate paying any cash dividends on our common stock.</w:t>
      </w:r>
    </w:p>
    <w:p>
      <w:pPr>
        <w:spacing w:after="0" w:line="72" w:lineRule="exact"/>
        <w:rPr>
          <w:sz w:val="20"/>
          <w:szCs w:val="20"/>
          <w:color w:val="auto"/>
        </w:rPr>
      </w:pPr>
    </w:p>
    <w:p>
      <w:pPr>
        <w:ind w:left="240" w:right="340"/>
        <w:spacing w:after="0" w:line="325" w:lineRule="auto"/>
        <w:rPr>
          <w:sz w:val="20"/>
          <w:szCs w:val="20"/>
          <w:color w:val="auto"/>
        </w:rPr>
      </w:pPr>
      <w:r>
        <w:rPr>
          <w:rFonts w:ascii="Arial" w:cs="Arial" w:eastAsia="Arial" w:hAnsi="Arial"/>
          <w:sz w:val="16"/>
          <w:szCs w:val="16"/>
          <w:b w:val="1"/>
          <w:bCs w:val="1"/>
          <w:i w:val="1"/>
          <w:iCs w:val="1"/>
          <w:color w:val="auto"/>
        </w:rPr>
        <w:t>Delaware law and our amended and restated certificate of incorporation and by-laws will contain certain anti-takeover provisions that could delay or discourage business combinations and takeover attempts that stockholders may consider favorable.</w:t>
      </w:r>
    </w:p>
    <w:p>
      <w:pPr>
        <w:spacing w:after="0" w:line="1" w:lineRule="exact"/>
        <w:rPr>
          <w:sz w:val="20"/>
          <w:szCs w:val="20"/>
          <w:color w:val="auto"/>
        </w:rPr>
      </w:pPr>
    </w:p>
    <w:p>
      <w:pPr>
        <w:ind w:firstLine="456"/>
        <w:spacing w:after="0" w:line="257" w:lineRule="auto"/>
        <w:rPr>
          <w:sz w:val="20"/>
          <w:szCs w:val="20"/>
          <w:color w:val="auto"/>
        </w:rPr>
      </w:pPr>
      <w:r>
        <w:rPr>
          <w:rFonts w:ascii="Arial" w:cs="Arial" w:eastAsia="Arial" w:hAnsi="Arial"/>
          <w:sz w:val="17"/>
          <w:szCs w:val="17"/>
          <w:color w:val="auto"/>
        </w:rPr>
        <w:t xml:space="preserve">Our amended and restated certificate of incorporation and by-laws, which we intend to adopt prior to the completion of this offering, will contain provisions that may make it more difficult, expensive or otherwise discourage a tender offer or a change in control or takeover attempt by a third-party that is opposed by our board of directors. These provisions will include classified board provisions, provisions permitting the board of directors to fill vacancies created by its expansion, provisions permitting the removal of directors only for cause and with a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stockholder vote, provisions requiring a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stock price may be volatile, and you may be unable to resell your shares at or above the offering price or at all.</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may not develop or be sustained upon the completion of this offering. The initial public offering price of the common stock offered hereby was determined through our negotiations with the underwriters and may not be indicative of the market price of the common stock after this offering. The market price of our common stock after this offering will be subject to significant fluctuations in response to, among other factors, variations in our operating results, market conditions specific to the BPO services industry and developments relating to India.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8"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competition in the BPO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exchange rates between pounds sterling, U.S. dollars and Indian rupees;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In light of these risks and uncertainties, you should keep in mind that any event described in a forward-looking statement made in this prospectus or elsewhere might not occur.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that our net proceeds from this offering will be approximately $48.7 million, at an assumed public offering price of $11.00 per share (the midpoint of the range set forth on the cover page of this prospectus), after deducting the underwriting discount and commission and estimated offering expenses of approximately $6.4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proceeds from this offering:</w:t>
      </w:r>
    </w:p>
    <w:p>
      <w:pPr>
        <w:spacing w:after="0" w:line="77" w:lineRule="exact"/>
        <w:rPr>
          <w:sz w:val="20"/>
          <w:szCs w:val="20"/>
          <w:color w:val="auto"/>
        </w:rPr>
      </w:pPr>
    </w:p>
    <w:p>
      <w:pPr>
        <w:ind w:left="780" w:right="2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Series A preferred stock, the aggregate principal amount of which was $4.5 million plus accrued dividends of $2.0 million at June 30, 2006;</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stockholders, the aggregate principal amount of which was $4.9 million plus accrued interest of $0.8 million at June 30, 2006;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Series A preferred stock is held by, and the senior promissory notes are payable to, certain of our directors, officers and significant stockholders. See “Certain Relationships and Related Transactions—Stock and Note Purchase Agreement.”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promissory notes to be repaid mature on December 13, 2007. The interest on $4.6 million in aggregate principal amount of the notes accrues every six months from December 13, 2002 through maturity and the interest on $0.3 million in aggregate principal amount of the notes accrues every six months from December 13, 2003 through maturity, in each case, at a rate equal to the greater of 2.02% per semi-annum or LIBOR and must be paid on December 13, 2007 or on the day of any prepayment.</w:t>
      </w:r>
    </w:p>
    <w:p>
      <w:pPr>
        <w:spacing w:after="0" w:line="13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broad discretion as to the application of these proceeds. Prior to application, we may hold any net proceeds in cash or invest them in short-term securities. You will not have an opportunity to evaluate the economic, financial or other information on which we base our decisions regarding the use of these proceeds.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never declared or paid any dividends on our common stock. 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upon then existing conditions, including our financial condition and results of operations, capital requirements, contractual restrictions, business prospects and other factors that our board of directors considers relevant.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June 30, 2006:</w:t>
      </w:r>
    </w:p>
    <w:p>
      <w:pPr>
        <w:spacing w:after="0" w:line="7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basis, to give effect to the Inductis Acquisition;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as-adjusted basis, to give effect to:</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Inductis Acquisition;</w:t>
      </w:r>
    </w:p>
    <w:p>
      <w:pPr>
        <w:spacing w:after="0" w:line="103" w:lineRule="exact"/>
        <w:rPr>
          <w:rFonts w:ascii="Arial" w:cs="Arial" w:eastAsia="Arial" w:hAnsi="Arial"/>
          <w:sz w:val="18"/>
          <w:szCs w:val="18"/>
          <w:color w:val="auto"/>
        </w:rPr>
      </w:pPr>
    </w:p>
    <w:p>
      <w:pPr>
        <w:ind w:left="1360" w:right="140" w:hanging="447"/>
        <w:spacing w:after="0" w:line="325"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sale of 5,000,000 shares of our common stock in this offering at an assumed public offering price of $11.00 per share (the midpoint of the range set forth on the cover page of this prospectus), after deducting the underwriting discount and the estimated offering expenses;</w:t>
      </w:r>
    </w:p>
    <w:p>
      <w:pPr>
        <w:spacing w:after="0" w:line="1" w:lineRule="exact"/>
        <w:rPr>
          <w:rFonts w:ascii="Arial" w:cs="Arial" w:eastAsia="Arial" w:hAnsi="Arial"/>
          <w:sz w:val="16"/>
          <w:szCs w:val="16"/>
          <w:color w:val="auto"/>
        </w:rPr>
      </w:pPr>
    </w:p>
    <w:p>
      <w:pPr>
        <w:ind w:left="1360" w:hanging="447"/>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application of the net proceeds of this offering as described under “Use of Proceeds;” and</w:t>
      </w:r>
    </w:p>
    <w:p>
      <w:pPr>
        <w:spacing w:after="0" w:line="103" w:lineRule="exact"/>
        <w:rPr>
          <w:rFonts w:ascii="Arial" w:cs="Arial" w:eastAsia="Arial" w:hAnsi="Arial"/>
          <w:sz w:val="18"/>
          <w:szCs w:val="18"/>
          <w:color w:val="auto"/>
        </w:rPr>
      </w:pPr>
    </w:p>
    <w:p>
      <w:pPr>
        <w:ind w:left="1360" w:right="80" w:hanging="447"/>
        <w:spacing w:after="0" w:line="268"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Share Conversion as described under “Certain Relationships and Related Transactions—Transactions Entered Into in Connection with this Offering—Share Conversion.”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As of June 30, 2006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16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and long-term debt(1):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Revolving lines of credit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short-term and 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480" w:type="dxa"/>
            <w:vAlign w:val="bottom"/>
            <w:gridSpan w:val="3"/>
          </w:tcPr>
          <w:p>
            <w:pPr>
              <w:spacing w:after="0"/>
              <w:rPr>
                <w:sz w:val="20"/>
                <w:szCs w:val="20"/>
                <w:color w:val="auto"/>
              </w:rPr>
            </w:pPr>
            <w:r>
              <w:rPr>
                <w:rFonts w:ascii="Arial" w:cs="Arial" w:eastAsia="Arial" w:hAnsi="Arial"/>
                <w:sz w:val="18"/>
                <w:szCs w:val="18"/>
                <w:color w:val="auto"/>
              </w:rPr>
              <w:t>Senior promissory notes payable to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Series A preferred stock, par value $.001 per share; 45,833.36 shares authorized (pro forma, 45,833.36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authorized and, pro forma as adjusted, no shares authorized); 45,304 shares issued and outstanding (pro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forma, 45,304 shares issued and outstanding and, pro forma as adjusted, no shares issued and outstanding)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480" w:type="dxa"/>
            <w:vAlign w:val="bottom"/>
            <w:gridSpan w:val="3"/>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Series A common stock, par value $.001 per share, 11,122,702 shares authorized (pro forma 11,122,702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shares authorized and, pro forma as adjusted, no shares authorized); 10,081,778 shares issued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outstanding (pro forma, 10,617,696 shares issued and outstanding and, pro forma as adjusted, no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w w:val="97"/>
              </w:rPr>
              <w:t>Series B non-voting common stock, par value $.001 per share, 1,659,230 shares authorized (pro forma,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640"/>
              <w:spacing w:after="0"/>
              <w:rPr>
                <w:sz w:val="20"/>
                <w:szCs w:val="20"/>
                <w:color w:val="auto"/>
              </w:rPr>
            </w:pPr>
            <w:r>
              <w:rPr>
                <w:rFonts w:ascii="Arial" w:cs="Arial" w:eastAsia="Arial" w:hAnsi="Arial"/>
                <w:sz w:val="18"/>
                <w:szCs w:val="18"/>
                <w:color w:val="auto"/>
                <w:w w:val="94"/>
              </w:rPr>
              <w:t>1,659,230 shares authorized and, pro forma as adjusted, no shares authorized); 617,240 shares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640"/>
              <w:spacing w:after="0"/>
              <w:rPr>
                <w:sz w:val="20"/>
                <w:szCs w:val="20"/>
                <w:color w:val="auto"/>
              </w:rPr>
            </w:pPr>
            <w:r>
              <w:rPr>
                <w:rFonts w:ascii="Arial" w:cs="Arial" w:eastAsia="Arial" w:hAnsi="Arial"/>
                <w:sz w:val="18"/>
                <w:szCs w:val="18"/>
                <w:color w:val="auto"/>
                <w:w w:val="98"/>
              </w:rPr>
              <w:t>and outstanding (pro forma, 617,240 shares issued and outstanding and, pro forma as adjusted, no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640"/>
              <w:spacing w:after="0"/>
              <w:rPr>
                <w:sz w:val="20"/>
                <w:szCs w:val="20"/>
                <w:color w:val="auto"/>
              </w:rPr>
            </w:pPr>
            <w:r>
              <w:rPr>
                <w:rFonts w:ascii="Arial" w:cs="Arial" w:eastAsia="Arial" w:hAnsi="Arial"/>
                <w:sz w:val="18"/>
                <w:szCs w:val="18"/>
                <w:color w:val="auto"/>
              </w:rPr>
              <w:t>shares issued and outstanding)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Common stock, par value $.001 per share, no authorized shares (pro forma, no authorized shares and, pro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forma as adjusted, 100,000,000 shares authorized); no shares issued and outstanding (pro forma, no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2"/>
              </w:rPr>
              <w:t>shares issued and outstanding and, pro forma as adjusted, 27,507,638 shares issued and outstanding)(2)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-4726940</wp:posOffset>
            </wp:positionV>
            <wp:extent cx="34734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-4726940</wp:posOffset>
            </wp:positionV>
            <wp:extent cx="4330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-4726940</wp:posOffset>
            </wp:positionV>
            <wp:extent cx="3898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-172720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40" w:right="40" w:hanging="332"/>
        <w:spacing w:after="0" w:line="25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the Inductis Acquisition, we assumed the obligations of Inductis under existing lines of credit, a term loan and other debt. We repaid these obligations in full on September 26, 2006.</w:t>
      </w:r>
    </w:p>
    <w:p>
      <w:pPr>
        <w:ind w:left="340" w:right="140" w:hanging="332"/>
        <w:spacing w:after="0" w:line="25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options to purchase an aggregate of 1,921,476 shares of common stock that are currently outstanding under our equity incentive plans or otherwise or that are to be granted upon consummation of this offering under our equity incentive plans, 317,004 unvested shares of restricted stock that are currently outstanding under our equity incentive plans or additional shares of common stock that may be issued pursuant to the earnout and contingent payment provisions of the Inductis Acquisition.</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invest in our common stock, you will be diluted to the extent the initial public offering price per share of our common stock exceeds the net tangible book value per share of our common stock immediately after this offering.</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pro forma net tangible book value as of June 30, 2006 was approximately $32.6 million, or $1.46 per share of common stock (after giving effect to the Share Conversion and the Inductis Acquisition). The net tangible book value per share represents the amount of our net worth, or total tangible assets less total liabilities, divided by 22,320,734 shares of our common stock outstanding as of that date (after giving effect to the Share Conversion and the Inductis Acquisition and not including outstanding stock held in our treasury).</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After giving effect to the Share Conversion and the Inductis Acquisition, the issuance and sale of 5,000,000 shares of our common stock in this offering and our receipt of approximately $48.7 million in net proceeds from such sale, based on an assumed public offering price of $11.00 per share (the midpoint of the range set forth on the cover page of this prospectus), and after deducting the underwriting discount and commission and the estimated expenses of the offering, our pro forma as adjusted net tangible book value per share as of June 30, 2006 would have been approximately $81.2 million, or $2.97 per share. This amount represents an immediate increase in pro forma net tangible book value of $1.51 to existing stockholders and an immediate dilution in pro forma net tangible book value of $8.03 per share to new investors purchasing shares of our common stock in this offering. Dilution per share is determined by subtracting the pro forma net tangible book value per share as adjusted for this offering from the amount of cash paid by a new investor for a share of our common stock. The following table illustrates the per share dilution:</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1"/>
              </w:rPr>
              <w:t>Pro forma net tangible book value per share as of June 30, 2006 (adjusted for the Share Conversion and the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Inductis Acquisition but excluding this offering)</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-27305</wp:posOffset>
            </wp:positionV>
            <wp:extent cx="31305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2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as of June 30, 2006, after giving effect to the Share Conversion, the Inductis Acquisition and this offering as described above:</w:t>
      </w:r>
    </w:p>
    <w:p>
      <w:pPr>
        <w:spacing w:after="0" w:line="3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w:t>
      </w:r>
    </w:p>
    <w:p>
      <w:pPr>
        <w:spacing w:after="0" w:line="103"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consideration paid to us before deducting underwriting discounts and commissions of $3.9 million and estimated offering expenses of approximately $2.5 million; and</w:t>
      </w:r>
    </w:p>
    <w:p>
      <w:pPr>
        <w:spacing w:after="0" w:line="37"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price per share paid by existing stockholders and by new investors who purchase shares of common stock in this offering at the assumed initial public offering price of $11.00 per share.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3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Shares Purchased</w:t>
            </w:r>
          </w:p>
        </w:tc>
        <w:tc>
          <w:tcPr>
            <w:tcW w:w="24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Total Consideration</w:t>
            </w:r>
          </w:p>
        </w:tc>
        <w:tc>
          <w:tcPr>
            <w:tcW w:w="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Percent</w:t>
            </w:r>
          </w:p>
        </w:tc>
        <w:tc>
          <w:tcPr>
            <w:tcW w:w="900" w:type="dxa"/>
            <w:vAlign w:val="bottom"/>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Percent</w:t>
            </w:r>
          </w:p>
        </w:tc>
        <w:tc>
          <w:tcPr>
            <w:tcW w:w="5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22,507,638</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$24,348,432</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55,000,000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27,507,638</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$79,348,432</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31305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foregoing tables do not include options to purchase an aggregate of 1,921,476 shares of common stock that are currently outstanding under our equity incentive plans or otherwise or that are to be granted upon consummation of this offering under our equity incentive plans, 317,004 unvested shares of restricted stock that are currently outstanding under our equity incentive plans or additional shares of our common stock that could be issued pursuant to the earnout and contingent payment provisions of the Inductis Acquisition. See “Management—Equity Incentive Plans.”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20" w:firstLine="2725"/>
        <w:spacing w:after="0" w:line="379" w:lineRule="auto"/>
        <w:rPr>
          <w:sz w:val="20"/>
          <w:szCs w:val="20"/>
          <w:color w:val="auto"/>
        </w:rPr>
      </w:pPr>
      <w:r>
        <w:rPr>
          <w:rFonts w:ascii="Arial" w:cs="Arial" w:eastAsia="Arial" w:hAnsi="Arial"/>
          <w:sz w:val="18"/>
          <w:szCs w:val="18"/>
          <w:b w:val="1"/>
          <w:bCs w:val="1"/>
          <w:color w:val="auto"/>
        </w:rPr>
        <w:t xml:space="preserve">SELECTED CONSOLIDATED FINANCIAL AND OTHER DATA </w:t>
      </w:r>
      <w:r>
        <w:rPr>
          <w:rFonts w:ascii="Arial" w:cs="Arial" w:eastAsia="Arial" w:hAnsi="Arial"/>
          <w:sz w:val="18"/>
          <w:szCs w:val="18"/>
          <w:color w:val="auto"/>
        </w:rPr>
        <w:t>The table below presents our selected historical consolidated financial and other data for:</w:t>
      </w:r>
    </w:p>
    <w:p>
      <w:pPr>
        <w:spacing w:after="0" w:line="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successor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six months ended June 30, 2006;</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six months ended June 30, 2005;</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years ended December 31, 2005, 2004 and 2003;</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period from November 15, 2002 to December 31, 2002;</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predecessor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period from January 1, 2002 to November 14, 2002;</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period from August 1, 2001 to December 31, 2001;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pre-predecessor period from April 1, 2001 to July 31, 2001.</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selected balance sheet data as of December 31, 2005, 2004, 2003 and 2002, and the selected statement of operations data for the years ended 2005, 2004 and 2003, the period from November 15 to December 31, 2002, the period from January 1 to November 14, 2002, the period from August 1 to December 31, 2001 and the period from April 1 to July 31, 2001 were derived from our consolidated financial statements that have been audited by Ernst &amp; Young LLP, our independent registered public accounting firm. The balance sheet data as of June 30, 2006, June 30, 2005 and December 31, 2001 and the income statement data for the six months ended June 30,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set forth below should be read in conjunction with “Capitalization,” “Management’s Discussion and Analysis of Financial Condition and Results of Operations” and our consolidated financial statements and related notes included elsewhere in this prospectus.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Predecessor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Six</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2"/>
                <w:szCs w:val="12"/>
                <w:color w:val="auto"/>
              </w:rPr>
            </w:pPr>
          </w:p>
        </w:tc>
        <w:tc>
          <w:tcPr>
            <w:tcW w:w="10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 to</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August 1 to</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April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November 14,</w:t>
            </w:r>
          </w:p>
        </w:tc>
        <w:tc>
          <w:tcPr>
            <w:tcW w:w="2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20" w:type="dxa"/>
            <w:vAlign w:val="bottom"/>
            <w:gridSpan w:val="10"/>
            <w:vMerge w:val="restart"/>
          </w:tcPr>
          <w:p>
            <w:pPr>
              <w:jc w:val="right"/>
              <w:ind w:right="900"/>
              <w:spacing w:after="0"/>
              <w:rPr>
                <w:sz w:val="20"/>
                <w:szCs w:val="20"/>
                <w:color w:val="auto"/>
              </w:rPr>
            </w:pPr>
            <w:r>
              <w:rPr>
                <w:rFonts w:ascii="Arial" w:cs="Arial" w:eastAsia="Arial" w:hAnsi="Arial"/>
                <w:sz w:val="14"/>
                <w:szCs w:val="14"/>
                <w:b w:val="1"/>
                <w:bCs w:val="1"/>
                <w:color w:val="auto"/>
                <w:w w:val="86"/>
              </w:rPr>
              <w:t>(in millions, except share and per share data)</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20" w:type="dxa"/>
            <w:vAlign w:val="bottom"/>
            <w:gridSpan w:val="10"/>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Revenues(1)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2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26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60" w:type="dxa"/>
            <w:vAlign w:val="bottom"/>
          </w:tcPr>
          <w:p>
            <w:pPr>
              <w:spacing w:after="0"/>
              <w:rPr>
                <w:sz w:val="12"/>
                <w:szCs w:val="12"/>
                <w:color w:val="auto"/>
              </w:rPr>
            </w:pP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expenses(3)</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Selling and marketing expenses(3)</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 (loss)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Interest and other income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Interest expense—redeemable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extraordinary item</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before extraordinary</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gain</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Extraordinary gain</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Dividends and accretion 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(loss) to common</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stockholders</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(47.3)</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Basic and diluted earnings (loss) per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to common stockholders: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42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0.32</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0.25</w:t>
            </w:r>
          </w:p>
        </w:tc>
        <w:tc>
          <w:tcPr>
            <w:tcW w:w="26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0.64</w:t>
            </w:r>
          </w:p>
        </w:tc>
        <w:tc>
          <w:tcPr>
            <w:tcW w:w="60" w:type="dxa"/>
            <w:vAlign w:val="bottom"/>
          </w:tcPr>
          <w:p>
            <w:pPr>
              <w:spacing w:after="0"/>
              <w:rPr>
                <w:sz w:val="14"/>
                <w:szCs w:val="14"/>
                <w:color w:val="auto"/>
              </w:rPr>
            </w:pP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0.52</w:t>
            </w:r>
          </w:p>
        </w:tc>
        <w:tc>
          <w:tcPr>
            <w:tcW w:w="2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0.43</w:t>
            </w:r>
          </w:p>
        </w:tc>
        <w:tc>
          <w:tcPr>
            <w:tcW w:w="2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(4.95)</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2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0.63</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Weighted average number of shares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used in computing earnings per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10,608,813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10,573,977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10,587,274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10,259,166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9,784,420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9,555,462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10,714,911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10,729,467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10,795,514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10,508,626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9,784,420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9,555,462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-1270635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-1270635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-1270635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-1270635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-1270635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-1270635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-1270635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-1270635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-1270635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-1270635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-1270635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-1270635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-1270635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-1270635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-1270635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-1270635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-1270635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-1270635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-1270635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-1270635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-1270635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-1270635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-1270635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-1270635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-1270635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-1270635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-1270635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-824865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-824865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-824865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-824865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-824865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-824865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-824865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-824865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-824865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-824865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-824865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-824865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-824865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-824865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-824865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-824865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-824865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-824865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-824865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-824865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-824865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-824865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-824865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-824865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-824865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-824865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-824865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-567690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-567690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-567690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-567690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-567690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-567690</wp:posOffset>
            </wp:positionV>
            <wp:extent cx="91313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-567690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-567690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-567690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-567690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-567690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-567690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-567690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-567690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-567690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-567690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-567690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-567690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-567690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-567690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-567690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-567690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At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rPr>
              <w:t>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At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2006</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2002</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w:t>
            </w:r>
          </w:p>
        </w:tc>
        <w:tc>
          <w:tcPr>
            <w:tcW w:w="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w:t>
            </w:r>
          </w:p>
        </w:tc>
        <w:tc>
          <w:tcPr>
            <w:tcW w:w="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w w:val="96"/>
              </w:rPr>
              <w:t>Series A preferred stock (liquidation preference)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 Revenues include reimbursable expenses of $2.0 million for the six months ended June 30, 2006, $1.6 million for the six months ended June 30, 2005, $3.4 million in 2005, $4.2 million in 2004, $0.6 million in 2003, $2,470 for the period from November 15 to December 31, 2002, $69,096 for the period from January 1 to November 14, 2002, $56,838 for the period from August 1 to December 31, 2001, and $0 for the period from April 1 to July 31, 2001.</w:t>
      </w:r>
    </w:p>
    <w:p>
      <w:pPr>
        <w:ind w:left="460" w:right="28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unaudited pro forma consolidated financial information should be read in conjunction with the historical financial statements of ExlService Holdings and Inductis and the related notes thereto, which are included elsewhere in this prospectus. The following unaudited pro forma consolidated financial information has been prepared by our management and is based on (a) the historical financial statements of ExlService Holdings and Inductis and (b) the assumptions and adjustments described below.</w:t>
      </w:r>
    </w:p>
    <w:p>
      <w:pPr>
        <w:spacing w:after="0" w:line="13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unaudited pro forma consolidated statement of operations data for the year ended December 31, 2005 and the six months ended June 30, 2006 give effect to the Inductis Acquisition as if it had occurred at the beginning of the respective periods, and the unaudited pro forma consolidated balance sheet data at June 30, 2006 give effect to the Inductis Acquisition as if it had occurred on June 30, 2006.</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included all adjustments, consisting of normal recurring adjustments, which in the opinion of management, are necessary for a fair presentation of the data. We based the pro forma adjustments on available information and on assumptions that we believe are reasonable under the circumstances. See “Notes to Unaudited Pro Forma Consolidated Statement of Operations” for a discussion of assumptions made. The unaudited pro forma consolidated financial statements are presented for informational purposes and are based on management’s estimates. The unaudited pro forma consolidated financial statements do not purport to represent what our results of operations or financial position actually would have been if the transactions set forth above had occurred on the dates indicated or what our results of operations or financial position will be for future periods.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July 1, 2006, we completed the Inductis Acquisition under an Agreement and Plan of Merger, dated June 30, 2006, among us, our wholly-owned merger subsidiary, Inductis, Sandeep Tyagi and certain former major stockholders of Inductis. We estimate that the total consideration for this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535,918 shares of our Series A common stock (1,071,836 shares of our common stock after giving effect to the Share Conversion), subject to reduction for any cashless withholding in respect of taxes, $0.9 million in transaction costs and a $0.4 million bonus payable in January 2007. We assumed $4.3 million of Inductis debt, which we repaid in full on September 26, 2006. We are obligated to make an additional approximately $0.5 million working capital adjustment payment based on the net working capital of Inductis and its subsidiaries as of June 30, 2006. We also agreed to make certain earnout payments to the former holders of Inductis securities of up to 389,906 shares of Series A common stock (779,812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See “The Inductis Acquisition” for a more detailed discussion of the terms of the Inductis Acquisition.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15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Pro Forma Consolidated 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ExlService</w:t>
            </w:r>
          </w:p>
        </w:tc>
        <w:tc>
          <w:tcPr>
            <w:tcW w:w="4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Inductis,</w:t>
            </w:r>
          </w:p>
        </w:tc>
        <w:tc>
          <w:tcPr>
            <w:tcW w:w="260" w:type="dxa"/>
            <w:vAlign w:val="bottom"/>
          </w:tcPr>
          <w:p>
            <w:pPr>
              <w:spacing w:after="0"/>
              <w:rPr>
                <w:sz w:val="14"/>
                <w:szCs w:val="14"/>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Holdings Inc.</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w:t>
            </w:r>
          </w:p>
        </w:tc>
        <w:tc>
          <w:tcPr>
            <w:tcW w:w="2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88"/>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intangibles(b)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(benefit) provision(c)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Basic(d)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10,587,274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11,123,192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10,795,514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11,331,432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-1245235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-1245235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-1245235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-1245235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-1245235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-1245235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-1245235</wp:posOffset>
            </wp:positionV>
            <wp:extent cx="50165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-1245235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-1245235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-807720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-807720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-807720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-807720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-807720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-507365</wp:posOffset>
            </wp:positionV>
            <wp:extent cx="59563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-507365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7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Pro Forma Consolidated 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ExlService</w:t>
            </w:r>
          </w:p>
        </w:tc>
        <w:tc>
          <w:tcPr>
            <w:tcW w:w="5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Inductis,</w:t>
            </w:r>
          </w:p>
        </w:tc>
        <w:tc>
          <w:tcPr>
            <w:tcW w:w="15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Holdings, Inc.</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9"/>
              </w:rPr>
              <w:t>Inc.</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3"/>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intangibles(b)</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(benefit) provision(c)</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Basic(d)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10,608,813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11,144,731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10,714,911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11,250,829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-1245235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-1245235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-1245235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-1245235</wp:posOffset>
            </wp:positionV>
            <wp:extent cx="3556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-1245235</wp:posOffset>
            </wp:positionV>
            <wp:extent cx="50165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-1245235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-1245235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-807720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-807720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-807720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-807720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-807720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-507365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-507365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-507365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-507365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Unaudited Pro Forma 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ExlService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4"/>
              </w:rPr>
              <w:t>Pro Forma</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Holdings, Inc.</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Inductis, Inc.</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580"/>
              <w:spacing w:after="0"/>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 (e)</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current assets (f)</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Goodwill and other intangible assets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 (h)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current liabilities (f)</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 (liquidation preference)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Treasury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-2850515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-2850515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-2850515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-2850515</wp:posOffset>
            </wp:positionV>
            <wp:extent cx="49276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-2850515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-2850515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-2850515</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-2850515</wp:posOffset>
            </wp:positionV>
            <wp:extent cx="51879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54419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50165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40" w:firstLine="2231"/>
        <w:spacing w:after="0" w:line="379" w:lineRule="auto"/>
        <w:rPr>
          <w:sz w:val="20"/>
          <w:szCs w:val="20"/>
          <w:color w:val="auto"/>
        </w:rPr>
      </w:pPr>
      <w:r>
        <w:rPr>
          <w:rFonts w:ascii="Arial" w:cs="Arial" w:eastAsia="Arial" w:hAnsi="Arial"/>
          <w:sz w:val="18"/>
          <w:szCs w:val="18"/>
          <w:b w:val="1"/>
          <w:bCs w:val="1"/>
          <w:color w:val="auto"/>
        </w:rPr>
        <w:t>NOTES TO UNAUDITED PRO FORMA CONSOLIDATED FINANCIAL INFORMATION 1. Acquisition and Basis of Presentation</w:t>
      </w:r>
    </w:p>
    <w:p>
      <w:pPr>
        <w:spacing w:after="0" w:line="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July 1, 2006, ExlService Holdings acquired the entire share capital of Inductis and paid approximately $13.0 million, including $0.9 million of transaction costs. The preliminary purchase price is calculated as follows (in millions):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Shares</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Of the cash consideration, approximately $0.4 million will be paid as a bonus in January 2007. 535,918 shares of our Series A common stock (1,071,836 shares of our common stock after giving effect to the Share Conversion), subject to reduction for any cashless withholding in respect of taxes, were issued at a fair value of $17.40 per share, the fair value of our Series A common stock at the time of the Inductis Acquisition based on an independent third party valuation of our stock. Expenses included in the transaction costs include legal, accounting and other direct expenses. In addition, as part of our management incentive plan, we granted 84,897 restricted shares of our Series B common stock (169,794 shares of our common stock after giving effect to the Share Conversion) to the holders of Inductis securities that vest based on service- and performance-based requirements. Due to the service requirements, the value of this restricted stock is not considered part of the purchase price of the Inductis Acquisition but will be reflected in ongoing compensation expense. See (a) in Note 2, “Pro Forma Adjustments,” below.</w:t>
      </w:r>
    </w:p>
    <w:p>
      <w:pPr>
        <w:spacing w:after="0" w:line="10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Under purchase accounting, the purchase price has been preliminarily allocated to the net tangible assets and identifiable intangible assets based on their estimated fair value at the date of acquisition. As part of our process we engaged an independent third party valuation provider to perform a valuation analysis to determine the fair values of certain identifiable intangible assets of Inductis as of the valuation date. This analysis was used as the basis for the preliminary allocation of the purchase price among the acquired identifiable intangible assets of Inductis. As part of the valuation process, the income approach was used to determine the fair value of the assets, the cost approach was used to determine the fair value of the workforce and a market approach was used to determine the fair value of the trademarks. The excess of the purchase price over the net tangible and identifiable intangible assets has been recorded to goodwill. Identifiable intangible assets include client contracts, trademarks and non-compete agreements as detailed in the following purchase price allocation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Non-compete agreements (1 year useful life)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 (2 year average useful life)</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Trademarks (1.5 year useful life)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and liabilities assumed</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 allocation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82" w:lineRule="exact"/>
        <w:rPr>
          <w:rFonts w:ascii="Arial" w:cs="Arial" w:eastAsia="Arial" w:hAnsi="Arial"/>
          <w:sz w:val="18"/>
          <w:szCs w:val="18"/>
          <w:b w:val="1"/>
          <w:bCs w:val="1"/>
          <w:color w:val="auto"/>
        </w:rPr>
      </w:pPr>
    </w:p>
    <w:p>
      <w:pPr>
        <w:ind w:left="900" w:right="240" w:hanging="446"/>
        <w:spacing w:after="0" w:line="306"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 the Inductis Acquisition, holders of vested and unvested shares of common stock of Inductis were granted restricted shares of our Series B common stock which vest over two to three years and some of which are tied to operational performance of the Inductis historic business. The pro forma adjustment reflects the compensation expense related to the grant of such shares of restricted stock.</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Reflects the amortization of identifiable intangibles.</w:t>
      </w:r>
    </w:p>
    <w:p>
      <w:pPr>
        <w:spacing w:after="0" w:line="76"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Reflects an adjustment to income tax expense based on ExlService Holdings’ effective tax rate during the periods presented. For the six month period ended June 30, 2006, the adjustment to income tax expense is less than $0.1 million but is reflected in the pro forma consolidated amount.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325"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Basic and diluted shares include the 535,918 shares of our Series A common stock (1,071,836 shares of our common stock after giving effect to the Share Conversion), subject to reduction for any cashless withholding in respect of taxes, issued as part of the Inductis Acquisition.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cash of $2.4 million paid at closing.</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the adjustment for deferred income tax assets and liabilities of Inductis as of June 30, 2006, which we may not carry forward.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increase in total assets is comprised of the following adjustments (in millions):</w:t>
      </w:r>
    </w:p>
    <w:p>
      <w:pPr>
        <w:spacing w:after="0" w:line="8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Addition:</w:t>
            </w: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w:t>
            </w:r>
          </w:p>
        </w:tc>
        <w:tc>
          <w:tcPr>
            <w:tcW w:w="60" w:type="dxa"/>
            <w:vAlign w:val="bottom"/>
            <w:shd w:val="clear" w:color="auto" w:fill="CCEEFF"/>
          </w:tcPr>
          <w:p>
            <w:pPr>
              <w:spacing w:after="0"/>
              <w:rPr>
                <w:sz w:val="18"/>
                <w:szCs w:val="18"/>
                <w:color w:val="auto"/>
              </w:rPr>
            </w:pPr>
          </w:p>
        </w:tc>
      </w:tr>
      <w:tr>
        <w:trPr>
          <w:trHeight w:val="216"/>
        </w:trPr>
        <w:tc>
          <w:tcPr>
            <w:tcW w:w="800" w:type="dxa"/>
            <w:vAlign w:val="bottom"/>
          </w:tcPr>
          <w:p>
            <w:pPr>
              <w:jc w:val="right"/>
              <w:ind w:right="52"/>
              <w:spacing w:after="0"/>
              <w:rPr>
                <w:sz w:val="20"/>
                <w:szCs w:val="20"/>
                <w:color w:val="auto"/>
              </w:rPr>
            </w:pPr>
            <w:r>
              <w:rPr>
                <w:rFonts w:ascii="Arial" w:cs="Arial" w:eastAsia="Arial" w:hAnsi="Arial"/>
                <w:sz w:val="18"/>
                <w:szCs w:val="18"/>
                <w:color w:val="auto"/>
                <w:w w:val="91"/>
              </w:rPr>
              <w:t>Addition:</w:t>
            </w:r>
          </w:p>
        </w:tc>
        <w:tc>
          <w:tcPr>
            <w:tcW w:w="4820" w:type="dxa"/>
            <w:vAlign w:val="bottom"/>
          </w:tcPr>
          <w:p>
            <w:pPr>
              <w:ind w:left="120"/>
              <w:spacing w:after="0"/>
              <w:rPr>
                <w:sz w:val="20"/>
                <w:szCs w:val="20"/>
                <w:color w:val="auto"/>
              </w:rPr>
            </w:pPr>
            <w:r>
              <w:rPr>
                <w:rFonts w:ascii="Arial" w:cs="Arial" w:eastAsia="Arial" w:hAnsi="Arial"/>
                <w:sz w:val="18"/>
                <w:szCs w:val="18"/>
                <w:color w:val="auto"/>
              </w:rPr>
              <w:t>Identifiable Intangibles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Less:</w:t>
            </w: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at Closing</w:t>
            </w:r>
          </w:p>
        </w:tc>
        <w:tc>
          <w:tcPr>
            <w:tcW w:w="3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22"/>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Less:</w:t>
            </w:r>
          </w:p>
        </w:tc>
        <w:tc>
          <w:tcPr>
            <w:tcW w:w="4820" w:type="dxa"/>
            <w:vAlign w:val="bottom"/>
          </w:tcPr>
          <w:p>
            <w:pPr>
              <w:ind w:left="120"/>
              <w:spacing w:after="0"/>
              <w:rPr>
                <w:sz w:val="20"/>
                <w:szCs w:val="20"/>
                <w:color w:val="auto"/>
              </w:rPr>
            </w:pPr>
            <w:r>
              <w:rPr>
                <w:rFonts w:ascii="Arial" w:cs="Arial" w:eastAsia="Arial" w:hAnsi="Arial"/>
                <w:sz w:val="18"/>
                <w:szCs w:val="18"/>
                <w:color w:val="auto"/>
              </w:rPr>
              <w:t>Deferred tax assets</w:t>
            </w:r>
          </w:p>
        </w:tc>
        <w:tc>
          <w:tcPr>
            <w:tcW w:w="35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r>
      <w:tr>
        <w:trPr>
          <w:trHeight w:val="102"/>
        </w:trPr>
        <w:tc>
          <w:tcPr>
            <w:tcW w:w="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132"/>
        </w:trPr>
        <w:tc>
          <w:tcPr>
            <w:tcW w:w="8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the accrual of $0.9 million of transaction costs related to the Inductis Acquisition and $0.4 million related to a cash payment to be paid as a bonus in January 2007.</w:t>
      </w:r>
    </w:p>
    <w:p>
      <w:pPr>
        <w:spacing w:after="0" w:line="37"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include a working capital adjustment of approximately $0.5 million that we may be required to pay to the former holders of Inductis common stock.</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conjunction with “Selected Consolidated Financial and Other Data” and our consolidated financial statements and the related notes included elsewhere in this prospectus. Some of the statements in the following discussion are forward-looking statements. See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 recognized provider of offshore BPO services, primarily serving the needs of Global 1000 companies in the BFSI sector. We provide a broad range of outsourcing services, including BPO services, research and analytics services and advisory services. We provide integrated front-, middle- and back-office process outsourcing services and manage large-scale processes for our U.S.-based and U.K.-based clients. We also offer various research and analytics services and advisory services to our clients.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0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and London, and our business development team, which operates out of Noida, India. We currently operate six operations facilities in India and anticipate opening an offshore BPO operation outside of India by March 2007.</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generate revenues principally from contracts to provide BPO or advisory services. In the first six months of 2006, we had revenues of $46.8 million compared to $35.6 million for the same period in 2005, an increase of 31.5%. In 2005, we had revenues of $74.0 million compared to $60.5 million in 2004, an increase of 22.3%. Prior to 2003, our revenues were generated principally from Conseco. We attribute our revenue growth to a number of factors, including the growth of our client base, the increase in the size, number and complexity of projects for our clients, and the addition of new services, including compliance and risk advisory services and research and analytics services. Our revenue growth over the three-year period is driven by a combination of new clients, ongoing growth in existing client relationships as well as the inclusion of full-year revenues from clients added in the preceding year. We measure our revenues from new clients as revenues attributable to new clients added and not as an increase in revenues from existing clients. We anticipate continued revenue growth as we expand our service offerings, both organically and through acquisitions such as the Inductis Acquisition. Revenues from new clients are an indicator of successful marketing efforts and do not represent a trend in our results of operations.</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05"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statistical and quantitative analytical techniques. We materially expanded our research and analytics capabilities and enhanced the strategic dimension of our services with the recent acquisition of Inductis in July 2006. Our advisory services include risk assessment, documentation and internal controls testing and business process re-engineering and process quality monitoring.</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59.6% and approximately 40.4% of our pro forma revenues, respectively, in 2005. See “—Foreign Exchange—Exchange Rates.”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provide services to Norwich Union, which represented $36.4 million, or 38.3%, of our pro forma revenues in 2005,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Our contract with our second-largest client, American Express, represented 12.6% of our pro forma revenues in 2005 and provides that American Express may terminate the agreement at any time and without cause with five days prior notice. We provide services to Dell (including Dell Financial Services), which represented 11.9% of our pro forma revenues in 2005,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Contracts representing approximately 3.6% of our pro forma revenues of our BPO business from our other clients in 2005 will expire within 12 months, while the remainder of our BPO contracts expire in more than one year or do not have specified initial terms and remain in effect until terminated or until there are no work orders or engagement schedules. Since we collect revenues on contracts as services are provided, terminated contracts are only subject to collection for portions of the contract completed through the time of termination and payment of applicable penalties. In an effort to avoid early or abrupt contract terminations, we tailor the terms of our contracts according to client needs, review our ability and our clients’ ability to perform on a contract, monitor the progress of all contracts and consider any conditions that might lead to a contract termination.</w:t>
      </w:r>
    </w:p>
    <w:p>
      <w:pPr>
        <w:spacing w:after="0" w:line="11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In connection with unit-priced contracts,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9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telecommunications and travel-related costs. The amount of reimbursable expenses that we incur, and any resulting revenues, can vary significantly from period to period depending on each client’s situation and on the type of services provided.</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operating results may vary significantly from period to period as a result of various factors. For example, Dell, one of our largest clients, experiences seasonal changes in its operations in connection with the year-end holiday season and the school year, which affects our period-to-period results.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Indian rupee, the pound sterling and the U.S. dollar or if our hedging strategy is unsuccessful. See “—Qualitative and Quantitative Disclosures About Market Risk—Components of Market Risk—Exchange Rate Risk,” “—Expenses—Cost of Revenues” and “—Foreign Exchange—Exchange Rates.”</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derive a significant portion of our revenues from a limited number of large clients. In 2005, 2004 and 2003, the revenues from our five largest clients grew to $62.1 million, $54.3 million and $27.4 million, respectively, accounting for 83.9%, 89.8% and 98.6% of our revenues, respectively. During the same periods, revenues from our contracts with our two largest historical clients, Norwich Union and Dell (including Dell Financial Services), accounted for 64.3%, 76.5% and 74.1% of our revenues, respectively. Our five largest clients on a pro forma basis generated $73.3 million, or 77.2% of our 2005 pro forma revenues. Revenues from our three largest clients on a pro forma basis, Norwich Union, American Express and Dell (including Dell Financial Services), represented 62.8% of our 2005 pro forma revenues.</w:t>
      </w:r>
    </w:p>
    <w:p>
      <w:pPr>
        <w:spacing w:after="0" w:line="13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our shift in focus to clients other than Conseco following the 2002 Acquisition and the subsequent bankruptcy of Conseco, commencing in March 2003 our revenues from other clients have increased significantly while revenues from Conseco have decreased significantly. In 2005, revenues from Conseco represented 2.0% of our revenues, compared to 2.5% and 17.6% of our revenues in 2004 and 2003, respectively. We derived revenues from 17, ten and two new clients for our services in 2005, 2004 and 2003, respectively. By acquiring Inductis, we obtained 17 new clients, including American Express, our second largest client on a pro forma basis. Although we are increasing and diversifying our customer base, we expect in the near future that a significant portion of our revenues will continue to be contributed by a limited number of large clients.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Norwich Union has the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Norwich Union has recently publicly announced its intention to start exercising its option to assume the operations of the facilities of certain of its third party vendor-contractors, including one of our facilities in Pune. The affected facility generated 23.9% of our revenues and 18.5% of our pro forma revenues in the six months ended June 30, 2006 and 26.7% of our revenues and 20.8% of our pro forma revenues in 2005. We expect that any decline in revenues that we would experience when Norwich Union exercises this option would be partially offset by a decrease in expenses associated with the operation of the Pune facilities. For more information, see “Certain Relationships and Related Transactions—Agreements with Norwich Union—Option to Purchase Stock of NCOP” and “Risk Factors— Risks Related To Our Business—Our agreements with our largest client give it the option to assume the operations of one of our facilities, and the exercise of that option could have an adverse effect on our business and results of operations.”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77" w:lineRule="exact"/>
        <w:rPr>
          <w:sz w:val="20"/>
          <w:szCs w:val="20"/>
          <w:color w:val="auto"/>
        </w:rPr>
      </w:pPr>
    </w:p>
    <w:p>
      <w:pPr>
        <w:ind w:left="780" w:right="2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37"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telecommunications and IT costs; facilities and customer management support; operational expenses for our outsourcing centers; and rent expenses.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deferred stock compensation expense relating to our issuance of stock options to employees directly involved in providing services to our clients.</w:t>
      </w:r>
    </w:p>
    <w:p>
      <w:pPr>
        <w:spacing w:after="0" w:line="10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We expect our cost of revenues to increase as we add additional professionals in India in 2006 to service additional business, in particular as our research and analytics and advisory services businesses grow, both organically and as a result of the Inductis Acquisition, and as wages continue to increase in India. In particular, we expect training activity costs to increase as we add new clients. See “Risk Factors—Risks Related to our Business—Wage increases in India may prevent us from sustaining our competitive advantage and may reduce our profit margin” and “—We may fail to attract and retain enough sufficiently trained employees to support our operations, as competition for highly skilled personnel is intense and we experience significant employee turnover rates.”</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 We also expect cost of revenues to increase when we add new operations facilities due to increases in telecommunications and rent expenses and other facilities operating costs.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SG&amp;A Expenses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travel and brand building. We expect SG&amp;A expenses to continue to increase in absolute dollars to support our planned growth, including both organic growth and growth through acquisitions like the Inductis Acquisition. We also expect our accounting, insurance and legal fees to increase after the consummation of this offering as a result of being a public company. SG&amp;A expenses also include noncash amortization of deferred stock compensation expense related to our issuance of stock options to senior management, members of our board of directors and advisory board, other support personnel and consultants.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Depreciation and amortization pertains to depreciation and amortization of our tangible and intangible assets, including network equipment, cabling, computers, office furniture and equipment, motor vehicles and leasehold improvements. Non-cash amortization of deferred stock compensation expenses are not included in depreciation and amortization, but are included as an element of compensation expenses as described above.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add clients, we expect that depreciation expense will increase, reflecting additional investments in equipment such as desktop computers, servers and other infrastructure. We expect a significant increase of approximately $2.5 million in amortization expense over the next 12 months as a result of the Inductis Acquisition.</w:t>
      </w:r>
    </w:p>
    <w:p>
      <w:pPr>
        <w:spacing w:after="0" w:line="121" w:lineRule="exact"/>
        <w:rPr>
          <w:sz w:val="20"/>
          <w:szCs w:val="20"/>
          <w:color w:val="auto"/>
        </w:rPr>
      </w:pPr>
    </w:p>
    <w:p>
      <w:pPr>
        <w:jc w:val="right"/>
        <w:ind w:right="10060"/>
        <w:spacing w:after="0"/>
        <w:rPr>
          <w:sz w:val="20"/>
          <w:szCs w:val="20"/>
          <w:color w:val="auto"/>
        </w:rPr>
      </w:pPr>
      <w:r>
        <w:rPr>
          <w:rFonts w:ascii="Arial" w:cs="Arial" w:eastAsia="Arial" w:hAnsi="Arial"/>
          <w:sz w:val="15"/>
          <w:szCs w:val="15"/>
          <w:b w:val="1"/>
          <w:bCs w:val="1"/>
          <w:color w:val="auto"/>
        </w:rPr>
        <w:t>Foreign Exchange</w:t>
      </w:r>
    </w:p>
    <w:p>
      <w:pPr>
        <w:spacing w:after="0" w:line="117" w:lineRule="exact"/>
        <w:rPr>
          <w:sz w:val="20"/>
          <w:szCs w:val="20"/>
          <w:color w:val="auto"/>
        </w:rPr>
      </w:pPr>
    </w:p>
    <w:p>
      <w:pPr>
        <w:jc w:val="right"/>
        <w:ind w:right="10000"/>
        <w:spacing w:after="0"/>
        <w:rPr>
          <w:sz w:val="20"/>
          <w:szCs w:val="20"/>
          <w:color w:val="auto"/>
        </w:rPr>
      </w:pPr>
      <w:r>
        <w:rPr>
          <w:rFonts w:ascii="Arial" w:cs="Arial" w:eastAsia="Arial" w:hAnsi="Arial"/>
          <w:sz w:val="18"/>
          <w:szCs w:val="18"/>
          <w:b w:val="1"/>
          <w:bCs w:val="1"/>
          <w:i w:val="1"/>
          <w:iCs w:val="1"/>
          <w:color w:val="auto"/>
        </w:rPr>
        <w:t>Exchange Rates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The exchange rates among the Indian rupee, the pound sterling and the U.S. dollar have changed substantially in recent years and may fluctuate substantially in the future. The results of our operations are affected as the Indian rupee appreciates or depreciates against the U.S. dollar or the pound sterling. See “—Qualitative and Quantitative Disclosures About Market Risk—Components of Market Risk—Exchange Rate Risk” and “Risk Factors—Risks Related to India and the International Nature of our Business—Currency fluctuations among the Indian rupee, the pound sterling and the U.S. dollar could have a material adverse effect on our results of operations.”</w:t>
      </w:r>
    </w:p>
    <w:p>
      <w:pPr>
        <w:spacing w:after="0" w:line="13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we report our financial results in U.S. dollars and a substantial portion of our revenues is earned in pounds sterling. Accordingly, our results of operations are adversely affected as the pound sterling depreciates against the U.S. dollar. See “—Qualitative and Quantitative Disclosures About Market Risk— Components of Market Risk—Exchange Rate Risk.”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Regulation</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Indian Finance Act, 2000 until March 31,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result of the tax holiday, our BPO service operations have been subject to relatively lower tax liabilities. For example, we recognized minimal income tax expense in 2005 as a result of the tax holiday, compared to approximately $2.4 million that we would have incurred if the tax holiday had not been available for that period (without accounting for double taxation treaty set-offs). When our tax holiday expires or terminates, our tax expense will materially increase. While we have incurred losses under applicable Indian tax laws, we have decided not to carry forward these losses.</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 We are currently involved in disputes with Indian tax authorities over the application of some of our transfer pricing policies. We have received two assessment orders from the Indian tax authorities with respect to their audit of certain of our subsidiaries. The first assessment demands that EXL India pay additional taxes in the amount of 96,796,762 Indian rupees (approximately $2.1 million at the exchange rate in effect on June 30, 2006). The second assessment demands the payment by EXL Inc. of 146,655,473 Indian rupees (approximately $3.2 million at the exchange rate in effect on June 30, 2006). We have appealed both assessments. Under Indian tax regulations, we have been required to pay approximately 20.0 million Indian rupees (approximately $436,000 at the exchange rate in effect on June 30, 2006) as a deposit on the first assessment before exhausting all our available appeals.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We do not expect any impact from these assessments on our future income tax expense. See “Business—Legal Proceedings—Tax Proceedings.”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is subject to U.S. income taxes on the profits it recognizes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History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2002 Acquisition</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pre-predecessor, EXL Inc., was formed on April 9, 1999 and began commercial operations in October 2000. On July 31, 2001, EXL Inc. was acquired by Conseco in the 2001 Acquisition and operated as Conseco’s wholly owned subsidiary, providing services principally to Conseco and its affiliates until November 14, 2002. Conseco accounted for the acquisition using the purchase method. All purchase accounting adjustments recorded by Conseco were pushed down to the financial statements of our predecessor as the acquisition by Conseco created a new accounting basis for our predecessor. Accordingly, our predecessor recognized goodwill of $46.0 million. Our predecessor subsequently recorded a goodwill impairment charge of $46.0 million.</w:t>
      </w:r>
    </w:p>
    <w:p>
      <w:pPr>
        <w:spacing w:after="0" w:line="10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were formed by a group including Vikram Talwar, Rohit Kapoor, Oak Hill Capital Partners L.P., FTVentures and certain other members of our senior management team. On November 14, 2002, we purchased EXL Inc. from Conseco in the 2002 Acquisition and EXL Inc. became our wholly owned subsidiary. We accounted for the 2002 Acquisition using the purchase method in accordance with Statement of Financial Accounting Standards No. 141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w:t>
      </w:r>
      <w:r>
        <w:rPr>
          <w:rFonts w:ascii="Arial" w:cs="Arial" w:eastAsia="Arial" w:hAnsi="Arial"/>
          <w:sz w:val="16"/>
          <w:szCs w:val="16"/>
          <w:color w:val="auto"/>
        </w:rPr>
        <w:t>,” or SFAS 141. The fair value of the net assets acquired exceeded the cost.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SFAS 141, we allocated the excess of the fair value over the cost to the non-current assets acquired. Such allocation resulted in reducing the carrying value of fixed assets to zero, and we recognized the remaining excess of the fair value of the net assets acquired over cost of approximately $5.0 million as an extraordinary gain in our consolidated financial statements. As a result, the net carrying value of the fixed assets we acquired in the 2002 Acquisition was recorded at zero value in our books, causing depreciation expense to decline after the 2002 Acquisition.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Inductis Acquisition</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July 1, 2006, we completed the Inductis Acquisition. Inductis is a provider of research and analytics services. The Inductis Acquisition has expanded the types and sophistication of the research and analytics services we offer. Inductis had approximately 250 employees and had revenues of $13.6 million in the first six months of 2006 and $20.9 million in 2005. We estimate that the total consideration for this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535,918 shares of our Series A common stock (1,071,836 shares of our common stock after giving effect to the Share Conversion), subject to reduction for any cashless withholding in respect of taxes, $0.9 million in transaction costs and a $0.4 million bonus payable in January 2007. We also assumed $4.3 million of Inductis debt, which we repaid in full on September 26, 2006. We are obligated to make an additional approximately $0.5 million working capital adjustment payment based on the net working capital of Inductis and its subsidiaries as of June 30, 2006. We also agreed to make certain earnout payments to the former holders of Inductis securities of up to 389,906 shares of Series A common stock (779,812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w:t>
      </w:r>
    </w:p>
    <w:p>
      <w:pPr>
        <w:spacing w:after="0" w:line="115" w:lineRule="exact"/>
        <w:rPr>
          <w:sz w:val="20"/>
          <w:szCs w:val="20"/>
          <w:color w:val="auto"/>
        </w:rPr>
      </w:pPr>
    </w:p>
    <w:p>
      <w:pPr>
        <w:jc w:val="both"/>
        <w:ind w:right="240" w:firstLine="456"/>
        <w:spacing w:after="0" w:line="332" w:lineRule="auto"/>
        <w:rPr>
          <w:sz w:val="20"/>
          <w:szCs w:val="20"/>
          <w:color w:val="auto"/>
        </w:rPr>
      </w:pPr>
      <w:r>
        <w:rPr>
          <w:rFonts w:ascii="Arial" w:cs="Arial" w:eastAsia="Arial" w:hAnsi="Arial"/>
          <w:sz w:val="16"/>
          <w:szCs w:val="16"/>
          <w:color w:val="auto"/>
        </w:rPr>
        <w:t>As a result of the Inductis Acquisition, our historical results of operations will not be comparable to our results of operations in future periods. See “The Inductis Acquisition” and “Unaudited Pro Forma Consolidated Financial Information” for a more complete discussion of the terms of the Inductis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12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of deductions and the allocation of income among various tax jurisdictions. Based on our evaluation of our tax position and the information presently available to us, we believe we have adequately accrued for probable exposures as of December 31, 2005. To the extent we are able to prevail in matters for which accruals have been established or are required to pay amounts in excess of our reserves, our effective tax rate in a given financial statement period may be materially impacted.</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Applicable transfer pricing regulations require that any international transaction involving associated enterprises be at an arm’s 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We are currently involved in disputes with Indian tax authorities over the application of some of our transfer pricing policies. See “Business—Legal Proceedings.”</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determine if a valuation allowance is required or not on the basis of an assessment of whether it is more likely than not that a deferred tax asset will be realized.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our consolidated financial statements for the year ended December 31, 2005.</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January 1, 2006, we adopted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123(R), using the modified prospective method of transition with regard to stock-based awards. In connection with our adoption of SFAS 123(R), we believe that stock-based compensation expense for 2006 related to stock-based payments granted prior to January 1, 2006 and unvested as of that date will be approximately $0.7 million, of which $0.4 million was recorded for the six months ended June 30, 2006. See Note 12, “Stock Based Compensation,” in the notes to our unaudited consolidated financial statements for the six months ended June 30, 2006. Until the consummation of this offering, we will continue to use third party valuation firms to perform valuations of the fair value of our securities in connection with stock-based equity grants.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January 1, 2006, we accounted for stock-based payments using Accounting Principles Board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or APB 25. Under APB 25, compensation expense was generally not recognized when both the exercise price is the same as the market price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to be issued is set on the date the employee stock option is granted. We chose to use the intrinsic value method to measure our compensation costs. If we had used the fair value method, we would have recognized additional compensation expense of $0.5 million, $0.3 million and nil in 2005, 2004 and 2003, respectively. See Note 2, “Summary of Significant Accounting Policies,” in the notes to our consolidated financial statements for the year ended December 31, 2005. See Note 11,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in the notes to our consolidated financial statements for the year ended December 31, 2005 for significant factors considered in determining the fair value of our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hedging instruments, authorized under our policies with counterparties that are highly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rated financial institutions. Our primary exchange rate exposure is with the pound sterling and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“Accounting for Derivative Instruments and Hedging Activities.”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entered into forward exchange contracts during the years ended December 31, 2005, 2004 and 2003. At December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evaluated the effectiveness of all forward exchange contracts. For the year ended December 31, 2005, net gains from ineffective cash flow hedges included in the consolidated statement of operations totaled approximately $1.4 million. For hedge relationships discontinued because the forecasted transaction is not expected to occur by the end of the originally specified period, any related derivative amounts recorded in equity are reclassified to earnings.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7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05"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 See Note 8, “Employee Benefit Plans,” in the notes to our consolidated financial statements for the year ended December 31,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Six Months</w:t>
            </w:r>
          </w:p>
        </w:tc>
        <w:tc>
          <w:tcPr>
            <w:tcW w:w="14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8"/>
              </w:rPr>
              <w:t>Six Months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152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13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June 30,</w:t>
            </w: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83"/>
              </w:rPr>
              <w:t>2005</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6"/>
              </w:rPr>
              <w:t>(unaudited)</w:t>
            </w:r>
          </w:p>
        </w:tc>
        <w:tc>
          <w:tcPr>
            <w:tcW w:w="14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6"/>
              </w:rPr>
              <w:t>(unaudited)</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Cost of revenues(2)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Selling and marketing expenses(3)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tcPr>
          <w:p>
            <w:pPr>
              <w:spacing w:after="0"/>
              <w:rPr>
                <w:sz w:val="19"/>
                <w:szCs w:val="19"/>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-172720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-172720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-172720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46736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-172720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-172720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-172720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-172720</wp:posOffset>
            </wp:positionV>
            <wp:extent cx="53594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80" w:lineRule="exact"/>
        <w:rPr>
          <w:sz w:val="20"/>
          <w:szCs w:val="20"/>
          <w:color w:val="auto"/>
        </w:rPr>
      </w:pPr>
    </w:p>
    <w:p>
      <w:pPr>
        <w:ind w:left="460" w:right="34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8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8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2006 Compared to Six Months Ended June 30, 2005</w:t>
      </w:r>
    </w:p>
    <w:p>
      <w:pPr>
        <w:spacing w:after="0" w:line="7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31.5% from $35.6 million for the first six months of 2005 (including $1.6 million of reimbursable expenses) to $46.8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first six months of 2006 (including $2.0 million of reimbursable expenses). We recognized revenues from 39 clients, including clients for our research and analytics services and our advisory services, during the first six months of 2006 compared to 25 during the first six months of 2005. Revenues attributable to new clients (excluding revenue increases attributable to existing clients) were $8.4 million for the first six months of 2006.</w:t>
      </w:r>
    </w:p>
    <w:p>
      <w:pPr>
        <w:spacing w:after="0" w:line="9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26.2% from $23.7 million for the first six months of 2005 (including $1.6 million of reimbursable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to $29.9 million for the first six months of 2006 (including $2.0 million of reimbursable expenses). Salaries and personnel expenses increased from $15.4 million in the 2005 period to $19.7 million in the 2006 period as a result of an increase in operating staff from 4,573 employees at June 30, 2005 to 7,107 employees at June 30, 2006. Cost of revenues also increased due to an increase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reimbursable expenses, primarily as a result of significant additional costs associated with training activities on client premises. Facilities operating costs increased from $3.2 million for the first six months of 2005 to $3.8 million for the first six months of 2006, primarily reflecting our increased workforce and the commencement of operations in February 2006 of a new 1,000-seat center in Noida. Technology and telecommunications operating costs remained relatively flat at $3.1 million for both periods. As a percentage of revenues, cost of revenues decreased from 66.6% for the first six months of 2005 to 63.9% for the first six months of 2006.</w:t>
      </w:r>
    </w:p>
    <w:p>
      <w:pPr>
        <w:spacing w:after="0" w:line="12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42.0% from $11.9 million for the first six months of 2005 to $16.9 million for the first six months of 2006.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revenues, gross profit increased from 33.4% for the first six months of 2005 to 36.1% for the first six months of 2006.</w:t>
      </w:r>
    </w:p>
    <w:p>
      <w:pPr>
        <w:spacing w:after="0" w:line="7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29.4% from $6.8 million for the first six months of 2005 to $8.8 million for the first six months of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21.7% from $6.0 million for the first six months of 2005 to $7.3 million for the first six months of 2006 and selling and marketing expenses increased 87.5% from $0.8 million for the first six months of 2005 to $1.5 million for the first six months of 2006. These increases were primarily due to the addition of headquarters and sales and marketing staff in the United States, as well as an increase in audit and other professional fees incurred in anticipation of becoming a public company. Salary and personnel expenses increased from $4.2 million for the first six months of 2005 to $5.3 million for the first six months of 2006. Marketing and business promotion expenses increased from $0.8 million for the first six months of 2005 to $1.4 million for the first six months of 2006, reflecting not only the addition of staff referred to above, but also a general increase in marketing activities. As a percentage of revenues, SG&amp;A expenses decreased from 19.1% for the first six months of 2005 to 18.8% for the first six months of 2006.</w:t>
      </w:r>
    </w:p>
    <w:p>
      <w:pPr>
        <w:spacing w:after="0" w:line="10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20.0% from $3.0 million for the first six months of 2005 to $3.6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 six months of 2006. The increase was primarily due to the commencement of operations at the additional center referred to above. As we add clients, we also expect that depreciation expense will increase, reflecting additional investment in equipment and facilities necessary to meet service requirements.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114.3% from $2.1 million for the first six months of 2005 to $4.5 million for the first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of 2006. Operating margin increased period-to-period as revenue growth outpaced growth in operating expenses in the 2006 period at a higher rate than in the 2005 period.</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Other income/expense decreased from income of $0.8 million for the first six months of 2005 to an expense of $0.3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first six months of 2006 as a result of foreign exchange losses. Other income is comprised of foreign exchange gains and losses, interest income and expense and interest expense on redeemable preferred stock. Foreign exchange showed a loss of $1.8 million year over year comparing the first six months of 2006 to the first six months of 2005. Interest and other income and interest expense for the two periods reflected the reclassification of our preferred stock from debt to equity on August 16, 2005 as a result of our adopting SFAS 150 “</w:t>
      </w:r>
      <w:r>
        <w:rPr>
          <w:rFonts w:ascii="Arial" w:cs="Arial" w:eastAsia="Arial" w:hAnsi="Arial"/>
          <w:sz w:val="16"/>
          <w:szCs w:val="16"/>
          <w:i w:val="1"/>
          <w:iCs w:val="1"/>
          <w:color w:val="auto"/>
        </w:rPr>
        <w:t>Accounting for Certain Financial Instruments with Characteristics of Both Liabilities</w:t>
      </w:r>
      <w:r>
        <w:rPr>
          <w:rFonts w:ascii="Arial" w:cs="Arial" w:eastAsia="Arial" w:hAnsi="Arial"/>
          <w:sz w:val="16"/>
          <w:szCs w:val="16"/>
          <w:color w:val="auto"/>
        </w:rPr>
        <w:t>,” or SFAS 150, on July 1, 2003. For the first six months of 2006, we accrued dividends in lieu of the interest expense accrued in the comparable prior period. See Note 6, “Redeemable Preferred Stock,” in the notes to consolidated financial statements for the year ended December 31, 2005.</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$0.2 million in the first six months of 2005 to $0.5 million in the first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2006. The lower tax expense in the first six months of 2005 was the result of the geographical mix of where our income is derived.</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Dividends and accretion on preferred stock was $0.3 million for the six months ended June 30,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the reclassification of our preferred stock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August 2005. The preferred stock was classified as debt in the comparable prior period. See Note 6, “Redeemable Preferred Stock,” in the notes to consolidated financial statements for the year ended December 31, 2005.</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(Loss) to Common Stockholders. </w:t>
      </w:r>
      <w:r>
        <w:rPr>
          <w:rFonts w:ascii="Arial" w:cs="Arial" w:eastAsia="Arial" w:hAnsi="Arial"/>
          <w:sz w:val="18"/>
          <w:szCs w:val="18"/>
          <w:color w:val="auto"/>
        </w:rPr>
        <w:t>Net income increased 25.9% from $2.7 million for the first six months of 2005 to $3.4 million for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of 2006.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22.3% from $60.5 million for 2004 (including $4.2 million of reimbursable expenses) to $74.0 million for 2005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$3.4 million of reimbursable expenses). The increase was the result of an increase in clients in 2005 and the growth in that period of our advisory services. We added 17 new clients for our services, including advisory services, during 2005 compared to ten new clients during 2004. Revenues attributable to new clients (excluding revenue increases attributable to existing clients) were $5.4 million for 2005 accounting for 7.3% of revenues.</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23.0% from $38.7 million for 2004 (including $4.2 million of reimbursable expenses) to $47.6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2005 (including $3.4 million of reimbursable expenses). Salaries and personnel expenses increased from $23.1 million for 2004 to $30.4 million for 2005 as a result of an increase in operating staff from 4,788 at December 31, 2004 to 5,137 at December 31, 2005. Cost of revenues also increased due to an increase in reimbursable expenses, primarily as a result of significant additional costs associated with training activities on client premises. Facilities operating costs increased from $5.5 million for 2004 to $6.4 million for 2005 primarily as a result of our increased workforce. Our technology and telecommunications operating costs remained flat at $6.1 million. As a percentage of revenues, cost of revenues was also flat at approximately 64.0% comparing 2004 to 2005.</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21.1% from $21.8 million for 2004 to $26.4 million for 2005. As a percentage of revenues, gross profit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36.0% for 2004 to 35.7% for 2005.</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18.3% from $12.6 million for 2004 to $14.9 million for 2005. General and administrative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18.9% from $11.1 million for 2004 to $13.2 million for 2005 and selling and marketing expenses increased 13.3% from $1.5 million for 2004 to $1.7 million for 2005. Salary and personnel expenses increased from $7.5 million for 2004 to $8.2 million for 2005 as a result of adding staff in the United States and India. Marketing and business promotion expenses increased from $1.5 million in 2004 to $1.7 million in 2005, reflecting not only the additional staff referred to above, but also a general increase in marketing activities. SG&amp;A expenses declined as a percentage of revenues from 20.8% for 2004 to 20.1% for 2005.</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from $3.9 million for 2004 to $5.9 million for 2005, primarily reflecting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equipment and hardware in our operation centers in India necessary to meet service requirements.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5.7% from $5.3 million for 2004 to $5.6 million for 2005. The increase in operating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an increase in our revenues recognized from providing services to our clients, partially offset by an increase in our expenses to meet the requirements of servicing our customers.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Other income increased significantly from $0.1 million for 2004 to $0.8 million for 2005. Foreign exchange gain increased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$0.1 million from $0.8 million in 2004 to $0.9 million in 2005, primarily as a result of recording a gain of approximately $1.4 million relating to ineffective cash flow hedges in 2005 offset by foreign exchange losses relating to the recording of effective cash flow hedges as well as losses on revaluation of our monetary assets and liabilities denominated in currencies other than their functional currencies.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Interest and other income and interest expense resulted in an expense of $0.1 million in 2004 and income of $0.3 million in 2005. Interest expense on preferred stock decreased from $0.6 million in 2004 to $0.4 million in 2005 as a result of the reclassification during 2005 of our preferred stock to equity, which generated dividend expense in lieu of interest expense. See Note 6, “Redeemable Preferred Stock,” in the notes to consolidated financial statements for the year ended December 31, 2005.</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was a benefit in 2005 of $0.6 million as a result of a reversal of the deferred tax asset valuation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$0.9 million at December 31, 2005, partly offset by an increase in state taxes of $0.3 million.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consolidated financial statements for the year ended December 31, 2005. The 2004 provision includes $0.1 million related to U.S. federal alternative minimum taxes and taxes on non-exempt income in India offset by $0.1 million of deferred tax benefits which we believe will more likely than not be realized.</w:t>
      </w:r>
    </w:p>
    <w:p>
      <w:pPr>
        <w:spacing w:after="0" w:line="10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 and accretion on preferred stock was $0.2 million for the year ended December 31,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the reclassification of our preferred stock as described above. See Note 6, “Redeemable Preferred Stock,” in the notes to consolidated financial statements for the year ended December 31, 2005.</w:t>
      </w:r>
    </w:p>
    <w:p>
      <w:pPr>
        <w:spacing w:after="0" w:line="127" w:lineRule="exact"/>
        <w:rPr>
          <w:sz w:val="20"/>
          <w:szCs w:val="20"/>
          <w:color w:val="auto"/>
        </w:rPr>
      </w:pPr>
    </w:p>
    <w:p>
      <w:pPr>
        <w:ind w:left="240" w:right="600" w:firstLine="228"/>
        <w:spacing w:after="0" w:line="375" w:lineRule="auto"/>
        <w:rPr>
          <w:sz w:val="20"/>
          <w:szCs w:val="20"/>
          <w:color w:val="auto"/>
        </w:rPr>
      </w:pPr>
      <w:r>
        <w:rPr>
          <w:rFonts w:ascii="Arial" w:cs="Arial" w:eastAsia="Arial" w:hAnsi="Arial"/>
          <w:sz w:val="18"/>
          <w:szCs w:val="18"/>
          <w:b w:val="1"/>
          <w:bCs w:val="1"/>
          <w:i w:val="1"/>
          <w:iCs w:val="1"/>
          <w:color w:val="auto"/>
        </w:rPr>
        <w:t xml:space="preserve">Net Income to Common Stockholders. </w:t>
      </w:r>
      <w:r>
        <w:rPr>
          <w:rFonts w:ascii="Arial" w:cs="Arial" w:eastAsia="Arial" w:hAnsi="Arial"/>
          <w:sz w:val="18"/>
          <w:szCs w:val="18"/>
          <w:color w:val="auto"/>
        </w:rPr>
        <w:t>Net income to common stockholders increased 25.9% from $5.4 million in 2004 to $6.8 million for 2005.</w:t>
      </w:r>
      <w:r>
        <w:rPr>
          <w:rFonts w:ascii="Arial" w:cs="Arial" w:eastAsia="Arial" w:hAnsi="Arial"/>
          <w:sz w:val="18"/>
          <w:szCs w:val="18"/>
          <w:b w:val="1"/>
          <w:bCs w:val="1"/>
          <w:i w:val="1"/>
          <w:iCs w:val="1"/>
          <w:color w:val="auto"/>
        </w:rPr>
        <w:t xml:space="preserve"> Year Ended December 31, 2004 Compared to Year Ended December 31, 2003</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increased approximately 117.6% from $27.8 million for 2003 (including $0.6 million of reimbursable expenses) to $60.5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(including $4.2 million of reimbursable expenses) primarily as a result of the growth of our client base, the increase in size and number of services we provided and the addition of new services, such as advisory services. We added ten new clients for our services, including advisory services, during 2004 compared to two new clients during 2003. Revenues attributable to new clients were $6.4 million for 2004 accounting for 10.6% of revenues of which $2.5 million represented revenues from advisory services. As a result of providing services for the entire year in 2004 as compared to only during a part of the period during 2003, we generated more revenue in 2004 (an increase of $20.0 million) from clients added in 2003, including Norwich Union. These increases were partially offset by a decline in revenues from Conseco, principally as a result of Conseco’s reduced business activity following its bankruptcy in late 2002. In 2004, Conseco contributed 2.5% of revenues compared to 17.6% of revenues for 2003.</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110.3% from $18.4 million for 2003 (including $0.6 million of reimbursable expenses) to $38.7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(including $4.2 million of reimbursable expenses). Salaries and personnel expenses increased from $11.2 million for 2003 to $23.1 million for 2004 as a result of an increase in operating staff from 2,344 at December 31, 2003 to 4,788 at December 31, 2004. Cost of revenues also increased due to an increase in reimbursable expenses primarily as a result of significant additional costs associated with training activities on client premises. Facilities operating costs increased from $2.7 million for 2003 to $5.5 million for 2004 primarily reflecting our increased workforce and the commencement of operations in January 2004 of new 2,118-seat facilities in Pune. Technology and telecommunications operating costs increased 53.0% from $4.0 million for 2003 to $6.1 million for 2004 as a result of our increased business volume. As a percentage of revenues, cost of revenues decreased from 66.2% for 2003 to 64.0% for 2004 due to improved employee utilization.</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131.9% from $9.4 million for 2003 to $21.8 million for 2004. As a percentage of revenues, gross profit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33.8% for 2003 to 36.0% for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40.0% from $9.0 million for 2003 to $12.6 million for 2004. General and administrative expenses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40.5% from $7.9 million for 2003 to $11.1 million for 2004 and selling and marketing expenses increased 36.4% from $1.1 million for 2003 to $1.5 million for 2005. These increases were primarily due to increased salary and personnel expenses relating to our non-operations staff incurred to expand our sales efforts and organizational infrastructure. Salary and personnel expenses increased from $5.1 million for 2003 to $7.6 million for 2004. SG&amp;A expenses declined as a percentage of revenues from 32.4% for 2003 to 20.8% for 2004. We believe that the rate of increase in our SG&amp;A expenses was lower than the corresponding increase in our revenues as a result of our more effective utilization of resources and increased economies of scale.</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significantly from $0.4 million for 2003 to $3.9 million for 2004. The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EXL Inc. from Conseco resulted in negative goodwill. In accordance with SFAS 141, we allocated the excess of the fair value over cost to the fixed assets and other non current assets acquired thereby reducing their carrying value to zero as of November 15, 2002. Accordingly there was minimal depreciation for 2003. Depreciation for 2004 includes depreciation on fixed assets acquired since the 2002 Acquisition, particularly for our Pune facilities described above.</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has improved from break-even for 2003 to income of $5.3 million for 2004. The increase in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was primarily due to increased revenues from clients other than Conseco resulting from our sales and marketing efforts during 2003 and 2004.</w:t>
      </w:r>
    </w:p>
    <w:p>
      <w:pPr>
        <w:spacing w:after="0" w:line="7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Interest and other income and interest expense for 2004 and 2003 remained unchanged at $0.1 million. Foreign exchange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100% to $0.8 million in 2004 from $0.4 million in 2003 primarily due to depreciation of the U.S. dollar as compared to the pound sterling. Interest expense on preferred stock has increased to $0.6 million in 2004 from $0.3 million in 2003 as a result of our adopting SFAS 150.</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in 2003 was principally for U.S. federal alternative minimum taxes. The 2004 provision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$0.1 million related to U.S. federal alternative minimum taxes and taxes on non-exempt income in India offset by $0.1 million of deferred tax benefits which we believe will more likely than not be realized.</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Dividends and accretion on preferred stock for 2003 and 2004 reflected the adoption of SFAS 150,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turn resulted in the reclassification of our preferred stock as debt. See Note 6, “Redeemable Preferred Stock,” in the notes to consolidated financial statements for the year ended December 31, 2005.</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(Loss) to Common Stockholders. </w:t>
      </w:r>
      <w:r>
        <w:rPr>
          <w:rFonts w:ascii="Arial" w:cs="Arial" w:eastAsia="Arial" w:hAnsi="Arial"/>
          <w:sz w:val="18"/>
          <w:szCs w:val="18"/>
          <w:color w:val="auto"/>
        </w:rPr>
        <w:t>Net income to common stockholders increased significantly from a loss of $1.0 million for 2003 to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$5.4 million for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Historically, our capital requirements have principally been for establishing offshore operations facilities in India and acquisitions. We expect this to continue for the foreseeable future. We have financed our operations primarily through sales of equity and some debt securities and, more recently, through cash flows from operations. In connection with the 2002 Acquisition in December 2002, we sold promissory notes, preferred stock and common stock to a group of our stockholders and certain members of our management for an aggregate of $10.1 million. In July 2004, we issued and sold 526,316 shares of our Series A common stock (1,052,632 shares of our common stock after giving effect to the Share Conversion) to our client, Norwich Union, for an aggregate purchase price in cash of $12.5 million. At June 30, 2006, we had $24.3 million in cash and cash equivalents on hand.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Generally, factors that affect our earnings—for example, pricing, volume of services, costs and productivity—affect our cash flows provided by operations similarly. However, while management of working capital, including timing of collections and payments, affects operating results only indirectly, the impact on working capital and cash flows provided by operating activities can be significant. In the first six months of 2006, cash flows from operating activities decreased to $2.7 million compared to $4.4 million for the first six months of 2005. This decrease is predominantly due to an increase in accounts receivable as a result of the timing of customer payments, an increase in deferred taxes and a decrease in deferred revenue in the first six months of 2006. This increase was offset by a decrease in accounts payable and accrued expenses due to the timing of payments to our vendors and prepaid expenses. Cash flows provided by operating activities increased to $13.1 million for 2005 compared to $9.9 million for 2004 due to several factors. Net income increased in 2005 by $1.6 million due to continued growth in our business. In addition, increases in our deferred tax assets and accounts receivable in 2005 were offset by an increase in our deferred revenue as a result of a revenue advance from Norwich Union and increased depreciation expenses resulting from capital investments made in 2004. Cash flows provided by operating activities increased to $9.9 million for 2004 compared to cash used in operating activities of approximately $1.9 million for 2003 due to several factors. Net income increased to $5.4 million for 2004 compared to a net loss of $0.8 million for 2003 as a result of higher business volumes and better utilization of committed resources. In addition, cash flows for 2004 increased on account of revenue advances received from Norwich Union during the year. Our 2004 cash flows were also affected by an increase, when compared to 2003, in accounts receivable, prepaid expenses and other current assets of $3.5 million due to higher business volumes during 2004 offset by an increase in accrued expenses and other liabilities of $2.2 million due to the timing in payment of certain liabilities.</w:t>
      </w:r>
    </w:p>
    <w:p>
      <w:pPr>
        <w:spacing w:after="0" w:line="11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Cash used in investing activities has been mainly for the purchase of fixed assets, including telecommunications equipment and leasehold improvements, and the development of our five historical operating facilities in India. Cash used in investing activities increased to $2.3 million in the first six months of 2006 from $1.8 million in the first six months of 2005. The increase is a result of the purchase of fixed assets for the new operations center in Noida, which has a capacity of approximately 1,000 seats. Cash used in investing activities decreased to $7.1 million for 2005 from $12.3 million for 2004, mainly because we had no new facilities become operational in 2005 and thus incurred less leasehold improvements and other facility expenditures in that period. Cash used in investing activities increased to $12.3 million for 2004 from $5.4 million for 2003 as a result of the development of our operating facilities in Pune, which have a capacity of approximately 2,118 seats. We spent a significant portion of these funds on leasehold improvements and technology and telecommunications infrastructure.</w:t>
      </w:r>
    </w:p>
    <w:p>
      <w:pPr>
        <w:spacing w:after="0" w:line="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Cash used in financing activities increased as a result of repurchasing our common stock from former employees and an increase in capital lease principal payments during the first six months of 2006 as compared to the first six months of 2005. Cash used in financing activities was $0.1 million for 2005 compared to cash provided by financing activities of $12.4 million for 2004, reflecting Norwich Union’s purchase of 526,316 shares of our Series A common stock in July 2004. Cash provided by financing activities increased to $12.4 million for 2004 from $0.6 million for 2003 primarily as a result of the Norwich Union investment.</w:t>
      </w:r>
    </w:p>
    <w:p>
      <w:pPr>
        <w:spacing w:after="0" w:line="9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capital expenditures related to new facilities. Capital expenditures we make to meet client needs represent primarily leasehold improvements to buildout facilities, telecommunications equipment, and computer hardware and software we purchase in connection with managing client operations. We intend to establish a new operations facility in Noida, India, during 2007 with an installed capacity of approximately 1,150 workstations at a total estimated cost of approximately $8.0 million. We also intend to exercise our buy-out option under the lease for one of our operation centers in Pune, India for a total estimated cost, including fit-out, of approximately $3.0 million. We currently have no other individually large outstanding commitments for capital expenditures. The timing and volume of such capital expenditures in the future will be affected by new contracts we may enter into or the expansion of our existing contracts. Therefore, we cannot reasonably predict our capital expenditures beyond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we will continue to rely upon cash from operating activities to finance our capital expenditures and working capital needs.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made capital expenditures of approximately $7.1 million in 2005, $12.3 million in 2004 and $5.4 million in 2003. Capital expenditures in 2005 related primarily to the development of our new center in Noida, and capital expenditures in 2004 related to, among other things, the opening of our new operating facilities in Pune.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to incur approximately $5.0 million of capital expenditures in 2006, of which we had incurred approximately $2.3 million as of June 30, 2006. We expect to incur approximately $12.0 million to $15.0 million of capital expenditures in 2007. We expect capital expenditures in 2006 and 2007 will be used primarily to meet the growth requirements of our clients, including expanding our facilities and establishing our new facility in Noida in 2007, as well as to improve our internal technology. In addition, we are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July 1, 2006, we completed the Inductis Acquisition. We estimate that the total consideration for the Inductis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535,918 shares of our Series A common stock (1,071,836 shares of our common stock after giving effect to the Share Conversion), subject to reduction for any cashless withholding in respect of taxes, $0.9 million in transaction costs and a $0.4 million bonus payable in January 2007. We are obligated to make an additional approximately $0.5 million working capital adjustment payment based on the net working capital of Inductis and its subsidiaries as of June 30, 2006. We also assumed $4.3 million of Inductis debt which we repaid in full on September 26, 2006. We also agreed to make certain earnout payments to the former holders of Inductis securities of up to 389,906 shares of Series A common stock (779,812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 See “The Inductis Acquisition” for a more detailed description of the terms of the Inductis Acquisition.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intend to use the proceeds from this offering to repurchase or redeem all outstanding shares of our Series A preferred stock, the aggregate principal amount of which plus accrued but unpaid dividends was $6.5 million at June 30, 2006, and repay all outstanding promissory notes, the aggregate principal amount of which plus accrued but unpaid interest was $5.7 million at June 30, 2006, and for working capital and general corporate purposes. We believe that cash flow from operations and the net proceeds from this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1"/>
          </w:tcPr>
          <w:p>
            <w:pPr>
              <w:ind w:left="80"/>
              <w:spacing w:after="0"/>
              <w:rPr>
                <w:sz w:val="20"/>
                <w:szCs w:val="20"/>
                <w:color w:val="auto"/>
              </w:rPr>
            </w:pPr>
            <w:r>
              <w:rPr>
                <w:rFonts w:ascii="Arial" w:cs="Arial" w:eastAsia="Arial" w:hAnsi="Arial"/>
                <w:sz w:val="14"/>
                <w:szCs w:val="14"/>
                <w:b w:val="1"/>
                <w:bCs w:val="1"/>
                <w:color w:val="auto"/>
                <w:w w:val="96"/>
              </w:rPr>
              <w:t>Payments Due by Period (in millions)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Less than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1-3</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4-5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After 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8"/>
              </w:rPr>
              <w:t>1 year</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Service and supply contracts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agreements (1)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 long-term liabilities reflected on balance sheet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-172720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-172720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-172720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-172720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-172720</wp:posOffset>
            </wp:positionV>
            <wp:extent cx="26162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“Management—Executive Compensation—Employment Agreements” for a description of these employment agreements.</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entered into an Insurance Services Framework Agreement and related Virtual Shareholders’ Agreement with Norwich Union pursuant to which we have granted Norwich Union the option from January 2008 through February 2011 to purchase the shares of our subsidiary that operates one of our facilities in Pune, India, upon the payment of an amount that will approximate the net asset value of that facility on the date of transfer. Norwich Union has recently publicly announced its intention to start exercising its option to assume the operations of the facilities of certain of its third party vendor-contractors, including one of our facilities in Pune. The exercise of this option would result in both a loss of revenues and the loss of all of our employees who are at that time working under that contract. We expect that any decline in revenues that we would experience when Norwich Union exercises this option would be partially offset by a decrease in expenses associated with the operation of the Pune facilities. See “Certain Relationships and Related Transactions—Agreements with Norwich Union —Option to Purchase Stock of NCOP” and “Risk Factors—Risks Related To Our Business—Our agreements with our largest client give it the option to assume the operations of one of our facilities, and the exercise of that option could have an adverse effect on our business and results of operations.”</w:t>
      </w:r>
    </w:p>
    <w:p>
      <w:pPr>
        <w:spacing w:after="0" w:line="10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EXL India and NCOP have been established as “Export-Oriented Undertaking” enterprises under the Export Import Policy, a policy formulated by the Government of India that has provided us with certain incentives on the import of capital goods. Under this policy, EXL India and NCOP must achieve certain export ratios and realize revenues attributable to exports of $244.5 million and $43.4 million, respectively, over a period of five years. As of June 30, 2006, EXL India and NCOP had achieved export revenues of $68.6 million and $29.2 million, respectively. We are required to have export revenues of $22.4 million during the period from 2006 to 2008 and $167.7 million during the period from 2006 to 2010. In the event that EXL India and NCOP are unable to meet these requirements over the specified period, we may be required to refund these incentives along with penalties and fines. However, management believes that EXL India and NCOP will achieve these export levels within the required timeframe as both EXL India and NCOP have consistently generated the required levels of export revenues. Under the policy, EXL India and NCOP were entitled to import capital goods with a value of $32.3 million and $7.9 million, respectively, free of any import duties. We have not utilized $17.3 million of the duty-free imports allowance of which $9.7 million is due to expire in 2008 and $7.6 million is due to expire in 2010.</w:t>
      </w:r>
    </w:p>
    <w:p>
      <w:pPr>
        <w:spacing w:after="0" w:line="10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Inductis Acquisition, we also agreed to make certain earnout payments to the former holders of Inductis securities, payable in an amount of additional shares of our Series A common stock not exceeding an aggregate of 389,906 shares (779,812 shares of our common stock after giving effect to the Share Conversion), based on whether the operations of the historic Inductis business satisfy certain agreed-upon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financial performance goals in 2006 and 2007. Based on satisfaction of certain agreed upon financial performance goals for the historic Inductis business in 2007, we also agreed to make certain additional contingent payments to former holders of Inductis securities in a mix of cash and additional shares of our common stock, the mix of which cannot be determined until the size of the contingent payments, if any, is determined. The value of any such contingent payments will range from $0.6 million to $6.5 million. We also agreed to make a $0.4 million bonus payment in January 2007. See “The Inductis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and June 30, 2006, we had no off-balance sheet arrangements or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exposure to market risk is a function of our borrowing activities and revenue generating activities in foreign currencies. The objective of market risk management is to avoid excessive exposure of our earnings and equity to loss. Most of our exposure to market arises out of our foreign currency accounts receivable.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Exl Inc. is the U.S. dollar. The functional currency of EXL India, NCOP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ESS is Indian rupees and the functional currency of EXL U.K. is pounds sterling.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 of operations. The assets and liabilities of subsidiaries are translated into U.S. dollars at the rate of exchange prevailing on the related balance sheet date. Revenues and expenses are translated into U.S. dollars at average exchange rates prevailing during the period. Resulting translation adjustments are included in the “accumulated other comprehensive income (loss)” balance sheet line item.</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arises principally from exchange rate risk. Although substantially all of our revenues are denominated in pounds sterling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(51.8% in 2005, or 40.4% on a pro forma basis) or U.S. dollars (48.2% in 2005, or 59.6% on a pro forma basis), 78.9% of our expenses (or 64.5% on a pro forma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were incurred and paid in the Indian rupee in 2005. The exchange rates among the Indian rupee, the pound sterling and the U.S. dollar have changed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in recent years and may fluctuate substantially in the future. See “—Foreign Exchange—Exchange Rates.”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2005 and excluding any hedging arrangements that we had in place during that period, a 5.0% appreciation/depreciation in the pound sterling against the U.S. dollar would have increased/decreased revenues in 2005 by approximately $1.9 million. Similarly, a 5.0% depreciation in the Indian rupee against the U.S. dollar would have decreased our expenses incurred and paid in rupees in 2005 by approximately $2.5 million. Conversely, a 5.0% appreciation in the Indian rupee against the U.S. dollar would have increased our expenses incurred and paid in Indian rupees during 2005 by approximately $2.8 million.</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sought to reduce the effect of Indian rupee-U.S. dollar exchange rate fluctuations on our operating results by purchasing forward foreign exchange contracts to cover a portion of outstanding accounts receivable designated in foreign currencies. We entered into forward exchange contracts in 2003, 2004 and 2005. None of the contracts entered into in 2003 were outstanding at December 31, 2003. Forward exchange contracts with a notional amount of $44.5 million and 8.2 million pounds sterling ($14.1 million at exchange rates in effect on December 31, 2005) were outstanding at December 31, 2005 and of $11.3 million were outstanding at December 31, 2004. The fair value of such contracts at December 31, 2005 and December 31, 2004 was $0.5 million and $0.1 million, respectively.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Our exposure to interest rate risk arises principally from interest on our debt. We have $4.9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promissory notes outstanding as of December 31, 2005. Interest on the principal amount of the promissory notes is payable at maturity and accrues at a rate equal to the greater of 2.02% semiannually or LIBOR. We intend to use the proceeds from this offering to repay all of our outstanding promissory notes, plus accrued but unpaid interest to the date of repayment. In connection with the Inductis Acquisition, we assumed certain debt obligations of Inductis. A portion of this debt is based on prime lending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FASB issued SFAS No. 123(R), which establishes standards for transactions in which an entity exchanges its equity for goods or services. Effective January 1, 2006, we adopted SFAS No. 123(R) using the modified prospective method of transition. Under the provisions of SFAS No. 123(R), the estimated fair value of stock-based awards granted under stock incentive plans are recognized as compensation expense over the vesting period. Under the modified prospective method, compensation expense is recognized beginning with the effective date of adoption of SFAS No. 123(R) for all stock-based payments (i) granted after the effective date of adoption and (ii) granted prior to the effective date of adoption and that remain unvested on the date of adoption. We currently believe that stock-based compensation expense for 2006-related stock-based payments granted prior to January 1, 2006 and unvested as of that date will be approximately $0.7 million, of which $0.4 million was recorded for the six months ended June 30, 2006.</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December 2004, the FASB issued SFAS No. 153, “</w:t>
      </w:r>
      <w:r>
        <w:rPr>
          <w:rFonts w:ascii="Arial" w:cs="Arial" w:eastAsia="Arial" w:hAnsi="Arial"/>
          <w:sz w:val="16"/>
          <w:szCs w:val="16"/>
          <w:i w:val="1"/>
          <w:iCs w:val="1"/>
          <w:color w:val="auto"/>
        </w:rPr>
        <w:t>Exchanges of Nonmonetary Assets</w:t>
      </w:r>
      <w:r>
        <w:rPr>
          <w:rFonts w:ascii="Arial" w:cs="Arial" w:eastAsia="Arial" w:hAnsi="Arial"/>
          <w:sz w:val="16"/>
          <w:szCs w:val="16"/>
          <w:color w:val="auto"/>
        </w:rPr>
        <w:t>,” which eliminated the exception for nonmonetary exchanges of similar productive assets and replaces it with a general exception for exchanges of nonmonetary assets that do not have commercial substance. SFAS No. 153 is effective for nonmonetary asset exchanges occurring in fiscal periods beginning after June 15, 2005. We do not believe the adoption of SFAS No. 153 will have a material impact on our consolidated financial position, results of operations or cash flows.</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&amp; Error Corrections</w:t>
      </w:r>
      <w:r>
        <w:rPr>
          <w:rFonts w:ascii="Arial" w:cs="Arial" w:eastAsia="Arial" w:hAnsi="Arial"/>
          <w:sz w:val="18"/>
          <w:szCs w:val="18"/>
          <w:color w:val="auto"/>
        </w:rPr>
        <w:t>,” which provided guidance on the accounting for and reporting of accounting changes and error corrections. It establishes, unless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is effective for accounting changes and correction of errors made in fiscal year beginning after December 15, 2005. We do not believe the adoption of SFAS No. 154 will have a material impact on our consolidated financial position, results of operations or cash flows.</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February 2006, the FASB issued SFAS No. 155, “</w:t>
      </w:r>
      <w:r>
        <w:rPr>
          <w:rFonts w:ascii="Arial" w:cs="Arial" w:eastAsia="Arial" w:hAnsi="Arial"/>
          <w:sz w:val="16"/>
          <w:szCs w:val="16"/>
          <w:i w:val="1"/>
          <w:iCs w:val="1"/>
          <w:color w:val="auto"/>
        </w:rPr>
        <w:t>Accounting for Certain Hybrid Financial Instruments—an amendment of FASB Statements No. 133</w:t>
      </w:r>
      <w:r>
        <w:rPr>
          <w:rFonts w:ascii="Arial" w:cs="Arial" w:eastAsia="Arial" w:hAnsi="Arial"/>
          <w:sz w:val="16"/>
          <w:szCs w:val="16"/>
          <w:color w:val="auto"/>
        </w:rPr>
        <w:t xml:space="preserve"> </w:t>
      </w:r>
      <w:r>
        <w:rPr>
          <w:rFonts w:ascii="Arial" w:cs="Arial" w:eastAsia="Arial" w:hAnsi="Arial"/>
          <w:sz w:val="16"/>
          <w:szCs w:val="16"/>
          <w:i w:val="1"/>
          <w:iCs w:val="1"/>
          <w:color w:val="auto"/>
        </w:rPr>
        <w:t>and 140</w:t>
      </w:r>
      <w:r>
        <w:rPr>
          <w:rFonts w:ascii="Arial" w:cs="Arial" w:eastAsia="Arial" w:hAnsi="Arial"/>
          <w:sz w:val="16"/>
          <w:szCs w:val="16"/>
          <w:color w:val="auto"/>
        </w:rPr>
        <w:t>,” or SFAS No. 155. SFAS No. 155 permits fair value remeasurement for any hybrid financial instrument that contains an embedded derivative that</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have not completed our evaluation of the effect SFAS No. 155 may have on our consolidated financial position, results of operations or cash flows.</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or SFAS No. 156, which clarifies the accounting for separately recognized servicing assets and liabilities. SFAS No. 156 is effective in fiscal years beginning after September 15, 2006. We do not believe the adoption of SFAS No. 156 will have a material impact on our consolidated financial position, results of operations or cash flows.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2006, the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or FIN 48.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FIN 48 is effective for fiscal years beginning after December 15, 2006. We have not yet evaluated the impact of adopting FIN 48 on our consolidated financial position, results of operation or cash flows. However, we do not believe that our accounting for the two current India tax assessments pending against certain of our subsidiaries will be impacted by the adoption of FIN 48.</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 recognized provider of offshore BPO services, primarily serving the needs of Global 1000 companies in the BFSI sector. We provide a broad range of outsourcing services, including BPO services, research and analytics services and advisory services.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$60.5 million in 2004 and $74.0 million in 2005 for a compound annual growth rate of 63.2% during that period. Our revenue growth over the three-year period is driven by a combination of new clients, ongoing growth in existing client relationships as well as the inclusion of full-year revenues from clients added in the preceding year. On a pro forma basis, our revenues were $60.4 million for the six months ended June 30, 2006.</w:t>
      </w:r>
    </w:p>
    <w:p>
      <w:pPr>
        <w:spacing w:after="0" w:line="10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combine in-depth knowledge of the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research and analytics services, we have expanded the types and sophistication of research and analytics services we offer. We believe that the Inductis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10795</wp:posOffset>
            </wp:positionV>
            <wp:extent cx="4631055" cy="24441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63105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largest clients in 2005, on a pro forma basis, were Norwich Union (an Aviva company), American Express and Dell (including Dell Financial Services). Other clients include Centrica plc, Prudential Financial, Indymac Bank, one of the three largest U.S. banks, two of the five largest U.S. insurers and one of the largest global providers of business information.</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operations platforms are supported by a state-of-the-art infrastructure that can be expanded to meet each client’s needs. We market our services directly through our sales and marketing team, which operates out of New York and London and our business development team, which operates out of Noida, India. Our senior managers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have extensive experience in the BFSI sector as well as the business practices of leading multi-national corporations. Our operations centers are located in India, which enables us to leverage India’s large talent pool of highly qualified and educated English-speaking technical professionals, who are able to handle complex processes that require functional skills and industry expertise. We also believe we can offer consistently high quality services at substantially lower costs than those available from in-house facilities or U.S. or U.K.-based outsourcing providers. In addition, we are contractually committed to investing in an operations facility outside of India by March 2007, which we believe will enhance our global delivery model and provide higher value to our clients through risk diversification and access to a pool of potential employees with language and other skills that will meet the needs of a broader range of potential clients.</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 continued process enhancements by soliciting and implementing process improvements from employees and through our proprietary software tools. As part of our commitment to quality, we have been awarded an ISO 9001:2000 certification for quality assurance and a BS7799 certification for information security, demonstrating our high standards for quality and information security. We have also received an OHSAS 18001 certification for all of our facilities in Noida and Pune recognizing our safety and health management practices. We believe our OHSAS 18001 certification demonstrates to our clients and employees our concern for the occupational health and safety of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were founded in 1999 by a group of experienced professionals including Vikram Talwar, the former Chief Executive Officer and Managing Director of Ernst &amp; Young Consulting India and the former Country Manager for Bank of America in India and other Asian countries, and Rohit Kapoor, a former business head for South Asian clients at Deutsche Bank Private Bank and a former head of non-resident Indian banking at Bank of America. Mr. Talwar is our Vice Chairman and Chief Executive Officer and Mr. Kapoor is our President and Chief Financial Officer.</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August 2001, we were acquired by Conseco and operated as its wholly owned subsidiary and in-house business processing service provider for the following 14 months. Through this relationship, we gained a deep understanding of the financial services sector, especially back-office processing functions and debt collections. In November 2002, Messrs. Talwar and Kapoor, Oak Hill Capital Partners L.P., FTVentures and certain members of our senior management team purchased EXL Inc. from Conseco in the 2002 Acquisition and EXL Inc. became our wholly owned subsidiary.</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July 1, 2006, we completed the Inductis Acquisition, which significantly increased the size and scale of our existing research and analytics capabilities and enhanced our ability to deliver services to our clients, introduced our management to a well-diversified base of clients and strengthened and expanded the depth of our management pool, including senior managers with long-term client relationships in key areas of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acheiving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Demand for offshore BPO services has grown substantially in recent years. 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BFSI, utilities, healthcare, telecommunications and retail. The high cost of servicing a large number of small customer accounts makes outsourcing a compelling strategic alternative for these industries.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BFSI Sector</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BFSI sector is characterized by intense competition among traditional participants and new entrants, as well as rapid technological innovation. As a result of these challenges, we believe that the BFSI sector is adopting BPO more rapidly than other industries. Organizations in the BFSI sector continue to outsource their key business processes to third parties to reduce costs, improve process quality, handle increased transaction volumes and ensure redundancy. In selecting BPO vendors, the BFSI sector remains focused on vendor responsiveness, customer service and quality and an ability to smoothly transition complex processes and develop customized services.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3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 India currently accounts for the largest share of the offshore BPO services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have the competitive strengths necessary to maintain and improve our position as a leading provider of BPO services in the BFSI sector.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competitive strengths include: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Deep and Comprehensive BPO Processing Experience Within the BFSI Sector</w:t>
      </w:r>
    </w:p>
    <w:p>
      <w:pPr>
        <w:spacing w:after="0" w:line="7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With 85.8% of our pro forma BPO revenues in 2005 derived from the BFSI sector, we have gained a deep understanding of that sector, especially in functions such as loan underwriting support, claims processing, premium research and reconciliation, collections and accounts receivable management. Our expertise stems from our early association with Conseco and has allowed us to provide a full range of services to our clients. Because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the BFSI sector is adopting BPO more rapidly than other industries, we intend to continue to focus on strengthening our capabilities for the BFSI sector and other high-potential sectors (such as healthcare, media and utilities) by developing more complex services for our clients. We believe we are among the first global BPO service providers to have migrated from single or discrete transaction processes to a full range of functional services. We have successfully transferred more than 225 processes covering a broad array of products and services to our operations centers, including policy servicing, research, agency management and premium administration for clients in the life insurance, property and casualty insurance, health insurance and retirement services areas. In addition, we have developed substantial knowledge of the regulatory requirements applicable to the BFSI sector which operate as a significant barrier to new entrants. For example, we are one of the few offshore BPO service providers that can provide third-party administrator insurance services in 43 states of the United States, having been licensed or exempted from, or not subject to, licensing in each of those states. In addition, we are also licensed to operate debt-collection services in all but one state in the United States where such licenses are required, which makes us an attractive service provider to future clients. While the outsourcing industry is highly fragmented, we believe that we are recognized within the industry and among prospective clients as being among a small number of BPO companies that can offer depth of expertise in the BFSI sector. We believe that we are well-positioned to capitalize on the growth in this sector and to leverage the expertise we have gained in this area to steadily broaden and diversify our client base.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Client Relationships that Result in a High Level of Recurring and Predictable Revenues in Our BPO Business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established long-term relationships with our BPO clients for whom we manage a wide variety of processes. A substantial majority of our BPO services are provided under long-term contracts with initial terms ranging from three to seven years. For BPO clients whose processes we have fully migrated, this contract structure provides us with relatively predictable and recurring revenues for a substantial portion of our business, and reduces our sales and marketing costs relative to project-based service providers. Our client relationships typically evolve from providing a single, discrete process into providing a series of complex, integrated processes across multiple business lines.</w:t>
      </w:r>
    </w:p>
    <w:p>
      <w:pPr>
        <w:spacing w:after="0" w:line="1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2005, 38.3% of our pro forma revenues were generated by our largest BPO client under two framework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In 2005, 11.9% of our pro forma revenues were generated by our second-largest BPO client under two main agreements.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 Our other BPO clients can terminate their contracts without cause during the initial term.</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Strong Focus on Process Migration, Operations Management and Process Excellence</w:t>
      </w:r>
    </w:p>
    <w:p>
      <w:pPr>
        <w:spacing w:after="0" w:line="77"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Our ability to deliver continuous process improvements and our reputation for superior service have proven to be strong competitive advantages when developing new client relationships. Our success to date reflects our strong focus on operations management and ongoing process improvement.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have successfully migrated processes on an as-is basis and through re-engineering transformation. We use Six Sigma methodology to identify and eliminate inefficiencies in client and support processes and have created a dedicated team of full-time Six Sigma-trained “black belts” and “green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belts,” who have substantial expertise in applying the methodology. We have also implemented Kaizen initiatives to solicit and implement process improvements from employees at all levels and to leverage the learning and experiences of each of our employees. In addition, we have developed proprietary tools, including our Process Management and Performance Tracking, or ProMPT, system, to identify and continue to deliver process improvements for our clients, and a Staff Optimization and Forecasting Tool, or SOFT, for effective workforce management of our client processes. We have been awarded ISO 9001:2000 certification for quality assurance and BS7799 certification for information security. We have also received OHSAS 18001 certification for all of our facilities in Noida and Pune recognizing our safety and health management practices.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Robust Human Resources and Technology Infrastructure</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investment in employee recruitment, training and retention provides us with the ability to rapidly increase the scale of our operations to respond to the needs of our clients. We have invested significant resources in employee recruitment, training and retention, enabling us to grow from approximately 1,800 employees at December 31, 2002 to approximately 7,300 employees at July 1, 2006. Substantially all of our new employees are based in India. We currently have the ability to recruit and train an average of 390 employees per month and believe that the strength of our human resource function will enable us to continue to attract highly qualified and motivated employees, notwithstanding competitive pressures, and to expand our business rapidly as market conditions warrant. Of our employees, 97.1% have college degrees. We believe that our focus on hiring, training and retaining our employees should enable us to continue to deliver high quality services to our clients.</w:t>
      </w:r>
    </w:p>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also developed an extensive technological infrastructure with a focus on redundancies, scalability and, most importantly, information security. Our locations in India and the United States are connected using a combination of leased domestic and international telecommunications links with redundant capacity. Industry standard network management systems monitor the systems on an uninterrupted 24 hours a day, seven days a week, or “24/7” basis. The robustness of our telecommunications network has allowed us to achieve an average network availability of 99.9% for day-to-day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Experienced Management Team With a Significant Equity Stake</w:t>
      </w:r>
    </w:p>
    <w:p>
      <w:pPr>
        <w:spacing w:after="0" w:line="7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We pride ourselves on the strength and depth of our management and their continued commitment to our ongoing success. With the Inductis Acquisition, we have significantly expanded the depth of our management pool, including senior managers with long-term client relationships in key areas of our business. Our top 32 senior managers at or above the level of vice president have an average of approximately ten years of experience in the BFSI sector and extensive working experience with the business practices of multinational corporations. Vikram Talwar, our Vice Chairman and Chief Executive Officer, co-founded our company after being Chief Executive Officer and Managing Director of Ernst &amp; Young Consulting India and spending 26 years at Bank of America in a variety of senior management roles, including Country Manager in India and other Asian countries. Our other co-founder and current President and Chief Financial Officer, Rohit Kapoor, has over 11 years of experience working with Deutsche Bank and Bank of America in the United States and India. We have a committed management team that has a significant equity stake in our company. 32 members of our senior management team beneficially own 26.8% of our outstanding common stock and will continue to beneficially own 21.9% of our outstanding common stock following the consummation of this offering. The incentives that 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BPO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Offering a Broad Range of Outsourcing Services.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servicing our clients, we seek to differentiate ourselves by emphasizing the broad range of outsourcing services, including BPO, research and analytics and advisory services, that we provide. We believe that clients are increasingly viewing their BPO service providers as long-term partners that provide a full range of service offerings. Our evolving ability to provide services in complementary sectors (such as research and analytics and advisory sectors) will maximize opportunities for more customizing and closely integrating our range of services with our clients’ business needs and assisting our clients in transforming their outsourced processes to establish their industry leadership. We will also continue to develop additional advisory and related services in order to expand our client base further and migrate clients into our longer-term BPO service offerings.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We have recently started performing services for the utilities, healthcare and media sectors, which yield many processes that fit our expertise. In developing these relationships, our primary focus will be to continue to provide complex and integrated BPO services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manner in which we have developed has given us expertise in transferring and servicing more than 210 processes in the BFSI sector. This expertise continues to distinguish us from other offshore providers of BPO services to the BFSI sector and has established our reputation as a leading provider of BPO services. We intend to continue to strengthen our processing capabilities for the BFSI sector and other high-potential sectors by focusing on the more complex and value-enhancing services that are common to these sectors. We have begun to implement this strategy, expanding into the utilities, healthcare and media sectors during 2006. In addition, examples of attractive sectors where we intend to focus our future development include mortgage processing, property lease management for real estate investment trusts and trade sales and processing for investment banks.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BPO processes include managing insurance receivables, processing total loss claim cases, handling third-party claims cases and processing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suspected fraud and high-value claim cases. Our recent research and analytics offerings include tools for evaluating our clients’ analytic capabilities, services focused on client acquisition, retention, and attrition modeling and analytics to uncover fraudulent activity in credit and banking. Our newest risk advisory services offerings include accounting due diligence related to corporate acquisitions and operational risk and controls assessment. Our newest process advisory offerings include Six Sigma quality advisory services and BPO opportunity identification related to the merger activities of our clients.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will continue to invest in infrastructure, including human resources, process optimization and delivery platforms, to meet our growing client requirements. We will also continue to invest in developing and refining methodologies and analytical models and tools. We intend to further refine and supplement the innovative 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value-enhancing services. We recently expanded our facilities in Noida, India, by adding another facility with an installed capacity of 1,000 workstations. In addition, we are contractually committed to one of our clients to establish and maintain a viable offshore BPO operation outside of India by March 2007,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actively looking at a few specific locations. We will evaluate other locations worldwide for further service delivery capabilities based on client preferences and needs, and infrastructure availability. In addition, we intend to establish a new operations facility in Noida, India, during 2007 with an installed capacity of approximately 1,150 workstations.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will continue to selectively consider strategic relationships with industry leaders that add new long-term client relationships, enhance the depth and breadth of our services or complement our business strategy. We will also selectively consider acquisitions or investments that would expand the scope of our existing services, add new clients or allow us to enter new geographic markets. For example, we recently completed the Inductis Acquisition, which significantly increased the size and scale of our existing research and analytics capabilities and enhanced our ability to deliver strategic services to our clients, introduced our management to a well-diversified base of research and analytics clients and strengthened and deepened our management team.</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BPO Services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BPO services are structured around industry-focused BPO services, such as insurance, banking and financial services and utilities, and cross-industry BPO services, such as finance and accounting services, collection services and customer services.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Insurance Services. </w:t>
      </w:r>
      <w:r>
        <w:rPr>
          <w:rFonts w:ascii="Arial" w:cs="Arial" w:eastAsia="Arial" w:hAnsi="Arial"/>
          <w:sz w:val="16"/>
          <w:szCs w:val="16"/>
          <w:color w:val="auto"/>
        </w:rPr>
        <w:t>Within the life insurance, property and casualty insurance, health insurance and retirement services business lines, we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significant expertise in servicing and processing various banking products including residential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consumer finance, retail banking, credit cards, transaction services and other banking services. Our activities include customer service, transaction processing, underwriting support, documentation management and collateral monitoring.</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Utilities. </w:t>
      </w:r>
      <w:r>
        <w:rPr>
          <w:rFonts w:ascii="Arial" w:cs="Arial" w:eastAsia="Arial" w:hAnsi="Arial"/>
          <w:sz w:val="16"/>
          <w:szCs w:val="16"/>
          <w:color w:val="auto"/>
        </w:rPr>
        <w:t>We provide end-to-end back-office processing for customer operations, including metering-related services and billing, customer transfers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 changes, sales support, account reconciliation and collections. A large part of these services involves complex exception processing.</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 payables,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sector to include expense accounting, debit and credit accounting, account consolidation, departmental accounting, account balancing, accounting statements, budgeting and management information systems reporting.</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Collection Services. </w:t>
      </w:r>
      <w:r>
        <w:rPr>
          <w:rFonts w:ascii="Arial" w:cs="Arial" w:eastAsia="Arial" w:hAnsi="Arial"/>
          <w:sz w:val="16"/>
          <w:szCs w:val="16"/>
          <w:color w:val="auto"/>
        </w:rPr>
        <w:t>We provide early and mid-stage collection activities, generally using automated dialing systems and our proprietary Exl Collections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Customer Services</w:t>
      </w:r>
      <w:r>
        <w:rPr>
          <w:rFonts w:ascii="Arial" w:cs="Arial" w:eastAsia="Arial" w:hAnsi="Arial"/>
          <w:sz w:val="18"/>
          <w:szCs w:val="18"/>
          <w:color w:val="auto"/>
        </w:rPr>
        <w:t>. We provide a large array of customer management services, including e-mail management, customer service and web- and voice-based customer interaction functions.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continuously seek to offer improved service delivery by means of detailed daily feedback through our ProMPT system and our contractual obligations to report to our clients.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Across the BPO services described above, we have successfully transferred and managed more than 225 processes, including the following:</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2380"/>
        <w:spacing w:after="0"/>
        <w:tabs>
          <w:tab w:leader="none" w:pos="7700" w:val="left"/>
        </w:tabs>
        <w:rPr>
          <w:sz w:val="20"/>
          <w:szCs w:val="20"/>
          <w:color w:val="auto"/>
        </w:rPr>
      </w:pPr>
      <w:r>
        <w:rPr>
          <w:rFonts w:ascii="Arial" w:cs="Arial" w:eastAsia="Arial" w:hAnsi="Arial"/>
          <w:sz w:val="14"/>
          <w:szCs w:val="14"/>
          <w:b w:val="1"/>
          <w:bCs w:val="1"/>
          <w:color w:val="auto"/>
        </w:rPr>
        <w:t>Life Insurance</w:t>
      </w:r>
      <w:r>
        <w:rPr>
          <w:sz w:val="20"/>
          <w:szCs w:val="20"/>
          <w:color w:val="auto"/>
        </w:rPr>
        <w:tab/>
      </w:r>
      <w:r>
        <w:rPr>
          <w:rFonts w:ascii="Arial" w:cs="Arial" w:eastAsia="Arial" w:hAnsi="Arial"/>
          <w:sz w:val="12"/>
          <w:szCs w:val="12"/>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19" w:lineRule="exact"/>
        <w:rPr>
          <w:sz w:val="20"/>
          <w:szCs w:val="20"/>
          <w:color w:val="auto"/>
        </w:rPr>
      </w:pPr>
    </w:p>
    <w:p>
      <w:pPr>
        <w:ind w:left="360" w:hanging="244"/>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Administration of Insurance Agents</w:t>
      </w:r>
    </w:p>
    <w:p>
      <w:pPr>
        <w:ind w:left="540"/>
        <w:spacing w:after="0" w:line="258" w:lineRule="auto"/>
        <w:rPr>
          <w:sz w:val="20"/>
          <w:szCs w:val="20"/>
          <w:color w:val="auto"/>
        </w:rPr>
      </w:pPr>
      <w:r>
        <w:rPr>
          <w:rFonts w:ascii="Arial" w:cs="Arial" w:eastAsia="Arial" w:hAnsi="Arial"/>
          <w:sz w:val="12"/>
          <w:szCs w:val="12"/>
          <w:color w:val="auto"/>
        </w:rPr>
        <w:t>Licensing and contracting renewals, terminations, correspondence, commissions and brokerage amounts, debt management, administrating unclaimed monies by insurance agents</w:t>
      </w:r>
    </w:p>
    <w:p>
      <w:pPr>
        <w:ind w:left="360" w:hanging="244"/>
        <w:spacing w:after="0" w:line="222"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jc w:val="both"/>
        <w:ind w:left="540" w:right="240"/>
        <w:spacing w:after="0" w:line="221" w:lineRule="auto"/>
        <w:rPr>
          <w:sz w:val="20"/>
          <w:szCs w:val="20"/>
          <w:color w:val="auto"/>
        </w:rPr>
      </w:pPr>
      <w:r>
        <w:rPr>
          <w:rFonts w:ascii="Arial" w:cs="Arial" w:eastAsia="Arial" w:hAnsi="Arial"/>
          <w:sz w:val="14"/>
          <w:szCs w:val="14"/>
          <w:color w:val="auto"/>
        </w:rPr>
        <w:t>Prescreening and acquiring new customers, underwriting, underwriting support, delivery requirements follow-up, policy issuance, fund application, refunds, non-sufficient funds, customer inquiries</w:t>
      </w:r>
    </w:p>
    <w:p>
      <w:pPr>
        <w:ind w:left="360" w:hanging="244"/>
        <w:spacing w:after="0" w:line="222"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spacing w:after="0" w:line="1" w:lineRule="exact"/>
        <w:rPr>
          <w:sz w:val="20"/>
          <w:szCs w:val="20"/>
          <w:color w:val="auto"/>
        </w:rPr>
      </w:pPr>
    </w:p>
    <w:p>
      <w:pPr>
        <w:ind w:left="540" w:right="40"/>
        <w:spacing w:after="0" w:line="221" w:lineRule="auto"/>
        <w:rPr>
          <w:sz w:val="20"/>
          <w:szCs w:val="20"/>
          <w:color w:val="auto"/>
        </w:rPr>
      </w:pPr>
      <w:r>
        <w:rPr>
          <w:rFonts w:ascii="Arial" w:cs="Arial" w:eastAsia="Arial" w:hAnsi="Arial"/>
          <w:sz w:val="14"/>
          <w:szCs w:val="14"/>
          <w:color w:val="auto"/>
        </w:rPr>
        <w:t>Title and address changes, certificate reissue, endorsement, policy transfers, quotes and reinstatements, loans, exchanges, withdrawals, dividends, surrenders, maturities, direct debit instructions, customer service</w:t>
      </w:r>
    </w:p>
    <w:p>
      <w:pPr>
        <w:ind w:left="360" w:hanging="244"/>
        <w:spacing w:after="0" w:line="222"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Premium Administration</w:t>
      </w:r>
    </w:p>
    <w:p>
      <w:pPr>
        <w:spacing w:after="0" w:line="1" w:lineRule="exact"/>
        <w:rPr>
          <w:sz w:val="20"/>
          <w:szCs w:val="20"/>
          <w:color w:val="auto"/>
        </w:rPr>
      </w:pPr>
    </w:p>
    <w:p>
      <w:pPr>
        <w:ind w:left="540" w:right="100"/>
        <w:spacing w:after="0" w:line="258" w:lineRule="auto"/>
        <w:rPr>
          <w:sz w:val="20"/>
          <w:szCs w:val="20"/>
          <w:color w:val="auto"/>
        </w:rPr>
      </w:pPr>
      <w:r>
        <w:rPr>
          <w:rFonts w:ascii="Arial" w:cs="Arial" w:eastAsia="Arial" w:hAnsi="Arial"/>
          <w:sz w:val="12"/>
          <w:szCs w:val="12"/>
          <w:color w:val="auto"/>
        </w:rPr>
        <w:t>Application of premium, loan and interest adjustment, daily premium balancing, suspended policy research, payment mode changes, customer correspondence and service</w:t>
      </w:r>
    </w:p>
    <w:p>
      <w:pPr>
        <w:ind w:left="360" w:hanging="244"/>
        <w:spacing w:after="0" w:line="222" w:lineRule="auto"/>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540" w:right="340"/>
        <w:spacing w:after="0" w:line="230" w:lineRule="auto"/>
        <w:rPr>
          <w:sz w:val="20"/>
          <w:szCs w:val="20"/>
          <w:color w:val="auto"/>
        </w:rPr>
      </w:pPr>
      <w:r>
        <w:rPr>
          <w:rFonts w:ascii="Arial" w:cs="Arial" w:eastAsia="Arial" w:hAnsi="Arial"/>
          <w:sz w:val="14"/>
          <w:szCs w:val="14"/>
          <w:color w:val="auto"/>
        </w:rPr>
        <w:t>Examination, adjudication, settlement, tax compliance and compliance with state laws, customer correspondence and service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42" w:hanging="242"/>
        <w:spacing w:after="0"/>
        <w:tabs>
          <w:tab w:leader="none" w:pos="242"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ind w:left="442" w:right="100"/>
        <w:spacing w:after="0" w:line="221" w:lineRule="auto"/>
        <w:rPr>
          <w:sz w:val="20"/>
          <w:szCs w:val="20"/>
          <w:color w:val="auto"/>
        </w:rPr>
      </w:pPr>
      <w:r>
        <w:rPr>
          <w:rFonts w:ascii="Arial" w:cs="Arial" w:eastAsia="Arial" w:hAnsi="Arial"/>
          <w:sz w:val="14"/>
          <w:szCs w:val="14"/>
          <w:color w:val="auto"/>
        </w:rPr>
        <w:t>Sales and conversion, quote acceptance, establishing new policies, policy upgrades, sales of multiple products, indexing</w:t>
      </w:r>
    </w:p>
    <w:p>
      <w:pPr>
        <w:ind w:left="242" w:hanging="242"/>
        <w:spacing w:after="0" w:line="222" w:lineRule="auto"/>
        <w:tabs>
          <w:tab w:leader="none" w:pos="242"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ind w:left="442"/>
        <w:spacing w:after="0"/>
        <w:rPr>
          <w:sz w:val="20"/>
          <w:szCs w:val="20"/>
          <w:color w:val="auto"/>
        </w:rPr>
      </w:pPr>
      <w:r>
        <w:rPr>
          <w:rFonts w:ascii="Arial" w:cs="Arial" w:eastAsia="Arial" w:hAnsi="Arial"/>
          <w:sz w:val="12"/>
          <w:szCs w:val="12"/>
          <w:color w:val="auto"/>
        </w:rPr>
        <w:t>Customer service, lapses and renewals, mid-term adjustments, account reconciliations</w:t>
      </w:r>
    </w:p>
    <w:p>
      <w:pPr>
        <w:ind w:left="242" w:hanging="242"/>
        <w:spacing w:after="0" w:line="237" w:lineRule="auto"/>
        <w:tabs>
          <w:tab w:leader="none" w:pos="242"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442" w:right="320"/>
        <w:spacing w:after="0" w:line="221" w:lineRule="auto"/>
        <w:rPr>
          <w:sz w:val="20"/>
          <w:szCs w:val="20"/>
          <w:color w:val="auto"/>
        </w:rPr>
      </w:pPr>
      <w:r>
        <w:rPr>
          <w:rFonts w:ascii="Arial" w:cs="Arial" w:eastAsia="Arial" w:hAnsi="Arial"/>
          <w:sz w:val="14"/>
          <w:szCs w:val="14"/>
          <w:color w:val="auto"/>
        </w:rPr>
        <w:t>First notification of loss, initial reporting of claims and account initiation, customer service, technical claims, documentation, claims based on third party fault, total loss, scheduling on-site engineers’ inspection visits</w:t>
      </w:r>
    </w:p>
    <w:p>
      <w:pPr>
        <w:ind w:left="242" w:hanging="242"/>
        <w:spacing w:after="0" w:line="222" w:lineRule="auto"/>
        <w:tabs>
          <w:tab w:leader="none" w:pos="242"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Premium</w:t>
      </w:r>
    </w:p>
    <w:p>
      <w:pPr>
        <w:ind w:left="442"/>
        <w:spacing w:after="0" w:line="222" w:lineRule="auto"/>
        <w:rPr>
          <w:sz w:val="20"/>
          <w:szCs w:val="20"/>
          <w:color w:val="auto"/>
        </w:rPr>
      </w:pPr>
      <w:r>
        <w:rPr>
          <w:rFonts w:ascii="Arial" w:cs="Arial" w:eastAsia="Arial" w:hAnsi="Arial"/>
          <w:sz w:val="14"/>
          <w:szCs w:val="14"/>
          <w:color w:val="auto"/>
        </w:rPr>
        <w:t>Payment mode changes, collection</w:t>
      </w:r>
    </w:p>
    <w:p>
      <w:pPr>
        <w:ind w:left="242" w:hanging="242"/>
        <w:spacing w:after="0" w:line="221" w:lineRule="auto"/>
        <w:tabs>
          <w:tab w:leader="none" w:pos="242"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Broker Collections</w:t>
      </w:r>
    </w:p>
    <w:p>
      <w:pPr>
        <w:ind w:left="242" w:hanging="242"/>
        <w:spacing w:after="0"/>
        <w:tabs>
          <w:tab w:leader="none" w:pos="242"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Supplier Payments</w:t>
      </w:r>
    </w:p>
    <w:p>
      <w:pPr>
        <w:spacing w:after="0" w:line="734" w:lineRule="exact"/>
        <w:rPr>
          <w:sz w:val="20"/>
          <w:szCs w:val="20"/>
          <w:color w:val="auto"/>
        </w:rPr>
      </w:pPr>
    </w:p>
    <w:p>
      <w:pPr>
        <w:sectPr>
          <w:pgSz w:w="11900" w:h="16838" w:orient="portrait"/>
          <w:cols w:equalWidth="0" w:num="2">
            <w:col w:w="5580" w:space="478"/>
            <w:col w:w="5342"/>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45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3640" w:type="dxa"/>
            <w:vAlign w:val="bottom"/>
          </w:tcPr>
          <w:p>
            <w:pPr>
              <w:ind w:left="1140"/>
              <w:spacing w:after="0"/>
              <w:rPr>
                <w:sz w:val="20"/>
                <w:szCs w:val="20"/>
                <w:color w:val="auto"/>
              </w:rPr>
            </w:pPr>
            <w:r>
              <w:rPr>
                <w:rFonts w:ascii="Arial" w:cs="Arial" w:eastAsia="Arial" w:hAnsi="Arial"/>
                <w:sz w:val="14"/>
                <w:szCs w:val="14"/>
                <w:b w:val="1"/>
                <w:bCs w:val="1"/>
                <w:color w:val="auto"/>
              </w:rPr>
              <w:t>Consumer Finance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ind w:left="180"/>
              <w:spacing w:after="0"/>
              <w:rPr>
                <w:sz w:val="20"/>
                <w:szCs w:val="20"/>
                <w:color w:val="auto"/>
              </w:rPr>
            </w:pPr>
            <w:r>
              <w:rPr>
                <w:rFonts w:ascii="Arial" w:cs="Arial" w:eastAsia="Arial" w:hAnsi="Arial"/>
                <w:sz w:val="14"/>
                <w:szCs w:val="14"/>
                <w:b w:val="1"/>
                <w:bCs w:val="1"/>
                <w:color w:val="auto"/>
              </w:rPr>
              <w:t>Retail Banking and Credit Cards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ind w:left="600"/>
              <w:spacing w:after="0"/>
              <w:rPr>
                <w:sz w:val="20"/>
                <w:szCs w:val="20"/>
                <w:color w:val="auto"/>
              </w:rPr>
            </w:pPr>
            <w:r>
              <w:rPr>
                <w:rFonts w:ascii="Arial" w:cs="Arial" w:eastAsia="Arial" w:hAnsi="Arial"/>
                <w:sz w:val="14"/>
                <w:szCs w:val="14"/>
                <w:b w:val="1"/>
                <w:bCs w:val="1"/>
                <w:color w:val="auto"/>
              </w:rPr>
              <w:t>Mortgage Lending</w:t>
            </w:r>
          </w:p>
        </w:tc>
      </w:tr>
      <w:tr>
        <w:trPr>
          <w:trHeight w:val="95"/>
        </w:trPr>
        <w:tc>
          <w:tcPr>
            <w:tcW w:w="39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239"/>
        </w:trPr>
        <w:tc>
          <w:tcPr>
            <w:tcW w:w="3900" w:type="dxa"/>
            <w:vAlign w:val="bottom"/>
            <w:gridSpan w:val="2"/>
          </w:tcPr>
          <w:p>
            <w:pPr>
              <w:ind w:left="120"/>
              <w:spacing w:after="0"/>
              <w:rPr>
                <w:sz w:val="20"/>
                <w:szCs w:val="20"/>
                <w:color w:val="auto"/>
              </w:rPr>
            </w:pPr>
            <w:r>
              <w:rPr>
                <w:rFonts w:ascii="Arial" w:cs="Arial" w:eastAsia="Arial" w:hAnsi="Arial"/>
                <w:sz w:val="14"/>
                <w:szCs w:val="14"/>
                <w:color w:val="auto"/>
                <w:w w:val="96"/>
              </w:rPr>
              <w:t>•   Consumer finance processing including verification, tracking</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Customer service</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Loan underwriting support</w:t>
            </w:r>
          </w:p>
        </w:tc>
      </w:tr>
      <w:tr>
        <w:trPr>
          <w:trHeight w:val="149"/>
        </w:trPr>
        <w:tc>
          <w:tcPr>
            <w:tcW w:w="260" w:type="dxa"/>
            <w:vAlign w:val="bottom"/>
          </w:tcPr>
          <w:p>
            <w:pPr>
              <w:spacing w:after="0"/>
              <w:rPr>
                <w:sz w:val="12"/>
                <w:szCs w:val="12"/>
                <w:color w:val="auto"/>
              </w:rPr>
            </w:pPr>
          </w:p>
        </w:tc>
        <w:tc>
          <w:tcPr>
            <w:tcW w:w="3640" w:type="dxa"/>
            <w:vAlign w:val="bottom"/>
          </w:tcPr>
          <w:p>
            <w:pPr>
              <w:ind w:left="280"/>
              <w:spacing w:after="0" w:line="149" w:lineRule="exact"/>
              <w:rPr>
                <w:sz w:val="20"/>
                <w:szCs w:val="20"/>
                <w:color w:val="auto"/>
              </w:rPr>
            </w:pPr>
            <w:r>
              <w:rPr>
                <w:rFonts w:ascii="Arial" w:cs="Arial" w:eastAsia="Arial" w:hAnsi="Arial"/>
                <w:sz w:val="14"/>
                <w:szCs w:val="14"/>
                <w:color w:val="auto"/>
              </w:rPr>
              <w:t>and recording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Query resolution</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Loan verification</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Inbound customer service</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Address change request</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Property tax servicing</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E-mail response</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New loan set-up</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Loan payoff</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Rate modification</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Telemarketing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Mortgage customer service</w:t>
            </w:r>
          </w:p>
        </w:tc>
      </w:tr>
      <w:tr>
        <w:trPr>
          <w:trHeight w:val="149"/>
        </w:trPr>
        <w:tc>
          <w:tcPr>
            <w:tcW w:w="2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Seller/broker queries</w:t>
            </w:r>
          </w:p>
        </w:tc>
      </w:tr>
      <w:tr>
        <w:trPr>
          <w:trHeight w:val="172"/>
        </w:trPr>
        <w:tc>
          <w:tcPr>
            <w:tcW w:w="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Document management</w:t>
            </w:r>
          </w:p>
        </w:tc>
      </w:tr>
      <w:tr>
        <w:trPr>
          <w:trHeight w:val="270"/>
        </w:trPr>
        <w:tc>
          <w:tcPr>
            <w:tcW w:w="260" w:type="dxa"/>
            <w:vAlign w:val="bottom"/>
          </w:tcPr>
          <w:p>
            <w:pPr>
              <w:spacing w:after="0"/>
              <w:rPr>
                <w:sz w:val="23"/>
                <w:szCs w:val="23"/>
                <w:color w:val="auto"/>
              </w:rPr>
            </w:pPr>
          </w:p>
        </w:tc>
        <w:tc>
          <w:tcPr>
            <w:tcW w:w="3640" w:type="dxa"/>
            <w:vAlign w:val="bottom"/>
          </w:tcPr>
          <w:p>
            <w:pPr>
              <w:ind w:left="1460"/>
              <w:spacing w:after="0"/>
              <w:rPr>
                <w:sz w:val="20"/>
                <w:szCs w:val="20"/>
                <w:color w:val="auto"/>
              </w:rPr>
            </w:pPr>
            <w:r>
              <w:rPr>
                <w:rFonts w:ascii="Arial" w:cs="Arial" w:eastAsia="Arial" w:hAnsi="Arial"/>
                <w:sz w:val="14"/>
                <w:szCs w:val="14"/>
                <w:b w:val="1"/>
                <w:bCs w:val="1"/>
                <w:color w:val="auto"/>
              </w:rPr>
              <w:t>Utilities</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ind w:left="440"/>
              <w:spacing w:after="0"/>
              <w:rPr>
                <w:sz w:val="20"/>
                <w:szCs w:val="20"/>
                <w:color w:val="auto"/>
              </w:rPr>
            </w:pPr>
            <w:r>
              <w:rPr>
                <w:rFonts w:ascii="Arial" w:cs="Arial" w:eastAsia="Arial" w:hAnsi="Arial"/>
                <w:sz w:val="14"/>
                <w:szCs w:val="14"/>
                <w:b w:val="1"/>
                <w:bCs w:val="1"/>
                <w:color w:val="auto"/>
              </w:rPr>
              <w:t>Finance and Accounting</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ind w:left="820"/>
              <w:spacing w:after="0"/>
              <w:rPr>
                <w:sz w:val="20"/>
                <w:szCs w:val="20"/>
                <w:color w:val="auto"/>
              </w:rPr>
            </w:pPr>
            <w:r>
              <w:rPr>
                <w:rFonts w:ascii="Arial" w:cs="Arial" w:eastAsia="Arial" w:hAnsi="Arial"/>
                <w:sz w:val="14"/>
                <w:szCs w:val="14"/>
                <w:b w:val="1"/>
                <w:bCs w:val="1"/>
                <w:color w:val="auto"/>
              </w:rPr>
              <w:t>Collections</w:t>
            </w:r>
          </w:p>
        </w:tc>
      </w:tr>
      <w:tr>
        <w:trPr>
          <w:trHeight w:val="95"/>
        </w:trPr>
        <w:tc>
          <w:tcPr>
            <w:tcW w:w="26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239"/>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3640" w:type="dxa"/>
            <w:vAlign w:val="bottom"/>
          </w:tcPr>
          <w:p>
            <w:pPr>
              <w:ind w:left="100"/>
              <w:spacing w:after="0"/>
              <w:rPr>
                <w:sz w:val="20"/>
                <w:szCs w:val="20"/>
                <w:color w:val="auto"/>
              </w:rPr>
            </w:pPr>
            <w:r>
              <w:rPr>
                <w:rFonts w:ascii="Arial" w:cs="Arial" w:eastAsia="Arial" w:hAnsi="Arial"/>
                <w:sz w:val="14"/>
                <w:szCs w:val="14"/>
                <w:color w:val="auto"/>
              </w:rPr>
              <w:t>Metering and billing</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Accounts payable management</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Collections from individuals</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Accounting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Vendor invoice processing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Collections from businesses</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Validation and payment</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Automated dialing systems</w:t>
            </w:r>
          </w:p>
        </w:tc>
      </w:tr>
      <w:tr>
        <w:trPr>
          <w:trHeight w:val="161"/>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3640" w:type="dxa"/>
            <w:vAlign w:val="bottom"/>
          </w:tcPr>
          <w:p>
            <w:pPr>
              <w:ind w:left="100"/>
              <w:spacing w:after="0"/>
              <w:rPr>
                <w:sz w:val="20"/>
                <w:szCs w:val="20"/>
                <w:color w:val="auto"/>
              </w:rPr>
            </w:pPr>
            <w:r>
              <w:rPr>
                <w:rFonts w:ascii="Arial" w:cs="Arial" w:eastAsia="Arial" w:hAnsi="Arial"/>
                <w:sz w:val="14"/>
                <w:szCs w:val="14"/>
                <w:color w:val="auto"/>
              </w:rPr>
              <w:t>Customer transfers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Tracking debtors</w:t>
            </w:r>
          </w:p>
        </w:tc>
      </w:tr>
    </w:tbl>
    <w:p>
      <w:pPr>
        <w:ind w:left="360" w:hanging="244"/>
        <w:spacing w:after="0" w:line="221" w:lineRule="auto"/>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Customer address changes</w:t>
      </w:r>
    </w:p>
    <w:p>
      <w:pPr>
        <w:ind w:left="360" w:hanging="244"/>
        <w:spacing w:after="0"/>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Sales support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tabs>
          <w:tab w:leader="none" w:pos="240" w:val="left"/>
          <w:tab w:leader="none" w:pos="6040" w:val="left"/>
          <w:tab w:leader="none" w:pos="6280" w:val="left"/>
        </w:tabs>
        <w:rPr>
          <w:sz w:val="20"/>
          <w:szCs w:val="20"/>
          <w:color w:val="auto"/>
        </w:rPr>
      </w:pPr>
      <w:r>
        <w:rPr>
          <w:rFonts w:ascii="Arial" w:cs="Arial" w:eastAsia="Arial" w:hAnsi="Arial"/>
          <w:sz w:val="14"/>
          <w:szCs w:val="14"/>
          <w:color w:val="auto"/>
        </w:rPr>
        <w:t>•</w:t>
        <w:tab/>
        <w:t>Voice, e-mail and blended processes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Fulfilling orders, including e-mail queries and online orders</w:t>
      </w:r>
    </w:p>
    <w:p>
      <w:pPr>
        <w:ind w:left="440" w:right="5820" w:hanging="432"/>
        <w:spacing w:after="0" w:line="227" w:lineRule="auto"/>
        <w:tabs>
          <w:tab w:leader="none" w:pos="258" w:val="left"/>
        </w:tabs>
        <w:numPr>
          <w:ilvl w:val="0"/>
          <w:numId w:val="31"/>
        </w:numPr>
        <w:rPr>
          <w:rFonts w:ascii="Arial" w:cs="Arial" w:eastAsia="Arial" w:hAnsi="Arial"/>
          <w:sz w:val="14"/>
          <w:szCs w:val="14"/>
          <w:color w:val="auto"/>
        </w:rPr>
      </w:pPr>
      <w:r>
        <w:rPr>
          <w:rFonts w:ascii="Arial" w:cs="Arial" w:eastAsia="Arial" w:hAnsi="Arial"/>
          <w:sz w:val="14"/>
          <w:szCs w:val="14"/>
          <w:color w:val="auto"/>
        </w:rPr>
        <w:t>Customer service, including changes in delivery date and desktop configuration, returns, billing issues, pre-sales information, concessions and discount vouchers for loyal customers, catalogue requests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Analytics Services</w:t>
      </w:r>
    </w:p>
    <w:p>
      <w:pPr>
        <w:spacing w:after="0" w:line="7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2005, we started offering research and analytics services, including data filtering, organization and synthesis, management information system reporting, trend and variance analysis, statistical and econometric modeling and economic and financial markets research. On July 1, 2006, we acquired Inductis, a research and analytics company serving primarily the financial services and insurance industries. Our research and analytical services access and analyze large volumes of data from multiple sources in order to understand historical performance or behavior or to predict a particular outcome.</w:t>
      </w:r>
    </w:p>
    <w:p>
      <w:pPr>
        <w:spacing w:after="0" w:line="9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service lines include analytical consulting, management consulting and analytical services. Analytical consulting and management consulting services include marketing analytics such as customer acquisition and retention, credit risk analytics, customer data integration and fraud detection, marketing strategy, product and service strategy, business process re-engineering, global resource optimization and outsourcing. Analytic services offerings include analytics staff augmentation, lead generation/marketing campaign management, collections services, and primary/secondary research, data management and analysis. Our offerings emphasize our expertise within the financial services and insurance industries, complemented by quantitative modeling techniques and knowledge of relevant technology platforms and business intelligence toolsets.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research and analytical team members have received post-graduate degrees such as a masters degree in business or another quantitative or financial discipline.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Services, including Business Process-Risk Services and Process Excellence Services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our BPO services, we provide the following advisory services, which have enabled us to expand our client base and to migrate clients into our longer-term BPO service offerings.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Business Process Risk Services and Internal Controls Services. </w:t>
      </w:r>
      <w:r>
        <w:rPr>
          <w:rFonts w:ascii="Arial" w:cs="Arial" w:eastAsia="Arial" w:hAnsi="Arial"/>
          <w:sz w:val="18"/>
          <w:szCs w:val="18"/>
          <w:color w:val="auto"/>
        </w:rPr>
        <w:t>Our Business Process Risk Services, or EXLBPRS, division provides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to identify, prioritize and manage our clients’ business process risks. Through a core team comprised of more than 75 certified accountants, internal auditors and process and technology experts, our EXLBPRS division provides compliance, technology and risk-management services and makes recommendations to improve existing business processes and controls. The EXLBPRS division also evaluates internal controls and provides internal controls testing services. We believe that clients of our EXLBPRS division may also look to outsource or co-source some of their internal audit functions and seek IT risk management and IT advisory services.</w:t>
      </w:r>
    </w:p>
    <w:p>
      <w:pPr>
        <w:spacing w:after="0" w:line="131"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BPO Opportunity and Service Identification. </w:t>
      </w:r>
      <w:r>
        <w:rPr>
          <w:rFonts w:ascii="Arial" w:cs="Arial" w:eastAsia="Arial" w:hAnsi="Arial"/>
          <w:sz w:val="16"/>
          <w:szCs w:val="16"/>
          <w:color w:val="auto"/>
        </w:rPr>
        <w:t>We have developed MOST, a unique methodology for identifying process optimization and BPO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migrating those processes and developing appropriate BPO services that we can customize to meet our clients’ requirements.</w:t>
      </w:r>
    </w:p>
    <w:p>
      <w:pPr>
        <w:spacing w:after="0" w:line="7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Process Re-engineering. </w:t>
      </w:r>
      <w:r>
        <w:rPr>
          <w:rFonts w:ascii="Arial" w:cs="Arial" w:eastAsia="Arial" w:hAnsi="Arial"/>
          <w:sz w:val="18"/>
          <w:szCs w:val="18"/>
          <w:color w:val="auto"/>
        </w:rPr>
        <w:t>We use our Six Sigma improvement methodology and process management expertise to help clients improve their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improve effectiveness and decrease costs for our clients by consolidating, streamlining and re-engineering their processes and platforms, which we believe encourages them to migrate and outsource processes to us.</w:t>
      </w:r>
    </w:p>
    <w:p>
      <w:pPr>
        <w:spacing w:after="0" w:line="12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Process Mapping and Documentation. </w:t>
      </w:r>
      <w:r>
        <w:rPr>
          <w:rFonts w:ascii="Arial" w:cs="Arial" w:eastAsia="Arial" w:hAnsi="Arial"/>
          <w:sz w:val="18"/>
          <w:szCs w:val="18"/>
          <w:color w:val="auto"/>
        </w:rPr>
        <w:t>We provide consulting services to our clients in order to manage, control and improve process-oriented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these services, we document their processes using our methodology and define and measure the performance evaluation standards of the processes. We have extensive process mapping experience spanning over 500 end-to-end processes.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Projects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examples illustrate the types of business needs that we address.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Mortgage Bank</w:t>
      </w:r>
    </w:p>
    <w:p>
      <w:pPr>
        <w:spacing w:after="0" w:line="7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top-ten U.S. mortgage originator in the business of operating as a hybrid thrift/mortgage banker, provides cost-efficient financing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development and improvement of single-family homes. Our client also offers home equity loans and invests in single-family mortgage-related assets. This client was seeking a cost-competitive outsourcing partner with substantial financial services industry knowledge and the ability to meet high quality standards.</w:t>
      </w:r>
    </w:p>
    <w:p>
      <w:pPr>
        <w:spacing w:after="0" w:line="12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Our Approach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first evaluated the various business processes conducted by the client and the challenges associated with those processes. We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applied our Six Sigma-based process transfer methodology, performed pilot migrations, trained employees in India and implemented quality control processes and process management procedures prior to initiating operations from our facilities.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Services 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December 2001, we have provided a wide range of services to this client and the services we provide to this client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both in volume and complexity. We started with a new customer service process for this client designed to reduce first payment defaults and later also started processing early- and late-stage collections for the client’s mortgage loan portfolio. We then began to perform complex processes designed to pre-empt the refinancing of mortgages in a declining interest rate environment by proactively offering rate modifications to existing prime borrowers. The services we now provide to this client include: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Customer information verification</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20"/>
              <w:spacing w:after="0"/>
              <w:rPr>
                <w:sz w:val="20"/>
                <w:szCs w:val="20"/>
                <w:color w:val="auto"/>
              </w:rPr>
            </w:pPr>
            <w:r>
              <w:rPr>
                <w:rFonts w:ascii="Arial" w:cs="Arial" w:eastAsia="Arial" w:hAnsi="Arial"/>
                <w:sz w:val="14"/>
                <w:szCs w:val="14"/>
                <w:color w:val="auto"/>
              </w:rPr>
              <w:t>Tax servicing</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Loan processing</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Rate modification</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Underwriting conditions</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Broker due diligence</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Collections</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w w:val="88"/>
              </w:rPr>
              <w:t>Customer service and loan verification</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New loan setup audit</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w w:val="87"/>
              </w:rPr>
              <w:t>Post close audit functions (back-office)</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Wire approval diligence</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Post close audit (voice)</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Seller due diligence</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20"/>
              <w:spacing w:after="0"/>
              <w:rPr>
                <w:sz w:val="20"/>
                <w:szCs w:val="20"/>
                <w:color w:val="auto"/>
              </w:rPr>
            </w:pPr>
            <w:r>
              <w:rPr>
                <w:rFonts w:ascii="Arial" w:cs="Arial" w:eastAsia="Arial" w:hAnsi="Arial"/>
                <w:sz w:val="14"/>
                <w:szCs w:val="14"/>
                <w:color w:val="auto"/>
              </w:rPr>
              <w:t>Appraisal processing</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Document management</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Broker license validation</w:t>
            </w: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services that we have helped provide include:</w:t>
      </w:r>
    </w:p>
    <w:p>
      <w:pPr>
        <w:spacing w:after="0" w:line="7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re-engineering key processes before migrating them to our sites in India,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formulating and standardizing desktop procedures for various banking functions.</w:t>
      </w:r>
    </w:p>
    <w:p>
      <w:pPr>
        <w:spacing w:after="0" w:line="179"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i w:val="1"/>
          <w:iCs w:val="1"/>
          <w:color w:val="auto"/>
        </w:rPr>
        <w:t>Growth in Relationship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relationship with this client has grown from one process to include more than 15 different processes being serviced by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280 employees. The processes we manage for this client include mortgage origination, mortgage loan collections and mortgage servicing, each of which has been outsourced to us under contracts with initial terms of three years. We are currently in the process of negotiating a renewal of this contract for an additional three-year term. Over 70% of our employees who work for this client are deployed on complex transaction processing activities.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Insurance Company</w:t>
      </w:r>
    </w:p>
    <w:p>
      <w:pPr>
        <w:spacing w:after="0" w:line="7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largest insurance companies in the world and a leading insurer in the U.K. market. This client sought an alternative to its captive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service centers. Our mandate included re-engineering their processes in their automotive, household, commercial and life insurance operations to improve efficiency and productivity.</w:t>
      </w:r>
    </w:p>
    <w:p>
      <w:pPr>
        <w:spacing w:after="0" w:line="11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Our Approach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formulated a composite project team consisting of EXL and client senior staff and designed and implemented a common project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client. We initially invested in training designed to familiarize our new staff with U.K. culture, basics of general insurance, accent neutralization and financial service market operations in the United Kingdom and obtaining the proper certifications in order to meet industry regulatory requirements. We customized our recruitment strategy to screen candidates for aptitude, cultural adaptability and strong analytical and decision-making skills. We then implemented our Six Sigma-based migration methodology for transferring processes from the client site while complying with U.K. insurance regulatory practices. To ensure a successful transfer, we had client subject matter experts present onsite in India during training and the pilot phases of process migration. To improve performance quality, we solicited feedback from process managers, quality control executives, select-end customers and the client’s employees. We continue to implement Six Sigma-based initiatives in this client’s processes to improve quality.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We provide a range of insurance BPO services to this client: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5340" w:type="dxa"/>
            <w:vAlign w:val="bottom"/>
          </w:tcPr>
          <w:p>
            <w:pPr>
              <w:ind w:left="1820"/>
              <w:spacing w:after="0"/>
              <w:rPr>
                <w:sz w:val="20"/>
                <w:szCs w:val="20"/>
                <w:color w:val="auto"/>
              </w:rPr>
            </w:pPr>
            <w:r>
              <w:rPr>
                <w:rFonts w:ascii="Arial" w:cs="Arial" w:eastAsia="Arial" w:hAnsi="Arial"/>
                <w:sz w:val="14"/>
                <w:szCs w:val="14"/>
                <w:b w:val="1"/>
                <w:bCs w:val="1"/>
                <w:color w:val="auto"/>
              </w:rPr>
              <w:t>New Business Processing</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1400"/>
              <w:spacing w:after="0"/>
              <w:rPr>
                <w:sz w:val="20"/>
                <w:szCs w:val="20"/>
                <w:color w:val="auto"/>
              </w:rPr>
            </w:pPr>
            <w:r>
              <w:rPr>
                <w:rFonts w:ascii="Arial" w:cs="Arial" w:eastAsia="Arial" w:hAnsi="Arial"/>
                <w:sz w:val="14"/>
                <w:szCs w:val="14"/>
                <w:b w:val="1"/>
                <w:bCs w:val="1"/>
                <w:color w:val="auto"/>
              </w:rPr>
              <w:t>Administration of Current Policies</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6"/>
              </w:rPr>
              <w:t>Sales, conversion, quote acceptance, cross-selling, establishing new policies, policy upgrades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0"/>
              </w:rPr>
              <w:t>Customer service, address changes, servicing policy requests, mid-term adjustments,</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Household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Household</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Commercial Insurance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Commercial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Life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w w:val="94"/>
              </w:rPr>
              <w:t>Maturities, direct debit instructions, indexing, change of address, customer service</w:t>
            </w: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5340" w:type="dxa"/>
            <w:vAlign w:val="bottom"/>
          </w:tcPr>
          <w:p>
            <w:pPr>
              <w:ind w:left="2000"/>
              <w:spacing w:after="0"/>
              <w:rPr>
                <w:sz w:val="20"/>
                <w:szCs w:val="20"/>
                <w:color w:val="auto"/>
              </w:rPr>
            </w:pPr>
            <w:r>
              <w:rPr>
                <w:rFonts w:ascii="Arial" w:cs="Arial" w:eastAsia="Arial" w:hAnsi="Arial"/>
                <w:sz w:val="14"/>
                <w:szCs w:val="14"/>
                <w:b w:val="1"/>
                <w:bCs w:val="1"/>
                <w:color w:val="auto"/>
              </w:rPr>
              <w:t>Claims Processing</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ind w:left="2060"/>
              <w:spacing w:after="0"/>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Customer Accounts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7"/>
              </w:rPr>
              <w:t>Customer service, claims progress and finalization (including total loss and third party cases),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Direct debit instructions, set up changes and new account processing, cancellations,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8"/>
              </w:rPr>
              <w:t>scheduling on-site engineers’ inspection visits, claim payments, routing claims to appropriate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reconciliation of accounts, correspondence with brokers, underwriters and customers</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ind w:left="260"/>
              <w:spacing w:after="0"/>
              <w:rPr>
                <w:sz w:val="20"/>
                <w:szCs w:val="20"/>
                <w:color w:val="auto"/>
              </w:rPr>
            </w:pPr>
            <w:r>
              <w:rPr>
                <w:rFonts w:ascii="Arial" w:cs="Arial" w:eastAsia="Arial" w:hAnsi="Arial"/>
                <w:sz w:val="14"/>
                <w:szCs w:val="14"/>
                <w:color w:val="auto"/>
              </w:rPr>
              <w:t>department</w:t>
            </w:r>
          </w:p>
        </w:tc>
        <w:tc>
          <w:tcPr>
            <w:tcW w:w="440" w:type="dxa"/>
            <w:vAlign w:val="bottom"/>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508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Collections</w:t>
            </w: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400" w:hanging="284"/>
        <w:spacing w:after="0" w:line="221" w:lineRule="auto"/>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Household</w:t>
      </w:r>
    </w:p>
    <w:p>
      <w:pPr>
        <w:ind w:left="540"/>
        <w:spacing w:after="0" w:line="221" w:lineRule="auto"/>
        <w:rPr>
          <w:sz w:val="20"/>
          <w:szCs w:val="20"/>
          <w:color w:val="auto"/>
        </w:rPr>
      </w:pPr>
      <w:r>
        <w:rPr>
          <w:rFonts w:ascii="Arial" w:cs="Arial" w:eastAsia="Arial" w:hAnsi="Arial"/>
          <w:sz w:val="14"/>
          <w:szCs w:val="14"/>
          <w:color w:val="auto"/>
        </w:rPr>
        <w:t>Initial reporting of claims and account initiation, status checks, customer service, routing</w:t>
      </w:r>
    </w:p>
    <w:p>
      <w:pPr>
        <w:ind w:left="540"/>
        <w:spacing w:after="0"/>
        <w:rPr>
          <w:sz w:val="20"/>
          <w:szCs w:val="20"/>
          <w:color w:val="auto"/>
        </w:rPr>
      </w:pPr>
      <w:r>
        <w:rPr>
          <w:rFonts w:ascii="Arial" w:cs="Arial" w:eastAsia="Arial" w:hAnsi="Arial"/>
          <w:sz w:val="14"/>
          <w:szCs w:val="14"/>
          <w:color w:val="auto"/>
        </w:rPr>
        <w:t>claims to appropriate department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services that we helped improve include the following:</w:t>
      </w:r>
    </w:p>
    <w:p>
      <w:pPr>
        <w:spacing w:after="0" w:line="77" w:lineRule="exact"/>
        <w:rPr>
          <w:sz w:val="20"/>
          <w:szCs w:val="20"/>
          <w:color w:val="auto"/>
        </w:rPr>
      </w:pPr>
    </w:p>
    <w:p>
      <w:pPr>
        <w:ind w:left="780" w:right="72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deploying a dialer-based service that improved the answer rate during peak hours while maintaining a constant number of full-time employee equivalents;</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adding services on weekends and developed processes to reduce turnaround and handle times and improve sales conversion percentages, resulting in improved productivity;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fixing the backlog of outstanding actions required for claim settlement;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evaluating customer experience metrics that enabled us to understand process performance and customer issues on an ongoing basis;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improving customer experience and sales conversion rates using Six Sigma methodologies;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reducing the pricing cycle time in the client’s commercial business line.</w:t>
      </w:r>
    </w:p>
    <w:p>
      <w:pPr>
        <w:spacing w:after="0" w:line="17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Growth in Relationship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what we consider to be strong and deep customer relationships with this client. We entered into our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outsourcing contract with this client for automotive and household insurance services in March 2003. We have currently deployed over 2,500 employees at two locations in India who are engaged in 36 processes pertaining to this contract (up from about 270 employees engaged in one process deployed in March 2003). In January 2004, we entered into a second outsourcing contract from this client for life insurance services. These contracts had initial terms of three and five years, respectively.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Utility Service Provider</w:t>
      </w:r>
    </w:p>
    <w:p>
      <w:pPr>
        <w:spacing w:after="0" w:line="71"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largest utility services providers in the United Kingdom was trying to reduce the high costs of service delivery. As part of its cost-reduction efforts, it was planning to migrate customer accounts from various existing older systems to a new billing system and to outsource exception processing.</w:t>
      </w:r>
    </w:p>
    <w:p>
      <w:pPr>
        <w:spacing w:after="0" w:line="119" w:lineRule="exact"/>
        <w:rPr>
          <w:sz w:val="20"/>
          <w:szCs w:val="20"/>
          <w:color w:val="auto"/>
        </w:rPr>
      </w:pPr>
    </w:p>
    <w:p>
      <w:pPr>
        <w:ind w:right="780" w:firstLine="456"/>
        <w:spacing w:after="0" w:line="275" w:lineRule="auto"/>
        <w:rPr>
          <w:sz w:val="20"/>
          <w:szCs w:val="20"/>
          <w:color w:val="auto"/>
        </w:rPr>
      </w:pPr>
      <w:r>
        <w:rPr>
          <w:rFonts w:ascii="Arial" w:cs="Arial" w:eastAsia="Arial" w:hAnsi="Arial"/>
          <w:sz w:val="18"/>
          <w:szCs w:val="18"/>
          <w:b w:val="1"/>
          <w:bCs w:val="1"/>
          <w:i w:val="1"/>
          <w:iCs w:val="1"/>
          <w:color w:val="auto"/>
        </w:rPr>
        <w:t>Our Approach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12 months, we have successfully managed the transition of 11 processes to our Noida and Pune facilities. We utilized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MOST methodology to manage the transition, and we have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recruited and trained over 1,200 professionals to manage this client’s processes. We were able to mitigate the challenges that arose from the simultaneous transition of the client to a new billing platform and the transfer of work offshore through the use of a migration methodology. Our process advisory consultants implemented workflow mechanisms in the new environment and enabled remote servicing of this client’s processes. By utilizing our professionals across multiple client processes, the risk of volume variation across processes was mitigated and we were able to incorporate service flexibility while meeting key milestones established by the client.</w:t>
      </w:r>
    </w:p>
    <w:p>
      <w:pPr>
        <w:spacing w:after="0" w:line="123"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provide a range of back-office BPO services to this client:</w:t>
      </w:r>
    </w:p>
    <w:p>
      <w:pPr>
        <w:sectPr>
          <w:pgSz w:w="11900" w:h="16838" w:orient="portrait"/>
          <w:cols w:equalWidth="0" w:num="1">
            <w:col w:w="11420"/>
          </w:cols>
          <w:pgMar w:left="240" w:top="459" w:right="2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2720" w:type="dxa"/>
            <w:vAlign w:val="bottom"/>
          </w:tcPr>
          <w:p>
            <w:pPr>
              <w:ind w:left="660"/>
              <w:spacing w:after="0"/>
              <w:rPr>
                <w:sz w:val="20"/>
                <w:szCs w:val="20"/>
                <w:color w:val="auto"/>
              </w:rPr>
            </w:pPr>
            <w:r>
              <w:rPr>
                <w:rFonts w:ascii="Arial" w:cs="Arial" w:eastAsia="Arial" w:hAnsi="Arial"/>
                <w:sz w:val="14"/>
                <w:szCs w:val="14"/>
                <w:b w:val="1"/>
                <w:bCs w:val="1"/>
                <w:color w:val="auto"/>
              </w:rPr>
              <w:t>Customer Transfers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Pr>
          <w:p>
            <w:pPr>
              <w:ind w:left="460"/>
              <w:spacing w:after="0"/>
              <w:rPr>
                <w:sz w:val="20"/>
                <w:szCs w:val="20"/>
                <w:color w:val="auto"/>
              </w:rPr>
            </w:pPr>
            <w:r>
              <w:rPr>
                <w:rFonts w:ascii="Arial" w:cs="Arial" w:eastAsia="Arial" w:hAnsi="Arial"/>
                <w:sz w:val="14"/>
                <w:szCs w:val="14"/>
                <w:b w:val="1"/>
                <w:bCs w:val="1"/>
                <w:color w:val="auto"/>
              </w:rPr>
              <w:t>Billing and Metering</w:t>
            </w:r>
          </w:p>
        </w:tc>
      </w:tr>
      <w:tr>
        <w:trPr>
          <w:trHeight w:val="95"/>
        </w:trPr>
        <w:tc>
          <w:tcPr>
            <w:tcW w:w="2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r>
        <w:trPr>
          <w:trHeight w:val="331"/>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720" w:type="dxa"/>
            <w:vAlign w:val="bottom"/>
          </w:tcPr>
          <w:p>
            <w:pPr>
              <w:ind w:left="100"/>
              <w:spacing w:after="0"/>
              <w:rPr>
                <w:sz w:val="20"/>
                <w:szCs w:val="20"/>
                <w:color w:val="auto"/>
              </w:rPr>
            </w:pPr>
            <w:r>
              <w:rPr>
                <w:rFonts w:ascii="Arial" w:cs="Arial" w:eastAsia="Arial" w:hAnsi="Arial"/>
                <w:sz w:val="14"/>
                <w:szCs w:val="14"/>
                <w:color w:val="auto"/>
                <w:w w:val="98"/>
              </w:rPr>
              <w:t>Acquisitions and withdrawals of customers</w:t>
            </w:r>
          </w:p>
        </w:tc>
        <w:tc>
          <w:tcPr>
            <w:tcW w:w="2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Device management</w:t>
            </w:r>
          </w:p>
        </w:tc>
      </w:tr>
      <w:tr>
        <w:trPr>
          <w:trHeight w:val="216"/>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720" w:type="dxa"/>
            <w:vAlign w:val="bottom"/>
          </w:tcPr>
          <w:p>
            <w:pPr>
              <w:ind w:left="100"/>
              <w:spacing w:after="0"/>
              <w:rPr>
                <w:sz w:val="20"/>
                <w:szCs w:val="20"/>
                <w:color w:val="auto"/>
              </w:rPr>
            </w:pPr>
            <w:r>
              <w:rPr>
                <w:rFonts w:ascii="Arial" w:cs="Arial" w:eastAsia="Arial" w:hAnsi="Arial"/>
                <w:sz w:val="14"/>
                <w:szCs w:val="14"/>
                <w:color w:val="auto"/>
              </w:rPr>
              <w:t>Disputed meter readings</w:t>
            </w: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w w:val="93"/>
              </w:rPr>
              <w:t>Billing and meter reading management</w:t>
            </w:r>
          </w:p>
        </w:tc>
      </w:tr>
      <w:tr>
        <w:trPr>
          <w:trHeight w:val="216"/>
        </w:trPr>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Payment plans</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2380" w:type="dxa"/>
            <w:vAlign w:val="bottom"/>
          </w:tcPr>
          <w:p>
            <w:pPr>
              <w:ind w:left="580"/>
              <w:spacing w:after="0"/>
              <w:rPr>
                <w:sz w:val="20"/>
                <w:szCs w:val="20"/>
                <w:color w:val="auto"/>
              </w:rPr>
            </w:pPr>
            <w:r>
              <w:rPr>
                <w:rFonts w:ascii="Arial" w:cs="Arial" w:eastAsia="Arial" w:hAnsi="Arial"/>
                <w:sz w:val="14"/>
                <w:szCs w:val="14"/>
                <w:b w:val="1"/>
                <w:bCs w:val="1"/>
                <w:color w:val="auto"/>
              </w:rPr>
              <w:t>Customer Moves</w:t>
            </w:r>
          </w:p>
        </w:tc>
        <w:tc>
          <w:tcPr>
            <w:tcW w:w="22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Imbalance</w:t>
            </w:r>
          </w:p>
        </w:tc>
      </w:tr>
      <w:tr>
        <w:trPr>
          <w:trHeight w:val="95"/>
        </w:trPr>
        <w:tc>
          <w:tcPr>
            <w:tcW w:w="2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r>
      <w:tr>
        <w:trPr>
          <w:trHeight w:val="307"/>
        </w:trPr>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Customer move-in and move-out</w:t>
            </w:r>
          </w:p>
        </w:tc>
        <w:tc>
          <w:tcPr>
            <w:tcW w:w="22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Arial" w:cs="Arial" w:eastAsia="Arial" w:hAnsi="Arial"/>
                <w:sz w:val="14"/>
                <w:szCs w:val="14"/>
                <w:color w:val="auto"/>
              </w:rPr>
              <w:t>•   Sales Support</w:t>
            </w:r>
          </w:p>
        </w:tc>
      </w:tr>
      <w:tr>
        <w:trPr>
          <w:trHeight w:val="172"/>
        </w:trPr>
        <w:tc>
          <w:tcPr>
            <w:tcW w:w="240" w:type="dxa"/>
            <w:vAlign w:val="bottom"/>
          </w:tcPr>
          <w:p>
            <w:pPr>
              <w:spacing w:after="0"/>
              <w:rPr>
                <w:sz w:val="14"/>
                <w:szCs w:val="14"/>
                <w:color w:val="auto"/>
              </w:rPr>
            </w:pPr>
          </w:p>
        </w:tc>
        <w:tc>
          <w:tcPr>
            <w:tcW w:w="2380" w:type="dxa"/>
            <w:vAlign w:val="bottom"/>
          </w:tcPr>
          <w:p>
            <w:pPr>
              <w:ind w:left="300"/>
              <w:spacing w:after="0"/>
              <w:rPr>
                <w:sz w:val="20"/>
                <w:szCs w:val="20"/>
                <w:color w:val="auto"/>
              </w:rPr>
            </w:pPr>
            <w:r>
              <w:rPr>
                <w:rFonts w:ascii="Arial" w:cs="Arial" w:eastAsia="Arial" w:hAnsi="Arial"/>
                <w:sz w:val="14"/>
                <w:szCs w:val="14"/>
                <w:color w:val="auto"/>
              </w:rPr>
              <w:t>processing</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6"/>
        </w:trPr>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Customer address changes</w:t>
            </w: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bl>
    <w:p>
      <w:pPr>
        <w:spacing w:after="0" w:line="208" w:lineRule="exact"/>
        <w:rPr>
          <w:sz w:val="20"/>
          <w:szCs w:val="20"/>
          <w:color w:val="auto"/>
        </w:rPr>
      </w:pPr>
    </w:p>
    <w:p>
      <w:pPr>
        <w:sectPr>
          <w:pgSz w:w="11900" w:h="16838" w:orient="portrait"/>
          <w:cols w:equalWidth="0" w:num="2">
            <w:col w:w="5840" w:space="240"/>
            <w:col w:w="5340"/>
          </w:cols>
          <w:pgMar w:left="240" w:top="459" w:right="239" w:bottom="1440" w:gutter="0" w:footer="0" w:header="0"/>
          <w:type w:val="continuous"/>
        </w:sectPr>
      </w:pPr>
    </w:p>
    <w:p>
      <w:pPr>
        <w:ind w:right="100" w:firstLine="456"/>
        <w:spacing w:after="0" w:line="318" w:lineRule="auto"/>
        <w:rPr>
          <w:sz w:val="20"/>
          <w:szCs w:val="20"/>
          <w:color w:val="auto"/>
        </w:rPr>
      </w:pPr>
      <w:r>
        <w:rPr>
          <w:rFonts w:ascii="Arial" w:cs="Arial" w:eastAsia="Arial" w:hAnsi="Arial"/>
          <w:sz w:val="15"/>
          <w:szCs w:val="15"/>
          <w:color w:val="auto"/>
        </w:rPr>
        <w:t>In addition to the BPO services discussed above, the client has also utilized some of our other services, including our Six Sigma process advisory services, research and analytics services and business process mapping services. Several of our Six Sigma process improvement services assisted in the deployment of statistical process control mechanisms for this client. Our process improvement services were used to control account imbalances due to unbilled accounts, portfolio mismatch and disputed meter readings. Improvement services were also undertaken to validate and increase the productivity of the client’s customer acquisition methods. We also created models for debt transformation and to forecast the volume of activities to be performed through back office processes.</w:t>
      </w:r>
    </w:p>
    <w:p>
      <w:pPr>
        <w:spacing w:after="0" w:line="8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Growth in Relationship</w:t>
      </w:r>
      <w:r>
        <w:rPr>
          <w:rFonts w:ascii="Arial" w:cs="Arial" w:eastAsia="Arial" w:hAnsi="Arial"/>
          <w:sz w:val="18"/>
          <w:szCs w:val="18"/>
          <w:color w:val="auto"/>
        </w:rPr>
        <w:t>: Our relationship with this client has grown from the period of initial contract in July 2005. We have increased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full-time employees servicing this client’s processes and are servicing additional processes for this client. We are also providing our research and analytics services to this client.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and London, and our business development team, which operates out of Noida, India.</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2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services, prepares responses to requests for proposals, hosts client visits to our facilities and coordinates due diligence investigations into client processes. As of July 1, 2006, we had eight sales and marketing professionals in the United States and four in the United Kingdom. Each member of our sales and marketing team has significant experience in offshore outsourcing and has expertise in identifying outsourcing opportunities and process migration in the BFSI sector. We intend to expand our sales and marketing team to 11 persons in the United States and to five persons in the United Kingdom. Our business development team consists of 11 professionals.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services,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over 50 clients. Our largest clients in 2005, on a pro forma basis, were Norwich Union, American Express and Dell (including Dell Financial Services), which together accounted for approximately 62.8% of our total pro forma revenues in 2005. Other BPO clients include Centrica plc, Indymac Bank, Prudential Financial and a top three U.S. bank. Our advisory clients include Sunterra Resorts, Stanley Tool, United Technologies, Charter Mac, Suntrust Bank and Affirmative Insurance. While we are developing relationships with new clients and expect to continue to diversify our client base, we believe that the loss of any of our largest clients could have a material adverse effect on our financial condition. See “Risk Factors—Risks Related to Our Business—We have a limited number of clients and provide services to few industries. In 2005, 62.8% of our pro forma revenues came from three clients.”</w:t>
      </w:r>
    </w:p>
    <w:p>
      <w:pPr>
        <w:spacing w:after="0" w:line="10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Our long-term relationships with our clients typically evolve from providing a single, discrete process into providing a series of complex, integrated processes across multiple business lines. We enter into long-term agreements with our clients with terms of between typically three and seven years. Each agreement is individually negotiated with the client. We provide services to Norwich Union, which represented $36.4 million, or 38.3%, of our pro forma revenues in 2005,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Our agreement with American Express, which represented 12.6% of our pro forma revenues in 2005, provides that American Express may terminate the agreement at any time and without cause with five days prior notice. We provide services to Dell (including Dell Financial Services), which represented 11.9% of our pro forma revenues in 2005,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BPO contracts with other clients representing approximately 3.6% of our pro forma revenues in 2005 will expire within 12 months. See “Risk Factors—Risks Related to Our Business—Our client contracts contain certain termination provisions that could have an adverse effect on our business and results of operations.”</w:t>
      </w:r>
    </w:p>
    <w:p>
      <w:pPr>
        <w:spacing w:after="0" w:line="10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beginning in January 2008 and continuing through February 2011 to pay us an amount that will approximate the net asset value of our Pune facilities on the date of transfer and assume the operations of these facilities, together with all of our employees who at that time are working under that contract. See “Certain Relationships and Related Transactions—Agreements with Norwich Union—Option to Purchase Stock of NCOP.”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Competition in the BPO services industry is intense and growing. See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77"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and WNS Global Services;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BPO divisions of large IT service companies and global BPO services companies located in the United States, such as Accenture, Electronic Data Systems Corp. and International Business Machines; and</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BPO divisions of IT service companies located in India such as Progeon (owned by Infosys Technologies Limited), Tata Consultancy Services Limited and Wipro BPO (owned by Wipro Technologies Limited).</w:t>
      </w:r>
    </w:p>
    <w:p>
      <w:pPr>
        <w:spacing w:after="0" w:line="3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in the BFSI sector, which enables us to respond rapidly to market trends and the evolving needs of our clients in this sector, and at a lower cost base than global BPO services companies. See “— Business Strategy—Extending Our Industry Expertise.”</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our ability to compete effectively will increasingly depend on our ability to provide high quality, on-time, complex services that require expertise in certain technical areas and to expand geographically.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2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We have filed several trademark applications, including applications for our logo and mark and for MICROANALYTIX, with the U.S. Patent and Trademark Office. We have filed trademark applications for the “EXL” mark in India and the United States, both of which are pending. In addition, we have filed a trademark application for the INDUCTIS mark in India, which we have also registered as a trademark in the United States. We have four unregistered trademarks: MOST, ECS, ProMPT and SOFT. MOST is a proprietary opportunity identification and migration methodology for processes that we have used in connection with a substantial majority of our process migrations. Our proprietary software includes collections software called ECS, our web-enabled ProMPT system and our SOFT system. ProMPT assists our managers in process management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well-developed international telecommunications capacity to support our BPO, research and analytics and advisory services. We use an international wide area network from India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increase stable data and telecommunications capacity, we lease bandwidth from a number of different providers, including AT&amp;T, VSNL, Telstra, Cable</w:t>
      </w:r>
    </w:p>
    <w:p>
      <w:pPr>
        <w:spacing w:after="0" w:line="38" w:lineRule="exact"/>
        <w:rPr>
          <w:sz w:val="20"/>
          <w:szCs w:val="20"/>
          <w:color w:val="auto"/>
        </w:rPr>
      </w:pPr>
    </w:p>
    <w:p>
      <w:pPr>
        <w:ind w:firstLine="8"/>
        <w:spacing w:after="0" w:line="254" w:lineRule="auto"/>
        <w:tabs>
          <w:tab w:leader="none" w:pos="1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Wireless and British Telecom internationally; Qwest Communications, Broadwing, AT&amp;T and PacBell, in the United States; and VSNL, Bharti, Reliance and Tata Indicom in India. Currently, we have a bandwidth of 26 megabits-per-second, or Mbps, in the United States and over 50 Mbps in the United Kingdom, which we believe is adequate for our business. We have implemented closed user group connectivity across all processing centers and technology hubs which should allow seamless transition from one center to the other in case of an outage.</w:t>
      </w:r>
    </w:p>
    <w:p>
      <w:pPr>
        <w:spacing w:after="0" w:line="130" w:lineRule="exact"/>
        <w:rPr>
          <w:sz w:val="20"/>
          <w:szCs w:val="20"/>
          <w:color w:val="auto"/>
        </w:rPr>
      </w:pPr>
    </w:p>
    <w:p>
      <w:pPr>
        <w:jc w:val="both"/>
        <w:ind w:right="440" w:firstLine="456"/>
        <w:spacing w:after="0" w:line="332" w:lineRule="auto"/>
        <w:rPr>
          <w:sz w:val="20"/>
          <w:szCs w:val="20"/>
          <w:color w:val="auto"/>
        </w:rPr>
      </w:pPr>
      <w:r>
        <w:rPr>
          <w:rFonts w:ascii="Arial" w:cs="Arial" w:eastAsia="Arial" w:hAnsi="Arial"/>
          <w:sz w:val="16"/>
          <w:szCs w:val="16"/>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99.9% for day-to-day operations.</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customize our technology solutions in line with our clients’ business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its process platforms, develop and implement customized services to our clients and deliver reliable services that facilitate the offshore conduct and management of their business processes.</w:t>
      </w:r>
    </w:p>
    <w:p>
      <w:pPr>
        <w:spacing w:after="0" w:line="12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continuity management plan includes strategies to mitigate certain inherent risks and failures in critical platforms and applications by using a combination of redundancies and resilience in our technology infrastructure, telecom networks and distributed computing, relying on a combination of state-provided and privately-owned power sources, a distribution of work between our multiple service delivery centers and multi-vendor transportation and logistics management. We also employ a dedicated team of trained professionals to help maintain continuity whenever possible.</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 Leveraging from our operational, technological and facilities risk mitigation capabilities, we customize business continuity plans for our key client relationships, including splitting mission-critical processes among center, regional and client locations and working with our client to implement such process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37" w:lineRule="exact"/>
        <w:rPr>
          <w:sz w:val="20"/>
          <w:szCs w:val="20"/>
          <w:color w:val="auto"/>
        </w:rPr>
      </w:pPr>
    </w:p>
    <w:p>
      <w:pPr>
        <w:ind w:left="780" w:right="6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British Standards 7799 and ISO 9001:2000, for optimal management of various aspects of information security, including personnel, physical, systems and facility security;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26" w:lineRule="exact"/>
        <w:rPr>
          <w:rFonts w:ascii="Arial" w:cs="Arial" w:eastAsia="Arial" w:hAnsi="Arial"/>
          <w:sz w:val="16"/>
          <w:szCs w:val="16"/>
          <w:color w:val="auto"/>
        </w:rPr>
      </w:pPr>
    </w:p>
    <w:p>
      <w:pPr>
        <w:ind w:left="780" w:right="72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periodic internal and external audits of both our information systems policy and implemented controls.</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Currently, four of our service delivery centers are British Standards 7799 certified, and we expect to seek similar certifications in our other service delivery centers.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200 quality compliance analysts and customer experience analysts.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report process performance on ProMPT, our proprietary process management and performance tracking service.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As of July 1, 2006, we had approximately 7,300 full-time employees, substantially all of whom are based in India. We have 88 employees in the United States and United Kingdom. Our employees are not unionized. We have never experienced any work stoppages and believe that our employee relations are good.</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developed effective strategies and a strong track record in recruiting. We have more than 40 employees devoted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 quality employees who demonstrate a high propensity for learning, contribution to client services and growth. Candidates must undergo numerous tests and interviews before we extend offers for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employment. We also conduct extensive background checks on candidates, including criminal background checks. In 2005, we received approximately 36,880 applications for employment and hired approximately 3,681 new professionals. We also have an employee referral program that provides us with a cost effective way of accessing qualified potential employees.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In the quarter ended June 30, 2006, our turnover rate for billable employees—employees who execute business processes for our clients following the completion of our six month probationary period—was approximately 38%. Our turnover has been declining sequentially for the past four quarters. See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dedicate significant resources to the training and development of our professionals. We have approximately 200 full-time certified trainers responsible for training our employees.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13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mechanisms and significant monetary and non-monetary incentives.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SOFT is our proprietary platform for implementing process-oriented workforce management for client operations. We customize SOFT to cater to each process’ unique requirements, and use SOFT to forecast work volume, schedule resources and management and analyze workforce management.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corporate headquarters are located in New York, New York. We operate six operations centers in India with a current installed capacity of approximately 4,645 agent workstations that operate on an uninterrupted 24/7 basis and are available to be staffed on a three-shift basis. Our networking and telecom hubs are located in Sunnyvale, California and in New York, New York. We lease all of our properties, and each of our leases is renewable at our option. The following table describes each of our material properties and lease expiration dates as of July 1, 2006.</w:t>
      </w:r>
    </w:p>
    <w:p>
      <w:pPr>
        <w:spacing w:after="0" w:line="95"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Buy Option</w:t>
      </w:r>
    </w:p>
    <w:p>
      <w:pPr>
        <w:jc w:val="right"/>
        <w:ind w:right="160"/>
        <w:spacing w:after="0"/>
        <w:tabs>
          <w:tab w:leader="none" w:pos="600" w:val="left"/>
        </w:tabs>
        <w:rPr>
          <w:sz w:val="20"/>
          <w:szCs w:val="20"/>
          <w:color w:val="auto"/>
        </w:rPr>
      </w:pPr>
      <w:r>
        <w:rPr>
          <w:rFonts w:ascii="Arial" w:cs="Arial" w:eastAsia="Arial" w:hAnsi="Arial"/>
          <w:sz w:val="14"/>
          <w:szCs w:val="14"/>
          <w:b w:val="1"/>
          <w:bCs w:val="1"/>
          <w:color w:val="auto"/>
        </w:rPr>
        <w:t>No. of Agent</w:t>
      </w:r>
      <w:r>
        <w:rPr>
          <w:sz w:val="20"/>
          <w:szCs w:val="20"/>
          <w:color w:val="auto"/>
        </w:rPr>
        <w:tab/>
      </w:r>
      <w:r>
        <w:rPr>
          <w:rFonts w:ascii="Arial" w:cs="Arial" w:eastAsia="Arial" w:hAnsi="Arial"/>
          <w:sz w:val="11"/>
          <w:szCs w:val="11"/>
          <w:b w:val="1"/>
          <w:bCs w:val="1"/>
          <w:color w:val="auto"/>
        </w:rPr>
        <w:t>on Leased</w:t>
      </w:r>
    </w:p>
    <w:p>
      <w:pPr>
        <w:spacing w:after="0"/>
        <w:tabs>
          <w:tab w:leader="none" w:pos="4260" w:val="left"/>
          <w:tab w:leader="none" w:pos="6240" w:val="left"/>
          <w:tab w:leader="none" w:pos="7400" w:val="left"/>
          <w:tab w:leader="none" w:pos="8920" w:val="left"/>
          <w:tab w:leader="none" w:pos="10700" w:val="left"/>
        </w:tabs>
        <w:rPr>
          <w:sz w:val="20"/>
          <w:szCs w:val="20"/>
          <w:color w:val="auto"/>
        </w:rPr>
      </w:pPr>
      <w:r>
        <w:rPr>
          <w:rFonts w:ascii="Arial" w:cs="Arial" w:eastAsia="Arial" w:hAnsi="Arial"/>
          <w:sz w:val="14"/>
          <w:szCs w:val="14"/>
          <w:b w:val="1"/>
          <w:bCs w:val="1"/>
          <w:color w:val="auto"/>
        </w:rPr>
        <w:t>Facility</w:t>
      </w:r>
      <w:r>
        <w:rPr>
          <w:sz w:val="20"/>
          <w:szCs w:val="20"/>
          <w:color w:val="auto"/>
        </w:rPr>
        <w:tab/>
      </w: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4"/>
          <w:szCs w:val="14"/>
          <w:b w:val="1"/>
          <w:bCs w:val="1"/>
          <w:color w:val="auto"/>
        </w:rPr>
        <w:t>Space</w:t>
      </w:r>
      <w:r>
        <w:rPr>
          <w:sz w:val="20"/>
          <w:szCs w:val="20"/>
          <w:color w:val="auto"/>
        </w:rPr>
        <w:tab/>
      </w:r>
      <w:r>
        <w:rPr>
          <w:rFonts w:ascii="Arial" w:cs="Arial" w:eastAsia="Arial" w:hAnsi="Arial"/>
          <w:sz w:val="14"/>
          <w:szCs w:val="14"/>
          <w:b w:val="1"/>
          <w:bCs w:val="1"/>
          <w:color w:val="auto"/>
        </w:rPr>
        <w:t>Workstations</w:t>
      </w:r>
      <w:r>
        <w:rPr>
          <w:sz w:val="20"/>
          <w:szCs w:val="20"/>
          <w:color w:val="auto"/>
        </w:rPr>
        <w:tab/>
      </w:r>
      <w:r>
        <w:rPr>
          <w:rFonts w:ascii="Arial" w:cs="Arial" w:eastAsia="Arial" w:hAnsi="Arial"/>
          <w:sz w:val="14"/>
          <w:szCs w:val="14"/>
          <w:b w:val="1"/>
          <w:bCs w:val="1"/>
          <w:color w:val="auto"/>
        </w:rPr>
        <w:t>Lease Expiration</w:t>
      </w:r>
      <w:r>
        <w:rPr>
          <w:sz w:val="20"/>
          <w:szCs w:val="20"/>
          <w:color w:val="auto"/>
        </w:rPr>
        <w:tab/>
      </w:r>
      <w:r>
        <w:rPr>
          <w:rFonts w:ascii="Arial" w:cs="Arial" w:eastAsia="Arial" w:hAnsi="Arial"/>
          <w:sz w:val="11"/>
          <w:szCs w:val="11"/>
          <w:b w:val="1"/>
          <w:bCs w:val="1"/>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600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60325</wp:posOffset>
            </wp:positionV>
            <wp:extent cx="50596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Operations Center 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Operations Center II</w:t>
      </w:r>
    </w:p>
    <w:p>
      <w:pPr>
        <w:spacing w:after="0" w:line="225" w:lineRule="exact"/>
        <w:rPr>
          <w:sz w:val="20"/>
          <w:szCs w:val="20"/>
          <w:color w:val="auto"/>
        </w:rPr>
      </w:pPr>
    </w:p>
    <w:p>
      <w:pPr>
        <w:ind w:left="220" w:hanging="215"/>
        <w:spacing w:after="0" w:line="265" w:lineRule="auto"/>
        <w:rPr>
          <w:sz w:val="20"/>
          <w:szCs w:val="20"/>
          <w:color w:val="auto"/>
        </w:rPr>
      </w:pPr>
      <w:r>
        <w:rPr>
          <w:rFonts w:ascii="Arial" w:cs="Arial" w:eastAsia="Arial" w:hAnsi="Arial"/>
          <w:sz w:val="18"/>
          <w:szCs w:val="18"/>
          <w:color w:val="auto"/>
        </w:rPr>
        <w:t>Operations Center III (including corporate offices)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New York, New York</w:t>
            </w:r>
          </w:p>
        </w:tc>
        <w:tc>
          <w:tcPr>
            <w:tcW w:w="1800" w:type="dxa"/>
            <w:vAlign w:val="bottom"/>
          </w:tcPr>
          <w:p>
            <w:pPr>
              <w:jc w:val="right"/>
              <w:ind w:right="172"/>
              <w:spacing w:after="0"/>
              <w:rPr>
                <w:sz w:val="20"/>
                <w:szCs w:val="20"/>
                <w:color w:val="auto"/>
              </w:rPr>
            </w:pPr>
            <w:r>
              <w:rPr>
                <w:rFonts w:ascii="Arial" w:cs="Arial" w:eastAsia="Arial" w:hAnsi="Arial"/>
                <w:sz w:val="18"/>
                <w:szCs w:val="18"/>
                <w:color w:val="auto"/>
              </w:rPr>
              <w:t>8,940 sq. ft.</w:t>
            </w:r>
          </w:p>
        </w:tc>
        <w:tc>
          <w:tcPr>
            <w:tcW w:w="840" w:type="dxa"/>
            <w:vAlign w:val="bottom"/>
          </w:tcPr>
          <w:p>
            <w:pPr>
              <w:ind w:left="260"/>
              <w:spacing w:after="0"/>
              <w:rPr>
                <w:sz w:val="20"/>
                <w:szCs w:val="20"/>
                <w:color w:val="auto"/>
              </w:rPr>
            </w:pPr>
            <w:r>
              <w:rPr>
                <w:rFonts w:ascii="Arial" w:cs="Arial" w:eastAsia="Arial" w:hAnsi="Arial"/>
                <w:sz w:val="18"/>
                <w:szCs w:val="18"/>
                <w:color w:val="auto"/>
              </w:rPr>
              <w:t>N/A</w:t>
            </w:r>
          </w:p>
        </w:tc>
        <w:tc>
          <w:tcPr>
            <w:tcW w:w="2360" w:type="dxa"/>
            <w:vAlign w:val="bottom"/>
          </w:tcPr>
          <w:p>
            <w:pPr>
              <w:ind w:left="260"/>
              <w:spacing w:after="0"/>
              <w:rPr>
                <w:sz w:val="20"/>
                <w:szCs w:val="20"/>
                <w:color w:val="auto"/>
              </w:rPr>
            </w:pPr>
            <w:r>
              <w:rPr>
                <w:rFonts w:ascii="Arial" w:cs="Arial" w:eastAsia="Arial" w:hAnsi="Arial"/>
                <w:sz w:val="18"/>
                <w:szCs w:val="18"/>
                <w:color w:val="auto"/>
              </w:rPr>
              <w:t>March 30, 2009</w:t>
            </w:r>
          </w:p>
        </w:tc>
        <w:tc>
          <w:tcPr>
            <w:tcW w:w="520" w:type="dxa"/>
            <w:vAlign w:val="bottom"/>
          </w:tcPr>
          <w:p>
            <w:pPr>
              <w:ind w:left="280"/>
              <w:spacing w:after="0"/>
              <w:rPr>
                <w:sz w:val="20"/>
                <w:szCs w:val="20"/>
                <w:color w:val="auto"/>
              </w:rPr>
            </w:pPr>
            <w:r>
              <w:rPr>
                <w:rFonts w:ascii="Arial" w:cs="Arial" w:eastAsia="Arial" w:hAnsi="Arial"/>
                <w:sz w:val="18"/>
                <w:szCs w:val="18"/>
                <w:color w:val="auto"/>
                <w:w w:val="95"/>
              </w:rPr>
              <w:t>No</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Noida, India</w:t>
            </w:r>
          </w:p>
        </w:tc>
        <w:tc>
          <w:tcPr>
            <w:tcW w:w="1800" w:type="dxa"/>
            <w:vAlign w:val="bottom"/>
          </w:tcPr>
          <w:p>
            <w:pPr>
              <w:jc w:val="right"/>
              <w:ind w:right="172"/>
              <w:spacing w:after="0"/>
              <w:rPr>
                <w:sz w:val="20"/>
                <w:szCs w:val="20"/>
                <w:color w:val="auto"/>
              </w:rPr>
            </w:pPr>
            <w:r>
              <w:rPr>
                <w:rFonts w:ascii="Arial" w:cs="Arial" w:eastAsia="Arial" w:hAnsi="Arial"/>
                <w:sz w:val="18"/>
                <w:szCs w:val="18"/>
                <w:color w:val="auto"/>
              </w:rPr>
              <w:t>50,000 sq. ft.</w:t>
            </w:r>
          </w:p>
        </w:tc>
        <w:tc>
          <w:tcPr>
            <w:tcW w:w="840" w:type="dxa"/>
            <w:vAlign w:val="bottom"/>
          </w:tcPr>
          <w:p>
            <w:pPr>
              <w:ind w:left="280"/>
              <w:spacing w:after="0"/>
              <w:rPr>
                <w:sz w:val="20"/>
                <w:szCs w:val="20"/>
                <w:color w:val="auto"/>
              </w:rPr>
            </w:pPr>
            <w:r>
              <w:rPr>
                <w:rFonts w:ascii="Arial" w:cs="Arial" w:eastAsia="Arial" w:hAnsi="Arial"/>
                <w:sz w:val="18"/>
                <w:szCs w:val="18"/>
                <w:color w:val="auto"/>
              </w:rPr>
              <w:t>681</w:t>
            </w:r>
          </w:p>
        </w:tc>
        <w:tc>
          <w:tcPr>
            <w:tcW w:w="2360" w:type="dxa"/>
            <w:vAlign w:val="bottom"/>
          </w:tcPr>
          <w:p>
            <w:pPr>
              <w:ind w:left="260"/>
              <w:spacing w:after="0"/>
              <w:rPr>
                <w:sz w:val="20"/>
                <w:szCs w:val="20"/>
                <w:color w:val="auto"/>
              </w:rPr>
            </w:pPr>
            <w:r>
              <w:rPr>
                <w:rFonts w:ascii="Arial" w:cs="Arial" w:eastAsia="Arial" w:hAnsi="Arial"/>
                <w:sz w:val="18"/>
                <w:szCs w:val="18"/>
                <w:color w:val="auto"/>
              </w:rPr>
              <w:t>March 14, 2010 (option to</w:t>
            </w:r>
          </w:p>
        </w:tc>
        <w:tc>
          <w:tcPr>
            <w:tcW w:w="520" w:type="dxa"/>
            <w:vAlign w:val="bottom"/>
          </w:tcPr>
          <w:p>
            <w:pPr>
              <w:ind w:left="280"/>
              <w:spacing w:after="0"/>
              <w:rPr>
                <w:sz w:val="20"/>
                <w:szCs w:val="20"/>
                <w:color w:val="auto"/>
              </w:rPr>
            </w:pPr>
            <w:r>
              <w:rPr>
                <w:rFonts w:ascii="Arial" w:cs="Arial" w:eastAsia="Arial" w:hAnsi="Arial"/>
                <w:sz w:val="18"/>
                <w:szCs w:val="18"/>
                <w:color w:val="auto"/>
                <w:w w:val="95"/>
              </w:rPr>
              <w:t>No</w:t>
            </w:r>
          </w:p>
        </w:tc>
      </w:tr>
      <w:tr>
        <w:trPr>
          <w:trHeight w:val="216"/>
        </w:trPr>
        <w:tc>
          <w:tcPr>
            <w:tcW w:w="2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ind w:left="260"/>
              <w:spacing w:after="0"/>
              <w:rPr>
                <w:sz w:val="20"/>
                <w:szCs w:val="20"/>
                <w:color w:val="auto"/>
              </w:rPr>
            </w:pPr>
            <w:r>
              <w:rPr>
                <w:rFonts w:ascii="Arial" w:cs="Arial" w:eastAsia="Arial" w:hAnsi="Arial"/>
                <w:sz w:val="18"/>
                <w:szCs w:val="18"/>
                <w:color w:val="auto"/>
              </w:rPr>
              <w:t>extend until 2015)</w:t>
            </w:r>
          </w:p>
        </w:tc>
        <w:tc>
          <w:tcPr>
            <w:tcW w:w="5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Noida, India</w:t>
            </w:r>
          </w:p>
        </w:tc>
        <w:tc>
          <w:tcPr>
            <w:tcW w:w="1800" w:type="dxa"/>
            <w:vAlign w:val="bottom"/>
          </w:tcPr>
          <w:p>
            <w:pPr>
              <w:jc w:val="right"/>
              <w:ind w:right="172"/>
              <w:spacing w:after="0"/>
              <w:rPr>
                <w:sz w:val="20"/>
                <w:szCs w:val="20"/>
                <w:color w:val="auto"/>
              </w:rPr>
            </w:pPr>
            <w:r>
              <w:rPr>
                <w:rFonts w:ascii="Arial" w:cs="Arial" w:eastAsia="Arial" w:hAnsi="Arial"/>
                <w:sz w:val="18"/>
                <w:szCs w:val="18"/>
                <w:color w:val="auto"/>
              </w:rPr>
              <w:t>39,700 sq. ft.</w:t>
            </w:r>
          </w:p>
        </w:tc>
        <w:tc>
          <w:tcPr>
            <w:tcW w:w="840" w:type="dxa"/>
            <w:vAlign w:val="bottom"/>
          </w:tcPr>
          <w:p>
            <w:pPr>
              <w:ind w:left="280"/>
              <w:spacing w:after="0"/>
              <w:rPr>
                <w:sz w:val="20"/>
                <w:szCs w:val="20"/>
                <w:color w:val="auto"/>
              </w:rPr>
            </w:pPr>
            <w:r>
              <w:rPr>
                <w:rFonts w:ascii="Arial" w:cs="Arial" w:eastAsia="Arial" w:hAnsi="Arial"/>
                <w:sz w:val="18"/>
                <w:szCs w:val="18"/>
                <w:color w:val="auto"/>
              </w:rPr>
              <w:t>489</w:t>
            </w:r>
          </w:p>
        </w:tc>
        <w:tc>
          <w:tcPr>
            <w:tcW w:w="2360" w:type="dxa"/>
            <w:vAlign w:val="bottom"/>
          </w:tcPr>
          <w:p>
            <w:pPr>
              <w:ind w:left="260"/>
              <w:spacing w:after="0"/>
              <w:rPr>
                <w:sz w:val="20"/>
                <w:szCs w:val="20"/>
                <w:color w:val="auto"/>
              </w:rPr>
            </w:pPr>
            <w:r>
              <w:rPr>
                <w:rFonts w:ascii="Arial" w:cs="Arial" w:eastAsia="Arial" w:hAnsi="Arial"/>
                <w:sz w:val="18"/>
                <w:szCs w:val="18"/>
                <w:color w:val="auto"/>
              </w:rPr>
              <w:t>May 17, 2008 (renewable</w:t>
            </w:r>
          </w:p>
        </w:tc>
        <w:tc>
          <w:tcPr>
            <w:tcW w:w="520" w:type="dxa"/>
            <w:vAlign w:val="bottom"/>
          </w:tcPr>
          <w:p>
            <w:pPr>
              <w:ind w:left="280"/>
              <w:spacing w:after="0"/>
              <w:rPr>
                <w:sz w:val="20"/>
                <w:szCs w:val="20"/>
                <w:color w:val="auto"/>
              </w:rPr>
            </w:pPr>
            <w:r>
              <w:rPr>
                <w:rFonts w:ascii="Arial" w:cs="Arial" w:eastAsia="Arial" w:hAnsi="Arial"/>
                <w:sz w:val="18"/>
                <w:szCs w:val="18"/>
                <w:color w:val="auto"/>
                <w:w w:val="95"/>
              </w:rPr>
              <w:t>No</w:t>
            </w:r>
          </w:p>
        </w:tc>
      </w:tr>
      <w:tr>
        <w:trPr>
          <w:trHeight w:val="222"/>
        </w:trPr>
        <w:tc>
          <w:tcPr>
            <w:tcW w:w="2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ind w:left="260"/>
              <w:spacing w:after="0"/>
              <w:rPr>
                <w:sz w:val="20"/>
                <w:szCs w:val="20"/>
                <w:color w:val="auto"/>
              </w:rPr>
            </w:pPr>
            <w:r>
              <w:rPr>
                <w:rFonts w:ascii="Arial" w:cs="Arial" w:eastAsia="Arial" w:hAnsi="Arial"/>
                <w:sz w:val="18"/>
                <w:szCs w:val="18"/>
                <w:color w:val="auto"/>
              </w:rPr>
              <w:t>until 2016)</w:t>
            </w:r>
          </w:p>
        </w:tc>
        <w:tc>
          <w:tcPr>
            <w:tcW w:w="520" w:type="dxa"/>
            <w:vAlign w:val="bottom"/>
          </w:tcPr>
          <w:p>
            <w:pPr>
              <w:spacing w:after="0"/>
              <w:rPr>
                <w:sz w:val="19"/>
                <w:szCs w:val="19"/>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rPr>
              <w:t>Noida, India</w:t>
            </w:r>
          </w:p>
        </w:tc>
        <w:tc>
          <w:tcPr>
            <w:tcW w:w="1800" w:type="dxa"/>
            <w:vAlign w:val="bottom"/>
          </w:tcPr>
          <w:p>
            <w:pPr>
              <w:jc w:val="right"/>
              <w:ind w:right="172"/>
              <w:spacing w:after="0"/>
              <w:rPr>
                <w:sz w:val="20"/>
                <w:szCs w:val="20"/>
                <w:color w:val="auto"/>
              </w:rPr>
            </w:pPr>
            <w:r>
              <w:rPr>
                <w:rFonts w:ascii="Arial" w:cs="Arial" w:eastAsia="Arial" w:hAnsi="Arial"/>
                <w:sz w:val="18"/>
                <w:szCs w:val="18"/>
                <w:color w:val="auto"/>
              </w:rPr>
              <w:t>68,800 sq. ft.</w:t>
            </w:r>
          </w:p>
        </w:tc>
        <w:tc>
          <w:tcPr>
            <w:tcW w:w="840" w:type="dxa"/>
            <w:vAlign w:val="bottom"/>
          </w:tcPr>
          <w:p>
            <w:pPr>
              <w:ind w:left="280"/>
              <w:spacing w:after="0"/>
              <w:rPr>
                <w:sz w:val="20"/>
                <w:szCs w:val="20"/>
                <w:color w:val="auto"/>
              </w:rPr>
            </w:pPr>
            <w:r>
              <w:rPr>
                <w:rFonts w:ascii="Arial" w:cs="Arial" w:eastAsia="Arial" w:hAnsi="Arial"/>
                <w:sz w:val="18"/>
                <w:szCs w:val="18"/>
                <w:color w:val="auto"/>
              </w:rPr>
              <w:t>669</w:t>
            </w:r>
          </w:p>
        </w:tc>
        <w:tc>
          <w:tcPr>
            <w:tcW w:w="2360" w:type="dxa"/>
            <w:vAlign w:val="bottom"/>
          </w:tcPr>
          <w:p>
            <w:pPr>
              <w:ind w:left="260"/>
              <w:spacing w:after="0"/>
              <w:rPr>
                <w:sz w:val="20"/>
                <w:szCs w:val="20"/>
                <w:color w:val="auto"/>
              </w:rPr>
            </w:pPr>
            <w:r>
              <w:rPr>
                <w:rFonts w:ascii="Arial" w:cs="Arial" w:eastAsia="Arial" w:hAnsi="Arial"/>
                <w:sz w:val="18"/>
                <w:szCs w:val="18"/>
                <w:color w:val="auto"/>
              </w:rPr>
              <w:t>May 7, 2011</w:t>
            </w:r>
          </w:p>
        </w:tc>
        <w:tc>
          <w:tcPr>
            <w:tcW w:w="520" w:type="dxa"/>
            <w:vAlign w:val="bottom"/>
          </w:tcPr>
          <w:p>
            <w:pPr>
              <w:ind w:left="260"/>
              <w:spacing w:after="0"/>
              <w:rPr>
                <w:sz w:val="20"/>
                <w:szCs w:val="20"/>
                <w:color w:val="auto"/>
              </w:rPr>
            </w:pPr>
            <w:r>
              <w:rPr>
                <w:rFonts w:ascii="Arial" w:cs="Arial" w:eastAsia="Arial" w:hAnsi="Arial"/>
                <w:sz w:val="18"/>
                <w:szCs w:val="18"/>
                <w:color w:val="auto"/>
                <w:w w:val="77"/>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-890270</wp:posOffset>
            </wp:positionV>
            <wp:extent cx="72466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-478155</wp:posOffset>
            </wp:positionV>
            <wp:extent cx="7246620" cy="2743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2980" w:space="480"/>
            <w:col w:w="79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26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Operations Center IV-A</w:t>
            </w:r>
          </w:p>
        </w:tc>
        <w:tc>
          <w:tcPr>
            <w:tcW w:w="2660" w:type="dxa"/>
            <w:vAlign w:val="bottom"/>
            <w:shd w:val="clear" w:color="auto" w:fill="CCEEFF"/>
          </w:tcPr>
          <w:p>
            <w:pPr>
              <w:ind w:left="800"/>
              <w:spacing w:after="0" w:line="191" w:lineRule="exact"/>
              <w:rPr>
                <w:sz w:val="20"/>
                <w:szCs w:val="20"/>
                <w:color w:val="auto"/>
              </w:rPr>
            </w:pPr>
            <w:r>
              <w:rPr>
                <w:rFonts w:ascii="Arial" w:cs="Arial" w:eastAsia="Arial" w:hAnsi="Arial"/>
                <w:sz w:val="18"/>
                <w:szCs w:val="18"/>
                <w:color w:val="auto"/>
              </w:rPr>
              <w:t>Pune, India</w:t>
            </w:r>
          </w:p>
        </w:tc>
        <w:tc>
          <w:tcPr>
            <w:tcW w:w="1980" w:type="dxa"/>
            <w:vAlign w:val="bottom"/>
            <w:shd w:val="clear" w:color="auto" w:fill="CCEEFF"/>
          </w:tcPr>
          <w:p>
            <w:pPr>
              <w:jc w:val="right"/>
              <w:ind w:right="92"/>
              <w:spacing w:after="0" w:line="191" w:lineRule="exact"/>
              <w:rPr>
                <w:sz w:val="20"/>
                <w:szCs w:val="20"/>
                <w:color w:val="auto"/>
              </w:rPr>
            </w:pPr>
            <w:r>
              <w:rPr>
                <w:rFonts w:ascii="Arial" w:cs="Arial" w:eastAsia="Arial" w:hAnsi="Arial"/>
                <w:sz w:val="18"/>
                <w:szCs w:val="18"/>
                <w:color w:val="auto"/>
              </w:rPr>
              <w:t>42,559 sq. ft.</w:t>
            </w:r>
          </w:p>
        </w:tc>
        <w:tc>
          <w:tcPr>
            <w:tcW w:w="1000" w:type="dxa"/>
            <w:vAlign w:val="bottom"/>
            <w:shd w:val="clear" w:color="auto" w:fill="CCEEFF"/>
          </w:tcPr>
          <w:p>
            <w:pPr>
              <w:ind w:left="180"/>
              <w:spacing w:after="0" w:line="191" w:lineRule="exact"/>
              <w:rPr>
                <w:sz w:val="20"/>
                <w:szCs w:val="20"/>
                <w:color w:val="auto"/>
              </w:rPr>
            </w:pPr>
            <w:r>
              <w:rPr>
                <w:rFonts w:ascii="Arial" w:cs="Arial" w:eastAsia="Arial" w:hAnsi="Arial"/>
                <w:sz w:val="18"/>
                <w:szCs w:val="18"/>
                <w:color w:val="auto"/>
              </w:rPr>
              <w:t>435-Grd.</w:t>
            </w:r>
          </w:p>
        </w:tc>
        <w:tc>
          <w:tcPr>
            <w:tcW w:w="2280" w:type="dxa"/>
            <w:vAlign w:val="bottom"/>
            <w:shd w:val="clear" w:color="auto" w:fill="CCEEFF"/>
          </w:tcPr>
          <w:p>
            <w:pPr>
              <w:ind w:left="180"/>
              <w:spacing w:after="0" w:line="191" w:lineRule="exact"/>
              <w:rPr>
                <w:sz w:val="20"/>
                <w:szCs w:val="20"/>
                <w:color w:val="auto"/>
              </w:rPr>
            </w:pPr>
            <w:r>
              <w:rPr>
                <w:rFonts w:ascii="Arial" w:cs="Arial" w:eastAsia="Arial" w:hAnsi="Arial"/>
                <w:sz w:val="18"/>
                <w:szCs w:val="18"/>
                <w:color w:val="auto"/>
                <w:w w:val="97"/>
              </w:rPr>
              <w:t>July 31, 2013 February 16,</w:t>
            </w:r>
          </w:p>
        </w:tc>
        <w:tc>
          <w:tcPr>
            <w:tcW w:w="84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color w:val="auto"/>
                <w:w w:val="86"/>
              </w:rPr>
              <w:t>Yes(1)</w:t>
            </w:r>
          </w:p>
        </w:tc>
      </w:tr>
      <w:tr>
        <w:trPr>
          <w:trHeight w:val="238"/>
        </w:trPr>
        <w:tc>
          <w:tcPr>
            <w:tcW w:w="26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43,802 sq. ft.</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590-First</w:t>
            </w: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840" w:type="dxa"/>
            <w:vAlign w:val="bottom"/>
            <w:shd w:val="clear" w:color="auto" w:fill="CCEEFF"/>
          </w:tcPr>
          <w:p>
            <w:pPr>
              <w:spacing w:after="0"/>
              <w:rPr>
                <w:sz w:val="20"/>
                <w:szCs w:val="20"/>
                <w:color w:val="auto"/>
              </w:rPr>
            </w:pPr>
          </w:p>
        </w:tc>
      </w:tr>
      <w:tr>
        <w:trPr>
          <w:trHeight w:val="208"/>
        </w:trPr>
        <w:tc>
          <w:tcPr>
            <w:tcW w:w="2660" w:type="dxa"/>
            <w:vAlign w:val="bottom"/>
          </w:tcPr>
          <w:p>
            <w:pPr>
              <w:spacing w:after="0"/>
              <w:rPr>
                <w:sz w:val="20"/>
                <w:szCs w:val="20"/>
                <w:color w:val="auto"/>
              </w:rPr>
            </w:pPr>
            <w:r>
              <w:rPr>
                <w:rFonts w:ascii="Arial" w:cs="Arial" w:eastAsia="Arial" w:hAnsi="Arial"/>
                <w:sz w:val="18"/>
                <w:szCs w:val="18"/>
                <w:color w:val="auto"/>
              </w:rPr>
              <w:t>Operations Center IV-B(2)</w:t>
            </w:r>
          </w:p>
        </w:tc>
        <w:tc>
          <w:tcPr>
            <w:tcW w:w="2660" w:type="dxa"/>
            <w:vAlign w:val="bottom"/>
          </w:tcPr>
          <w:p>
            <w:pPr>
              <w:ind w:left="800"/>
              <w:spacing w:after="0"/>
              <w:rPr>
                <w:sz w:val="20"/>
                <w:szCs w:val="20"/>
                <w:color w:val="auto"/>
              </w:rPr>
            </w:pPr>
            <w:r>
              <w:rPr>
                <w:rFonts w:ascii="Arial" w:cs="Arial" w:eastAsia="Arial" w:hAnsi="Arial"/>
                <w:sz w:val="18"/>
                <w:szCs w:val="18"/>
                <w:color w:val="auto"/>
              </w:rPr>
              <w:t>Pune, India</w:t>
            </w:r>
          </w:p>
        </w:tc>
        <w:tc>
          <w:tcPr>
            <w:tcW w:w="1980" w:type="dxa"/>
            <w:vAlign w:val="bottom"/>
          </w:tcPr>
          <w:p>
            <w:pPr>
              <w:jc w:val="right"/>
              <w:ind w:right="92"/>
              <w:spacing w:after="0"/>
              <w:rPr>
                <w:sz w:val="20"/>
                <w:szCs w:val="20"/>
                <w:color w:val="auto"/>
              </w:rPr>
            </w:pPr>
            <w:r>
              <w:rPr>
                <w:rFonts w:ascii="Arial" w:cs="Arial" w:eastAsia="Arial" w:hAnsi="Arial"/>
                <w:sz w:val="18"/>
                <w:szCs w:val="18"/>
                <w:color w:val="auto"/>
              </w:rPr>
              <w:t>61,802 sq. ft.</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440-5&amp;7</w:t>
            </w:r>
          </w:p>
        </w:tc>
        <w:tc>
          <w:tcPr>
            <w:tcW w:w="2280" w:type="dxa"/>
            <w:vAlign w:val="bottom"/>
          </w:tcPr>
          <w:p>
            <w:pPr>
              <w:ind w:left="180"/>
              <w:spacing w:after="0"/>
              <w:rPr>
                <w:sz w:val="20"/>
                <w:szCs w:val="20"/>
                <w:color w:val="auto"/>
              </w:rPr>
            </w:pPr>
            <w:r>
              <w:rPr>
                <w:rFonts w:ascii="Arial" w:cs="Arial" w:eastAsia="Arial" w:hAnsi="Arial"/>
                <w:sz w:val="18"/>
                <w:szCs w:val="18"/>
                <w:color w:val="auto"/>
              </w:rPr>
              <w:t>December 2, 2013</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22"/>
        </w:trPr>
        <w:tc>
          <w:tcPr>
            <w:tcW w:w="2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tcPr>
          <w:p>
            <w:pPr>
              <w:jc w:val="right"/>
              <w:ind w:right="92"/>
              <w:spacing w:after="0"/>
              <w:rPr>
                <w:sz w:val="20"/>
                <w:szCs w:val="20"/>
                <w:color w:val="auto"/>
              </w:rPr>
            </w:pPr>
            <w:r>
              <w:rPr>
                <w:rFonts w:ascii="Arial" w:cs="Arial" w:eastAsia="Arial" w:hAnsi="Arial"/>
                <w:sz w:val="18"/>
                <w:szCs w:val="18"/>
                <w:color w:val="auto"/>
              </w:rPr>
              <w:t>43,802 sq. ft.</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491-6</w:t>
            </w:r>
          </w:p>
        </w:tc>
        <w:tc>
          <w:tcPr>
            <w:tcW w:w="2280" w:type="dxa"/>
            <w:vAlign w:val="bottom"/>
          </w:tcPr>
          <w:p>
            <w:pPr>
              <w:ind w:left="180"/>
              <w:spacing w:after="0"/>
              <w:rPr>
                <w:sz w:val="20"/>
                <w:szCs w:val="20"/>
                <w:color w:val="auto"/>
              </w:rPr>
            </w:pPr>
            <w:r>
              <w:rPr>
                <w:rFonts w:ascii="Arial" w:cs="Arial" w:eastAsia="Arial" w:hAnsi="Arial"/>
                <w:sz w:val="18"/>
                <w:szCs w:val="18"/>
                <w:color w:val="auto"/>
              </w:rPr>
              <w:t>December 31, 2013</w:t>
            </w:r>
          </w:p>
        </w:tc>
        <w:tc>
          <w:tcPr>
            <w:tcW w:w="840" w:type="dxa"/>
            <w:vAlign w:val="bottom"/>
          </w:tcPr>
          <w:p>
            <w:pPr>
              <w:spacing w:after="0"/>
              <w:rPr>
                <w:sz w:val="19"/>
                <w:szCs w:val="19"/>
                <w:color w:val="auto"/>
              </w:rPr>
            </w:pPr>
          </w:p>
        </w:tc>
      </w:tr>
      <w:tr>
        <w:trPr>
          <w:trHeight w:val="22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Operations Center V</w:t>
            </w:r>
          </w:p>
        </w:tc>
        <w:tc>
          <w:tcPr>
            <w:tcW w:w="2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Noida, India</w:t>
            </w:r>
          </w:p>
        </w:tc>
        <w:tc>
          <w:tcPr>
            <w:tcW w:w="1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104,000 sq. ft.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1,093</w:t>
            </w: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August 29, 2010 (option to</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24"/>
        </w:trPr>
        <w:tc>
          <w:tcPr>
            <w:tcW w:w="266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extend until 2023)</w:t>
            </w:r>
          </w:p>
        </w:tc>
        <w:tc>
          <w:tcPr>
            <w:tcW w:w="840" w:type="dxa"/>
            <w:vAlign w:val="bottom"/>
            <w:shd w:val="clear" w:color="auto" w:fill="CCEEFF"/>
          </w:tcPr>
          <w:p>
            <w:pPr>
              <w:spacing w:after="0"/>
              <w:rPr>
                <w:sz w:val="19"/>
                <w:szCs w:val="19"/>
                <w:color w:val="auto"/>
              </w:rPr>
            </w:pPr>
          </w:p>
        </w:tc>
      </w:tr>
      <w:tr>
        <w:trPr>
          <w:trHeight w:val="208"/>
        </w:trPr>
        <w:tc>
          <w:tcPr>
            <w:tcW w:w="2660" w:type="dxa"/>
            <w:vAlign w:val="bottom"/>
          </w:tcPr>
          <w:p>
            <w:pPr>
              <w:spacing w:after="0"/>
              <w:rPr>
                <w:sz w:val="20"/>
                <w:szCs w:val="20"/>
                <w:color w:val="auto"/>
              </w:rPr>
            </w:pPr>
            <w:r>
              <w:rPr>
                <w:rFonts w:ascii="Arial" w:cs="Arial" w:eastAsia="Arial" w:hAnsi="Arial"/>
                <w:sz w:val="18"/>
                <w:szCs w:val="18"/>
                <w:color w:val="auto"/>
              </w:rPr>
              <w:t>Gurgaon Facility</w:t>
            </w:r>
          </w:p>
        </w:tc>
        <w:tc>
          <w:tcPr>
            <w:tcW w:w="2660" w:type="dxa"/>
            <w:vAlign w:val="bottom"/>
          </w:tcPr>
          <w:p>
            <w:pPr>
              <w:ind w:left="800"/>
              <w:spacing w:after="0"/>
              <w:rPr>
                <w:sz w:val="20"/>
                <w:szCs w:val="20"/>
                <w:color w:val="auto"/>
              </w:rPr>
            </w:pPr>
            <w:r>
              <w:rPr>
                <w:rFonts w:ascii="Arial" w:cs="Arial" w:eastAsia="Arial" w:hAnsi="Arial"/>
                <w:sz w:val="18"/>
                <w:szCs w:val="18"/>
                <w:color w:val="auto"/>
              </w:rPr>
              <w:t>Gurgaon, India</w:t>
            </w:r>
          </w:p>
        </w:tc>
        <w:tc>
          <w:tcPr>
            <w:tcW w:w="1980" w:type="dxa"/>
            <w:vAlign w:val="bottom"/>
          </w:tcPr>
          <w:p>
            <w:pPr>
              <w:jc w:val="right"/>
              <w:ind w:right="92"/>
              <w:spacing w:after="0"/>
              <w:rPr>
                <w:sz w:val="20"/>
                <w:szCs w:val="20"/>
                <w:color w:val="auto"/>
              </w:rPr>
            </w:pPr>
            <w:r>
              <w:rPr>
                <w:rFonts w:ascii="Arial" w:cs="Arial" w:eastAsia="Arial" w:hAnsi="Arial"/>
                <w:sz w:val="18"/>
                <w:szCs w:val="18"/>
                <w:color w:val="auto"/>
              </w:rPr>
              <w:t>20,628 sq. ft.</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197</w:t>
            </w:r>
          </w:p>
        </w:tc>
        <w:tc>
          <w:tcPr>
            <w:tcW w:w="2280" w:type="dxa"/>
            <w:vAlign w:val="bottom"/>
          </w:tcPr>
          <w:p>
            <w:pPr>
              <w:ind w:left="180"/>
              <w:spacing w:after="0"/>
              <w:rPr>
                <w:sz w:val="20"/>
                <w:szCs w:val="20"/>
                <w:color w:val="auto"/>
              </w:rPr>
            </w:pPr>
            <w:r>
              <w:rPr>
                <w:rFonts w:ascii="Arial" w:cs="Arial" w:eastAsia="Arial" w:hAnsi="Arial"/>
                <w:sz w:val="18"/>
                <w:szCs w:val="18"/>
                <w:color w:val="auto"/>
                <w:w w:val="96"/>
              </w:rPr>
              <w:t>July 2008 (option to extend</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22"/>
        </w:trPr>
        <w:tc>
          <w:tcPr>
            <w:tcW w:w="2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until 2014)</w:t>
            </w: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intend to exercise our buy-out option with regard to Operations Center IV-A, for a total estimated cost, including fit-out, of approximately $3.0 million.</w:t>
      </w:r>
    </w:p>
    <w:p>
      <w:pPr>
        <w:spacing w:after="0" w:line="38" w:lineRule="exact"/>
        <w:rPr>
          <w:rFonts w:ascii="Arial" w:cs="Arial" w:eastAsia="Arial" w:hAnsi="Arial"/>
          <w:sz w:val="16"/>
          <w:szCs w:val="16"/>
          <w:color w:val="auto"/>
        </w:rPr>
      </w:pPr>
    </w:p>
    <w:p>
      <w:pPr>
        <w:ind w:left="460" w:right="220" w:hanging="452"/>
        <w:spacing w:after="0" w:line="30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Approximately 105,604 square feet of space (including approximately 1,093 agent workstations) in our Operations Center IV-B are subject to a purchase option held by our client Norwich Union. This option is exercisable at any time commencing in January 2008 until February 2011. See “Certain Relationships and Related Transactions—Agreements with Norwich Union—Option to Purchase Stock of NCOP.”</w:t>
      </w:r>
    </w:p>
    <w:p>
      <w:pPr>
        <w:spacing w:after="0" w:line="9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All of our operations centers are equipped with fiber connectivity and have access to other power sources.</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intend to establish a new operations facility in Noida, India, during 2007 with an installed capacity of approximately 1,150 workstations at a total estimated cost of approximately $8.0 million. We are also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in which the client services are being provided. We are actively looking at a few specific locations.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2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are one of the few offshore BPO service providers that can provide TPA insurance services in 43 states of the United States, having been licensed or exempted from, or not subject to, licensing in each of those states, which may help make us an attractive service provider to future clients.</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debt collection services are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conditional exemptions with respect to our ongoing collection obligations.</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operations are also subject to compliance with a variety of other laws federal and regulations that apply to certain portions of our business such as the Fair Credit Reporting Act, the Gramm-Leach-Bliley Act, the Health Insurance Portability and Accountability Act of 1996, the Truth in Lending Act, the Fair Credit Billing Act, the Fair Debt Collections Practices Act and FDIC rules and regulations. Our client contracts specify what particular regulatory requirements we must meet in connection with the BPO services we provide. We train our employees regarding the applicable laws and regulations.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Our subsidiaries in India are also subject to certain currency transfer restrictions. See “Management’s Discussion and Analysis of Financial Condition and Results of Operations—Income Tax” and “—Foreign Currency.”</w:t>
      </w:r>
    </w:p>
    <w:p>
      <w:pPr>
        <w:spacing w:after="0" w:line="123" w:lineRule="exact"/>
        <w:rPr>
          <w:sz w:val="20"/>
          <w:szCs w:val="20"/>
          <w:color w:val="auto"/>
        </w:rPr>
      </w:pPr>
    </w:p>
    <w:p>
      <w:pPr>
        <w:jc w:val="right"/>
        <w:ind w:right="10040"/>
        <w:spacing w:after="0"/>
        <w:rPr>
          <w:sz w:val="20"/>
          <w:szCs w:val="20"/>
          <w:color w:val="auto"/>
        </w:rPr>
      </w:pPr>
      <w:r>
        <w:rPr>
          <w:rFonts w:ascii="Arial" w:cs="Arial" w:eastAsia="Arial" w:hAnsi="Arial"/>
          <w:sz w:val="15"/>
          <w:szCs w:val="15"/>
          <w:b w:val="1"/>
          <w:bCs w:val="1"/>
          <w:color w:val="auto"/>
        </w:rPr>
        <w:t>Legal Proceedings</w:t>
      </w:r>
    </w:p>
    <w:p>
      <w:pPr>
        <w:spacing w:after="0" w:line="117" w:lineRule="exact"/>
        <w:rPr>
          <w:sz w:val="20"/>
          <w:szCs w:val="20"/>
          <w:color w:val="auto"/>
        </w:rPr>
      </w:pPr>
    </w:p>
    <w:p>
      <w:pPr>
        <w:jc w:val="right"/>
        <w:ind w:right="9980"/>
        <w:spacing w:after="0"/>
        <w:rPr>
          <w:sz w:val="20"/>
          <w:szCs w:val="20"/>
          <w:color w:val="auto"/>
        </w:rPr>
      </w:pPr>
      <w:r>
        <w:rPr>
          <w:rFonts w:ascii="Arial" w:cs="Arial" w:eastAsia="Arial" w:hAnsi="Arial"/>
          <w:sz w:val="16"/>
          <w:szCs w:val="16"/>
          <w:b w:val="1"/>
          <w:bCs w:val="1"/>
          <w:i w:val="1"/>
          <w:iCs w:val="1"/>
          <w:color w:val="auto"/>
        </w:rPr>
        <w:t>Tax Proceedings</w:t>
      </w:r>
    </w:p>
    <w:p>
      <w:pPr>
        <w:spacing w:after="0" w:line="10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March 23, 2006, the Indian taxing authorities issued an assessment order with respect to their audit of EXL India’s 2003-04 tax year alleging that the transfer price we applied to transactions between EXL India and EXL Inc. was not appropriate and disallowing certain expenses claimed as tax deductible by EXL India. Indian transfer pricing regulations require that any international transaction involving related corporations be at an arms’ length price. Transactions among our subsidiaries and us may be considered such transactions. This assessment, rectified on May 24, 2006, demands that EXL India pay additional taxes in the amount of 96,796,762 Indian rupees (approximately $2.1 million at the exchange rate in effect on June 30, 2006).</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Indian taxing authorities also recently issued a second assessment order alleging that EXL Inc. has a permanent establishment in India and demanding the payment of additional taxes in the amount of 146,655,473 Indian rupees (approximately $3.2 million at the exchange rate in effect on June 30, 2006). If EXL Inc. were found to have a permanent establishment in India, it would be required to pay Indian taxes on the income deemed attributed to such permanent establishment not only for the 2003-04 tax year but for subsequent years as well.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Indian tax authorities also initiated proceedings seeking to levy certain penalties in connection with these two assessments.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contesting both of these assessments and filed appeals within 30 days of the receipt of these assessments with the Commissioner of Tax Appeals in New Delhi. Under Indian tax regulations, we have been required to pay approximately 20.0 million Indian rupees (approximately $436,000 at the exchange rate in effect on June 30, 2006) as a deposit on the first assessment before exhausting all our available opportunities to appeal this assessment. We may be required to pay additional amounts with respect to the first and second assessment. Any amount paid by us will be refunded to us with interest if we succeed in our appeals. We cannot assure you that our appeals will be successful.</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Indian tax authorities are conducting an audit of our 2004-05 tax year. While no assessments have yet been made in connection with the 2004-05 audit, there can be no assurance that we will not receive additional assessments or be required to pay significant additional taxes with respect to that tax year, or that the Indian taxing authorities will not pursue audits for other tax years.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failure of our appeals or further assessments would reduce our profitability and cash flows.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77"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INDUCTIS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July 1, 2006, we acquired Inductis through a merger, as a result of which Inductis became a wholly owned subsidiary of ExlService Holdings pursuant to an Agreement and Plan of Merger, dated June 30, 2006, or the Inductis Acquisition agreement. We estimate that the total consideration for the Inductis Acquisition, including the assumption of liabilities, earnout and contingent payments and transaction costs, but excluding a working capital adjustment of approximately $0.5 million, as further described below, is approximately $30.9 million.</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paid approximately $13.0 million at the closing of the Inductis Acquisition, in the form of $2.4 million in cash, the issuance of 535,918 shares of our Series A common stock (1,071,836 shares of our common stock after giving effect to the Share Conversion), subject to reduction for any cashless withholding in respect of taxes, $0.9 million in transaction costs and a $0.4 million bonus payable in January 2007.</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agreed to make certain additional working capital adjustment, earnout and contingent payments to the former holders of Inductis securities as further described below.</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also assumed lines of credit, a term loan and certain other Inductis debt. As of June 30, 2006, an aggregate of $2.5 million was outstanding under the lines of credit and $1.8 million was outstanding under the term loan. We repaid all these obligations in full on September 26, 2006.</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merger:</w:t>
      </w:r>
    </w:p>
    <w:p>
      <w:pPr>
        <w:spacing w:after="0" w:line="77" w:lineRule="exact"/>
        <w:rPr>
          <w:sz w:val="20"/>
          <w:szCs w:val="20"/>
          <w:color w:val="auto"/>
        </w:rPr>
      </w:pPr>
    </w:p>
    <w:p>
      <w:pPr>
        <w:ind w:left="780" w:hanging="326"/>
        <w:spacing w:after="0" w:line="325"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outstanding share of Inductis common stock was converted into the right to receive cash and shares of our Series A common stock and the right to receive certain earnout and contingent payments if certain performance conditions are achieved, as further described below;</w:t>
      </w:r>
    </w:p>
    <w:p>
      <w:pPr>
        <w:spacing w:after="0" w:line="1" w:lineRule="exact"/>
        <w:rPr>
          <w:rFonts w:ascii="Arial" w:cs="Arial" w:eastAsia="Arial" w:hAnsi="Arial"/>
          <w:sz w:val="16"/>
          <w:szCs w:val="16"/>
          <w:color w:val="auto"/>
        </w:rPr>
      </w:pPr>
    </w:p>
    <w:p>
      <w:pPr>
        <w:ind w:left="780" w:right="280" w:hanging="326"/>
        <w:spacing w:after="0" w:line="306"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holders of Inductis restricted stock received a combination of cash, shares of our Series A common stock, grants of restricted shares of our Series B common stock under our Management Incentive Plan as described below, a cash bonus payable on January 1, 2007 and the right to receive certain earnout and contingent payments if certain performance conditions are achieved, as further described below; and</w:t>
      </w:r>
    </w:p>
    <w:p>
      <w:pPr>
        <w:spacing w:after="0" w:line="12"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holders of unvested options to purchase shares of Inductis common stock received cash, grants of restricted shares of our Series B common stock under our Management Incentive Plan and a cash bonus payable on January 1, 2007.</w:t>
      </w:r>
    </w:p>
    <w:p>
      <w:pPr>
        <w:spacing w:after="0" w:line="118"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As part of our management incentives, we granted 84,897 restricted shares of our Series B common stock (169,794 shares of our common stock after giving effect to the Share Conversion), subject to certain vesting requirements, under our Management Incentive Plan to the holders of Inductis common stock, restricted stock and unvested options. Of the 84,897 restricted shares of Series B common stock granted in the Inductis Acquisition, 53,755 shares (107,510 shares of our common stock after giving effect to the Share Conversion) are subject to vesting over two or three years. The remaining 31,142 shares (62,284 shares of our common stock after giving effect to the Share Conversion) will vest or be forfeited based upon our attainment of the earnout and contingent payment targets for the historic Inductis business in 2006 and 2007 described below. If we do not attain the minimum thresholds for such earnout or contingent payments, certain of these restricted shares of Series B common stock will be forfeited by the recipients thereof. See “Management—Management Incentive Plan” for a more complete discussion regarding the terms of the restricted shares of our Series B common stock issued in connection with the Inductis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Adjustment</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purchase price in the Inductis Acquisition is subject to a working capital adjustment based on the net working capital of Inductis and its subsidiaries as of June 30, 2006. Net working capital means all current consolidated assets of Inductis and its subsidiaries, as determined in accordance with GAAP, less all current liabilities and all current and long-term debt of Inductis and its subsidiaries, as determined in accordance with GAAP. Based on net working capital at June 30, 2006, we are required to pay approximately $0.5 million as additional consideration to the former holders of Inductis securities in the form of cash.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Payments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Former holders of Inductis common stock and restricted stock may also be entitled to receive additional shares of our Series A common stock (and the 31,142 restricted shares of Series B common stock will vest or be forfeited) based on Inductis’ revenues and profit margins (determined in accordance with the provisions of the Inductis Acquisition agreement) in 2006 and 2007 as follows: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Inductis’ profit adjusted earnout revenue (which amount is defined in the Inductis Acquisition agreement to equal either its revenue or a lower amount if certain profit margin targets are not achieved as set forth in the Inductis Acquisition agreement) is equal to or exceeds $28.0 million during fiscal year 2006, the former holders of Inductis common stock and restricted stock will be entitled to receive an aggregate of 194,953 shares of our Series A common stock (389,906 shares of our common stock after giving effect to the Share Conversion). If its profit adjusted earnout revenue is between $25.2 million and $28.0 million during fiscal year 2006, the former holders of Inductis common stock and restricted stock will be entitled to receive a number of shares of our Series A common stock ranging from 64,334 shares (128,668 shares of our common stock after giving effect to the Share Conversion) to, but not including, 194,953 shares (389,906 shares of our common stock after giving effect to the Share Conversion), with the actual number determined pursuant to a formula set forth in the Inductis Acquisition agreement. If Inductis’ profit adjusted earnout revenue is less than $25.2 million during fiscal year 2006, the former holders of Inductis common stock and restricted stock will receive no shares of common stock with respect to fiscal year 2006, subject to a possible “catch-up” opportunity based on the results for fiscal year 2007, as described below.</w:t>
      </w:r>
    </w:p>
    <w:p>
      <w:pPr>
        <w:spacing w:after="0" w:line="10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Inductis’ profit adjusted earnout revenue is equal to or exceeds $35.0 million during fiscal year 2007, the former holders of Inductis common stock and restricted stock will be entitled to receive an aggregate of 194,953 shares of our Series A common stock (389,906 shares of our common stock after giving effect to the Share Conversion). If its profit adjusted earnout revenue is between $31.5 million and $35.0 million during fiscal year 2007, the former holders of Inductis common stock and restricted stock will be entitled to receive a number of shares of our common stock ranging from 64,334 shares (128,668 shares of our common stock after giving effect to the Share Conversion) to, but not including, 194,953 shares (389,906 shares of our common stock after giving effect to the Share Conversion), with the actual number determined pursuant to a formula set forth in the Inductis Acquisition agreement. If Inductis’ profit adjusted earnout revenue is less than $31.5 million during fiscal year 2007, the former holders of Inductis common stock and restricted stock will receive no shares of common stock with respect to fiscal year 2007.</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if Inductis’ profit adjusted earnout revenue does not equal or exceed $28.0 million in fiscal year 2006 and its profit adjusted earnout revenue for fiscal year 2007 exceeds $35.0 million, then the amount by which its profit adjusted earnout revenue in fiscal year 2007 exceeds $35.0 million will be added to its profit adjusted earnout revenue for fiscal year 2006, the earnout calculation for such year will be recalculated and any additional shares issuable to the former holders of Inductis common stock and restricted stock pursuant to such recalculation will be issued.</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Under no circumstances will more than an aggregate of 389,906 shares of our Series A common stock (779,812 shares of our common stock after giving effect to the Share Conversion) be issued to the former holders of Inductis common stock and restricted stock under these earnout provisions.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Payments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Inductis’ profit adjusted upside revenue (which amount is defined in the Inductis Acquisition agreement to equal either its profit margin in fiscal year 2007 or a lower amount if certain profit margin targets are not achieved as set forth in the Inductis Acquisition agreement) in fiscal year 2007 is equal to or greater than $42.0 million but less than $49.0 million, former holders of Inductis common stock and restricted stock will also be entitled to an aggregate payment ranging from approximately $0.6 million to approximately $6.5 million depending on Inductis’ profit adjusted upside revenue. An aggregate payment of $6.5 million will be due if its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profit adjusted upside revenue equals or exceeds $49.0 million. The payment, if any, will be made in cash, in shares of our common stock valued at the average price of our common stock during the ten trading days following our announcement of financial results for fiscal year 2007 or a combination of cash and shares, the mix of which cannot be determined until the size of the contingent payments, if any, is determined. However, no upside payment will be due if 77% or fewer of the employees of Inductis and its subsidiaries are employed outside the United States or if 62% or more of Inductis’ consolidated revenues, other than revenues from analytics services, in fiscal year 2007 are from two specified clients.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Subject to certain limited exceptions identified below, the representations, warranties and covenants of Inductis, the former holders of Inductis common stock and the Company will survive the closing for one year. Representations and warranties of Inductis, the former holders of Inductis common stock and the Company relating to capitalization and stock ownership, authority, liabilities, iTouchpoint Technologies LLC, or iTouchpoint, brokers, certain statutes of Delaware law, and capitalization will survive without limitation. Representations and warranties relating to tax and ERISA matters will survive until 60 days after the expiration of the applicable statute of limitations. Representations and warranties of the Company in any case will terminate upon this offering, except with regard to matters for which a claims notice was received by us prior to such consummation date. In addition the former holders of Inductis have agreed to indemnify us for any losses we incur: (i) relating to iTouchpoint or the Inductis-terminated asset purchase agreement to acquire iTouchpoint; (ii) arising from the breach or nonperformance of representations, warranties, covenants or obligations of Inductis in connection with the Inductis Acquisition; or (iii) relating to any claims made against us by a former holder of Inductis common stock that are not related to any non-performance by us of our obligations under the Inductis Acquisition agreement. We have agreed to indemnify the former holders of Inductis common stock for any losses they incur relating to a breach by us of any of our representations, warranties or covenants under the Inductis Acquisition agreement.</w:t>
      </w:r>
    </w:p>
    <w:p>
      <w:pPr>
        <w:spacing w:after="0" w:line="11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indemnification obligations of the former holders of Inductis common stock are generally subject to an aggregate deductible amount ($200,000), a maximum aggregate amount of $5.0 million plus 50% of any earnout payment and certain other limitations. The maximum aggregate amount will not apply to certain representations, warranties and covenants such as those relating to ownership, authority, tax, ERISA matters and iTouchpoint.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Holder Agreement</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part of the Inductis Acquisition, each former holder of Inductis common stock who received shares of our Series A common stock entered into a Company Holder Agreement with us. The Company Holder Agreements prohibit these former holders of Inductis common stock from transferring the shares of Series A common stock they received as part of the Inductis Acquisition for a three-year period commencing July 1, 2006, with such transfer restrictions expiring each year with regard to one-third of such shares held by each such former holder of Inductis common stock. However, former holders of Inductis common stock are released from these transfer restrictions upon a change of control of the ExlService Holdings, if the holder becomes disabled or if the holder’s employment with us is terminated by us without “cause” or by the holder for “good reason.” Furthermore, if either Mr. Talwar or Mr. Kapoor sells in excess of 33% of their shares of our Series A common stock prior to June 30, 2008 or in excess of 66% of their shares of our Series A common stock prior to June 30, 2009, then the former holders of Inductis common stock may sell an additional percentage of their shares equal to the percentage that either Mr. Talwar or Mr. Kapoor sold above 33% or 66%, as applicable.</w:t>
      </w:r>
    </w:p>
    <w:p>
      <w:pPr>
        <w:spacing w:after="0" w:line="10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In addition, the Company Holder Agreements prohibit the former holders of Inductis common stock from transferring any shares of Series A common stock received pursuant to the earnout provisions of the Inductis Acquisition agreement for a period of 12 months from the date of issuance of such shares. However, former holders of Inductis common stock are released from these transfer restrictions upon a change of control (as defined in the Company Holder Agreements) of the ExlService Holdings, if the holder becomes disabled or if the holder’s employment with us is terminated by us without “cause” or by the holder for “good reason.”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directors and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20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8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309"/>
        </w:trPr>
        <w:tc>
          <w:tcPr>
            <w:tcW w:w="566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Chief Executive Officer and Vice Chairman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President, Chief Financial Officer and 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Head of Operations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Vikas Bhalla</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Human Resources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Sanjay Gupta</w:t>
            </w: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Narasimha Kini</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Advisory Services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Sandeep Tyagi</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Head of Knowledge Services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87"/>
              </w:rPr>
              <w:t>Vice President, General Counsel and Corporate Secretary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Chairman of the Board of Directors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David B. Kelso</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Dr. Mohanbir Sawhney</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bl>
    <w:p>
      <w:pPr>
        <w:spacing w:after="0" w:line="1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Vikram Talwar </w:t>
      </w:r>
      <w:r>
        <w:rPr>
          <w:rFonts w:ascii="Arial" w:cs="Arial" w:eastAsia="Arial" w:hAnsi="Arial"/>
          <w:sz w:val="18"/>
          <w:szCs w:val="18"/>
          <w:color w:val="auto"/>
        </w:rPr>
        <w:t>co-founded EXL Inc. in April 1999 and has served as our Chief Executive Officer and Vice Chairman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Rohit Kapoor </w:t>
      </w:r>
      <w:r>
        <w:rPr>
          <w:rFonts w:ascii="Arial" w:cs="Arial" w:eastAsia="Arial" w:hAnsi="Arial"/>
          <w:sz w:val="18"/>
          <w:szCs w:val="18"/>
          <w:color w:val="auto"/>
        </w:rPr>
        <w:t>co-founded EXL Inc. in April 1999 and has served as our President and director since November 2002, as our Chief Financial Officer from</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until June 2005 and since August 2006,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Pavan Bagai </w:t>
      </w:r>
      <w:r>
        <w:rPr>
          <w:rFonts w:ascii="Arial" w:cs="Arial" w:eastAsia="Arial" w:hAnsi="Arial"/>
          <w:sz w:val="18"/>
          <w:szCs w:val="18"/>
          <w:color w:val="auto"/>
        </w:rPr>
        <w:t>has served as Vice President, Head of Operations of EXL India since June 2006. He previously served as Vice President, Strategic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EXL India from December 2004 to May 2006, as Vice President and Head of Operations of EXL India from November 2003 to November 2004 and as Vice President, Operations of EXL India from July 2002 to November 2003. From 1985 until joining EXL India, Mr. Bagai served in various capacities in several key business areas at the Bank of America, including corporate banking, finance, capital markets and trading in various markets across Asia and Europe, including India.</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Vikas Bhalla </w:t>
      </w:r>
      <w:r>
        <w:rPr>
          <w:rFonts w:ascii="Arial" w:cs="Arial" w:eastAsia="Arial" w:hAnsi="Arial"/>
          <w:sz w:val="16"/>
          <w:szCs w:val="16"/>
          <w:color w:val="auto"/>
        </w:rPr>
        <w:t>has served as Vice President, Operations of EXL India since June 2006. He previously served as Vice President, Migrations, Quality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i w:val="1"/>
          <w:iCs w:val="1"/>
          <w:color w:val="auto"/>
        </w:rPr>
        <w:t xml:space="preserve">Deepak Dhawan </w:t>
      </w:r>
      <w:r>
        <w:rPr>
          <w:rFonts w:ascii="Arial" w:cs="Arial" w:eastAsia="Arial" w:hAnsi="Arial"/>
          <w:sz w:val="16"/>
          <w:szCs w:val="16"/>
          <w:color w:val="auto"/>
        </w:rPr>
        <w:t>has served as Vice President, Human Resources of EXL India since June 2002. Mr. Dhawan served in various capacities at Eicher</w:t>
      </w:r>
      <w:r>
        <w:rPr>
          <w:rFonts w:ascii="Arial" w:cs="Arial" w:eastAsia="Arial" w:hAnsi="Arial"/>
          <w:sz w:val="16"/>
          <w:szCs w:val="16"/>
          <w:i w:val="1"/>
          <w:iCs w:val="1"/>
          <w:color w:val="auto"/>
        </w:rPr>
        <w:t xml:space="preserve"> </w:t>
      </w:r>
      <w:r>
        <w:rPr>
          <w:rFonts w:ascii="Arial" w:cs="Arial" w:eastAsia="Arial" w:hAnsi="Arial"/>
          <w:sz w:val="16"/>
          <w:szCs w:val="16"/>
          <w:color w:val="auto"/>
        </w:rPr>
        <w:t>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Sanjay Gupta </w:t>
      </w:r>
      <w:r>
        <w:rPr>
          <w:rFonts w:ascii="Arial" w:cs="Arial" w:eastAsia="Arial" w:hAnsi="Arial"/>
          <w:sz w:val="18"/>
          <w:szCs w:val="18"/>
          <w:color w:val="auto"/>
        </w:rPr>
        <w:t>has served as Vice President, Operations of EXL India since October 2001. He has also served as Director of Operations at EXL India from</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2000 to September 2001. Mr Gupta served in various capacities at American Express India from May 1995 to October 2001. Mr. Gupta is a chartered accountant and spent over eight years in various companies in India.</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Narasimha Kini </w:t>
      </w:r>
      <w:r>
        <w:rPr>
          <w:rFonts w:ascii="Arial" w:cs="Arial" w:eastAsia="Arial" w:hAnsi="Arial"/>
          <w:sz w:val="18"/>
          <w:szCs w:val="18"/>
          <w:color w:val="auto"/>
        </w:rPr>
        <w:t>has served as Vice President, Advisory Services for EXL India since July 2004. He was Head Internal Controls of EXL India from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2001 to December 2003. Before joining us, Mr. Kini served as Finance Manager at Al-Futtaim Wills Faber (Pvt) Ltd, an insurance broker and consulting company, from July 1999 to January 2001.</w:t>
      </w:r>
    </w:p>
    <w:p>
      <w:pPr>
        <w:spacing w:after="0" w:line="12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Sandeep Tyagi </w:t>
      </w:r>
      <w:r>
        <w:rPr>
          <w:rFonts w:ascii="Arial" w:cs="Arial" w:eastAsia="Arial" w:hAnsi="Arial"/>
          <w:sz w:val="16"/>
          <w:szCs w:val="16"/>
          <w:color w:val="auto"/>
        </w:rPr>
        <w:t>has served as Vice President, Head of Knowledge Services of the Company since June 2006. Mr. Tyagi founded Inductis in 2000 and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its Managing Principal prior to June 2006. Prior to that, Mr. Tyagi worked at Mitchell Madison Group, or MMG, a strategy consulting firm that spun out from another consulting firm, A.T. Kearney. Mr. Tyagi served in various positions at MMG from 1994 until December 1998, when he became a partner at MMG.</w:t>
      </w:r>
    </w:p>
    <w:p>
      <w:pPr>
        <w:spacing w:after="0" w:line="9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Amit Shashank </w:t>
      </w:r>
      <w:r>
        <w:rPr>
          <w:rFonts w:ascii="Arial" w:cs="Arial" w:eastAsia="Arial" w:hAnsi="Arial"/>
          <w:sz w:val="16"/>
          <w:szCs w:val="16"/>
          <w:color w:val="auto"/>
        </w:rPr>
        <w:t>has served as General Counsel and Vice President since June 2004. Mr. Shashank also serves as Corporate Secretary of the Company.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EXL Inc., Mr. Shashank was an attorney with the law firm of Shearman &amp; Sterling LLP from January 1997 until June 2004.</w:t>
      </w:r>
    </w:p>
    <w:p>
      <w:pPr>
        <w:spacing w:after="0" w:line="7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Steven B. Gruber </w:t>
      </w:r>
      <w:r>
        <w:rPr>
          <w:rFonts w:ascii="Arial" w:cs="Arial" w:eastAsia="Arial" w:hAnsi="Arial"/>
          <w:sz w:val="18"/>
          <w:szCs w:val="18"/>
          <w:color w:val="auto"/>
        </w:rPr>
        <w:t>has served as Chairman of our board of directors since November 2002. Since February 1999, Mr. Gruber has been a Managing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Oak Hill Capital Management, Inc., the investment advisor to Oak Hill Capital Partners, L.P., one of our 5% stockholders.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Skiing Company, Blackboard Inc. and Williams Scotsman International, Inc.</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Bradford E. Bernstein </w:t>
      </w:r>
      <w:r>
        <w:rPr>
          <w:rFonts w:ascii="Arial" w:cs="Arial" w:eastAsia="Arial" w:hAnsi="Arial"/>
          <w:sz w:val="16"/>
          <w:szCs w:val="16"/>
          <w:color w:val="auto"/>
        </w:rPr>
        <w:t>has served as a director since November 2002. Since May 2003, Mr. Bernstein has been a Partner at FTVentures. From 1999 to 2003,</w:t>
      </w:r>
      <w:r>
        <w:rPr>
          <w:rFonts w:ascii="Arial" w:cs="Arial" w:eastAsia="Arial" w:hAnsi="Arial"/>
          <w:sz w:val="16"/>
          <w:szCs w:val="16"/>
          <w:i w:val="1"/>
          <w:iCs w:val="1"/>
          <w:color w:val="auto"/>
        </w:rPr>
        <w:t xml:space="preserve"> </w:t>
      </w:r>
      <w:r>
        <w:rPr>
          <w:rFonts w:ascii="Arial" w:cs="Arial" w:eastAsia="Arial" w:hAnsi="Arial"/>
          <w:sz w:val="16"/>
          <w:szCs w:val="16"/>
          <w:color w:val="auto"/>
        </w:rPr>
        <w:t>Mr. Bernstein was a Partner at Oak Hill Capital Management, Inc., the investment advisor to Oak Hill Capital Partners, L.P., one of our 5% stockholders. From 1992 to 1999, Mr. Bernstein served in various capacities, including as a Managing Director, at Oak Hill Partners, Inc.</w:t>
      </w:r>
    </w:p>
    <w:p>
      <w:pPr>
        <w:spacing w:after="0" w:line="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Edward V. Dardani </w:t>
      </w:r>
      <w:r>
        <w:rPr>
          <w:rFonts w:ascii="Arial" w:cs="Arial" w:eastAsia="Arial" w:hAnsi="Arial"/>
          <w:sz w:val="18"/>
          <w:szCs w:val="18"/>
          <w:color w:val="auto"/>
        </w:rPr>
        <w:t>has served as a member of our board of directors since April 2005. Mr. Dardani is a Principal of Oak Hill Capital Management, Inc.,</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 advisor to Oak Hill Capital Partners, L.P., one of our 5% stockholders, which he joined in 2002. Mr. Dardani is responsible for investments in business and financial services sectors. Prior to joining Oak Hill, he was a partner at DB Capital Partners and a management consultant at McKinsey &amp; Co. from 1992 to 1996. Mr. Dardani began his career at Merrill Lynch in their investment banking group. Mr. Dardani serves on the board of directors of American Skiing Company.</w:t>
      </w:r>
    </w:p>
    <w:p>
      <w:pPr>
        <w:spacing w:after="0" w:line="12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James C. Hale, III </w:t>
      </w:r>
      <w:r>
        <w:rPr>
          <w:rFonts w:ascii="Arial" w:cs="Arial" w:eastAsia="Arial" w:hAnsi="Arial"/>
          <w:sz w:val="16"/>
          <w:szCs w:val="16"/>
          <w:color w:val="auto"/>
        </w:rPr>
        <w:t>has served as a director since November 2002. Since July 1998, Mr. Hale has served as a General Partner and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FTVentures, a venture capital firm and one of our 5% stockholders. Prior to joining FTVentures, Mr. Hale served in various capacities at Montgomery Securities from 1982 to 1998, and most recently as Senior Managing Director and Director of Financial Technology of Montgomery Securities.</w:t>
      </w:r>
    </w:p>
    <w:p>
      <w:pPr>
        <w:spacing w:after="0" w:line="9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David B. Kelso </w:t>
      </w:r>
      <w:r>
        <w:rPr>
          <w:rFonts w:ascii="Arial" w:cs="Arial" w:eastAsia="Arial" w:hAnsi="Arial"/>
          <w:sz w:val="18"/>
          <w:szCs w:val="18"/>
          <w:color w:val="auto"/>
        </w:rPr>
        <w:t>has served as a director since July 2006. Mr. Kelso most recently served as a senior advisor to Inductis from June 2004 through June 2006.</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in the Office of the Chairman as Executive Vice President for Strategy and Finance for Aetna, Inc. from September 2001 through September 2003 and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Executive Vice President and Chief Financial Officer for Chubb Corporation from June 1996 through August 2001. Mr. Kelso served on the board of director of Aetna Life Insurance Company from 2001 to 2003. In 2003, Mr. Kelso founded Kelso Advisory Services and serves as its Managing Director. Mr. Kelso serves on the board of directors of Aspen Holdings, Ltd.</w:t>
      </w:r>
    </w:p>
    <w:p>
      <w:pPr>
        <w:spacing w:after="0" w:line="12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 xml:space="preserve">Dr. Mohanbir Sawhney </w:t>
      </w:r>
      <w:r>
        <w:rPr>
          <w:rFonts w:ascii="Arial" w:cs="Arial" w:eastAsia="Arial" w:hAnsi="Arial"/>
          <w:sz w:val="15"/>
          <w:szCs w:val="15"/>
          <w:color w:val="auto"/>
        </w:rPr>
        <w:t>has served as a member of our board of directors since November 2005. Dr. Sawhney is a recognized author, scholar and 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w:t>
      </w:r>
    </w:p>
    <w:p>
      <w:pPr>
        <w:spacing w:after="0" w:line="7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Garen K. Staglin </w:t>
      </w:r>
      <w:r>
        <w:rPr>
          <w:rFonts w:ascii="Arial" w:cs="Arial" w:eastAsia="Arial" w:hAnsi="Arial"/>
          <w:sz w:val="16"/>
          <w:szCs w:val="16"/>
          <w:color w:val="auto"/>
        </w:rPr>
        <w:t>has served as a member of our board of directors since June 2005. Mr. Staglin has over 35 years of experience in the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technology industries. Mr. Staglin was a Director of First Data Corporation, a credit card and financial services processing company, from 1992 to 2002 and was Chief Executive Officer of eONE Global LP, an emerging payments company, from 2001 to 2004. Mr. Staglin was Chairman and Chief Executive Officer of Safelite Glass Corporation, a manufacturer and retailer of replacement autoglass and related insurance services from 1993 to 1999. Prior to joining Safelite, Mr. Staglin was President of ADP Automotive Claims Services, a provider of auto claims estimating software and services, from 1979 to 1990. Mr. Staglin serves as a director of Global Document Solutions, Inc., a digital printing, imaging and customer relationship management outsourcing company, and Solera, Inc., a consulting, outsourced services and technology provider focused on auto claims solutions. Mr. Staglin is a senior advisor for FTVentures, one of our 5% stockholders. Mr. Staglin recently joined the Advisory Board of the Cambridge University Business School in the United Kingdom.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our Board of Directors</w:t>
      </w:r>
    </w:p>
    <w:p>
      <w:pPr>
        <w:spacing w:after="0" w:line="7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Our board of directors currently consists of nine directors. This offering is conditioned upon us amending and restating our charter and by-laws prior to its consummation. Our amended and restated by-laws will provide that our board of directors will consist of no less than six or more than 12 persons. The exact number of members on our board of directors will be determined from time to time by resolution of a majority of our full board of directors. Upon consummation of this offering, our board will be divided into three classes as described below, with each director serving a three-year term and one class being elected at each year’s annual meeting of stockholders. Messrs. Bernstein, Dardani and Kapoor will serve initially as Class I directors (with a term expiring in 2007).</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Messrs. Hale, Kelso and Talwar will serve initially as Class II directors (with a term expiring in 2008). Messrs. Gruber, Sawhney and Staglin will serve initially as Class III directors (with a term expiring in 2009). Our board of directors has determined that all of the members on our board of directors other than Messrs. Talwar and Kapoor, meet the independence requirements of the Nasdaq Stock Market and the federal securities laws.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77" w:lineRule="exact"/>
        <w:rPr>
          <w:sz w:val="20"/>
          <w:szCs w:val="20"/>
          <w:color w:val="auto"/>
        </w:rPr>
      </w:pPr>
    </w:p>
    <w:p>
      <w:pPr>
        <w:jc w:val="both"/>
        <w:ind w:right="120" w:firstLine="456"/>
        <w:spacing w:after="0" w:line="254" w:lineRule="auto"/>
        <w:rPr>
          <w:sz w:val="20"/>
          <w:szCs w:val="20"/>
          <w:color w:val="auto"/>
        </w:rPr>
      </w:pPr>
      <w:r>
        <w:rPr>
          <w:rFonts w:ascii="Arial" w:cs="Arial" w:eastAsia="Arial" w:hAnsi="Arial"/>
          <w:sz w:val="18"/>
          <w:szCs w:val="18"/>
          <w:color w:val="auto"/>
        </w:rPr>
        <w:t>Upon consummation of this offering, our board of directors will have three standing committees: an Audit Committee, a Compensation Committee and a Nominating and Governance Committee. We will be required to have one independent director on each of these committees during the 90-day period beginning on the date of effectiveness of the registration statement filed with the Commission in connection with this offering and of which this prospectus is a part. After such 90-day period and until one year from the date of effectiveness of the registration statement, we are required to have a majority of independent directors on each of these committees. Thereafter, each of these committees is required to be comprised entirely of independent directors. The following is a brief description of our committees.</w:t>
      </w:r>
    </w:p>
    <w:p>
      <w:pPr>
        <w:spacing w:after="0" w:line="13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assists the board in monitoring the audit of our financial statements, our independent auditors’ qualifications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independence, the performance of our audit function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will also review and approve related-party transactions as required by the rules of the Nasdaq Stock Market.</w:t>
      </w:r>
    </w:p>
    <w:p>
      <w:pPr>
        <w:spacing w:after="0" w:line="9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Messrs. Hale, Kelso, Sawhney and Staglin will be the members of our Audit Committee upon consummation of this offering. Messrs. Kelso and Staglin qualify as audit committee financial experts under the rules of the Commission implementing Section 407 of the Sarbanes-Oxley Act of 2002. Our board of directors has determined that Messrs. Kelso, Sawhney and Staglin meet the independence and the experience requirements of the Nasdaq Stock Market and the federal securities laws. Mr. Hale will not meet the independence requirements of the Nasdaq Stock Market and the federal securities laws with regard to Audit Committee membership independence, and with regard to Mr. Hale we will be relying on the phase-in rules for Audit Committee membership independence requirements.</w:t>
      </w:r>
    </w:p>
    <w:p>
      <w:pPr>
        <w:spacing w:after="0" w:line="13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reviews and recommends policies relating to compensation and benefits of our directors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and is responsible for approving the compensation of our Chief Executive Officer and other executive officers. Our Compensation Committee also administers the issuance of awards under our equity incentive plans. The Compensation Committee is also responsible for producing the annual report on executive compensation required to be included in our annual proxy materials under federal securities laws. Messrs. Gruber, Kelso and Staglin will be the members of our Compensation Committee upon consummation of this offering. Our board of directors has determined that Messrs. Gruber, Kelso and Staglin meet the independence requirements of the Nasdaq Stock Market and the federal securities laws.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Nominating and Governance Committee</w:t>
      </w:r>
      <w:r>
        <w:rPr>
          <w:rFonts w:ascii="Arial" w:cs="Arial" w:eastAsia="Arial" w:hAnsi="Arial"/>
          <w:sz w:val="16"/>
          <w:szCs w:val="16"/>
          <w:color w:val="auto"/>
        </w:rPr>
        <w:t>. Our Nominating and Governance Committee selects or recommends that the board select candidates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to our board of directors and develops and recommends to the board of directors corporate governance guidelines that are applicable to us and oversees board of directors and management evaluations. Messrs. Dardani, Kelso, Sawhney and Staglin will be the members of our Nominating and Governance Committee upon consummation of this offering. Our board of directors has determined that Messrs. Dardani, Kelso, Sawhney and Staglin meet the independence requirements of the Nasdaq Stock Market and the federal securities laws.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lnterlocks and Insider Participation</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compensation arrangements described below will apply following the consummation of this offering. Directors who are not executive officers will receive an annual fee of $20,000. The Chairman of our board of directors will receive an annual fee of $25,000. In addition, directors who are not executive officers will receive a fee of $2,000 for each board meeting they attend ($1,000 if they attend telephonically) and a fee of $1,000 for each committee meeting they attend ($500 if they attend telephonically). Chairmen of committees who are not executive officers will receive a fee of $2,000 for each committee meeting they attend ($1,000 if they attend telephonically). Directors will be reimbursed for out-of-pocket expenses incurred in connection with attending meetings of the board of directors and its committees. In addition, upon their election to the Board, directors who are not executive officers will receive one-time grants of options to purchase 30,000 shares of our common stock (after giving effect to the Share Conversion) which vest ratably over four years. In addition, each director who is not an executive officer will receive a grant of 4,000 restricted stock unit awards (after giving effect to the Share Conversion) that will vest upon the earliest of:</w:t>
      </w:r>
    </w:p>
    <w:p>
      <w:pPr>
        <w:spacing w:after="0" w:line="24" w:lineRule="exact"/>
        <w:rPr>
          <w:sz w:val="20"/>
          <w:szCs w:val="20"/>
          <w:color w:val="auto"/>
        </w:rPr>
      </w:pPr>
    </w:p>
    <w:p>
      <w:pPr>
        <w:ind w:left="5620" w:right="5200" w:hanging="5166"/>
        <w:spacing w:after="0" w:line="427" w:lineRule="auto"/>
        <w:tabs>
          <w:tab w:leader="none" w:pos="772"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next anniversary of such director’s installation as a member of the Board; 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“change of control” (as defined in the 2006 Omnibus Award Plan);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expiration of such director’s then-current term on the Board if such director is not re-elected for a subsequent term on the Board.</w:t>
      </w:r>
    </w:p>
    <w:p>
      <w:pPr>
        <w:spacing w:after="0" w:line="185"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Messrs. Bernstein, Dardani, Gruber and Hale and any other directors affiliated with either Oak Hill Capital Partners, L.P. or FTVentures have agreed to forego any cash fees payable to them for their service as directors on the Board until December 31, 2007, but will continue to receive equity awards made to directors who are not executive officers. They will commence receiving cash fees beginning on January 1,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Board</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established an advisory board whose function is to provide senior management with advice on strategic direction and business development initiatives. Our advisory board does not constitute a part of our corporate governance structure and is currently composed of Messrs. John Ainley, Allen J. Gula and Dennis R. Sheehan. Members of our advisory board are appointed from time to time by our senior management.</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John Ainley </w:t>
      </w:r>
      <w:r>
        <w:rPr>
          <w:rFonts w:ascii="Arial" w:cs="Arial" w:eastAsia="Arial" w:hAnsi="Arial"/>
          <w:sz w:val="18"/>
          <w:szCs w:val="18"/>
          <w:color w:val="auto"/>
        </w:rPr>
        <w:t>is the Human Resources Director of Aviva Group and the Chairman of Aviva Offshore Services. Before joining Aviva in 1999, Mr. Ainley held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international human resources positions in several international organizations across diverse industries such as retailing, internet technologies and healthcare. Over the past six years, Mr. Ainley has held various positions at Aviva, including Human Resources Director for Norwich Union Insurance and Human Resources Director for Norwich Union Life. Norwich Union is a subsidiary of Aviva Group.</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Allen J. Gula, Jr. </w:t>
      </w:r>
      <w:r>
        <w:rPr>
          <w:rFonts w:ascii="Arial" w:cs="Arial" w:eastAsia="Arial" w:hAnsi="Arial"/>
          <w:sz w:val="18"/>
          <w:szCs w:val="18"/>
          <w:color w:val="auto"/>
        </w:rPr>
        <w:t>serves as an Advisor to the co-Chief Executive Officers of Franklin Resources, a global asset management company. From August 1999</w:t>
      </w:r>
      <w:r>
        <w:rPr>
          <w:rFonts w:ascii="Arial" w:cs="Arial" w:eastAsia="Arial" w:hAnsi="Arial"/>
          <w:sz w:val="18"/>
          <w:szCs w:val="18"/>
          <w:i w:val="1"/>
          <w:iCs w:val="1"/>
          <w:color w:val="auto"/>
        </w:rPr>
        <w:t xml:space="preserve"> </w:t>
      </w:r>
      <w:r>
        <w:rPr>
          <w:rFonts w:ascii="Arial" w:cs="Arial" w:eastAsia="Arial" w:hAnsi="Arial"/>
          <w:sz w:val="18"/>
          <w:szCs w:val="18"/>
          <w:color w:val="auto"/>
        </w:rPr>
        <w:t>to July 2002, Mr. Gula served as the Co-President and Chief Information Officer of Franklin Resources. Prior to August 1999, he was an Executive Vice President at KeyCorp and Chairman/Chief Executive Officer for Key Services Corporation. In addition, Mr. Gula is a director and advisory board member of several privately held companies.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Dennis R. Sheehan </w:t>
      </w:r>
      <w:r>
        <w:rPr>
          <w:rFonts w:ascii="Arial" w:cs="Arial" w:eastAsia="Arial" w:hAnsi="Arial"/>
          <w:sz w:val="16"/>
          <w:szCs w:val="16"/>
          <w:color w:val="auto"/>
        </w:rPr>
        <w:t>is a senior advisor to Financial Technology Ventures and an adjunct professor at the graduate school of Adelphi University. Until</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2004, Mr. Sheehan served as the President and Chief Executive Officer and a member of the Board of Directors of The BISYS Group, Inc. Since joining BISYS in 1995, Mr. Sheehan has also held other leadership positions, including Senior Vice President of Finance, Executive Vice President, Chief Financial Officer, President and Chief Operating Officer. While Chief Executive Officer of BISYS, he also served on the Listed Company Advisory Committee to the New York Stock Exchange. Prior to joining BISYS Mr. Sheehan was Executive Vice President and Chief Financial Officer for Concord Holding Corporation. During his tenure at Concord Holding, the company completed its initial public offering and was acquired by BISYS. Mr. Sheehan has also held several senior management positions with The Equitable Life Assurance Corporation, including President and Chief Executive Officer of Equico Securities, and Chief Financial Officer of the Asset Management Group for PaineWebber. Prior to this, he worked with SCM Corporation and KPMG Peat Marwick.</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member of the advisory board has received options to purchase 5,000 shares in the aggregate of our Series B common stock (10,000 shares of our common stock after giving effect to the Share Conversion) under our equity incentive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cash and non-cash compensation paid by or incurred on our behalf to our Chief Executive Officer and four other most highly compensated executive officers, or the named executive officers, during our last three fiscal years.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Arial" w:cs="Arial" w:eastAsia="Arial" w:hAnsi="Arial"/>
                <w:sz w:val="14"/>
                <w:szCs w:val="14"/>
                <w:b w:val="1"/>
                <w:bCs w:val="1"/>
                <w:color w:val="auto"/>
              </w:rPr>
              <w:t>Annual Compensation</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40" w:type="dxa"/>
            <w:vAlign w:val="bottom"/>
            <w:gridSpan w:val="6"/>
          </w:tcPr>
          <w:p>
            <w:pPr>
              <w:ind w:left="560"/>
              <w:spacing w:after="0"/>
              <w:rPr>
                <w:sz w:val="20"/>
                <w:szCs w:val="20"/>
                <w:color w:val="auto"/>
              </w:rPr>
            </w:pPr>
            <w:r>
              <w:rPr>
                <w:rFonts w:ascii="Arial" w:cs="Arial" w:eastAsia="Arial" w:hAnsi="Arial"/>
                <w:sz w:val="14"/>
                <w:szCs w:val="14"/>
                <w:b w:val="1"/>
                <w:bCs w:val="1"/>
                <w:color w:val="auto"/>
              </w:rPr>
              <w:t>Long-Term Compensation 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Other</w:t>
            </w: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3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74"/>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Year</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94"/>
              </w:rPr>
              <w:t>Salary($)</w:t>
            </w:r>
          </w:p>
        </w:tc>
        <w:tc>
          <w:tcPr>
            <w:tcW w:w="3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Annual($)(1)</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7"/>
              </w:rPr>
              <w:t>Stock($)</w:t>
            </w:r>
          </w:p>
        </w:tc>
        <w:tc>
          <w:tcPr>
            <w:tcW w:w="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SARs(#)</w:t>
            </w:r>
          </w:p>
        </w:tc>
        <w:tc>
          <w:tcPr>
            <w:tcW w:w="3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Talwar(2)</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400,000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127,626</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8,092(3)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393,750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122,122</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4"/>
              </w:rPr>
              <w:t>6,274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2003</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312,499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99,811</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4"/>
              </w:rPr>
              <w:t>1,653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Rohit Kapoor(2)</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400,000</w:t>
            </w:r>
          </w:p>
        </w:tc>
        <w:tc>
          <w:tcPr>
            <w:tcW w:w="34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53,722</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tcPr>
          <w:p>
            <w:pPr>
              <w:ind w:left="1020"/>
              <w:spacing w:after="0"/>
              <w:rPr>
                <w:sz w:val="20"/>
                <w:szCs w:val="20"/>
                <w:color w:val="auto"/>
              </w:rPr>
            </w:pPr>
            <w:r>
              <w:rPr>
                <w:rFonts w:ascii="Arial" w:cs="Arial" w:eastAsia="Arial" w:hAnsi="Arial"/>
                <w:sz w:val="18"/>
                <w:szCs w:val="18"/>
                <w:color w:val="auto"/>
                <w:w w:val="92"/>
              </w:rPr>
              <w:t>7,158(3)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President</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393,750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44,977</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84"/>
              </w:rPr>
              <w:t>6,093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2003</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312,499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44,735</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84"/>
              </w:rPr>
              <w:t>1,653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Kumar(4)</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161,410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6,300(5)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Sales and Marketing Officer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166,667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5,000(5)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Katy Murray(6)</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151,667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tcPr>
          <w:p>
            <w:pPr>
              <w:spacing w:after="0"/>
              <w:rPr>
                <w:sz w:val="18"/>
                <w:szCs w:val="18"/>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Shashank(7)</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233,154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7,000(5)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125,256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3,250(5)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0" w:hanging="452"/>
        <w:spacing w:after="0" w:line="25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regard to Mr. Talwar, these amounts consist of expenses relating to personal travel for Mr. Talwar and his family ($30,433 in 2003, $38,857 in 2004 and $36,236 in 2005), automobile allowance, automobile insurance, personal security protection in India, social club fees, home office equipment and furnishings and reimbursement of fees relating to personal tax advice. With regard to Mr. Kapoor, these amounts consist of expenses relating to personal travel for Mr. Kapoor and his family ($19,754 in 2003, $22,783 in 2004 and $25,633 in 2005), automobile allowance and expenses and automobile insurance.</w:t>
      </w:r>
    </w:p>
    <w:p>
      <w:pPr>
        <w:ind w:left="460" w:right="50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While the employment agreements of Messrs. Talwar and Kapoor provide for a contractual bonus of $100,000, our board of directors agreed to grant Messrs. Talwar and Kapoor additional bonuses in 2003 and 2004 as a result of our performance in 2003 and 2004.</w:t>
      </w:r>
    </w:p>
    <w:p>
      <w:pPr>
        <w:spacing w:after="0" w:line="1"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2005, includes an employer contribution of $6,300 for Mr. Talwar to our 401(k) plan and payment of $1,792 in insurance premiums for term life insurance. For 2005, includes an employer contribution of $6,300 for Mr. Kapoor to our 401(k) plan and payment of $850 in insurance premiums for term life insurance.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Kumar joined the Company in March 2004 and resigned from the Company on June 30, 2006.</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an employer contribution of $5,000 in 2004 and $6,300 in 2005 for Mr. Kumar and of $3,250 in 2004 and $7,000 in 2005 for Mr. Shashank to our 401(k) plan.</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Murray joined the Company in June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Shashank joined the Company in June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Options/SAR Grants in Last Fiscal Year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option grants in 2005 to our named executive officers under our equity incentive plans.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Individual Grants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of Total</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Granted to</w:t>
            </w:r>
          </w:p>
        </w:tc>
        <w:tc>
          <w:tcPr>
            <w:tcW w:w="42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Exercise or</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42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Base Price</w:t>
            </w:r>
          </w:p>
        </w:tc>
        <w:tc>
          <w:tcPr>
            <w:tcW w:w="14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Expiration</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Present</w:t>
            </w:r>
          </w:p>
        </w:tc>
        <w:tc>
          <w:tcPr>
            <w:tcW w:w="0" w:type="dxa"/>
            <w:vAlign w:val="bottom"/>
          </w:tcPr>
          <w:p>
            <w:pPr>
              <w:spacing w:after="0"/>
              <w:rPr>
                <w:sz w:val="1"/>
                <w:szCs w:val="1"/>
                <w:color w:val="auto"/>
              </w:rPr>
            </w:pPr>
          </w:p>
        </w:tc>
      </w:tr>
      <w:tr>
        <w:trPr>
          <w:trHeight w:val="174"/>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Granted(#)(2)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Value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16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Katy Murray</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120,000(3)</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23.75</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06/01/2015</w:t>
            </w:r>
          </w:p>
        </w:tc>
        <w:tc>
          <w:tcPr>
            <w:tcW w:w="680" w:type="dxa"/>
            <w:vAlign w:val="bottom"/>
          </w:tcPr>
          <w:p>
            <w:pPr>
              <w:jc w:val="right"/>
              <w:spacing w:after="0"/>
              <w:rPr>
                <w:sz w:val="20"/>
                <w:szCs w:val="20"/>
                <w:color w:val="auto"/>
              </w:rPr>
            </w:pPr>
            <w:r>
              <w:rPr>
                <w:rFonts w:ascii="Arial" w:cs="Arial" w:eastAsia="Arial" w:hAnsi="Arial"/>
                <w:sz w:val="18"/>
                <w:szCs w:val="18"/>
                <w:color w:val="auto"/>
              </w:rPr>
              <w:t>649,200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23.75</w:t>
            </w: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06/01/2015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the Black-Scholes option pricing model as of the grant date of the option, assuming an expected life of 60 months, a risk-free interest rate of 4.25%, a 50.0% volatility and a 0.0% dividend yield.</w:t>
      </w:r>
    </w:p>
    <w:p>
      <w:pPr>
        <w:ind w:left="460" w:right="40" w:hanging="452"/>
        <w:spacing w:after="0" w:line="30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options vest and become exercisable ratably over a four-year period. The first 25% of the options vest on the first anniversary of the date of grant, and an additional 25% of the options vest on each subsequent anniversary. On a change in control (as defined in our 2006 Omnibus Award Plan), the executives will each receive an additional year of vesting credit for purposes of determining the portion of the executives’ options which are vested and exercisable. In addition, each executive’s options become fully vested and exercisable if, following or in specific contemplation of a change in control, the executive is terminated without cause or voluntarily departs for good reason (each as defined in the executive’s employment letter or option agreement, as applicable).</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fair market value of our common stock on the grant date of these options, June 1, 2005, was $15.20 per share.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Aggregated Options/SAR Exercises and Value in Last Fiscal Year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for each named executive officer, aggregate exercises of options to purchase our common stock in 2005: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540" w:type="dxa"/>
            <w:vAlign w:val="bottom"/>
          </w:tcPr>
          <w:p>
            <w:pPr>
              <w:spacing w:after="0"/>
              <w:rPr>
                <w:sz w:val="12"/>
                <w:szCs w:val="12"/>
                <w:color w:val="auto"/>
              </w:rPr>
            </w:pPr>
          </w:p>
        </w:tc>
        <w:tc>
          <w:tcPr>
            <w:tcW w:w="212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Dollar Value of Unexercised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Options at Fiscal</w:t>
            </w:r>
          </w:p>
        </w:tc>
        <w:tc>
          <w:tcPr>
            <w:tcW w:w="540" w:type="dxa"/>
            <w:vAlign w:val="bottom"/>
          </w:tcPr>
          <w:p>
            <w:pPr>
              <w:spacing w:after="0"/>
              <w:rPr>
                <w:sz w:val="7"/>
                <w:szCs w:val="7"/>
                <w:color w:val="auto"/>
              </w:rPr>
            </w:pPr>
          </w:p>
        </w:tc>
        <w:tc>
          <w:tcPr>
            <w:tcW w:w="2120" w:type="dxa"/>
            <w:vAlign w:val="bottom"/>
            <w:gridSpan w:val="4"/>
            <w:vMerge w:val="restart"/>
          </w:tcPr>
          <w:p>
            <w:pPr>
              <w:ind w:left="34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gridSpan w:val="2"/>
            <w:vMerge w:val="restart"/>
          </w:tcPr>
          <w:p>
            <w:pPr>
              <w:jc w:val="center"/>
              <w:ind w:right="599"/>
              <w:spacing w:after="0"/>
              <w:rPr>
                <w:sz w:val="20"/>
                <w:szCs w:val="20"/>
                <w:color w:val="auto"/>
              </w:rPr>
            </w:pPr>
            <w:r>
              <w:rPr>
                <w:rFonts w:ascii="Arial" w:cs="Arial" w:eastAsia="Arial" w:hAnsi="Arial"/>
                <w:sz w:val="14"/>
                <w:szCs w:val="14"/>
                <w:b w:val="1"/>
                <w:bCs w:val="1"/>
                <w:color w:val="auto"/>
                <w:w w:val="91"/>
              </w:rPr>
              <w:t>Year-End(#)</w:t>
            </w:r>
          </w:p>
        </w:tc>
        <w:tc>
          <w:tcPr>
            <w:tcW w:w="540" w:type="dxa"/>
            <w:vAlign w:val="bottom"/>
          </w:tcPr>
          <w:p>
            <w:pPr>
              <w:spacing w:after="0"/>
              <w:rPr>
                <w:sz w:val="7"/>
                <w:szCs w:val="7"/>
                <w:color w:val="auto"/>
              </w:rPr>
            </w:pPr>
          </w:p>
        </w:tc>
        <w:tc>
          <w:tcPr>
            <w:tcW w:w="21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Fiscal Year-End($)(1)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Dollar</w:t>
            </w: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40" w:type="dxa"/>
            <w:vAlign w:val="bottom"/>
          </w:tcPr>
          <w:p>
            <w:pPr>
              <w:spacing w:after="0"/>
              <w:rPr>
                <w:sz w:val="3"/>
                <w:szCs w:val="3"/>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Exercised(#)</w:t>
            </w:r>
          </w:p>
        </w:tc>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Realized($)</w:t>
            </w:r>
          </w:p>
        </w:tc>
        <w:tc>
          <w:tcPr>
            <w:tcW w:w="54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4"/>
              </w:rPr>
              <w:t>Exercisable</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Nonexercisable</w:t>
            </w:r>
          </w:p>
        </w:tc>
        <w:tc>
          <w:tcPr>
            <w:tcW w:w="5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Exercisable</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Nonexercisable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2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4"/>
              </w:rPr>
              <w:t>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74,250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Katy Murray</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4"/>
              </w:rPr>
              <w:t>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Calculated using the fair market value of $17.40 per share of our common stock on December 31, 2005 minus the option exercise price.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Vikram Talwar and Rohit Kapoor. </w:t>
      </w:r>
      <w:r>
        <w:rPr>
          <w:rFonts w:ascii="Arial" w:cs="Arial" w:eastAsia="Arial" w:hAnsi="Arial"/>
          <w:sz w:val="16"/>
          <w:szCs w:val="16"/>
          <w:color w:val="auto"/>
        </w:rPr>
        <w:t>We entered into employment agreements with Messrs. Talwar and Kapoor, effective September 30, 2006. Mr. Talwar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serve as our Chief Executive Officer and Vice Chairman and will be based at our executive offices in India. Mr. Kapoor will serve as our President and Chief Financial Officer and will be based at our executive offices in New York, New York. Each agreement lasts until December 31, 2009 and will automatically extend for successive 12 month periods unless either party provides the other with 120 days’ notice of its desire not to extend the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Salary and Bonus. </w:t>
      </w:r>
      <w:r>
        <w:rPr>
          <w:rFonts w:ascii="Arial" w:cs="Arial" w:eastAsia="Arial" w:hAnsi="Arial"/>
          <w:sz w:val="16"/>
          <w:szCs w:val="16"/>
          <w:color w:val="auto"/>
        </w:rPr>
        <w:t>Messrs. Talwar and Kapoor will each receive an annual base salary of $400,000. This base salary can be increased at our sole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 and cannot be decreased unless a company-wide decrease in pay is implemented. Messrs. Talwar and Kapoor can each earn an annual cash bonus, with a target of 75% of base salary and a maximum of 150% of base salary, based upon the attainment of criteria determined by our compensation committee.</w:t>
      </w:r>
    </w:p>
    <w:p>
      <w:pPr>
        <w:spacing w:after="0" w:line="9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Messrs. Talwar and Kapoor will be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 year over four years.</w:t>
      </w:r>
    </w:p>
    <w:p>
      <w:pPr>
        <w:spacing w:after="0" w:line="127" w:lineRule="exact"/>
        <w:rPr>
          <w:sz w:val="20"/>
          <w:szCs w:val="20"/>
          <w:color w:val="auto"/>
        </w:rPr>
      </w:pPr>
    </w:p>
    <w:p>
      <w:pPr>
        <w:ind w:left="460"/>
        <w:spacing w:after="0"/>
        <w:tabs>
          <w:tab w:leader="none" w:pos="1260" w:val="left"/>
        </w:tabs>
        <w:rPr>
          <w:sz w:val="20"/>
          <w:szCs w:val="20"/>
          <w:color w:val="auto"/>
        </w:rPr>
      </w:pPr>
      <w:r>
        <w:rPr>
          <w:rFonts w:ascii="Arial" w:cs="Arial" w:eastAsia="Arial" w:hAnsi="Arial"/>
          <w:sz w:val="18"/>
          <w:szCs w:val="18"/>
          <w:b w:val="1"/>
          <w:bCs w:val="1"/>
          <w:i w:val="1"/>
          <w:iCs w:val="1"/>
          <w:color w:val="auto"/>
        </w:rPr>
        <w:t>Benefits.</w:t>
      </w:r>
      <w:r>
        <w:rPr>
          <w:sz w:val="20"/>
          <w:szCs w:val="20"/>
          <w:color w:val="auto"/>
        </w:rPr>
        <w:tab/>
      </w:r>
      <w:r>
        <w:rPr>
          <w:rFonts w:ascii="Arial" w:cs="Arial" w:eastAsia="Arial" w:hAnsi="Arial"/>
          <w:sz w:val="15"/>
          <w:szCs w:val="15"/>
          <w:color w:val="auto"/>
        </w:rPr>
        <w:t>Messrs. Talwar and Kapoor can participate in all the benefit plans we provide to senior executives and employees generally.</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require either Mr. Talwar or Mr. Kapoor to relocate, we will pay the relocation costs. We will reimburse the executive for the cost of maintaining his existing home. He will need to use his best efforts to mitigate our cost by either renting or selling his home.</w:t>
      </w:r>
    </w:p>
    <w:p>
      <w:pPr>
        <w:spacing w:after="0" w:line="118" w:lineRule="exact"/>
        <w:rPr>
          <w:sz w:val="20"/>
          <w:szCs w:val="20"/>
          <w:color w:val="auto"/>
        </w:rPr>
      </w:pPr>
    </w:p>
    <w:p>
      <w:pPr>
        <w:ind w:left="460"/>
        <w:spacing w:after="0"/>
        <w:tabs>
          <w:tab w:leader="none" w:pos="1940" w:val="left"/>
        </w:tabs>
        <w:rPr>
          <w:sz w:val="20"/>
          <w:szCs w:val="20"/>
          <w:color w:val="auto"/>
        </w:rPr>
      </w:pPr>
      <w:r>
        <w:rPr>
          <w:rFonts w:ascii="Arial" w:cs="Arial" w:eastAsia="Arial" w:hAnsi="Arial"/>
          <w:sz w:val="18"/>
          <w:szCs w:val="18"/>
          <w:b w:val="1"/>
          <w:bCs w:val="1"/>
          <w:i w:val="1"/>
          <w:iCs w:val="1"/>
          <w:color w:val="auto"/>
        </w:rPr>
        <w:t>Personal Benefits.</w:t>
      </w:r>
      <w:r>
        <w:rPr>
          <w:sz w:val="20"/>
          <w:szCs w:val="20"/>
          <w:color w:val="auto"/>
        </w:rPr>
        <w:tab/>
      </w:r>
      <w:r>
        <w:rPr>
          <w:rFonts w:ascii="Arial" w:cs="Arial" w:eastAsia="Arial" w:hAnsi="Arial"/>
          <w:sz w:val="16"/>
          <w:szCs w:val="16"/>
          <w:color w:val="auto"/>
        </w:rPr>
        <w:t>We provide Messrs. Talwar and Kapoor with certain personal benefits, including:</w:t>
      </w:r>
    </w:p>
    <w:p>
      <w:pPr>
        <w:spacing w:after="0" w:line="7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associated with maintaining an automobile in the United States (including up to $1,200 per month for lease or loan payments);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four weeks paid vacation each year;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once-a-year business class airfare between the United States and India for the executive and his family;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185" w:lineRule="exact"/>
        <w:rPr>
          <w:sz w:val="20"/>
          <w:szCs w:val="20"/>
          <w:color w:val="auto"/>
        </w:rPr>
      </w:pPr>
    </w:p>
    <w:p>
      <w:pPr>
        <w:ind w:left="460"/>
        <w:spacing w:after="0"/>
        <w:tabs>
          <w:tab w:leader="none" w:pos="3040" w:val="left"/>
        </w:tabs>
        <w:rPr>
          <w:sz w:val="20"/>
          <w:szCs w:val="20"/>
          <w:color w:val="auto"/>
        </w:rPr>
      </w:pPr>
      <w:r>
        <w:rPr>
          <w:rFonts w:ascii="Arial" w:cs="Arial" w:eastAsia="Arial" w:hAnsi="Arial"/>
          <w:sz w:val="18"/>
          <w:szCs w:val="18"/>
          <w:b w:val="1"/>
          <w:bCs w:val="1"/>
          <w:i w:val="1"/>
          <w:iCs w:val="1"/>
          <w:color w:val="auto"/>
        </w:rPr>
        <w:t>Personal Benefits for Mr. Talwar.</w:t>
      </w:r>
      <w:r>
        <w:rPr>
          <w:sz w:val="20"/>
          <w:szCs w:val="20"/>
          <w:color w:val="auto"/>
        </w:rPr>
        <w:tab/>
      </w:r>
      <w:r>
        <w:rPr>
          <w:rFonts w:ascii="Arial" w:cs="Arial" w:eastAsia="Arial" w:hAnsi="Arial"/>
          <w:sz w:val="16"/>
          <w:szCs w:val="16"/>
          <w:color w:val="auto"/>
        </w:rPr>
        <w:t>The benefits Mr. Talwar will receive which Mr. Kapoor will not receive include the following:</w:t>
      </w:r>
    </w:p>
    <w:p>
      <w:pPr>
        <w:spacing w:after="0" w:line="77"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expenses associated with maintaining an automobile in India (including the cost of a driver);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club memberships fees amounting to $3,500 per year;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reimbursement of the additional taxes the executive pays because he works and lives in India;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the executive’s children through secondary school; and</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the United States on company business while living outside the United States.</w:t>
      </w:r>
    </w:p>
    <w:p>
      <w:pPr>
        <w:spacing w:after="0" w:line="118" w:lineRule="exact"/>
        <w:rPr>
          <w:sz w:val="20"/>
          <w:szCs w:val="20"/>
          <w:color w:val="auto"/>
        </w:rPr>
      </w:pPr>
    </w:p>
    <w:p>
      <w:pPr>
        <w:ind w:left="460"/>
        <w:spacing w:after="0"/>
        <w:tabs>
          <w:tab w:leader="none" w:pos="3080" w:val="left"/>
        </w:tabs>
        <w:rPr>
          <w:sz w:val="20"/>
          <w:szCs w:val="20"/>
          <w:color w:val="auto"/>
        </w:rPr>
      </w:pPr>
      <w:r>
        <w:rPr>
          <w:rFonts w:ascii="Arial" w:cs="Arial" w:eastAsia="Arial" w:hAnsi="Arial"/>
          <w:sz w:val="18"/>
          <w:szCs w:val="18"/>
          <w:b w:val="1"/>
          <w:bCs w:val="1"/>
          <w:i w:val="1"/>
          <w:iCs w:val="1"/>
          <w:color w:val="auto"/>
        </w:rPr>
        <w:t>Personal Benefits for Mr. Kapoor.</w:t>
      </w:r>
      <w:r>
        <w:rPr>
          <w:sz w:val="20"/>
          <w:szCs w:val="20"/>
          <w:color w:val="auto"/>
        </w:rPr>
        <w:tab/>
      </w:r>
      <w:r>
        <w:rPr>
          <w:rFonts w:ascii="Arial" w:cs="Arial" w:eastAsia="Arial" w:hAnsi="Arial"/>
          <w:sz w:val="16"/>
          <w:szCs w:val="16"/>
          <w:color w:val="auto"/>
        </w:rPr>
        <w:t>The benefits Mr. Kapoor will receive which Mr. Talwar will not receive include the following:</w:t>
      </w:r>
    </w:p>
    <w:p>
      <w:pPr>
        <w:spacing w:after="0" w:line="77"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 and,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while domiciled in the United States.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Severance. </w:t>
      </w:r>
      <w:r>
        <w:rPr>
          <w:rFonts w:ascii="Arial" w:cs="Arial" w:eastAsia="Arial" w:hAnsi="Arial"/>
          <w:sz w:val="18"/>
          <w:szCs w:val="18"/>
          <w:color w:val="auto"/>
        </w:rPr>
        <w:t>If either Mr. Talwar’s or Mr. Kapoor’s employment is terminated by us without “cause” or by the executive for “good reason” (in each case,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below), the executive will be entitled to severance consisting of:</w:t>
      </w:r>
    </w:p>
    <w:p>
      <w:pPr>
        <w:spacing w:after="0" w:line="37"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37"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continuation of life insurance coverage for 18 months. The life insurance coverage will terminate at the time the executive commences employment with another employer.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77" w:lineRule="exact"/>
        <w:rPr>
          <w:sz w:val="20"/>
          <w:szCs w:val="20"/>
          <w:color w:val="auto"/>
        </w:rPr>
      </w:pPr>
    </w:p>
    <w:p>
      <w:pPr>
        <w:ind w:left="7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which causes serious and demonstrable injury to us;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 or materially and intentionally fails to comply with applicable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executive willfully fails to perform his duties for 15 days after we notify him in writing of his need to substantially improve his performance;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executive fails to follow our board’s lawful instructions and does not remedy the failure for 15 days after we give him written notice;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77"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diminished, or he is required to report to anyone other than our board of directors;</w:t>
      </w:r>
    </w:p>
    <w:p>
      <w:pPr>
        <w:spacing w:after="0" w:line="126"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executive’s title as an officer of the Company is adversely changed, except if the change occurs after a change in control and his new title and duties are similar to his old title and duties;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executive’s base salary is reduced, or his target annual bonus opportunity is reduced below 75% of his base salary, unless a company-wide decrease in pay is implemented;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location where the executive is based is moved more than 30 miles, and the new location is more than 30 miles from his primary residence;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of the date the problem began and must allow us 15 days to remedy the problem.</w:t>
      </w:r>
    </w:p>
    <w:p>
      <w:pPr>
        <w:spacing w:after="0" w:line="11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Change in Control Severance. </w:t>
      </w:r>
      <w:r>
        <w:rPr>
          <w:rFonts w:ascii="Arial" w:cs="Arial" w:eastAsia="Arial" w:hAnsi="Arial"/>
          <w:sz w:val="15"/>
          <w:szCs w:val="15"/>
          <w:color w:val="auto"/>
        </w:rPr>
        <w:t>If a termination described above occurs within 12 months following a “change in control”, the executive will receive,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lieu of the severance described above, a lump sum payment of $999,000 and full vesting of all unvested equity awards granted on or after September 30, 2006.</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77" w:lineRule="exact"/>
        <w:rPr>
          <w:sz w:val="20"/>
          <w:szCs w:val="20"/>
          <w:color w:val="auto"/>
        </w:rPr>
      </w:pPr>
    </w:p>
    <w:p>
      <w:pPr>
        <w:ind w:left="780" w:right="160" w:hanging="326"/>
        <w:spacing w:after="0" w:line="298"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affiliates, Oak Hill Partners, L.P., FTVentures and their affiliates, will not trigger a change in control;</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37" w:lineRule="exact"/>
        <w:rPr>
          <w:rFonts w:ascii="Arial" w:cs="Arial" w:eastAsia="Arial" w:hAnsi="Arial"/>
          <w:sz w:val="18"/>
          <w:szCs w:val="18"/>
          <w:color w:val="auto"/>
        </w:rPr>
      </w:pPr>
    </w:p>
    <w:p>
      <w:pPr>
        <w:ind w:left="1360" w:right="500" w:hanging="447"/>
        <w:spacing w:after="0" w:line="268"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37" w:lineRule="exact"/>
        <w:rPr>
          <w:rFonts w:ascii="Arial" w:cs="Arial" w:eastAsia="Arial" w:hAnsi="Arial"/>
          <w:sz w:val="18"/>
          <w:szCs w:val="18"/>
          <w:color w:val="auto"/>
        </w:rPr>
      </w:pPr>
    </w:p>
    <w:p>
      <w:pPr>
        <w:ind w:left="1360" w:right="60" w:hanging="447"/>
        <w:spacing w:after="0" w:line="268"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37" w:lineRule="exact"/>
        <w:rPr>
          <w:rFonts w:ascii="Arial" w:cs="Arial" w:eastAsia="Arial" w:hAnsi="Arial"/>
          <w:sz w:val="18"/>
          <w:szCs w:val="18"/>
          <w:color w:val="auto"/>
        </w:rPr>
      </w:pPr>
    </w:p>
    <w:p>
      <w:pPr>
        <w:ind w:left="1360" w:right="480" w:hanging="447"/>
        <w:spacing w:after="0" w:line="268"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Death or Disability. </w:t>
      </w:r>
      <w:r>
        <w:rPr>
          <w:rFonts w:ascii="Arial" w:cs="Arial" w:eastAsia="Arial" w:hAnsi="Arial"/>
          <w:sz w:val="16"/>
          <w:szCs w:val="16"/>
          <w:color w:val="auto"/>
        </w:rPr>
        <w:t>If either Mr. Talwar’s or Mr. Kapoor’s employment terminates on account of death or is terminated by either the executive or us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“Disability” (as defined in the agreement), the executive will be entitled to a pro-rated portion of the projected bonus amount for the year of termination.</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Post-Termination Health Benefits. </w:t>
      </w:r>
      <w:r>
        <w:rPr>
          <w:rFonts w:ascii="Arial" w:cs="Arial" w:eastAsia="Arial" w:hAnsi="Arial"/>
          <w:sz w:val="16"/>
          <w:szCs w:val="16"/>
          <w:color w:val="auto"/>
        </w:rPr>
        <w:t>When Mr. Talwar’s or Mr. Kapoor’s employment ends for any reason other than termination by us for Cause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voluntary termination by the executive, we will pay on behalf of the executive and his eligible dependents the cost of continued coverage under our group health plan for 18 months in accordance with applicable federal law governing continuation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Noncompete and Nonsolicit Provisions. </w:t>
      </w:r>
      <w:r>
        <w:rPr>
          <w:rFonts w:ascii="Arial" w:cs="Arial" w:eastAsia="Arial" w:hAnsi="Arial"/>
          <w:sz w:val="18"/>
          <w:szCs w:val="18"/>
          <w:color w:val="auto"/>
        </w:rPr>
        <w:t>Each of Messrs. Talwar and Kapoor is subject to confidentiality restrictions and noncompete, non-disparagement 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July 27, 2006 we granted a restricted stock award to Vikram Talwar and a stock option award to Rohit Kapoor. We made both awards under our 2006 Omnibus Award Plan.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Mr. Talwar’s Restricted Stock</w:t>
      </w:r>
      <w:r>
        <w:rPr>
          <w:rFonts w:ascii="Arial" w:cs="Arial" w:eastAsia="Arial" w:hAnsi="Arial"/>
          <w:sz w:val="16"/>
          <w:szCs w:val="16"/>
          <w:color w:val="auto"/>
        </w:rPr>
        <w:t>. We granted 37,500 shares of restricted stock to Mr. Talwar, which vest in 25% increments on each of November 14,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14, 2007, November 14, 2008, and November 14, 2009. If Mr. Talwar’s employment ends at the expiration of the term of his employment agreement because we give a notice of nonrenewal of the term of that agreement, or if a change in control occurs (as defined in our 2006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Omnibus Award Plan), any portion of the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7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Mr. Talwar’s employment is terminated by us without cause (as defined in our 2006 Omnibus Award Plan) in specific contemplation of or following a change in control or if Mr. Talwar resigns for good reason (as defined in the award agreement) following a change in control, the restricted stock award will become fully vested. Mr. Talwar will need to execute a standard release of employment-related claims in order for his restricted stock award to vest in such a case.</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Mr. Kapoor’s Stock Option</w:t>
      </w:r>
      <w:r>
        <w:rPr>
          <w:rFonts w:ascii="Arial" w:cs="Arial" w:eastAsia="Arial" w:hAnsi="Arial"/>
          <w:sz w:val="18"/>
          <w:szCs w:val="18"/>
          <w:color w:val="auto"/>
        </w:rPr>
        <w:t>. We granted a nonqualified stock option in respect of 75,000 shares of our common stock to Mr. Kapoor with an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of $23.75 per share, which vest and become exercisable in 25% increments on each of November 14, 2006, November 14, 2007, November 14, 2008, and November 14, 2009. If Mr. Kapoor’s employment ends at the expiration of the term of his employment agreement because we give a notice of nonrenewal of the term of that agreement or if a change in control occurs (as defined in our 2006 Omnibus Award Plan), any portion of the stock option which would have vested in the one year period following the termination of employment or change in control (as applicable) will become vested on the termination date or the consummation of the change in control (as applicable.</w:t>
      </w:r>
    </w:p>
    <w:p>
      <w:pPr>
        <w:spacing w:after="0" w:line="13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Mr. Kapoor’s employment is terminated by us without cause (as defined in our 2006 Omnibus Award Plan) in specific contemplation of or following a change in control or if Mr. Kapoor resigns for good reason (as defined in the award agreement) following a change in control, the stock option will become fully vested and exercisable. Mr. Kapoor will need to execute a standard release of employment-related claims in order for his stock option to vest in such a case.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vested portion of the stock option will remain exercisable for up to 180 days following Mr. Kapoor’s termination of employment.</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Katy Murray, Amit Shashank and Shiv Kumar</w:t>
      </w:r>
      <w:r>
        <w:rPr>
          <w:rFonts w:ascii="Arial" w:cs="Arial" w:eastAsia="Arial" w:hAnsi="Arial"/>
          <w:sz w:val="18"/>
          <w:szCs w:val="18"/>
          <w:color w:val="auto"/>
        </w:rPr>
        <w:t>. We entered into employment agreements with Ms. Katy Murray, whose current agreement became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on June 1, 2005, Mr. Amit Shashank in October 2006 and Mr. Shiv Kumar in March 2004.</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Katy Murray</w:t>
      </w:r>
      <w:r>
        <w:rPr>
          <w:rFonts w:ascii="Arial" w:cs="Arial" w:eastAsia="Arial" w:hAnsi="Arial"/>
          <w:sz w:val="16"/>
          <w:szCs w:val="16"/>
          <w:color w:val="auto"/>
        </w:rPr>
        <w:t>. We entered into an employment agreement with Katy Murray that became effective on June 1, 2005. Ms. Murray resigned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effective September 15, 2006. Ms. Murray received an annual base salary of $280,000, which could have been increased based on annual performance reviews. Ms. Murray was eligible to receive a target bonus of $90,000 based on the achievement of performance goals.</w:t>
      </w:r>
    </w:p>
    <w:p>
      <w:pPr>
        <w:spacing w:after="0" w:line="9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connection with her initial hire, Ms. Murray received a stock option grant of 120,000 shares of our Series B common stock as provided by her employment agreement.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Either Ms. Murray or we could terminate Ms. Murray’s employment at any time. If we terminated Ms. Murray’s employment without cause (as described below) we would have been required to pay her a single lump sum equal to three times her monthly base salary in effect at the time of her termination. Beginning three months after her termination, we would also have been required to pay Ms. Murray her base salary for up to three months following her termination through our regular payroll practices. We would reduce these additional salary payments by any base salary Ms. Murray earned from another employer during the severance period.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means:</w:t>
      </w:r>
    </w:p>
    <w:p>
      <w:pPr>
        <w:spacing w:after="0" w:line="77"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conviction or guilty plea to a felony or certain other crimes or theft, fraud or similar conduct;</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willful and deliberate dishonest act, failure to follow instructions given by our chief executive officer, president or board or intentional failure to comply with laws or the executive’s employment agreement;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of alcohol or drugs which materially interferes with the performance of the executive’s duties.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will also maintain Ms. Murray’s health and dental coverage until the earlier of the end of the severance period or the date on which Ms. Murray becomes covered under another employer’s coverage.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 change in control (as described below), the vesting of all of Ms. Murray’s outstanding equity awards would have been advanced by one year. For example, if one of Ms. Murray’s awards were vesting ratably over a four-year period and she had been 25% vested in the award immediately prior to the change in control, Ms. Murray would have been 50% vested in the award immediately after the change in control. In addition, all of Ms. Murray’s outstanding equity awards would have become fully vested if, following or in specific contemplation of a change in control, she were terminated without cause or voluntarily terminated her employment for good reason (as described below).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77" w:lineRule="exact"/>
        <w:rPr>
          <w:sz w:val="20"/>
          <w:szCs w:val="20"/>
          <w:color w:val="auto"/>
        </w:rPr>
      </w:pPr>
    </w:p>
    <w:p>
      <w:pPr>
        <w:ind w:left="780" w:right="140" w:hanging="326"/>
        <w:spacing w:after="0" w:line="298"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affiliates, Oak Hill Partners, L.P., FTVentures and their affiliates, will not trigger a change in control;</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or consolidation with another entity.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77" w:lineRule="exact"/>
        <w:rPr>
          <w:sz w:val="20"/>
          <w:szCs w:val="20"/>
          <w:color w:val="auto"/>
        </w:rPr>
      </w:pPr>
    </w:p>
    <w:p>
      <w:pPr>
        <w:ind w:left="780" w:right="6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Ms. Murray’s duties or responsibilities are substantially diminished, or she is required to report to anyone other than our board, chief executive officer or president;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her title is adversely changed, except if the change occurs after a change in control and her new title and duties are similar to her old title and duties;</w:t>
      </w:r>
    </w:p>
    <w:p>
      <w:pPr>
        <w:spacing w:after="0" w:line="126"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location where she is based is moved more than 30 miles following a change in control, and the new location is more than 30 miles from her primary residence;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in control.</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Amit Shashank</w:t>
      </w:r>
      <w:r>
        <w:rPr>
          <w:rFonts w:ascii="Arial" w:cs="Arial" w:eastAsia="Arial" w:hAnsi="Arial"/>
          <w:sz w:val="18"/>
          <w:szCs w:val="18"/>
          <w:color w:val="auto"/>
        </w:rPr>
        <w:t>. Our current employment agreement with Amit Shashank became effective on October 1, 2006. Mr. Shashank began to work for us in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Mr. Shashank receives an annual base salary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$280,000, which can be increased based on annual performance reviews. For 2006, Mr. Shashank is eligible to receive a target bonus of $84,700, computed as the weighted average of a target of 30% of $252,000, his pre-October 1, 2006 base salary, and 40% of $280,000, his post-September 30, 2006 base salary. For calendar years after 2006, the target annual bonus will be 40%, which can be increased based on annual performance reviews, of Mr. Shashank’s weighted average base salary for the year, based on the achievement of performance goals.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Either Mr. Shashank or we may terminate Mr. Shashank’s employment at any time. If we terminate Mr. Shashank’s employment without cause (as described below), we will be required to pay Mr. Shashank his then-current base salary for twelve months following his termination through our regular payroll practices. Beginning three months after his termination, Mr. Shashank is required to actively seek comparable employment and upon subsequent employment, we will reduce these additional salary payments by any base salary Mr. Shashank receives during the severance period from another employer.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77" w:lineRule="exact"/>
        <w:rPr>
          <w:sz w:val="20"/>
          <w:szCs w:val="20"/>
          <w:color w:val="auto"/>
        </w:rPr>
      </w:pPr>
    </w:p>
    <w:p>
      <w:pPr>
        <w:ind w:left="78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Shashank engages in fraud, embezzlement, self-dealing, gross negligence, dishonesty or other gross and willful misconduct which causes serious and demonstrable injury to us;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Shashank materially violates any of our material policies or materially and intentionally fails to comply with applicable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Shashank willfully fails to perform his duties for 15 days after we notify him in writing of his need to substantially improve his performance;</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Shashank fails to reasonably cooperate in a governmental investigation involving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Shashank fails to follow our board’s lawful instructions and does not remedy the failure for 15 days after we give him written notice;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Shashank’s use of alcohol or drugs materially interferes with the performance of his duties.</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will also maintain Mr. Shashank’s health and dental coverage until the earlier of the end of the severance period or, and in respect of each of health and dental coverage considered separately, on the date on which Mr. Shashank and his eligible dependants become covered under another employer’s health or dental coverage.</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 change in control (as described below),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described below).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77" w:lineRule="exact"/>
        <w:rPr>
          <w:sz w:val="20"/>
          <w:szCs w:val="20"/>
          <w:color w:val="auto"/>
        </w:rPr>
      </w:pPr>
    </w:p>
    <w:p>
      <w:pPr>
        <w:ind w:left="780" w:right="160" w:hanging="326"/>
        <w:spacing w:after="0" w:line="298"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affiliates, Oak Hill Partners, L.P., FTVentures and their affiliates, will not trigger a change in control;</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37" w:lineRule="exact"/>
        <w:rPr>
          <w:rFonts w:ascii="Arial" w:cs="Arial" w:eastAsia="Arial" w:hAnsi="Arial"/>
          <w:sz w:val="18"/>
          <w:szCs w:val="18"/>
          <w:color w:val="auto"/>
        </w:rPr>
      </w:pPr>
    </w:p>
    <w:p>
      <w:pPr>
        <w:ind w:left="1360" w:right="520" w:hanging="447"/>
        <w:spacing w:after="0" w:line="268" w:lineRule="auto"/>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37" w:lineRule="exact"/>
        <w:rPr>
          <w:rFonts w:ascii="Arial" w:cs="Arial" w:eastAsia="Arial" w:hAnsi="Arial"/>
          <w:sz w:val="18"/>
          <w:szCs w:val="18"/>
          <w:color w:val="auto"/>
        </w:rPr>
      </w:pPr>
    </w:p>
    <w:p>
      <w:pPr>
        <w:ind w:left="1360" w:right="80" w:hanging="447"/>
        <w:spacing w:after="0" w:line="268" w:lineRule="auto"/>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37" w:lineRule="exact"/>
        <w:rPr>
          <w:rFonts w:ascii="Arial" w:cs="Arial" w:eastAsia="Arial" w:hAnsi="Arial"/>
          <w:sz w:val="18"/>
          <w:szCs w:val="18"/>
          <w:color w:val="auto"/>
        </w:rPr>
      </w:pPr>
    </w:p>
    <w:p>
      <w:pPr>
        <w:ind w:left="1360" w:right="500" w:hanging="447"/>
        <w:spacing w:after="0" w:line="268" w:lineRule="auto"/>
        <w:tabs>
          <w:tab w:leader="none" w:pos="13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77" w:lineRule="exact"/>
        <w:rPr>
          <w:sz w:val="20"/>
          <w:szCs w:val="20"/>
          <w:color w:val="auto"/>
        </w:rPr>
      </w:pPr>
    </w:p>
    <w:p>
      <w:pPr>
        <w:ind w:left="780" w:right="10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Shashank’s duties or responsibilities are substantially diminished, or he is required to report to anyone other than our board, chief executive office or president;</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his title as an officer of the Company is adversely changed, except if the change occurs after a change in control and his new title and duties are similar to his old title and duties;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in control.</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Mr. Shashank plans to terminate his employment for good reason, he must notify us within 30 days of the date the problem began and must allow us 15 days to remedy the problem.</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connection with his initial hire, Mr. Shashank received a stock option grant of 30,000 shares of our Series B common stock as provided by his employment agreement. On July 27, 2006, our compensation committee approved the grant to Mr. Shashank of a restricted stock award in respect of 7,106 shares of our Series B common stock, which will vest 50% on June 7, 2007 and another 50% on June 7, 2008, generally subject to Mr. Shashank’s continued employment by us on each vesting date, and a cash bonus of $168,750, payable to Mr. Shashank on January 2, 2007, irrespective of whether or not Mr. Shashank is employed by us at that time.</w:t>
      </w:r>
    </w:p>
    <w:p>
      <w:pPr>
        <w:spacing w:after="0" w:line="1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October 3, 2006, our Compensation Committee approved the stock option grant to Mr. Shashank of an additional 10,000 shares of our Series B common stock (20,000 shares of our common stock after giving effect to the Share Conversion), with a per-share exercise price equal to the price at which the Company’s common stock is offered in this offering, as established at the pricing date.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Shiv Kumar</w:t>
      </w:r>
      <w:r>
        <w:rPr>
          <w:rFonts w:ascii="Arial" w:cs="Arial" w:eastAsia="Arial" w:hAnsi="Arial"/>
          <w:sz w:val="18"/>
          <w:szCs w:val="18"/>
          <w:color w:val="auto"/>
        </w:rPr>
        <w:t>. We entered into an employment agreement with Shiv Kumar on January 22, 2004. Mr. Kumar began to work for us on March 1, 2004.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his resignation on June 30, 2006, Mr. Kumar received an annual base salary of $225,000, and if performance goals were met, Mr. Kumar was eligible to receive an annual target bonus of $115,000. In 2004, Mr. Kumar was also granted options to purchase 30,000 shares of our Series B common stock as provided by his employment agreement.</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Confidentiality and Non-Compete Arrangements</w:t>
      </w:r>
      <w:r>
        <w:rPr>
          <w:rFonts w:ascii="Arial" w:cs="Arial" w:eastAsia="Arial" w:hAnsi="Arial"/>
          <w:sz w:val="18"/>
          <w:szCs w:val="18"/>
          <w:color w:val="auto"/>
        </w:rPr>
        <w:t>. As part of their employment agreements, each of our named executive officers is subject to a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confidentiality agreement during his employment and thereafter.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India Option Plan</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adopted the ExlService Holdings, Inc. 2003 India Stock Employee Option Plan, which we refer to as the 2003 India Plan, effective on April 30, 2003. The 2003 India Plan complies with the guidelines issued by the Indian Ministry of Finance under the proviso to section 17(2)(iii)(c) of the India Income Tax Act of 1961. The following is a discussion of the features of the 2003 India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2003 India Plan is to provide eligible employees of EXL India with the opportunity to acquire an ownership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ExlService Holdings.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2003 India Plan is administered by our board of directors or our compensation committee (the “Administrator”). The Administrator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subject to the terms of the 2003 India Option Plan, complete authority to:</w:t>
      </w:r>
    </w:p>
    <w:p>
      <w:pPr>
        <w:spacing w:after="0" w:line="37"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interpret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rights and obligations of participants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the administration of the 2003 India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determines, in its discretion:</w:t>
      </w:r>
    </w:p>
    <w:p>
      <w:pPr>
        <w:spacing w:after="0" w:line="77"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persons who may participate in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conditions of the options granted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questions of interpretation of the 2003 India Plan or any option granted thereunder.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determinations by our board of directors are final and binding upon all participants in the 2003 India Plan and the options granted under the 2003 India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Under the 2003 India Plan, the Administrator may grant awards of options to purchase shares of our common stock. These options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conditions of the 2003 India Plan and a stock option agreement evidencing the award, as well as applicable Indian law.</w:t>
      </w:r>
    </w:p>
    <w:p>
      <w:pPr>
        <w:spacing w:after="0" w:line="7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employee of EXL India who is a resident of India and who the Board designates as eligible may participate in the 2003 India Plan,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is a Promoter (as defined in the 2003 India Plan) or one of our directors who owns, individually or beneficially, more than 10% of our stock.</w:t>
      </w:r>
    </w:p>
    <w:p>
      <w:pPr>
        <w:spacing w:after="0" w:line="7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Options to purchase an aggregate maximum of 800,000 shares of our Series B common stock (1,600,000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after giving effect to the Share Conversion) are available for grant under the 2003 India Plan and the 2003 Plan, discussed below, on a combined basis. As of September 30, 2006, options to purchase an aggregate of 464,488 shares of our Series B common stock (928,976 shares of our common stock after giving effect to the Share Conversion) were issued and outstanding under the 2003 India Plan and the 2003 Plan on a combined basis.</w:t>
      </w:r>
    </w:p>
    <w:p>
      <w:pPr>
        <w:spacing w:after="0" w:line="99"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Change in Capitalization</w:t>
      </w:r>
      <w:r>
        <w:rPr>
          <w:rFonts w:ascii="Arial" w:cs="Arial" w:eastAsia="Arial" w:hAnsi="Arial"/>
          <w:sz w:val="15"/>
          <w:szCs w:val="15"/>
          <w:color w:val="auto"/>
        </w:rPr>
        <w:t>. If the Administrator determines that certain corporate transactions or events (as described in the 2003 India Plan), such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split, affect the shares such that an adjustment is determined by our board of directors, in its discretion, to be consistent with such event and necessary or equitable to carry out the purposes of the 2003 India Plan, the 2003 India Plan provides the Administrator with the discretion to appropriately adjust the number, price or kind of shares of stock that may be granted under the 2003 India Plan. In addition, upon the occurrence of certain corporate events or transactions (as described in the 2003 India Plan), such as a merger, consolidation, or reorganization, the Administrator may, in its discretion and with at least ten days prior notice to the participants, cancel all outstanding options and pay to the holders thereof, the value of such options in a form and an amount equal to what they would have received or been entitled to receive had they exercised all such options immediately prior to the consummation of such corporate event or transaction.</w:t>
      </w:r>
    </w:p>
    <w:p>
      <w:pPr>
        <w:spacing w:after="0" w:line="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Term and Vesting</w:t>
      </w:r>
      <w:r>
        <w:rPr>
          <w:rFonts w:ascii="Arial" w:cs="Arial" w:eastAsia="Arial" w:hAnsi="Arial"/>
          <w:sz w:val="16"/>
          <w:szCs w:val="16"/>
          <w:color w:val="auto"/>
        </w:rPr>
        <w:t>. An option granted under the 2003 India Plan provides a participant with the right to purchase, within a specified period of time,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stated number of shares (but no more than 25,000 shares (50,000 shares of our common stock after giving effect to the Share Conversion)) at the price specified in the stock option agreement. Options granted under the 2003 India Plan will be subject to terms, including the exercise price and the conditions and timing of exercise, not inconsistent with the 2003 India Plan, as may be and specified in the applicable stock option agreement or thereafter.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Unless otherwise provided in a stock option agreement, each option granted to a participant will represent an option to purchase one share of our Series B common stock (two shares of our common stock after giving effect to the Share Conversion) at an exercise price of up to $23.75 per share ($11.88 per share after giving effect to the Share Conversion), and the option will vest with respect to 25% per year over four years. Under the terms of the 2003 India Plan, the exercise price of the option will be nominally less than the fair market value of the option on the date of grant. The options will expire no more than ten years following the date of grant. The exercise price of an option must be paid in full in order to exercise the option.</w:t>
      </w:r>
    </w:p>
    <w:p>
      <w:pPr>
        <w:spacing w:after="0" w:line="10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Transferability of Stock Options</w:t>
      </w:r>
      <w:r>
        <w:rPr>
          <w:rFonts w:ascii="Arial" w:cs="Arial" w:eastAsia="Arial" w:hAnsi="Arial"/>
          <w:sz w:val="16"/>
          <w:szCs w:val="16"/>
          <w:color w:val="auto"/>
        </w:rPr>
        <w:t>. Subject to the following paragraph, each option may be exercised during the participant’s lifetime only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or, if permissible under applicable law, by the participant’s guardian or legal representative. No option may be assigned, alienated, pledged, attached, sold or otherwise transferred or encumbered by a participant other than by will or by the laws of descent and distribution. The designation of a beneficiary will not constitute an assignment, alienation, pledge, attachment, sale, transfer or encumbrance for purposes of the 2003 India Plan.</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Notwithstanding the foregoing, our board of directors may, in its discretion, provide in a stock option agreement that options granted under the 2003 India Plan may be transferred by a participant without consideration to certain persons (as described in the 2003 India Plan), pursuant to the terms of the 2003 India Plan and subject to such rules as the Administrator may adopt to preserve the purposes of the 2003 India Plan.</w:t>
      </w:r>
    </w:p>
    <w:p>
      <w:pPr>
        <w:spacing w:after="0" w:line="9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intend to file a registration statement under the Securities Act to register the resale of shares of common stock previously issued upon exercise of options granted under the 2003 India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Stock Option Plan</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adopted the ExlService Holdings, Inc. 2003 Stock Option Plan, which we refer to as the 2003 Plan, effective as of April 30, 2003.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purchase an aggregate maximum 800,000 shares of our Series B common stock (1,600,000 shares of our common stock after giving effect to the Share Conversion) may be granted to our employees, directors and consultants, or the employees, directors and consultants of any of our affiliates under the 2003 Plan and the 2003 India Plan, discussed above, on a combined basis. On September 29, 2006, we decided to cease to make new grants under the 2003 Plan. Grants previously made under the 2003 Plan may continue to be exercised in accordance with the terms of the 2003 Plan.</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2003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Options. </w:t>
      </w:r>
      <w:r>
        <w:rPr>
          <w:rFonts w:ascii="Arial" w:cs="Arial" w:eastAsia="Arial" w:hAnsi="Arial"/>
          <w:sz w:val="16"/>
          <w:szCs w:val="16"/>
          <w:color w:val="auto"/>
        </w:rPr>
        <w:t>Both non-qualified stock options and incentive stock options may be granted under the 2003 Plan. The specific terms of options,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vesting conditions, are set forth in individual option grants. Our board has the authority to determine the participants to whom options are granted, the types of options to be granted to each participant, the number of shares covered by each option, the option exercise price, the conditions and limitations applicable to the exercise of the option and to establish performance standards for determining the periods during which each option will be exercisable.</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is authorized to make adjustments to the terms and conditions of, and the criteria included in, options (including the number of shares under option and the exercise price of options), in the case of certain unusual or nonrecurring events, whenever our board determines that such adjustments are appropriate in order to prevent dilution or enlargement of benefits or potential benefits under the 2003 Plan, or because a change to applicable laws warrants such an adjustment. The individual option agreements govern the manner of exercise and disposition of options following termination of employment.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Amendment. </w:t>
      </w:r>
      <w:r>
        <w:rPr>
          <w:rFonts w:ascii="Arial" w:cs="Arial" w:eastAsia="Arial" w:hAnsi="Arial"/>
          <w:sz w:val="18"/>
          <w:szCs w:val="18"/>
          <w:color w:val="auto"/>
        </w:rPr>
        <w:t>Our board may amend, alter, suspend, discontinue or terminate the 2003 Plan or any portion thereof at any time, provided that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may not be taken without stockholder approval if such approval is necessary to comply with any tax or regulatory requirement applicable to the 2003 Plan and provided that any such amendment, alteration, suspension, discontinuance or termination that would adversely affect the rights of any participant will not be effective without the participant’s consent.</w:t>
      </w:r>
    </w:p>
    <w:p>
      <w:pPr>
        <w:spacing w:after="0" w:line="13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September 30, 2006, options to purchase an aggregate of 466,488 shares of our Series B common stock (932,976 shares of our common stock after giving effect to the Share Conversion) were outstanding and unexercised under the 2003 Plan and the 2003 India Plan on a combined basis.</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intend to file a registration statement under the Securities Act to register the resale of shares of common stock previously issued upon exercise of options granted under the 2003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Omnibus Award Plan</w:t>
      </w:r>
    </w:p>
    <w:p>
      <w:pPr>
        <w:spacing w:after="0" w:line="7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b w:val="1"/>
          <w:bCs w:val="1"/>
          <w:i w:val="1"/>
          <w:iCs w:val="1"/>
          <w:color w:val="auto"/>
        </w:rPr>
        <w:t>General.</w:t>
      </w:r>
      <w:r>
        <w:rPr>
          <w:sz w:val="20"/>
          <w:szCs w:val="20"/>
          <w:color w:val="auto"/>
        </w:rPr>
        <w:tab/>
      </w:r>
      <w:r>
        <w:rPr>
          <w:rFonts w:ascii="Arial" w:cs="Arial" w:eastAsia="Arial" w:hAnsi="Arial"/>
          <w:sz w:val="16"/>
          <w:szCs w:val="16"/>
          <w:color w:val="auto"/>
        </w:rPr>
        <w:t>We adopted the ExlService Holdings, Inc. 2006 Omnibus Award Plan, which we refer to as the 2006 Plan, effective on April 20, 2006.</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2006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2006 Plan is administered by a committee (which may be our board of directors or compensation committee). It is intended,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that the directors appointed to serve on our compensation committee be “Non-Employee Directors” (within the meaning of Rule 16b-3 under the Securities Exchange Act of 1934, or the Exchange Act) and “Outside Directors” within the meaning of Section 162(m) of the Internal Revenue Code, or the Code, to the extent Rule 16b-3 and Section 162(m) are applicable. However, the fact that a committee member shall fail to qualify under these requirements will not invalidate any award that is otherwise validly granted under the 2006 Plan. Subject to the terms of the 2006 Plan, the committee has the authority to grant awards, to determine the number of shares of our common stock for which each award may be granted and to determine any terms and conditions pertaining to the exercise or to the vesting of each award. The committee has the power, in its sole discretion, to accelerate the exercisability of any option and to remove any restriction on any restricted stock or restricted stock unit granted under the 2006 Plan. The committee also has full power to construe and interpret the 2006 Plan and any award agreement executed pursuant to the 2006 Plan and to establish, amend, suspend or waive any rules for the proper administration of the 2006 Plan. The determination of the committee on all matters relating to the 2006 Plan or any award agreement will be conclusive.</w:t>
      </w:r>
    </w:p>
    <w:p>
      <w:pPr>
        <w:spacing w:after="0" w:line="10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are eligible to be designated a participant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2006 Plan. The committee has the sole and complete authority to determine the participants to whom awards will be granted under the 2006 Plan, subject to certain limitations described below.</w:t>
      </w:r>
    </w:p>
    <w:p>
      <w:pPr>
        <w:spacing w:after="0" w:line="12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Under the 2006 Plan, awards for a total of 1,864,619 shares of our Series B common stock (3,729,238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after giving effect to the Share Conversion) may be granted in the aggregate (including those shares reserved for issuance under the 2006 India Subplan 1 and 2006 India Subplan 2 described below). As of September 30, 2006, options to purchase 295,150 shares of our Series B common stock (590,300 shares of our common stock after giving effect to the Share Conversion) were issued and outstanding. As of September 30, 2006, we had outstanding 144,502 restricted shares of Series B common stock (289,004 shares of our common stock after giving effect to the Share Conversion) under our 2006 Plan, including 84,897 restricted shares of Series B common stock (169,794 shares of our common stock after</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giving effect to the Share Conversion) granted under the Management Incentive Plan of the 2006 Plan described below in connection with the Inductis Acquisition. See “The Inductis Acquisition” and “—Management Incentive Plan” for a description of the vesting and forfeiture of these shares. On September 29, 2006, our board of directors approved a grant of restricted stock unit awards for 14,000 shares of our Series B common stock (28,000 shares of our common stock after giving effect to the Share Conversion) to our non-executive directors under our 2006 Plan. No person may be granted awards or options and stock appreciation rights, or SARs, with respect to more than 300,000 shares of Series B common stock (600,000 shares of our common stock after giving effect to the Share Conversion). No more than 300,000 shares of Series B common stock (600,000 shares of our common stock after giving effect to the Share Conversion) may be granted under our 2006 Plan with respect to performance compensation awards in any one year. The maximum amount payable pursuant to a cash bonus under our 2006 Plan is $1,000,000. As described more fully in the 2006 Plan, if an award expires or terminates or is forfeited or if any option terminates, expires or lapses without being exercised, the number of shares previously subject to such award will again be available for future grant.</w:t>
      </w:r>
    </w:p>
    <w:p>
      <w:pPr>
        <w:spacing w:after="0" w:line="10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If the committee determines that certain corporate transactions or events (as described in the 2006 Plan), such as a stock split, affect the shares of common stock such that an adjustment is to be consistent with such event and necessary or equitable to carry out the purposes of the 2006 Plan, the committee may, in its discretion, appropriately adjust the maximum number of shares and the classes or series of our common stock which may be delivered pursuant to the 2006 Plan, the number of shares and the classes or series of our common stock subject to outstanding awards, the price per share of all of our common stock subject to outstanding awards and any other provisions of the 2006 Plan. In addition, upon the occurrence of certain corporate events or transactions (as described in the 2006 Plan), such as a merger, consolidation, or reorganization, the committee may, in its discretion and with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2006 Plan will have a term of ten years and no further awards may be granted after that date.</w:t>
      </w:r>
    </w:p>
    <w:p>
      <w:pPr>
        <w:spacing w:after="0" w:line="15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Terms and Conditions of Awards</w:t>
      </w:r>
      <w:r>
        <w:rPr>
          <w:rFonts w:ascii="Arial" w:cs="Arial" w:eastAsia="Arial" w:hAnsi="Arial"/>
          <w:sz w:val="18"/>
          <w:szCs w:val="18"/>
          <w:color w:val="auto"/>
        </w:rPr>
        <w:t>. Under the 2006 Plan, the committee may grant awards of nonqualified stock options, or NSOs, incentive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ISOs, SARs, restricted stock, restricted stock units, stock bonus awards, performance compensation awards (including cash bonus awards) or any combination of the foregoing. The committee may, but is not required to, provide in an award agreement that there will be a vesting acceleration or payout of the award upon a change in control, as defined in the 2006 Plan.</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will be authorized to grant options to purchase shares of common stock that are either “qualified,” meaning they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satisfy the requirements of Section 422 of the Code for incentive stock options, or “nonqualified,” meaning they are not intended to satisfy the requirements of Section 422 of the Code. An option provides a participant with the right to purchase, within a specified period of time, a stated number of shares of our common stock at the price specified in the award agreement. Options granted under the 2006 Plan will be subject to the terms, including the exercise price and the conditions and timing of exercise, not inconsistent with the 2006 Plan, determined by the committee and specified in the applicable award agreement or thereafter. The maximum term of an option granted under the 2006 Plan will be ten years from the date of grant (or five years in the case of an ISO granted to a 10.0% stockholder).</w:t>
      </w:r>
    </w:p>
    <w:p>
      <w:pPr>
        <w:spacing w:after="0" w:line="13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exercise price per share paid by a participant will be determined by the committee at the time of grant but will not be less than 100.0% of the fair market value of one share on the date the option is granted (or no less than 110.0% of such fair market value in the case of an ISO granted to an employee who is a 10.0% stockholder). Payment in respect of the exercise of an option may be made in cash or by check, except that the committee may, in its discretion, allow such payment to be made by surrender of unrestricted shares of our common stock (at their fair market value on the date of exercise) which have been held by the participant for at least six months, or by such other method as the committee may determine and that is permitted by law. The committee may, in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discretion and to the extent permitted by law, allow such payment to be made through a broker-assisted cashless exercise mechanism. The committee may also establish rules permitting the deferral of shares of our common stock upon the exercise of options for tax planning purposes.</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Our committee will be authorized to award SARs under the 2006 Plan. SARs will be subject to the terms and conditions established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2006 Plan may include SARs, either on the date of grant or, except in the case of an ISO, by subsequent amendment. The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committee and reflected in the award agreement.</w:t>
      </w:r>
    </w:p>
    <w:p>
      <w:pPr>
        <w:spacing w:after="0" w:line="10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No Repricing.</w:t>
      </w:r>
      <w:r>
        <w:rPr>
          <w:sz w:val="20"/>
          <w:szCs w:val="20"/>
          <w:color w:val="auto"/>
        </w:rPr>
        <w:tab/>
      </w:r>
      <w:r>
        <w:rPr>
          <w:rFonts w:ascii="Arial" w:cs="Arial" w:eastAsia="Arial" w:hAnsi="Arial"/>
          <w:sz w:val="15"/>
          <w:szCs w:val="15"/>
          <w:color w:val="auto"/>
        </w:rPr>
        <w:t>The 2006 Plan prohibits the repricing of stock options or SARs awarded under the 2006 Plan.</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Our committee will be authorized to award restricted stock under the 2006 Plan. An award of restricted stock is a grant of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conditions and restrictions set by the committee. The grant or the vesting of an award of restricted stock may be conditioned upon service to us or our affiliates or upon the attainment of performance goals or other factors, as determined in the discretion of the compensation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The committee is authorized to award restricted stock units to participants. The committee establishes the terms, conditions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At the discretion of the committee, dividend equivalents may either be paid currently to the participant or withheld by us for the participant’s account and interest will be credited on such dividend equivalents withheld at rate to be determined by the committee. Upon expiration of the vesting period with respect to any restricted stock units covered by a restricted stock award, we will deliver to the participant or his beneficiary (i) one share of our common stock or, at the election of the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w:t>
      </w:r>
    </w:p>
    <w:p>
      <w:pPr>
        <w:spacing w:after="0" w:line="10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With respect to an award of restricted stock or restricted share units that is intended to qualify as “performance-based compensation” under Section 162(m) of the Code, the timing, establishment and adjustment of performance goals will be implemented by the committee in a manner designed to preserve the treatment of such award as “performance-based compensation” for purposes of Section 162(m) of the Code.</w:t>
      </w:r>
    </w:p>
    <w:p>
      <w:pPr>
        <w:spacing w:after="0" w:line="12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Bonus Awards. </w:t>
      </w:r>
      <w:r>
        <w:rPr>
          <w:rFonts w:ascii="Arial" w:cs="Arial" w:eastAsia="Arial" w:hAnsi="Arial"/>
          <w:sz w:val="18"/>
          <w:szCs w:val="18"/>
          <w:color w:val="auto"/>
        </w:rPr>
        <w:t>The committee may, in its discretion, grant an award of unrestricted shares of our common stock, either alone or in tandem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under such terms and conditions as the committee in its sole discretion may decide. A stock bonus award shall be granted as, or in payment of, a bonus, or to provide special incentives or recognize special achievements or contributions.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committee may, in its discretion, condition the vesting of any award granted under the 2006 Plan upon the satisfaction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performance goals. To the extent an award is intended to qualify as “performance-based compensation” under Section 162(m) of the Code, the performance goals will be established by the compensation committee with reference to one or more performance criteria set forth in the 2006 Plan, either on a company-wide basis or, as relevant, in respect of one or more of our affiliates, divisions or operations.</w:t>
      </w:r>
    </w:p>
    <w:p>
      <w:pPr>
        <w:spacing w:after="0" w:line="9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Performance Compensation Awards. </w:t>
      </w:r>
      <w:r>
        <w:rPr>
          <w:rFonts w:ascii="Arial" w:cs="Arial" w:eastAsia="Arial" w:hAnsi="Arial"/>
          <w:sz w:val="18"/>
          <w:szCs w:val="18"/>
          <w:color w:val="auto"/>
        </w:rPr>
        <w:t>The committee may grant any award under the 2006 Plan in the form of a performance compensation award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conditioning the vesting of the award on the satisfaction of certain performance goals. The committee may establish these performance goals with reference to one or more of the following:</w:t>
      </w:r>
    </w:p>
    <w:p>
      <w:pPr>
        <w:spacing w:after="0" w:line="46" w:lineRule="exact"/>
        <w:rPr>
          <w:sz w:val="20"/>
          <w:szCs w:val="20"/>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 amortization;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margins;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committee may, in its discretion, however, provide that awards granted under the 2006 Plan that are not ISOs may be transferred by a participant without consideration to certain “permitted transferees” (as defined in the 2006 Plan), pursuant to the terms of the 2006 Plan and rules adopted by the committee.</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2006 Plan or any portion thereof at any time. No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committee is authorized to amend the terms of any award granted under the 2006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stockholder approval of such amendment.</w:t>
      </w:r>
    </w:p>
    <w:p>
      <w:pPr>
        <w:spacing w:after="0" w:line="10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awards under the 2006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and local tax considerations. Moreover, the U.S. federal income tax consequences to any particular participant may differ from those described herein by reason of, among other things, the particular circumstances of such participant.</w:t>
      </w:r>
    </w:p>
    <w:p>
      <w:pPr>
        <w:spacing w:after="0" w:line="10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Code requires that, for treatment of an option as a qualified option, shares of our common stock acquired through the exercise of a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11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participant will not be subject to tax upon the grant of an award of restricted stock unless the participant otherwise elects to be taxed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Restricted Stock Units</w:t>
      </w:r>
      <w:r>
        <w:rPr>
          <w:rFonts w:ascii="Arial" w:cs="Arial" w:eastAsia="Arial" w:hAnsi="Arial"/>
          <w:sz w:val="15"/>
          <w:szCs w:val="15"/>
          <w:color w:val="auto"/>
        </w:rPr>
        <w:t>. A participant will not be subject to tax upon the grant of a restricted stock unit award. Rather, upon the delivery of shares or cash</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a restricted stock unit award, the participant will have taxable compensation equal to the fair market value of the number of shares (or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 will recognize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3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A participant will have taxable compensation equal to the difference between the fair market value of the shares on the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9"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Section 162(m)</w:t>
      </w:r>
      <w:r>
        <w:rPr>
          <w:rFonts w:ascii="Arial" w:cs="Arial" w:eastAsia="Arial" w:hAnsi="Arial"/>
          <w:sz w:val="15"/>
          <w:szCs w:val="15"/>
          <w:color w:val="auto"/>
        </w:rPr>
        <w:t>. In general, Section 162(m) of the Code denies a publicly held corporation a deduction for U.S. federal income tax purposes for</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in excess of $1,000,000 per year per person to its chief executive officer and the four other officers whose compensation is disclosed in its proxy statement, subject to certain exceptions. The 2006 Plan is intended to satisfy either an exception or applicable transitional rule requirements with respect to grants of options to covered employees. The 2006 Plan is designed to permit certain awards of restricted share units and other awards to be awarded in a manner intended to qualify under either the “performance-based compensation” exception to Section 162(m) of the Code or applicable transitional rule requirements.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India Subplan 1</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April 20, 2006, our board approved the creation of a subplan under the 2006 Plan which is called the “ExlService Holdings, Inc. 2006 Omnibus India Subplan 1,” or the “2006 India Subplan 1.” The purpose of the 2006 India Subplan 1 is to make available to employees of our subsidiaries who reside in India the same types of awards generally available under our 2006 Plan. In addition, the 2006 India Subplan 1 provides for grants of equity awards and cash bonuses intended to qualify as performance-based compensation under Section 162(m) of the Code. The terms and conditions governing options granted under the 2006 India Subplan 1 are substantially similar to the terms and conditions governing options granted under the 2006 Plan. Under the 2006 India Subplan 1, the compensation committee may also grant awards of nonqualified stock options, incentive stock options, SARs, restricted stock, restricted share units, stock bonus awards, performance compensation awards (including cash bonus awards) or any combination of the foregoing in accordance with the same terms and conditions governing such awards under the 2006 Plan. Awards for a total of 250,000 shares of our Series B common stock (500,000 shares of our common stock after giving effect to the Share Conversion) may be granted in the aggregate under the 2006 India Subplan 1.</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India Subplan 2</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September 29, 2006, our board approved the creation of a subplan under the 2006 Plan which is called the “ExlService Holdings, Inc. 2006 Omnibus India Subplan 2,” or the “2006 India Subplan 2.” The purpose of the 2006 India Subplan 2 is to make available to employees of our subsidiaries who reside in India the same types of awards generally available under our 2006 Plan. In addition, the 2006 India Subplan 2 provides for grants of equity awards and cash bonuses intended to qualify as performance-based compensation under Section 162(m) of the Code. The terms and conditions governing options granted under the 2006 India Subplan 2 are substantially similar to the terms and conditions governing options granted under the 2006 Plan and the 2006 India Subplan 1. Under the 2006 India Subplan 2, the compensation committee may also grant awards of nonqualified stock options, incentive stock options, SARs, restricted stock, restricted share units, stock bonus awards, performance compensation awards (including cash bonus awards) or any combination of the foregoing in accordance with the same terms and conditions governing such awards under the 2006 Plan. Awards for a total of 505,000 shares of our Series B common stock (1,010,000 shares of our common stock after giving effect to the Share Conversion) may be granted in the aggregate under the 2006 India Subplan 2.</w:t>
      </w:r>
    </w:p>
    <w:p>
      <w:pPr>
        <w:spacing w:after="0" w:line="10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intend to file a registration statement under the Securities Act to register the shares of common stock issuable upon the exercise of outstanding options under the 2006 Plan (including the 2006 India Subplan 1 and the 2006 India Subplan 2) and the resale of shares of common stock previously issued upon exercise of options granted under the 2006 Plan and shares of restricted stock granted under the 2006 Plan (in each case, including the 2006 India Subplan 1 and the 2006 India Subplan 2).</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In connection with our acquisition of Inductis, our board adopted the ExlService Holdings, Inc. Management Incentive Plan, or the “MIP,” on July 1, 2006. The MIP is a sub plan under our 2006 Plan. The purpose of the MIP is to provide for the grant of restricted stock awards and cash awards to certain individuals who were key employees of Inductis. In connection with our acquisition of Inductis, we granted 53,755 restricted shares of Series B common stock (107,510 shares of our common stock after giving effect to the Share Conversion) to the former holders of Inductis securities under the MIP that vest over two or three years. Furthermore, we granted these holders restricted stock awards that comprise a total of 31,142 shares of Series B common stock (62,284 shares of common stock after giving effect to the Share Conversion) and vest two and over three years based on achievement of specific earnout targets for the historic Inductis business in 2006 and 2007, as set forth in the terms of the MIP and the awards granted under the MIP. Participants in the MIP are also eligible to receive awards totaling $517,871 in a mix of cash and shares of common stock if additional revenue targets for 2007 are achieved. See “The Inductis Acquisition.”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as of August 15, 2006, information with respect to the beneficial ownership of our common stock by:</w:t>
      </w:r>
    </w:p>
    <w:p>
      <w:pPr>
        <w:spacing w:after="0" w:line="77" w:lineRule="exact"/>
        <w:rPr>
          <w:sz w:val="20"/>
          <w:szCs w:val="20"/>
          <w:color w:val="auto"/>
        </w:rPr>
      </w:pPr>
    </w:p>
    <w:p>
      <w:pPr>
        <w:ind w:left="520" w:hanging="444"/>
        <w:spacing w:after="0"/>
        <w:tabs>
          <w:tab w:leader="none" w:pos="5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of our directors (including nominees) and each of the named executive officers;</w:t>
      </w:r>
    </w:p>
    <w:p>
      <w:pPr>
        <w:spacing w:after="0" w:line="103" w:lineRule="exact"/>
        <w:rPr>
          <w:rFonts w:ascii="Arial" w:cs="Arial" w:eastAsia="Arial" w:hAnsi="Arial"/>
          <w:sz w:val="18"/>
          <w:szCs w:val="18"/>
          <w:color w:val="auto"/>
        </w:rPr>
      </w:pPr>
    </w:p>
    <w:p>
      <w:pPr>
        <w:ind w:left="500" w:hanging="451"/>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or series of our capital stock; and</w:t>
      </w:r>
    </w:p>
    <w:p>
      <w:pPr>
        <w:spacing w:after="0" w:line="103" w:lineRule="exact"/>
        <w:rPr>
          <w:rFonts w:ascii="Arial" w:cs="Arial" w:eastAsia="Arial" w:hAnsi="Arial"/>
          <w:sz w:val="18"/>
          <w:szCs w:val="18"/>
          <w:color w:val="auto"/>
        </w:rPr>
      </w:pPr>
    </w:p>
    <w:p>
      <w:pPr>
        <w:ind w:left="560" w:hanging="444"/>
        <w:spacing w:after="0"/>
        <w:tabs>
          <w:tab w:leader="none" w:pos="5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amounts and percentages of common stock beneficially owned are reported on the basis of the regulations of the Commission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4"/>
              </w:rPr>
              <w:t>Shares of Series B</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Shares of Series A Common</w:t>
            </w:r>
          </w:p>
        </w:tc>
        <w:tc>
          <w:tcPr>
            <w:tcW w:w="2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Stock Beneficially Owned</w:t>
            </w:r>
          </w:p>
        </w:tc>
        <w:tc>
          <w:tcPr>
            <w:tcW w:w="2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Beneficially Owned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Before This Offering</w:t>
            </w:r>
          </w:p>
        </w:tc>
        <w:tc>
          <w:tcPr>
            <w:tcW w:w="21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Before This Offering</w:t>
            </w: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This Offering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Percentage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Percentage</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of Shares</w:t>
            </w: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5"/>
              </w:rPr>
              <w:t>of Class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4"/>
              </w:rPr>
              <w:t>of Shares</w:t>
            </w:r>
          </w:p>
        </w:tc>
        <w:tc>
          <w:tcPr>
            <w:tcW w:w="4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of Class</w:t>
            </w: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rPr>
              <w:t>of Shares</w:t>
            </w:r>
          </w:p>
        </w:tc>
        <w:tc>
          <w:tcPr>
            <w:tcW w:w="3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5,271,252(4)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10,542,504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FTVentures(5)</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1,757,084(6)</w:t>
            </w: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3,514,168</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NUI Investments Limited(7)</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526,316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1,052,632</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Vikram Talwar(8)</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1,053,036(9)</w:t>
            </w: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2,106,072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Kapoor(8)</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1,053,036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2,106,072</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64,831</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10.5</w:t>
            </w:r>
          </w:p>
        </w:tc>
        <w:tc>
          <w:tcPr>
            <w:tcW w:w="800" w:type="dxa"/>
            <w:vAlign w:val="bottom"/>
          </w:tcPr>
          <w:p>
            <w:pPr>
              <w:jc w:val="right"/>
              <w:spacing w:after="0"/>
              <w:rPr>
                <w:sz w:val="20"/>
                <w:szCs w:val="20"/>
                <w:color w:val="auto"/>
              </w:rPr>
            </w:pPr>
            <w:r>
              <w:rPr>
                <w:rFonts w:ascii="Arial" w:cs="Arial" w:eastAsia="Arial" w:hAnsi="Arial"/>
                <w:sz w:val="18"/>
                <w:szCs w:val="18"/>
                <w:color w:val="auto"/>
              </w:rPr>
              <w:t>129,662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Bagai(10)</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187,430</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374,860</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Sandeep Tyagi</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328,068</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656,136</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Katy Murray(11)</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Amit Shashank(12)</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3.1</w:t>
            </w:r>
          </w:p>
        </w:tc>
        <w:tc>
          <w:tcPr>
            <w:tcW w:w="800" w:type="dxa"/>
            <w:vAlign w:val="bottom"/>
          </w:tcPr>
          <w:p>
            <w:pPr>
              <w:jc w:val="right"/>
              <w:spacing w:after="0"/>
              <w:rPr>
                <w:sz w:val="20"/>
                <w:szCs w:val="20"/>
                <w:color w:val="auto"/>
              </w:rPr>
            </w:pPr>
            <w:r>
              <w:rPr>
                <w:rFonts w:ascii="Arial" w:cs="Arial" w:eastAsia="Arial" w:hAnsi="Arial"/>
                <w:sz w:val="18"/>
                <w:szCs w:val="18"/>
                <w:color w:val="auto"/>
              </w:rPr>
              <w:t>40,000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Mohanbir Sawhney</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Garen K. Staglin(13)</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3,750</w:t>
            </w: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(17</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persons)(14)</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2,434,140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410,496</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59.5%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5,688,772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right="2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Gives effect to the Share Conversion and assumes no exercise of the underwriters’ option to purchase additional shares. In the event the option is exercised, the underwriters have an option to purchase up to 750,000 additional shares of our common stock.</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business address of Oak Hill Partnerships is 201 Main Street, Suite 2415, Fort Worth, TX 76102.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90"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an aggregate of 5,139,471 shares of Series A common stock (10,278,942 shares of our common stock after giving effect to the Share Conversion) held by Oak Hill Capital Partners, L.P. and 131,781 shares of Series A common stock (263,562 shares of our common stock after giving effect to the Share Conversion)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The Oak Hill Partnerships will have certain registration rights with respect to their shares of common stock following the consummation of this offering, subject to certain conditions. See “Certain Relationships and Related Transactions—Transactions entered into in connection with this offering—Registration Rights Agreements.”</w:t>
      </w:r>
    </w:p>
    <w:p>
      <w:pPr>
        <w:spacing w:after="0" w:line="23"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business address of FTVentures is 601 California Street, Suite 2200, San Francisco, CA 94109.</w:t>
      </w:r>
    </w:p>
    <w:p>
      <w:pPr>
        <w:spacing w:after="0" w:line="76" w:lineRule="exact"/>
        <w:rPr>
          <w:rFonts w:ascii="Arial" w:cs="Arial" w:eastAsia="Arial" w:hAnsi="Arial"/>
          <w:sz w:val="18"/>
          <w:szCs w:val="18"/>
          <w:color w:val="auto"/>
        </w:rPr>
      </w:pPr>
    </w:p>
    <w:p>
      <w:pPr>
        <w:ind w:left="460" w:hanging="452"/>
        <w:spacing w:after="0" w:line="285"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847,139 shares of Series A common stock (1,694,278 shares of our common stock after giving effect to the Share Conversion) held by Financial Technology Ventures (Q), L.P., 31,403 shares of Series A common stock (62,806 shares of our common stock after giving effect to the Share Conversion) held by Financial Technology Ventures, L.P., 873,354 shares of Series A common stock (1,746,708 shares of our common stock after giving effect to the Share Conversion) held by Financial Technology Ventures II (Q), L.P. and 5,188 shares of Series A common stock (10,376 shares of our common stock after giving effect to the Share Conversion)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 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 FTVentures will have certain registration rights with respect to their shares of common stock following the consummation of this offering, including the right to make one demand to register their shares of common stock after the earlier of 18 months following the consummation of this offering or 12 months after the consummation of this offering if a demand registration with regard to our shares of common stock has been completed, subject to certain conditions. See “Certain Relationships and Related Transactions—Transactions entered into in connection with this offering—Registration Rights Agreements.”</w:t>
      </w:r>
    </w:p>
    <w:p>
      <w:pPr>
        <w:spacing w:after="0" w:line="33"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business address of NUI Investments Limited is 8 Surrey Street, Norwich NR1 3NG, United Kingdom.</w:t>
      </w:r>
    </w:p>
    <w:p>
      <w:pPr>
        <w:spacing w:after="0" w:line="76"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Messrs. Talwar and Kapoor will have certain registration rights with respect to their shares of common stock following the consummation of this offering, including the right to make one demand to register their shares of common stock after the earlier of 18 months following the consummation of this offering or 12 months after the consummation of this offering if a demand registration with regard to our shares of common stock has been completed, subject to certain conditions. See “Certain Relationships and Related Transactions—Transactions entered into in connection with this offering—Registration Rights Agreements.”</w:t>
      </w:r>
    </w:p>
    <w:p>
      <w:pPr>
        <w:spacing w:after="0" w:line="48" w:lineRule="exact"/>
        <w:rPr>
          <w:rFonts w:ascii="Arial" w:cs="Arial" w:eastAsia="Arial" w:hAnsi="Arial"/>
          <w:sz w:val="18"/>
          <w:szCs w:val="18"/>
          <w:color w:val="auto"/>
        </w:rPr>
      </w:pPr>
    </w:p>
    <w:p>
      <w:pPr>
        <w:ind w:left="460" w:hanging="452"/>
        <w:spacing w:after="0" w:line="289"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amount includes 42,000 shares of Series A common stock (84,000 shares of our common stock after giving effect to the Share Conversion) transferred by Mr. Talwar to a spousal lifetime access trust. Mr. Talwar’s spouse and Mr. Kapoor are the trustees of this trust and share dispositive and voting control over the shares in the trust. This amount also includes 42,000 shares of Series A common stock (84,000 shares of our common stock after giving effect to the Share Conversion) transferred by Mr. Talwar’s spouse to a spousal lifetime access trust. Mr. Talwar and Mr. Kapoor are the trustees of this trust and share dispositive and voting control over the shares in the trust. Mr. Kapoor disclaims beneficial ownership of these shares and this prospectus shall not be deemed an admission that Mr. Kapoor is a beneficial owner of such shares of purposes of the Securities Exchange Act of 1934. This amount also includes 169,409 shares of Series A common stock (338,818 shares of our common stock after giving effect to the Share Conversion) transferred by Mr. Talwar to a three year grantor retained annuity trust. Mr. Talwar is the sole trustee of this trust.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includes options to purchase 6,250 shares of Series B common stock (12,500 shares of our common stock after giving effect to the Share Conversion) owned by Mr. Bagai which are exercisable within 60 days.</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consists of options to purchase 30,000 shares of Series B common stock (60,000 shares of our common stock after giving effect to the Share Conversion) owned by Ms. Murray which are exercisable within 60 days.</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consists of options to purchase 20,000 shares of Series B common stock (40,000 shares of our common stock after giving effect to the Share Conversion) owned by Mr. Shashank which are exercisable within 60 days.</w:t>
      </w:r>
    </w:p>
    <w:p>
      <w:pPr>
        <w:spacing w:after="0" w:line="37"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consists of options to purchase 3,750 shares of Series B common stock (7,500 shares of our common stock after giving effect to the Share Conversion) owned by Mr. Staglin which are exercisable within 60 days.</w:t>
      </w:r>
    </w:p>
    <w:p>
      <w:pPr>
        <w:spacing w:after="0" w:line="37" w:lineRule="exact"/>
        <w:rPr>
          <w:rFonts w:ascii="Arial" w:cs="Arial" w:eastAsia="Arial" w:hAnsi="Arial"/>
          <w:sz w:val="18"/>
          <w:szCs w:val="18"/>
          <w:color w:val="auto"/>
        </w:rPr>
      </w:pPr>
    </w:p>
    <w:p>
      <w:pPr>
        <w:ind w:left="460" w:right="260" w:hanging="452"/>
        <w:spacing w:after="0" w:line="33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amount includes options to purchase 67,500 shares of Series B common stock (135,000 shares of our common stock after giving effect to the Share Conversion) owned in the aggregate by our current directors and executive officers which are exercisable within 60 days.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Sale</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3, 2004, Vikram Talwar and Rohit Kapoor entered into a Stock Purchase Agreement with TCV V, L.P. and TCV V Member Fund, L.P., which we refer to together as TCV, pursuant to which TCV purchased an aggregate of 421,054 shares of our Series A common stock (842,108 shares of our common stock after giving effect to the Share Conversion) for an aggregate purchase price of approximately $10.0 million. In connection with the sale, Messrs. Talwar and Kapoor agreed to pay TCV the difference between TCV’s purchase price and its resale price if TCV were required to resell those shares in connection with a sale of ExlService Holdings at a price lower than that paid to Messrs. Talwar and Kapoor. By its terms, certain provisions of the agreement, including the obligation to make TCV whole on a resale of its interests in the Company, will terminate upon the consummation of this offering. In addition, we granted TCV certain piggyback registration rights with respect to its shares of our Series A common stock, subject to customary restrictions and pro rata reductions in the event of a public offering. We also granted TCV approval rights relating generally to affiliate transactions, the right to purchase a pro rata share of specified issuances of our common stock or preferred stock and the right to attend meetings of our board of directors in a nonvoting observer capacity. See “Certain Relationships and Related Transactions—Transactions Entered into in Connection with this Offering—Registration Rights Agreements.” The provisions of our agreement with TCV relating to approval rights of affiliate transactions, the right to participate in additional equity sales and the right to attend board meetings will terminate upon the consummation of this offering.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Entered into in Connection with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Conversion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equity incentive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Stockholders’ Agreement</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are parties to an Amended and Restated Stockholders’ Agreement with Oak Hill Capital Partners, L.P., Oak Hill Capital Management Partners, L.P., Financial Technology Ventures, L.P., Financial Technology Ventures (Q), L.P., Financial Technology Ventures II, L.P., Financial Technology Ventures II (Q), L.P., TCV V, L.P., TCV Member Fund, L.P., NUI Investments Limited, Vikram Talwar, Rohit Kapoor, Sandeep Tyagi and certain other stockholders who received shares of our common stock in connection with the Inductis Acquisition. This agreement contains certain rights and restrictions on the sale, assignment, transfer, encumbrance or other disposition of the approximately 10,660,513 shares of our Series A and Series B common stock (21,321,026 shares of our common stock after giving affect to the Share Conversion) that are subject to the agreement. This agreement will automatically terminate by its terms upon the consummation of this offering.</w:t>
      </w:r>
    </w:p>
    <w:p>
      <w:pPr>
        <w:spacing w:after="0" w:line="13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director, Mr. Steven Gruber, is a Managing Partner of Oak Hill Capital Management, Inc., the investment advisor to Oak Hill Capital Partners, L.P., one of our 5% stockholders. Our director, Mr. Edward Dardani, is a principal of Oak Hill Capital Management, Inc., the investment advisor to Oak Hill Capital Partners, L.P., one of our 5% stockholders. Our director, Mr. Bradford E. Bernstein, is a Partner at FTVentures, one of our 5% stockholders, and a former Partner of Oak Hill Capital Management, Inc. Our director, Mr. James C. Hale III is a General Partner and Managing Member of FTVentures, one of our 5% stockholders. Our director, Mr. Staglin, is a senior advisor for FTVentures.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Prior to the consummation of this offering, Oak Hill Capital Partners, L.P., Oak Hill Capital Management Partners, L.P., Financial Technology Ventures (Q), L.P., Financial Technology Ventures, L.P., Financial Technology Ventures II (Q), L.P., Financial Technology Ventures II, L.P., Vikram Talwar, Rohit Kapoor and certain of their respective affiliates, which we refer to as the Designated Stockholders, will enter into a registration rights agreement with us relating to the shares of common stock they hold. Subject to several exceptions, including our right to defer a demand registration under certain circumstances, Designated Stockholders holding at least a majority of the registrable securities held by all of the Designated Stockholders may require that we register for public resale under the Securities Act all shares of common stock that they request be registered at any time after the expiration of the relevant lock-up period following this offering so long as the securities being registered in each registration statement are reasonably expected to produce aggregate proceeds of at least $20.0 million. However, after the earlier of 18 months from the consummation of this offering or 12 months after the consummation of this offering if a demand registration with regard to our shares of common stock has been completed, FTVentures and their affiliates, acting alone, will have the right to make one demand to register their shares of common stock so long as they hold shares of common stock representing at least 7.5% of our outstanding common stock at the time. Similarly, after the earlier of 18 months from the date of this offering or 12 months after the consummation of this offering if a demand registration with regard to our shares of common stock has been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completed, Messrs. Talwar and Kapoor and their affiliates, acting together, will have the right to make one demand to register their shares of common stock so long as they hold shares of common stock representing in the aggregate at least 7.5% of our outstanding common stock at the time. We will not be obligated to effectuate more than three demand registrations under this agreement. If we become eligible to register the sale of our securities on Form S-3 under the Securities Act, the Designated Stockholders have the right to require us to register the sale of the common stock held by them on Form S-3, subject to offering size and other restrictions. Non-requesting Designated Stockholders are entitled to piggyback registration rights with respect to any registration request made by the requesting Designated Stockholders. If the registration requested by the Designated Stockholders is in the form of a firm underwritten offering, and if the managing underwriter of the offering determines that the number of securities to be offered would have a material adverse effect on the distribution or sales price of the shares of common stock in the offering, the number of shares included in the offering will be determined as follows:</w:t>
      </w:r>
    </w:p>
    <w:p>
      <w:pPr>
        <w:spacing w:after="0" w:line="24" w:lineRule="exact"/>
        <w:rPr>
          <w:sz w:val="20"/>
          <w:szCs w:val="20"/>
          <w:color w:val="auto"/>
        </w:rPr>
      </w:pPr>
    </w:p>
    <w:p>
      <w:pPr>
        <w:ind w:left="780" w:right="32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first, shares offered by the requesting Designated Stockholders (pro rata, based on the number of their respective shares requested to be included in such offering);</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second, shares offered by any other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third, shares offered by us for our own account.</w:t>
      </w:r>
    </w:p>
    <w:p>
      <w:pPr>
        <w:spacing w:after="0" w:line="1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addition, the Designated Stockholders have been granted piggyback rights on any registration for our account or the account of another stockholder. If the managing underwriter in an underwritten offering determines that the number of securities offered in a piggyback registration would have a material adverse effect on the distribution or sales price of the shares of common stock in the offering, the number of shares included in the offering will be determined as follows:</w:t>
      </w:r>
    </w:p>
    <w:p>
      <w:pPr>
        <w:spacing w:after="0" w:line="12" w:lineRule="exact"/>
        <w:rPr>
          <w:sz w:val="20"/>
          <w:szCs w:val="20"/>
          <w:color w:val="auto"/>
        </w:rPr>
      </w:pPr>
    </w:p>
    <w:p>
      <w:pPr>
        <w:ind w:left="780" w:right="180" w:hanging="326"/>
        <w:spacing w:after="0" w:line="325"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first, shares offered by us for own account if we have initiated such registration or by any stockholders exercising demand rights with respect to such registration (pro rata, based on the number of their respective shares requested to be included in such offering);</w:t>
      </w:r>
    </w:p>
    <w:p>
      <w:pPr>
        <w:spacing w:after="0" w:line="1" w:lineRule="exact"/>
        <w:rPr>
          <w:rFonts w:ascii="Arial" w:cs="Arial" w:eastAsia="Arial" w:hAnsi="Arial"/>
          <w:sz w:val="16"/>
          <w:szCs w:val="16"/>
          <w:color w:val="auto"/>
        </w:rPr>
      </w:pPr>
    </w:p>
    <w:p>
      <w:pPr>
        <w:ind w:left="780" w:right="32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second, shares offered by any of our other stockholders (including the Designated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third, shares offered by us for our own account if any stockholder initiated such registration by exercising demand rights.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December 3, 2004, we granted TCV certain piggyback registration rights with respect to its shares of our common stock, subject to customary restrictions and pro rata reductions in the number of shares to be sold in an offering. We will indemnify TCV and bear all fees, costs and expenses, except underwriting commissions or discounts, brokerage fees, transfer taxes, expenses of counsel, accountants or other representatives retained by TCV, in connection with any registration of TCV’s shares.</w:t>
      </w:r>
    </w:p>
    <w:p>
      <w:pPr>
        <w:spacing w:after="0" w:line="130"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As discussed elsewhere in this prospectus, we have also agreed to provide certain piggyback registration rights to Norwich Union and Prudential Financial. 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and Note Purchase Agreement</w:t>
      </w:r>
    </w:p>
    <w:p>
      <w:pPr>
        <w:spacing w:after="0" w:line="8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On December 13, 2002, we entered into a Stock and Note Purchase Agreement with Oak Hill Capital Partners, L.P., Oak Hill Capital Management Partners, L.P., Financial Technology Ventures, L.P., Financial Technology Ventures (Q), L.P., Financial Technology Ventures II, L.P., Financial Technology Ventures II (Q), L.P., Vikram Talwar and Rohit Kapoor. Under this agreement, we issued and sold shares of our Series A common stock and Series A preferred stock and issued senior promissory notes to these persons. We intend to use a portion of the net proceeds from this offering to repurchase or redeem $6.5 million in aggregate principal amount of Series A preferred stock, plus accrued and unpaid dividends to the redemption date, and to repay all of those senior promissory notes in the aggregate principal amount of $5.7 million, plus accrued and unpaid interest to the repayment date. The following table lists the aggregate purchase price paid by each party, the securities acquired and the amount to be paid to redeem the Series A preferred stock and repay the senior promissory notes.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Paid to 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or Redeem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Series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Series A</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Series A</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Senior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Purchase</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Promissory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and Senior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Stock (#)</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Promissory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7,312,500.00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5,139,471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29,182.00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3,175,549.94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Oak Hill Capital Management Partners, L.P.</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187,500.00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131,781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748.26</w:t>
            </w:r>
          </w:p>
        </w:tc>
        <w:tc>
          <w:tcPr>
            <w:tcW w:w="1180" w:type="dxa"/>
            <w:vAlign w:val="bottom"/>
          </w:tcPr>
          <w:p>
            <w:pPr>
              <w:jc w:val="right"/>
              <w:spacing w:after="0"/>
              <w:rPr>
                <w:sz w:val="20"/>
                <w:szCs w:val="20"/>
                <w:color w:val="auto"/>
              </w:rPr>
            </w:pPr>
            <w:r>
              <w:rPr>
                <w:rFonts w:ascii="Arial" w:cs="Arial" w:eastAsia="Arial" w:hAnsi="Arial"/>
                <w:sz w:val="18"/>
                <w:szCs w:val="18"/>
                <w:color w:val="auto"/>
              </w:rPr>
              <w:t>81,424.07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L.P.</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44,680.00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31,403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Financial Technology Ventures (Q), L.P.</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1,205,320.00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847,139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4,810.07</w:t>
            </w:r>
          </w:p>
        </w:tc>
        <w:tc>
          <w:tcPr>
            <w:tcW w:w="1180" w:type="dxa"/>
            <w:vAlign w:val="bottom"/>
          </w:tcPr>
          <w:p>
            <w:pPr>
              <w:jc w:val="right"/>
              <w:spacing w:after="0"/>
              <w:rPr>
                <w:sz w:val="20"/>
                <w:szCs w:val="20"/>
                <w:color w:val="auto"/>
              </w:rPr>
            </w:pPr>
            <w:r>
              <w:rPr>
                <w:rFonts w:ascii="Arial" w:cs="Arial" w:eastAsia="Arial" w:hAnsi="Arial"/>
                <w:sz w:val="18"/>
                <w:szCs w:val="18"/>
                <w:color w:val="auto"/>
              </w:rPr>
              <w:t>523,426.43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1,328,288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II, L.P.</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7,381.25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Financial Technology Ventures II (Q), L.P.</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1,242,618.75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873,354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4,958.92</w:t>
            </w:r>
          </w:p>
        </w:tc>
        <w:tc>
          <w:tcPr>
            <w:tcW w:w="1180" w:type="dxa"/>
            <w:vAlign w:val="bottom"/>
          </w:tcPr>
          <w:p>
            <w:pPr>
              <w:jc w:val="right"/>
              <w:spacing w:after="0"/>
              <w:rPr>
                <w:sz w:val="20"/>
                <w:szCs w:val="20"/>
                <w:color w:val="auto"/>
              </w:rPr>
            </w:pPr>
            <w:r>
              <w:rPr>
                <w:rFonts w:ascii="Arial" w:cs="Arial" w:eastAsia="Arial" w:hAnsi="Arial"/>
                <w:sz w:val="18"/>
                <w:szCs w:val="18"/>
                <w:color w:val="auto"/>
              </w:rPr>
              <w:t>539,623.68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1,369,392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612,135.32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1,053,036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1,496.51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162,848.91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Rohit Kapoor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612,135.32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1,053,036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1,496.51</w:t>
            </w:r>
          </w:p>
        </w:tc>
        <w:tc>
          <w:tcPr>
            <w:tcW w:w="1180" w:type="dxa"/>
            <w:vAlign w:val="bottom"/>
          </w:tcPr>
          <w:p>
            <w:pPr>
              <w:jc w:val="right"/>
              <w:spacing w:after="0"/>
              <w:rPr>
                <w:sz w:val="20"/>
                <w:szCs w:val="20"/>
                <w:color w:val="auto"/>
              </w:rPr>
            </w:pPr>
            <w:r>
              <w:rPr>
                <w:rFonts w:ascii="Arial" w:cs="Arial" w:eastAsia="Arial" w:hAnsi="Arial"/>
                <w:sz w:val="18"/>
                <w:szCs w:val="18"/>
                <w:color w:val="auto"/>
              </w:rPr>
              <w:t>162,848.91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Norwich Union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July 22, 2004, we entered into a Stock Purchase Agreement with NUI Investments Limited, an affiliate of our client Norwich Union, pursuant to which NUI Investments Limited purchased 526,316 shares of our Series A common stock for an aggregate purchase price of $12,500,000. Following the consummation of this offering and the Share Conversion, these shares will be converted into 1,052,632 shares of our common stock, representing approximately 3.8% of our total outstanding common stock. Provisions of the Stock Purchase Agreement relating to certain approval rights, subsequent client-related transactions and additional equity financings will terminate upon the consummation of this offering. We granted Norwich Union piggyback registration rights subject to customary restrictions and pro rata reductions in the number of shares to be sold in an offering. We will indemnify NUI Investments Limited and bear all fees, costs and expenses, except underwriting commissions or discounts, brokerage fees, transfer taxes, expenses of counsel, accountants or other representatives retained by NUI Investments Limited in connection with any registration of shares purchased by NUI Investments Limited.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Services Framework Agreements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May 28, 2003, we entered into an initial Insurance Services Framework Agreement with Norwich Union to supply them with insurance services. In connection with this agreement, we entered into a guarantee agreement, confidentiality agreement and data protection agreement. Each of these agreements was subsequently terminated in 2004 and replaced by two new Insurance Services Framework Agreements with Norwich Union.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Insurance Services Framework Agreements with Norwich Union provide a broad range of business process services to Norwich Union and its affiliates from our facilities in Pune, which we refer to as the Pune Agreement, and Noida, which we refer to as the Noida Agreement. These agreements provide that we will supply insurance services to Norwich Union to be set forth in work orders between us and Norwich Union. Under those agreements, we will generally be responsible for facility planning and management, IT and telecommunications services.</w:t>
      </w:r>
    </w:p>
    <w:p>
      <w:pPr>
        <w:spacing w:after="0" w:line="99"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Under the Pune Agreement, neither we nor Norwich Union is under any obligation to comply with its obligations under that agreement, or to receive or provide insurance services, prior to the signing of a work order. However, under the Noida Agreement, Norwich Union has agreed to make a minimum commitment to use our insurance services requiring an average of not less than 550 full-time employees in the Noida facility in any continuous period of 12 months following August 1, 2004, with such commitment increasing to 650 full-time employees during the six-month period beginning July 1, 2006, 700 full-time employees during the six-month period beginning January 1, 2007, and 750 full-time employees in any continuous period of six months following July 1, 2007.</w:t>
      </w:r>
    </w:p>
    <w:p>
      <w:pPr>
        <w:spacing w:after="0" w:line="13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Under the Noida Agreement, we and Norwich Union have agreed to the following restrictive covenants for so long as the average number of full-time employees used to provide the services under both the Pune Agreement and the Noida Agreement during any period of 12 months ending on any anniversary of this agreement is less than 600 in aggregate. We have agreed not to provide in India any services similar to the services we provide to Norwich Union to competitors of Norwich Union that have been identified by Norwich Union. Further, during the term of this agreement and until the second anniversary of the date of termination, Norwich Union has agreed not to engage in certain competing activities.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Pune Agreement has a minimum term of three years and the Noida Agreement has a minimum term of five years.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Either we or Norwich Union may terminate the agreements immediately under certain circumstances, including our failure to meet certain performance standards, without cost or liability. The Pune Agreement expires in January 2007 and can only be terminated for cause during its initial term, but work orders under that agreement cannot be terminated without cause before July 1, 2007. The Noida Agreement expires in July 2009 and can be terminated without cause upon six months prior notice and payment to us of a break-up fee during its initial term. After these initial terms, Norwich Union may terminate these agreements without cause or penalty with six months notice. Norwich Union may also terminate a work order immediately upon certain circumstances or for any reason with three months prior written notice and payment of a termination fee except as described above for work orders under the Pune Agreement.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Norwich Union pays us for our services on a cost-plus basis. In addition to the costs, Norwich Union has agreed to pay us a management fee which is based on three levels of performance. The agreement which relates to the Noida facility provides that if in any continuous period of 12 months following July 29, 2004, the amount of the management fee paid to us in that period is less than the amount of the management fee that would have been so paid had the minimum commitment described therein been complied with, Norwich Union will then pay us any difference. We will also share any cost efficiency savings with Norwich Union, based on previously agreed upon percentages of those savings.</w:t>
      </w:r>
    </w:p>
    <w:p>
      <w:pPr>
        <w:spacing w:after="0" w:line="1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separate Guarantee and Indemnity Agreements, two affiliates of Norwich Union have each guaranteed under certain circumstances the payment of all obligations under the Insurance Services Framework Agreements for each of the Pune and Noida facilities, up to a maximum payment of an aggregate of £26.0 million (U.S.$47.7 million at the exchange rate as of June 30, 2006). These two affiliates have also agreed to indemnify us for any losses we may incur while acting in good faith under the applicable service agreement or related work order, as a result of any default by Norwich Union or each of those affiliates, as the case may be.</w:t>
      </w:r>
    </w:p>
    <w:p>
      <w:pPr>
        <w:spacing w:after="0" w:line="129"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we and our operating subsidiaries that are the subject of those service agreements have entered into data protection agreements, which establish the obligations of each party to protect the export and use of personal data disclosed by, and on behalf of, Norwich Union, relating to its U.K. customers.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by Norwich Union of Assets of EXL India</w:t>
      </w:r>
    </w:p>
    <w:p>
      <w:pPr>
        <w:spacing w:after="0" w:line="77"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Under the Noida Agreement, Norwich Union has the option to purchase certain of the assets of our operating subsidiary, EXL India, for the book value (as defined in that agreement) of these assets on the terms and conditions set forth in the agreement, under any of the following circumstances:</w:t>
      </w:r>
    </w:p>
    <w:p>
      <w:pPr>
        <w:spacing w:after="0" w:line="1" w:lineRule="exact"/>
        <w:rPr>
          <w:sz w:val="20"/>
          <w:szCs w:val="20"/>
          <w:color w:val="auto"/>
        </w:rPr>
      </w:pPr>
    </w:p>
    <w:p>
      <w:pPr>
        <w:ind w:left="500" w:right="40" w:hanging="451"/>
        <w:spacing w:after="0" w:line="268"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are in material default of that agreement, as defined in the agreement, and such default affects the insurance services provided by more than 300 full-time employees or their equivalent;</w:t>
      </w:r>
    </w:p>
    <w:p>
      <w:pPr>
        <w:spacing w:after="0" w:line="37" w:lineRule="exact"/>
        <w:rPr>
          <w:rFonts w:ascii="Arial" w:cs="Arial" w:eastAsia="Arial" w:hAnsi="Arial"/>
          <w:sz w:val="18"/>
          <w:szCs w:val="18"/>
          <w:color w:val="auto"/>
        </w:rPr>
      </w:pPr>
    </w:p>
    <w:p>
      <w:pPr>
        <w:ind w:left="500" w:right="620" w:hanging="451"/>
        <w:spacing w:after="0" w:line="268"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our change of control that was not approved by Norwich Union in advance, which change of control results or would result in us becoming a company controlled by a competitor of Norwich Union or its affiliates, as defined in that agreement; or</w:t>
      </w:r>
    </w:p>
    <w:p>
      <w:pPr>
        <w:spacing w:after="0" w:line="37" w:lineRule="exact"/>
        <w:rPr>
          <w:rFonts w:ascii="Arial" w:cs="Arial" w:eastAsia="Arial" w:hAnsi="Arial"/>
          <w:sz w:val="18"/>
          <w:szCs w:val="18"/>
          <w:color w:val="auto"/>
        </w:rPr>
      </w:pPr>
    </w:p>
    <w:p>
      <w:pPr>
        <w:ind w:left="500" w:right="160" w:hanging="451"/>
        <w:spacing w:after="0" w:line="268"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there has been a material default, as defined in the agreement, by us, that has prejudiced or is likely to prejudice the reputation of Norwich Union or its affiliates.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to Purchase Stock of NCOP</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entered into a Virtual Shareholders’ Agreement with Norwich Union, EXL India and NCOP, the operating subsidiary for the Pune services, on August 26, 2004. Under that agreement, as amended, Norwich Union has the option to purchase all of the outstanding shares of NCOP under the following circumstances:</w:t>
      </w:r>
    </w:p>
    <w:p>
      <w:pPr>
        <w:spacing w:after="0" w:line="46" w:lineRule="exact"/>
        <w:rPr>
          <w:sz w:val="20"/>
          <w:szCs w:val="20"/>
          <w:color w:val="auto"/>
        </w:rPr>
      </w:pPr>
    </w:p>
    <w:p>
      <w:pPr>
        <w:ind w:left="500" w:hanging="451"/>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six months prior notice, at any time during the period commencing on January 1, 2008 and terminating on February 26, 2011; or</w:t>
      </w:r>
    </w:p>
    <w:p>
      <w:pPr>
        <w:spacing w:after="0" w:line="103" w:lineRule="exact"/>
        <w:rPr>
          <w:rFonts w:ascii="Arial" w:cs="Arial" w:eastAsia="Arial" w:hAnsi="Arial"/>
          <w:sz w:val="18"/>
          <w:szCs w:val="18"/>
          <w:color w:val="auto"/>
        </w:rPr>
      </w:pPr>
    </w:p>
    <w:p>
      <w:pPr>
        <w:ind w:left="500" w:hanging="438"/>
        <w:spacing w:after="0"/>
        <w:tabs>
          <w:tab w:leader="none" w:pos="5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upon termination of the Insurance Services Framework Agreement relating to the Pune facility pursuant to its terms.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Norwich Union has recently publicly announced its intention to start exercising its option to assume the operations of the facilities of certain of its third party vendor-contractors, including one of our facilities in Pune.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cause Norwich Union to purchase all of the outstanding shares of NCOP under the following circumstances:</w:t>
      </w:r>
    </w:p>
    <w:p>
      <w:pPr>
        <w:spacing w:after="0" w:line="77" w:lineRule="exact"/>
        <w:rPr>
          <w:sz w:val="20"/>
          <w:szCs w:val="20"/>
          <w:color w:val="auto"/>
        </w:rPr>
      </w:pPr>
    </w:p>
    <w:p>
      <w:pPr>
        <w:ind w:left="500" w:right="240" w:hanging="451"/>
        <w:spacing w:after="0" w:line="268"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volumes (as defined in the agreement) of NCOP on the date we give notice of this “put” to Norwich Union are less than 90% of NCOP on August 26, 2007, at any time during the period commencing on August 26, 2007 and terminating on February 26, 2011; or</w:t>
      </w:r>
    </w:p>
    <w:p>
      <w:pPr>
        <w:spacing w:after="0" w:line="37" w:lineRule="exact"/>
        <w:rPr>
          <w:rFonts w:ascii="Arial" w:cs="Arial" w:eastAsia="Arial" w:hAnsi="Arial"/>
          <w:sz w:val="18"/>
          <w:szCs w:val="18"/>
          <w:color w:val="auto"/>
        </w:rPr>
      </w:pPr>
    </w:p>
    <w:p>
      <w:pPr>
        <w:ind w:left="500" w:hanging="451"/>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termination by us of the Insurance Services Framework Agreement relating to the Pune facility pursuant to its terms.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either case, the purchase price of the stock will be the net asset value (as defined in the agreement) of NCOP for the NCOP shares. This agreement will terminate one month after the termination of the Pune Agreement. Norwich Union also has the right under that agreement to designate for election one member of the board of directors of NCOP.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Arrangement</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 management arrangement with Oak Hill Capital Partners, L.P. and FTVentures, pursuant to which we make payments to Oak Hill Capital Partners, L.P. and FTVentures of not more than $200,000 per year in return for advice related to insurance matters, including directors and officers insurance, various business introductions, assistance in hiring of key employees and other services related to marketing our services to potential clients. In years during which we do not meet certain financial thresholds, the amount is reduced to $100,000 per year. We accrued $100,000 in management fees for the first six months of 2006 and paid an annual management fee of $100,000, $200,000 and $200,000 with respect to services rendered in each of 2005, 2004 and 2003. This management arrangement will terminate upon the consummation of this offering.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Holder Agreements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connection with the Inductis Acquisition, we entered into Company Holder Agreements with the former holders of Inductis common stock and options to purchase Inductis common stock, including Mr. Tyagi. The 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Related-party Transactions</w:t>
      </w:r>
    </w:p>
    <w:p>
      <w:pPr>
        <w:spacing w:after="0" w:line="8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have retained E-placements Pvt. Ltd, or E-placements, to provide us with language training services. E-placements is a company controlled by Vikram Talwar, our Chief Executive Officer and Vice Chairman, and his immediate family, and is operated by Siddarth Talwar, Mr. Talwar’s son. We recorded expenses related to these services of $25,925 for the first six months of 2006 and $86,417, $223,458 and $192,944 for fiscal years 2005, 2004 and 2003, respectively. Our board of directors approved all of our transactions with E-placements. Our agreement with E-placements terminated on September 30, 2006.</w:t>
      </w:r>
    </w:p>
    <w:p>
      <w:pPr>
        <w:spacing w:after="0" w:line="9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provide advisory services related primarily to compliance with the Sarbanes-Oxley Act of 2002 to Williams Scotsman, Inc., a provider of mobile and modular building solutions in North America. Williams Scotsman, Inc. is controlled by entities related to Oak Hill Capital Partners, L.P., one of our 5% stockholders. Steven Gruber, our Chairman of the board of directors, is also a director of Williams Scotsman, Inc. and its parent corporation, Williams Scotsman International, Inc. We received approximately $245,410 in the first six months of 2006 and approximately $320,000 and $26,000 in 2005 and 2004, respectively, in advisory fees and expense reimbursements from Williams Scotsman, Inc.</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BPO services to MedSynergies, Inc., a provider of outsourced billing, claims administration and payment processing services to healthcare providers. MedSynergies, Inc. is controlled by entities related to FTVentures, one of our 5% stockholders. We received approximately $156,335 in 2006 and nil in 2005 from MedSynergies, Inc.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provide advisory services to Duane Reade Holdings, Inc., a New York City drugstore chain. Duane Reade Holdings, Inc. is indirectly owned by Oak Hill Capital Partners, L.P., one of our 5% stockholders. We received approximately $278,900 in the first six months of 2006 and $213,840 in 2005 and nil in 2004 and 2003 in advisory fees and expense reimbursements from Duane Reade Holdings, Inc.</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Russell Bedford Stefanou Mirchandani, LLP, or RBSM, Inductis’ independent registered public accounting firm, provided certain services to Sandeep Tyagi, who was at the time the managing principal of Inductis LLC and is currently one of our executive officers, in connection with his personal income tax returns in 2006. In addition, RBSM prepared the personal tax return of Rohit Kapoor, our President and Chief Financial Officer, and Arrowhead Advisors LLC, an entity affiliated with Mr. Kapoor, in 2006. RBSM has ceased providing any further services to Messrs. Tyagi and Kapoor and Arrowhead Advisors LLC.</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the Share Conversion, our authorized capital stock consists of 13,000,000 shares of common stock, of which 11,122,702 shares are designated as Series A common stock and 1,839,230 shares are designated as Series B common stock, and 55,000 shares of preferred stock, of which 45,833.36 are designated as Series A preferred stock. 10,617,696 shares of Series A common stock, 636,123 shares of Series B common stock and 45,304 shares of Series A preferred stock were issued and outstanding (excluding unvested restricted stock and shares to be issued upon exercise of options granted under our equity incentive plans and otherwise) as of September 30, 2006.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Share Conversion</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giving effect to the Share Conversion and the application of the net proceeds of this offering as described under “Use of Proceeds,” our authorized capital stock will consist of 100,000,000 shares of common stock and 15,000,000 of preferred stock, of which 27,507,638 shares of common stock and no shares of preferred stock are expected to be outstanding (excluding unvested restricted shares and shares to be issued upon exercise of outstanding options and assuming the underwriters do not exercise their option to purchase additional shares). If the underwriters exercise their option in full, we expect 28,257,638 shares of common stock to be outstanding.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consummation of this offering, we will be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certificate of incorporation will provide that a director will not be personally liable to us or our stockholders for monetary damages for breach of fiduciary duty as a director, except:</w:t>
      </w:r>
    </w:p>
    <w:p>
      <w:pPr>
        <w:spacing w:after="0" w:line="37"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liability under Section 174 of the Delaware General Corporation Law (relating to unlawful dividends, stock repurchases, or stock redemptions);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will provide that we indemnify each director and the officers, employees, and agents determined by our board of directors to the fullest extent provided by the laws of the State of Delaware.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certificate of incorporation will provide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will provide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will establish advance notice procedures for:</w:t>
      </w:r>
    </w:p>
    <w:p>
      <w:pPr>
        <w:spacing w:after="0" w:line="46" w:lineRule="exact"/>
        <w:rPr>
          <w:sz w:val="20"/>
          <w:szCs w:val="20"/>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83" w:lineRule="exact"/>
        <w:rPr>
          <w:sz w:val="20"/>
          <w:szCs w:val="20"/>
          <w:color w:val="auto"/>
        </w:rPr>
      </w:pPr>
    </w:p>
    <w:p>
      <w:pPr>
        <w:ind w:right="40" w:firstLine="456"/>
        <w:spacing w:after="0" w:line="258" w:lineRule="auto"/>
        <w:rPr>
          <w:sz w:val="20"/>
          <w:szCs w:val="20"/>
          <w:color w:val="auto"/>
        </w:rPr>
      </w:pPr>
      <w:r>
        <w:rPr>
          <w:rFonts w:ascii="Arial" w:cs="Arial" w:eastAsia="Arial" w:hAnsi="Arial"/>
          <w:sz w:val="17"/>
          <w:szCs w:val="17"/>
          <w:color w:val="auto"/>
        </w:rPr>
        <w:t xml:space="preserve">Our board will be divided into three classes. The directors in each class will serve for a three-year term, one class being elected each year by our stockholders. Our stockholders may only remove directors for cause and with the vote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will not provide for cumulative voting in the election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83" w:lineRule="exact"/>
        <w:rPr>
          <w:sz w:val="20"/>
          <w:szCs w:val="20"/>
          <w:color w:val="auto"/>
        </w:rPr>
      </w:pPr>
    </w:p>
    <w:p>
      <w:pPr>
        <w:ind w:right="300" w:firstLine="456"/>
        <w:spacing w:after="0" w:line="241" w:lineRule="auto"/>
        <w:rPr>
          <w:sz w:val="20"/>
          <w:szCs w:val="20"/>
          <w:color w:val="auto"/>
        </w:rPr>
      </w:pPr>
      <w:r>
        <w:rPr>
          <w:rFonts w:ascii="Arial" w:cs="Arial" w:eastAsia="Arial" w:hAnsi="Arial"/>
          <w:sz w:val="17"/>
          <w:szCs w:val="17"/>
          <w:color w:val="auto"/>
        </w:rPr>
        <w:t xml:space="preserve">Our certificate of incorporation will provide that the affirmative vote of the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our issued and outstanding capital stock entitled to vote in the election of directors, is required to amend the following provisions of our certificate of incorporation:</w:t>
      </w:r>
    </w:p>
    <w:p>
      <w:pPr>
        <w:spacing w:after="0" w:line="61"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37" w:lineRule="exact"/>
        <w:rPr>
          <w:rFonts w:ascii="Arial" w:cs="Arial" w:eastAsia="Arial" w:hAnsi="Arial"/>
          <w:sz w:val="18"/>
          <w:szCs w:val="18"/>
          <w:color w:val="auto"/>
        </w:rPr>
      </w:pPr>
    </w:p>
    <w:p>
      <w:pPr>
        <w:ind w:left="780" w:right="500" w:hanging="326"/>
        <w:spacing w:after="0" w:line="22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articles of incorporation and for the adoption, amendment or repeal of our by-laws;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85"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 xml:space="preserve">In addition, the board of directors will be permitted to alter our by-laws without obtaining stockholder approval and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our issued and outstanding capital stock entitled to vote in the election of directors will be required for any amendment to our by-laws by the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will be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will be Registrar and Transfer Company. Its telephone number is 1-800-456-0596.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Quotation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Select Market under the symbol “EXLS.”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AVAILABLE FOR FUTURE SALE</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cannot make any prediction as to the effect, if any, that sales of common stock or the availability of common stock for sale will have on the market price of our common stock. The market price of our common stock could decline because of the sale of a large number of shares of our common stock or the perception that such sales could occur. These factors could also make it more difficult to raise funds through future offerings of common stock. See “Risk Factors—Risks Related to this Offering—Substantial future sales of shares of our common stock in the public market could cause our stock price to fall.”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Upon consummation of this offering, we will have 27,507,638 shares outstanding, excluding unvested restricted shares and shares underlying outstanding options, assuming the underwriters do not exercise their option to purchase additional shares. Of these shares, the 5,000,000 shares sold in this offering (or 5,750,000 shares if the underwriters exercise their option in full) will be freely tradable without restriction or further restriction under the Securities Act, except that any shares purchased by our affiliates, as that term is defined in Rule 144 under the Securities Act, may generally only be sold in compliance with the limitations of Rule 144 described below. As defined in Rule 144, an affiliate of an issuer is a person that directly, or indirectly through one or more intermediaries, controls, is controlled by or is under common control with the issuer. After this offering, approximately 22,507,638 of our outstanding shares of common stock will be deemed “restricted securities,” as that term is defined under Rule 144. Restricted securities may be sold in the public market only if they qualify for an exemption from registration under Rule 144, 144(k) or 701 under the Securities Act, which rules are summarized below, or any other applicable exemption under the Securities Act. Immediately following the consummation of this offering, the holders of approximately 103,912 shares of common stock will be entitled to dispose of their shares pursuant to Rule 144 under the Securities Act, the holders of approximately 21,240,748 shares of common stock, representing approximately 77.6% of our outstanding common stock, will be entitled to dispose of their shares following the expiration of an initial 180-day “lock-up” period pursuant to the volume and other restrictions of Rule 144 and the holders of approximately 130,346 shares of common stock, representing approximately 0.5% of our outstanding common stock, will be entitled to dispose of their shares following the expiration of an initial 180-day “lock-up” period pursuant to the holding, volume and other restrictions of Rule 144. In addition, beginning June 30, 2007, the holders of approximately 1,071,836 shares of common stock will be entitled to dispose of an aggregate of 357,278 of such shares on June 30 of each year.</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we could issue up to 389,906 additional shares of Series A common stock (779,812 shares of our common stock after giving effect to the Share Conversion) under the earnout payment provisions relating to the Inductis Acquisition. Based on satisfaction of agreed upon financial performance goals in 2007, we also agreed to make certain additional contingent payments to the former holders of Inductis securities in a mix of cash and additional shares of our common stock, the mix of which cannot be determined until the size of the contingent payments, if any, is determined. The value of any such contingent payments will range from $0.6 million to $6.5 million.</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Inductis Acquisition, we entered into the Company Holder Agreements with the former holders of Inductis common stock, including Mr. Tyagi. The 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has beneficially owned restricted securities within the meaning of Rule 144 for at least one year, and including the holding period of any prior owner except an affiliate, would be entitled to sell within any three-month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 number of shares that does not exceed the greater of one percent of the then outstanding shares of our common stock or the average weekly trading volume of our common stock reported through the Nasdaq Global Select Market during the four calendar weeks preceding such sale. Sales under Rule 144 are also subject to certain manner of sale provisions, notice requirements and the availability of current public information about our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Rule 144(k) under the Securities Act, any person (or persons whose shares are aggregated) who is not deemed to have been our affiliate at any time during the three months preceding a sale, and who has beneficially owned shares for at least two years (including any period of ownership of preceding non-affiliated holders), would be entitled to sell these shares without regard to the volume limitations, manner of sale provisions, public information requirements or notice requirements of Rule 144.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Securities issued in reliance on Rule 701 under the Securities Act are also restricted and may be sold by stockholders other than affiliates of ours subject only to the manner of sale provisions of Rule 144 and by affiliates under Rule 144 without compliance with its one-year holding period requirement.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Options/Equity Awards</w:t>
      </w:r>
    </w:p>
    <w:p>
      <w:pPr>
        <w:spacing w:after="0" w:line="8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intend to file a registration statement under the Securities Act to register approximately 4,231,130 shares of common stock reserved for issuance or sale under our equity incentive plans and 807,258 shares held for resale by our existing stockholders that were previously issued under our equity incentive plans. After giving pro forma effect to the Share Conversion, 317,004 unvested shares of restricted stock and options to purchase a total of 1,921,476 shares of our common stock are expected to be outstanding under our equity incentive plans upon consummation of this offering, of which options to purchase 282,102 shares are expected to be exercisable immediately. In addition, an entity also holds options exercisable immediately to purchase 230,200 shares of our common stock after giving pro forma effect to the Share Conversion. Shares issued upon the exercise of stock options after the effective date of the registration statement will be eligible for resale in the public market without restriction, subject to Rule 144 limitations applicable to affiliates and the lock-up agreements described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EXL Holdings, our executive officers and directors and certain of our other stockholders have agreed that, for a period of 180 days from the date of this prospectus, subject to certain extensions, they will not, without the prior written consent of Citigroup Global Markets Inc. and Goldman, Sachs &amp; Co., dispose of or hedge any shares of our common stock or any securities convertible into or exercisable or exchangeable for our common stock, subject to certain exceptions. Citigroup and Goldman, Sachs &amp; Co., in their sole discretion, may release any of the securities subject to these lock-up agreements at any time without notice. In addition, a significant number of our employees are subject to 180 day lock-up or other transfer restrictions pursuant to our equity incentive plans. In addition, former holders of Inductis common stock who received shares of our Series A common stock have agreed to certain restrictions on the transfer of such shares. See “The Inductis Acquisition—Company Holder Agreement.”</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Immediately following the consummation of this offering, stockholders subject to lock-up agreements or other similar transfer restrictions, including former holders of Inductis common stock, will hold 22,403,726 shares of our common stock, representing approximately 81.4% of our then outstanding shares of common stock, or approximately 79.3% if the underwriters exercise their option to purchase additional shares in full.</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 options 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existing equity incentive plans, we may issue common stock upon the conversion of securities or the exercise of warrants or options outstanding, we may issue or sell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granted registration rights to some of our stockholders who, following the consummation of this offering, will hold approximately 20,618,756 shares of our common stock in the aggregate (including restricted stock and shares issuable upon the exercise of currently outstanding options). Under certain circumstances, some of these stockholders can require us to file registration statements that permit them to re-sell their shares. For more information, see “Certain Relationships and Related Transactions—Registration Rights Agreements” and “—Agreements with Norwich Union—Stock Purchase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16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following discussion summarizes certain material U.S. federal income tax and estate tax consequences of the ownership and disposition of shares of our common stock purchased pursuant to this offering by a holder that is a non-U.S. holder as we define that term below. This discussion is based on the Code, administrative pronouncements, judicial decisions, existing and proposed Treasury Regulations, and interpretations of the foregoing, all as of the date of this prospectus. All of the foregoing authorities are subject to change (possibly with retroactive effect) and any such change may result in U.S. federal income tax consequences to a holder that are materially different from those described below. We have not sought, and will not seek, any ruling from the U.S. Internal Revenue Service (IRS) or opinion of counsel with respect to the tax consequences discussed in this prospectus. Consequently, the IRS may disagree with or challenge any of the tax consequences discussed in this prospectus.</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following discussion does not purport to be a full description of all U.S. federal income tax considerations that may be relevant to a non-U.S. holder in light of such holder’s particular circumstances and only addresses non-U.S. holders who hold common stock as capital assets within the meaning of Section 1221 of the Code. Furthermore, this discussion does not address the U.S. federal income tax considerations applicable to holders subject to special rules, such as certain financial institutions, tax-exempt entities, real estate investment trusts, regulated investment companies, insurance companies, partnerships or other pass-through entities, persons who have ceased to be U.S. citizens or to be taxed as resident aliens, dealers in securities or currencies, persons holding common stock in connection with a hedging transaction, “straddle,” conversion transaction or a synthetic security or other integrated transaction, holders subject to special U.S. federal income tax rules (such as “passive foreign investment companies” and “controlled foreign corporations”) or holders whose “functional currency” is not the U.S. dollar. In addition, this discussion does not include any description of any alternative minimum tax consequences, gift tax consequences, or the tax laws of any state, local or foreign government that may be applicable to non-U.S. holders of our common stock. We urge you to consult your own tax advisor concerning the U.S. federal, state or local income tax and federal, state or local estate tax consequences of your ownership and disposition of our common stock in light of your particular situation as well as any consequences arising under the laws of any other taxing jurisdiction or under any applicable tax treaty.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“non-U.S. holder” means a beneficial owner of shares of common stock who is not, for U.S. tax purposes:</w:t>
      </w:r>
    </w:p>
    <w:p>
      <w:pPr>
        <w:spacing w:after="0" w:line="77"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U.S. or under the laws of the U.S. or of any state thereof (including the District of Columbia);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income of which is subject to U.S. federal income taxation regardless of its source;</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the administration of which is subject to the primary supervision of a U.S. court and that has one or more U.S. persons who have the authority to control all substantial decisions of the trust;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trust that has validly elected to be treated as a U.S. person for U.S. federal income tax purposes under applicable Treasury Regulations.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partnership or other pass-through entity holds our common stock, the tax treatment of a partner in or owner of the partnership or pass-through entity will generally depend upon the status of the partner or owner and the activities of the entity. If you are a partner in or owner of a partnership or other pass-through entity that is considering holding our common stock, you should consult your tax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Dividends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do not presently anticipate paying cash dividends on shares of our common stock. For more information, please see “Dividend Policy.” If dividends are paid on shares of our common stock, however,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dividends will generally be subject to withholding of U.S. federal income tax at a rate of 30% of the gross amount, or any lower rate that may be specified by an applicable income tax treaty if we have received proper certification of the application of that income tax treaty. 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U.S. or, if provided in an applicable income tax treaty, dividends that are attributable to a permanent establishment (or, in the case of an individual, a fixed base) in the U.S., are not subject to U.S. withholding tax, but are instead taxed in the manner applicable to U.S. persons. In that case, we will not have to withhold U.S. federal withholding tax, provided that the non-U.S. holder complies with applicable certification and disclosure requirements. In addition, dividends received by a foreign corporation that are effectively connected with the conduct of a trade or business in the U.S. maybe subject to a branch profits tax at a 30% rate, or any lower rate as may be specified in an applicable income tax treaty.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Exchange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non-U.S. holder will generally not be subject to U.S. federal income tax, including by way of withholding, on gain recognized on a sale, exchange or other disposition of shares of common stock unless any one of the following is true:</w:t>
      </w:r>
    </w:p>
    <w:p>
      <w:pPr>
        <w:spacing w:after="0" w:line="37" w:lineRule="exact"/>
        <w:rPr>
          <w:sz w:val="20"/>
          <w:szCs w:val="20"/>
          <w:color w:val="auto"/>
        </w:rPr>
      </w:pPr>
    </w:p>
    <w:p>
      <w:pPr>
        <w:ind w:left="780" w:right="160" w:hanging="326"/>
        <w:spacing w:after="0" w:line="259"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if an applicable tax treaty applies, is attributable to a permanent establishment (or, in the case of an individual, a fixed base) maintained by the non-U.S. holder in the U.S., in which case, the branch profits tax discussed above may also apply if the non-U.S. holder is a corporation; or</w:t>
      </w:r>
    </w:p>
    <w:p>
      <w:pPr>
        <w:spacing w:after="0" w:line="45"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non-U.S. holder, who is an individual, is present in the U.S. for 183 days or more in the taxable year of sale, exchange or other disposition and some additional conditions are met.</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Individual non-U.S. holders who are subject to U.S. tax because the holder was present in the U.S. for 183 days or more during the year of disposition are taxed on their gains, including gains from the sale of shares of our common stock and net of applicable U.S. losses from sale or exchanges of other capital assets incurred during the year, at a flat rate of 30%. Other non-U.S. holders who may be subject to U.S. federal income tax on the disposition of our common stock will be taxed on such disposition in the manner applicable to U.S. persons.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Shares of common stock owned or treated as owned by an individual non-U.S. holder will be included in that non-U.S. holder’s estate for U.S. federal estate tax purposes, and may be subject to U.S. federal estate tax, unless an applicable estate tax treaty provides otherwise.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U.S. Treasury Regulations, we must report annually to the IRS and to each non-U.S. holder the amount of dividends paid to that holder and the tax withheld with respect to those dividends. These information reporting requirements apply even if withholding was not required because the dividends were effectively connected dividends or withholding was reduced or eliminated by an applicable tax treaty. Under an applicable tax treaty, that information may also be made available to the tax authorities in the country in which the non-U.S. holder resides or is established. U.S. information reporting requirements and backup withholding tax will not apply to dividends paid on our common stock to a non-U.S. holder, however, if such holder provides a Form W-8BEN (or satisfies certain documentary evidence requirements for establishing that it is not a United States person) or otherwise establishes an exemption.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gross amount of dividends paid to a non-U.S. holder that fails to certify its non-U.S. holder status in accordance with applicable U.S. Treasury Regulations generally will be reduced by backup withholding tax at a current rate of 28%.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payment of the proceeds of the disposition of common stock by a non-U.S. holder to or through the U.S. office of a broker generally will be reported to the IRS and reduced by backup withholding unless the non-U.S. holder either certifies its status as a non-U.S. holder in accordance with applicable U.S. Treasury Regulations or otherwise establishes an exemption and the broker has no actual knowledge, or reason to know, to the contrary. The payment of the proceeds on the disposition of common stock by a non-U.S. holder to or through a non-U.S. office of a broker generally will not be reduced by backup withholding or reported to the IRS. If, however, the broker is a U.S. person or has specified connections with the United States, unless some conditions are met, the proceeds from that disposition generally will be reported to the IRS, but not reduced by backup withholding.</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or credited against the non-U.S. holder’s U.S. federal income tax liability, if any, provided that certain required information is furnished to the IRS. Non-U.S. holders should consult their own tax advisors regarding the application of the information reporting and backup withholding rules to them and the availability and procedure for obtaining an exemption from backup withholding under current U.S. Treasury Regulations.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above discussion is included for general information only. Each prospective purchaser is urged to consult its tax advisor with respect to the U.S. federal income tax and federal estate tax consequences of the ownership and disposition of our common stock, as well as the application and effect of the laws of any state, local, foreign or other taxing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Citigroup Global Markets Inc. and Goldman, Sachs &amp; Co. are acting as joint book-running managers of the offering, and as representatives of the underwriters named below. We and the underwriters named below have entered into an underwriting agreement with respect to the shares being offered. Subject to the terms and conditions stated in that underwriting agreement dated the date of this prospectus, each underwriter named below has agreed to purchase, and we have agreed to sell to that underwriter,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5403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28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28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60325</wp:posOffset>
            </wp:positionV>
            <wp:extent cx="5829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80" w:space="720"/>
            <w:col w:w="1920"/>
          </w:cols>
          <w:pgMar w:left="240" w:top="459"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75565</wp:posOffset>
            </wp:positionV>
            <wp:extent cx="5829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132"/>
        </w:trPr>
        <w:tc>
          <w:tcPr>
            <w:tcW w:w="82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described below) if they purchase any of them.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the date of this prospectus, to purchase up to additional shares of common stock at the public offering price less the underwriting discount. If any shares are purchased pursuant to this option, each underwriter must purchase a number of additional shares in approximately the same proportion as set forth in the table above.</w:t>
      </w:r>
    </w:p>
    <w:p>
      <w:pPr>
        <w:spacing w:after="0" w:line="13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by us to the underwriters in connection with this offering. These amounts are shown assuming both no exercise and full exercise of the underwriters’ option to purchase additional shares of common stock.</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80" w:type="dxa"/>
            <w:vAlign w:val="bottom"/>
            <w:gridSpan w:val="2"/>
          </w:tcPr>
          <w:p>
            <w:pPr>
              <w:ind w:left="3180"/>
              <w:spacing w:after="0"/>
              <w:rPr>
                <w:sz w:val="20"/>
                <w:szCs w:val="20"/>
                <w:color w:val="auto"/>
              </w:rPr>
            </w:pPr>
            <w:r>
              <w:rPr>
                <w:rFonts w:ascii="Arial" w:cs="Arial" w:eastAsia="Arial" w:hAnsi="Arial"/>
                <w:sz w:val="14"/>
                <w:szCs w:val="14"/>
                <w:b w:val="1"/>
                <w:bCs w:val="1"/>
                <w:color w:val="auto"/>
                <w:w w:val="84"/>
              </w:rPr>
              <w:t>No Exercise</w:t>
            </w:r>
          </w:p>
        </w:tc>
        <w:tc>
          <w:tcPr>
            <w:tcW w:w="13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8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some of the shares directly to the public at the public offering price set forth on the cover page of this prospectus and</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some of the shares to dealers at the public offering price less a concession not to exceed $ per share. The underwriters may allow, and dealers may reallow, a concession not to exceed $ per share on sales to other dealers. If all of the shares are not sold at the initial offering price, the representatives of the</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underwriters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124"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executive officers and directors and certain of our other stockholders have agreed that, for a period of 180 days from the date of this prospectus, subject to certain extensions, they will not, without the prior written consent of Citigroup and Goldman, Sachs &amp; Co., dispose of or hedge any shares of our common stock or any securities convertible into or exercisable or exchangeable for our common stock, subject to certain exceptions. Citigroup and Goldman, Sachs &amp; Co., in their sole discretion, may release any of the securities subject to these lock-up agreements at any time without notice.</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options under our existing equity incentive plans, we may issue common stock upon the conversion of securities or the exercise of warrants or options outstanding, we may issue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9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 The number of shares of common stock available for sale to the general public in this offering will be reduced by the number of directed shares purchased by participants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 In addition, all participants in the directed share program will be required, as a condition of their purchase of directed shares, to agree in writing not to offer, sell, or otherwise dispose of their shares for a period of 25 days after the date of this offering.</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26" w:lineRule="exact"/>
        <w:rPr>
          <w:sz w:val="20"/>
          <w:szCs w:val="20"/>
          <w:color w:val="auto"/>
        </w:rPr>
      </w:pPr>
    </w:p>
    <w:p>
      <w:pPr>
        <w:ind w:left="780" w:right="2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 or</w:t>
      </w:r>
    </w:p>
    <w:p>
      <w:pPr>
        <w:spacing w:after="0" w:line="37" w:lineRule="exact"/>
        <w:rPr>
          <w:rFonts w:ascii="Arial" w:cs="Arial" w:eastAsia="Arial" w:hAnsi="Arial"/>
          <w:sz w:val="18"/>
          <w:szCs w:val="18"/>
          <w:color w:val="auto"/>
        </w:rPr>
      </w:pPr>
    </w:p>
    <w:p>
      <w:pPr>
        <w:ind w:left="780" w:right="80" w:hanging="326"/>
        <w:spacing w:after="0" w:line="325"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purchaser of shares described in this prospectus located within a relevant member state will be deemed to have represented, acknowledged and agreed that it is a “qualified investor” within the meaning of Article 2(1)(e) of the Prospectus Directive.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which we refer to as Qualified Investors,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persons should not act or rely on this document or any of its contents.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77" w:lineRule="exact"/>
        <w:rPr>
          <w:sz w:val="20"/>
          <w:szCs w:val="20"/>
          <w:color w:val="auto"/>
        </w:rPr>
      </w:pPr>
    </w:p>
    <w:p>
      <w:pPr>
        <w:ind w:left="780" w:right="40" w:hanging="326"/>
        <w:spacing w:after="0" w:line="290"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(1) It has not offered or sold and will not offer or sell our common stock in Hong Kong SAR by means of this prospectus or any other document, other than to persons whose ordinary business involves buying or selling shares or debentures, whether as principal or agent or in circumstances which do not constitute an offer to the public within the meaning of the Companies Ordinance (Cap. 32 of the Laws of Hong Kong SAR), and (2) unless it is a person who is permitted to do so under the securities laws of Hong Kong SAR it has not issued or held for the purpose of issue in Hong Kong and will not issue or hold for the purpose of issue in Hong Kong SAR this prospectus, any other offering material or any advertisement, invitation or document relating to the common stock, otherwise than with respect to common stock intended to be disposed of to persons outside Hong Kong SAR or only to persons whose business involves the acquisition, disposal, or holding of securities, whether as principal or as agent;</w:t>
      </w:r>
    </w:p>
    <w:p>
      <w:pPr>
        <w:spacing w:after="0" w:line="23"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shares offered in this prospectus have not been registered under the Securities and Exchange Law of Japan, and it has not offered or sold and will not offer or sell, directly or indirectly, the common stock in Japan or to or for the account of any resident of Japan, except (1) pursuant to an exemption from the registration requirements of the Securities and Exchange Law and (2) in compliance with any other applicable requirements of Japanese law; and</w:t>
      </w:r>
    </w:p>
    <w:p>
      <w:pPr>
        <w:spacing w:after="0" w:line="48"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prospectus has not been registered as a prospectus with the Monetary Authority of Singapore. Accordingly, this prospectus or any other document or material in connection with the offer or sale, or invitation for subscription of purchase, of the common stock, may not be circulated or distributed, nor may the common stock be offered or sold, or be made the subject of an invitation for subscription or purchase, whether directly or indirectly, to the public or any member of the public in Singapore other than (1) to an institutional investor or other person specified in Section 274 of the Securities and Futures Act, Chapter 289 of Singapore (SFA), (2) to a sophisticated investor, and in accordance with the conditions, specified in Section 275 of the SFA or (3) otherwise pursuant to, and in accordance with the conditions of, any other applicable provision of the SFA.</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common stock. Consequently, the initial public offering price for the shares offered in this offering will be negotiated between us and the representatives of the underwriters. Among the factors to be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The prices at which the shares will sell in the public market after this offering may be lower than the initial public offering price and an active trading market in our common stock may not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Select Market under the symbol “EXLS.”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offering, one or more of the underwriters may purchase and sell shares of common stock in the open market. These transactions may include short sales, syndicate covering transactions and stabilizing transactions. Short sales involve syndicate sales of common stock in excess of the number of shares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 purchased by the underwriters in the offering, which creates a syndicate short position. “Covered” short sales are sales made in an amount up to the number of shares represented by the underwriters’ option to purchase additional shares. The underwriters may close out any covered short position by exercising their option to purchase additional shares or purchasing shares in the open market after the distribution has been completed. In determining the source of shares to close out the covered syndicate short position, the underwriters will consider, among other things, the price of shares available for purchase in the open market as compared to the price at which they may purchase shares through their option. The underwriters may also make “naked” short sales of shares in excess of their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various bids for or purchases of shares made by the underwriters in the open market while the offering is in progress.</w:t>
      </w:r>
    </w:p>
    <w:p>
      <w:pPr>
        <w:spacing w:after="0" w:line="10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Citigroup or Goldman, Sachs &amp; Co. repurchases shares originally sold by that syndicate member in order to cover syndicate short positions or make stabilizing purchases.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common stock and, together with the imposition of penalty bids, may stabilize, maintain or otherwise affect the market price of our shares. As a result, the price of the common stock may be higher than the price that would otherwise exist in the open market in the absence of these transactions. The underwriters may conduct these transactions on the Nasdaq Global Select Market or in the over-the-counter market, or otherwise. If the underwriters commence any of these transactions, they may discontinue them at any time.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total expenses of this offering, excluding discounts and commissions, will be approximately $2,500,000.</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underwriters may, from time to time, perform various financial advisory and investment banking services for us in the ordinary course of their business, for which they may receive customary fees and expenses.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prospectus in electronic format may be made available either on the websites maintained by one or more of the underwriters or in another manner. The representatives may agree to allocate a number of shares of our common stock to underwriters for sale to their online brokerage account holders. The representatives will allocate shares of our common stock to underwriters that may make Internet distributions on the same basis as other allocations. In addition, shares of our common stock may be sold by the underwriters to securities dealers who resell shares to online brokerage account holders.</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on the validity of the common stock offered by this prospectus for us. Cleary Gottlieb Steen &amp; Hamilton LLP will pass upon the validity of the common stock for the underwriters. Paul, Weiss, Rifkind, Wharton &amp; Garrison LLP has represented the Oak Hill Partnerships and their related parties from time to time and certain members of Paul, Weiss, Rifkind, Wharton &amp; Garrison LLP own an indirect interest in Oak Hill Capital Management Partners, L.P. Luthra &amp; Luthra Law Offices acted as our Indian counsel.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consolidated financial statements of ExlService Holdings, Inc. at December 31, 2005 and 2004 and for each of the three years in the period ended December 31, 2005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consolidated financial statements for Inductis, Inc. at December 31, 2005 and 2004 and for the years ended December 31, 2005 and 2004 appearing in this prospectus and registration statement have been audited by Russell Bedford Stefanou Mirchandani LLP, independent registered public accounting firm, as set forth in their report thereon appearing elsewhere herein, and are included in reliance upon such report given on the authority of such firm as experts in accounting and auditing.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JUDGMENTS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primary operating subsidiary is organized in India and the majority of our executive officers reside outside the United States. Most of our assets are located in India. As a result, you may be unable to effect service of process upon such persons outside their jurisdiction of residence. In addition, you may be unable to enforce against these persons outside the jurisdiction of their residence judgments obtained in courts of the United States, including judgments predicted solely upon the federal securities laws of the United States.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been advised by our Indian counsel that the United States and India do not currently have a treaty providing for reciprocal recognition and enforcement of judgments (other than arbitration awards) in civil and commercial matters. Therefore, a final judgment for the payment of money rendered by any federal or state court in the United States on civil liability, whether or not predicated solely upon the federal securities laws of the United States, would not be enforceable in India. However, the party in whose favor such final judgment is rendered may bring a new suit in a competent court in India based on a final judgment that has been obtained in the United States. The suit must be brought in India within three years from the date of the judgment in the same manner as any other suit filed to enforce a civil liability in India. It is unlikely that a court in India would award damages on the same basis as a foreign court if an action is brought in India. Furthermore, it is unlikely that an Indian court would enforce foreign judgments if it viewed the amount of damages awarded as excessive or inconsistent with Indian practice. In addition, a party seeking to enforce a foreign judgment in India is required to obtain approval from the Reserve Bank of India under the Foreign Exchange Management Act, 1999, to execute such a judgment or to repatriate any amount recovered.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Commission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100 F Street, Room 1580, N.E., Washington, D.C. 20549.</w:t>
      </w:r>
    </w:p>
    <w:p>
      <w:pPr>
        <w:spacing w:after="0" w:line="10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ind w:right="1620"/>
        <w:spacing w:after="0" w:line="426" w:lineRule="auto"/>
        <w:rPr>
          <w:sz w:val="20"/>
          <w:szCs w:val="20"/>
          <w:color w:val="auto"/>
        </w:rPr>
      </w:pPr>
      <w:r>
        <w:rPr>
          <w:rFonts w:ascii="Arial" w:cs="Arial" w:eastAsia="Arial" w:hAnsi="Arial"/>
          <w:sz w:val="16"/>
          <w:szCs w:val="16"/>
          <w:b w:val="1"/>
          <w:bCs w:val="1"/>
          <w:u w:val="single" w:color="auto"/>
          <w:color w:val="auto"/>
        </w:rPr>
        <w:t xml:space="preserve">EXLSERVICE HOLDINGS, INC. </w:t>
      </w:r>
      <w:r>
        <w:rPr>
          <w:rFonts w:ascii="Arial" w:cs="Arial" w:eastAsia="Arial" w:hAnsi="Arial"/>
          <w:sz w:val="16"/>
          <w:szCs w:val="16"/>
          <w:b w:val="1"/>
          <w:bCs w:val="1"/>
          <w:color w:val="auto"/>
        </w:rPr>
        <w:t>Audited Consolidated Financial Statements</w:t>
      </w:r>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136">
        <w:r>
          <w:rPr>
            <w:rFonts w:ascii="Arial" w:cs="Arial" w:eastAsia="Arial" w:hAnsi="Arial"/>
            <w:sz w:val="16"/>
            <w:szCs w:val="16"/>
            <w:u w:val="single" w:color="auto"/>
            <w:color w:val="0000EE"/>
          </w:rPr>
          <w:t>Report of Independent Registered Public Accounting Firm</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and 2004:</w:t>
      </w:r>
    </w:p>
    <w:p>
      <w:pPr>
        <w:spacing w:after="0" w:line="15" w:lineRule="exact"/>
        <w:rPr>
          <w:sz w:val="20"/>
          <w:szCs w:val="20"/>
          <w:color w:val="auto"/>
        </w:rPr>
      </w:pPr>
    </w:p>
    <w:p>
      <w:pPr>
        <w:ind w:left="4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440" w:right="840" w:hanging="431"/>
        <w:spacing w:after="0" w:line="29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For the Years Ended December 31, 2005, 2004 and 2003: </w:t>
      </w:r>
      <w:hyperlink w:anchor="page138">
        <w:r>
          <w:rPr>
            <w:rFonts w:ascii="Arial" w:cs="Arial" w:eastAsia="Arial" w:hAnsi="Arial"/>
            <w:sz w:val="16"/>
            <w:szCs w:val="16"/>
            <w:u w:val="single" w:color="auto"/>
            <w:color w:val="0000EE"/>
          </w:rPr>
          <w:t>Consolidated Statements of Operations</w:t>
        </w:r>
      </w:hyperlink>
      <w:r>
        <w:rPr>
          <w:rFonts w:ascii="Arial" w:cs="Arial" w:eastAsia="Arial" w:hAnsi="Arial"/>
          <w:sz w:val="16"/>
          <w:szCs w:val="16"/>
          <w:u w:val="single" w:color="auto"/>
          <w:color w:val="0000EE"/>
        </w:rPr>
        <w:t xml:space="preserve"> </w:t>
      </w:r>
      <w:hyperlink w:anchor="page139">
        <w:r>
          <w:rPr>
            <w:rFonts w:ascii="Arial" w:cs="Arial" w:eastAsia="Arial" w:hAnsi="Arial"/>
            <w:sz w:val="16"/>
            <w:szCs w:val="16"/>
            <w:u w:val="single" w:color="auto"/>
            <w:color w:val="0000EE"/>
          </w:rPr>
          <w:t>Consolidated Statements of Stockholders’ Equity</w:t>
        </w:r>
      </w:hyperlink>
      <w:r>
        <w:rPr>
          <w:rFonts w:ascii="Arial" w:cs="Arial" w:eastAsia="Arial" w:hAnsi="Arial"/>
          <w:sz w:val="16"/>
          <w:szCs w:val="16"/>
          <w:u w:val="single" w:color="auto"/>
          <w:color w:val="0000EE"/>
        </w:rPr>
        <w:t xml:space="preserve"> </w:t>
      </w:r>
      <w:hyperlink w:anchor="page141">
        <w:r>
          <w:rPr>
            <w:rFonts w:ascii="Arial" w:cs="Arial" w:eastAsia="Arial" w:hAnsi="Arial"/>
            <w:sz w:val="16"/>
            <w:szCs w:val="16"/>
            <w:u w:val="single" w:color="auto"/>
            <w:color w:val="0000EE"/>
          </w:rPr>
          <w:t>Consolidated Statements of Cash Flows</w:t>
        </w:r>
      </w:hyperlink>
    </w:p>
    <w:p>
      <w:pPr>
        <w:spacing w:after="0" w:line="6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Notes to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123"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As of June 30, 2006 and December 31, 2005:</w:t>
      </w:r>
    </w:p>
    <w:p>
      <w:pPr>
        <w:spacing w:after="0" w:line="15"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Consolidated Balance Sheets</w:t>
        </w:r>
      </w:hyperlink>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5"/>
          <w:szCs w:val="15"/>
          <w:color w:val="auto"/>
        </w:rPr>
        <w:t>For the Three and Six months ended June 30, 2006 and 2005:</w:t>
      </w:r>
    </w:p>
    <w:p>
      <w:pPr>
        <w:spacing w:after="0" w:line="44"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Consolidated Statements of Income</w:t>
        </w:r>
      </w:hyperlink>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For the Six months ended June 30, 2006 and 2005:</w:t>
      </w:r>
    </w:p>
    <w:p>
      <w:pPr>
        <w:spacing w:after="0" w:line="9"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Consolidated Statements of Cash Flows</w:t>
        </w:r>
      </w:hyperlink>
    </w:p>
    <w:p>
      <w:pPr>
        <w:spacing w:after="0" w:line="11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Notes to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u w:val="single" w:color="auto"/>
          <w:color w:val="auto"/>
        </w:rPr>
        <w:t>INDUCTIS, INC.</w:t>
      </w:r>
    </w:p>
    <w:p>
      <w:pPr>
        <w:spacing w:after="0" w:line="117"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123"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79">
        <w:r>
          <w:rPr>
            <w:rFonts w:ascii="Arial" w:cs="Arial" w:eastAsia="Arial" w:hAnsi="Arial"/>
            <w:sz w:val="16"/>
            <w:szCs w:val="16"/>
            <w:u w:val="single" w:color="auto"/>
            <w:color w:val="0000EE"/>
          </w:rPr>
          <w:t>Report of Independent Registered Public Accounting Firm</w:t>
        </w:r>
      </w:hyperlink>
    </w:p>
    <w:p>
      <w:pPr>
        <w:spacing w:after="0" w:line="140"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As of December 31, 2005 and 2004:</w:t>
      </w:r>
    </w:p>
    <w:p>
      <w:pPr>
        <w:spacing w:after="0" w:line="1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Consolidated Balance Sheet</w:t>
        </w:r>
      </w:hyperlink>
    </w:p>
    <w:p>
      <w:pPr>
        <w:spacing w:after="0" w:line="9" w:lineRule="exact"/>
        <w:rPr>
          <w:rFonts w:ascii="Arial" w:cs="Arial" w:eastAsia="Arial" w:hAnsi="Arial"/>
          <w:sz w:val="16"/>
          <w:szCs w:val="16"/>
          <w:u w:val="single" w:color="auto"/>
          <w:color w:val="0000EE"/>
        </w:rPr>
      </w:pPr>
    </w:p>
    <w:p>
      <w:pPr>
        <w:ind w:left="440" w:right="1040" w:hanging="431"/>
        <w:spacing w:after="0" w:line="29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For the Years Ended December 31, 2005 and 2004: </w:t>
      </w:r>
      <w:hyperlink w:anchor="page181">
        <w:r>
          <w:rPr>
            <w:rFonts w:ascii="Arial" w:cs="Arial" w:eastAsia="Arial" w:hAnsi="Arial"/>
            <w:sz w:val="16"/>
            <w:szCs w:val="16"/>
            <w:u w:val="single" w:color="auto"/>
            <w:color w:val="0000EE"/>
          </w:rPr>
          <w:t>Consolidated Statement of Income</w:t>
        </w:r>
      </w:hyperlink>
      <w:r>
        <w:rPr>
          <w:rFonts w:ascii="Arial" w:cs="Arial" w:eastAsia="Arial" w:hAnsi="Arial"/>
          <w:sz w:val="16"/>
          <w:szCs w:val="16"/>
          <w:u w:val="single" w:color="auto"/>
          <w:color w:val="0000EE"/>
        </w:rPr>
        <w:t xml:space="preserve"> </w:t>
      </w:r>
      <w:hyperlink w:anchor="page182">
        <w:r>
          <w:rPr>
            <w:rFonts w:ascii="Arial" w:cs="Arial" w:eastAsia="Arial" w:hAnsi="Arial"/>
            <w:sz w:val="16"/>
            <w:szCs w:val="16"/>
            <w:u w:val="single" w:color="auto"/>
            <w:color w:val="0000EE"/>
          </w:rPr>
          <w:t>Consolidated Statement of Stockholders’ Equity</w:t>
        </w:r>
      </w:hyperlink>
      <w:r>
        <w:rPr>
          <w:rFonts w:ascii="Arial" w:cs="Arial" w:eastAsia="Arial" w:hAnsi="Arial"/>
          <w:sz w:val="16"/>
          <w:szCs w:val="16"/>
          <w:u w:val="single" w:color="auto"/>
          <w:color w:val="0000EE"/>
        </w:rPr>
        <w:t xml:space="preserve"> </w:t>
      </w:r>
      <w:hyperlink w:anchor="page183">
        <w:r>
          <w:rPr>
            <w:rFonts w:ascii="Arial" w:cs="Arial" w:eastAsia="Arial" w:hAnsi="Arial"/>
            <w:sz w:val="16"/>
            <w:szCs w:val="16"/>
            <w:u w:val="single" w:color="auto"/>
            <w:color w:val="0000EE"/>
          </w:rPr>
          <w:t>Consolidated Statement of Cash Flows</w:t>
        </w:r>
      </w:hyperlink>
    </w:p>
    <w:p>
      <w:pPr>
        <w:spacing w:after="0" w:line="6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Notes to the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123" w:lineRule="exact"/>
        <w:rPr>
          <w:rFonts w:ascii="Arial" w:cs="Arial" w:eastAsia="Arial" w:hAnsi="Arial"/>
          <w:sz w:val="16"/>
          <w:szCs w:val="16"/>
          <w:u w:val="single" w:color="auto"/>
          <w:color w:val="0000EE"/>
        </w:rPr>
      </w:pPr>
    </w:p>
    <w:p>
      <w:pPr>
        <w:jc w:val="right"/>
        <w:ind w:right="1640"/>
        <w:spacing w:after="0" w:line="28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As of June 30, 2006 and December 31, 2005: </w:t>
      </w:r>
      <w:hyperlink w:anchor="page202">
        <w:r>
          <w:rPr>
            <w:rFonts w:ascii="Arial" w:cs="Arial" w:eastAsia="Arial" w:hAnsi="Arial"/>
            <w:sz w:val="16"/>
            <w:szCs w:val="16"/>
            <w:u w:val="single" w:color="auto"/>
            <w:color w:val="0000EE"/>
          </w:rPr>
          <w:t>Condensed Consolidated Balance Sheet</w:t>
        </w:r>
      </w:hyperlink>
    </w:p>
    <w:p>
      <w:pPr>
        <w:ind w:left="440" w:right="820" w:hanging="431"/>
        <w:spacing w:after="0" w:line="331" w:lineRule="auto"/>
        <w:rPr>
          <w:rFonts w:ascii="Arial" w:cs="Arial" w:eastAsia="Arial" w:hAnsi="Arial"/>
          <w:sz w:val="15"/>
          <w:szCs w:val="15"/>
          <w:u w:val="single" w:color="auto"/>
          <w:color w:val="0000EE"/>
        </w:rPr>
      </w:pPr>
      <w:r>
        <w:rPr>
          <w:rFonts w:ascii="Arial" w:cs="Arial" w:eastAsia="Arial" w:hAnsi="Arial"/>
          <w:sz w:val="15"/>
          <w:szCs w:val="15"/>
          <w:color w:val="auto"/>
        </w:rPr>
        <w:t xml:space="preserve">For the Six months ended June 30, 2006 and 2005: </w:t>
      </w:r>
      <w:hyperlink w:anchor="page203">
        <w:r>
          <w:rPr>
            <w:rFonts w:ascii="Arial" w:cs="Arial" w:eastAsia="Arial" w:hAnsi="Arial"/>
            <w:sz w:val="15"/>
            <w:szCs w:val="15"/>
            <w:u w:val="single" w:color="auto"/>
            <w:color w:val="0000EE"/>
          </w:rPr>
          <w:t>Condensed Consolidated Statements of Operations</w:t>
        </w:r>
      </w:hyperlink>
      <w:r>
        <w:rPr>
          <w:rFonts w:ascii="Arial" w:cs="Arial" w:eastAsia="Arial" w:hAnsi="Arial"/>
          <w:sz w:val="15"/>
          <w:szCs w:val="15"/>
          <w:u w:val="single" w:color="auto"/>
          <w:color w:val="0000EE"/>
        </w:rPr>
        <w:t xml:space="preserve"> </w:t>
      </w:r>
      <w:hyperlink w:anchor="page204">
        <w:r>
          <w:rPr>
            <w:rFonts w:ascii="Arial" w:cs="Arial" w:eastAsia="Arial" w:hAnsi="Arial"/>
            <w:sz w:val="15"/>
            <w:szCs w:val="15"/>
            <w:u w:val="single" w:color="auto"/>
            <w:color w:val="0000EE"/>
          </w:rPr>
          <w:t>Condensed Consolidated Statements of Cash Flows</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F-45</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F-49</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F-70</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ectPr>
          <w:pgSz w:w="11900" w:h="16838" w:orient="portrait"/>
          <w:cols w:equalWidth="0" w:num="2">
            <w:col w:w="4880" w:space="720"/>
            <w:col w:w="5820"/>
          </w:cols>
          <w:pgMar w:left="240" w:top="459"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48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of ExlService Holdings, Inc.</w:t>
      </w:r>
    </w:p>
    <w:p>
      <w:pPr>
        <w:spacing w:after="0" w:line="335" w:lineRule="auto"/>
        <w:rPr>
          <w:sz w:val="20"/>
          <w:szCs w:val="20"/>
          <w:color w:val="auto"/>
        </w:rPr>
      </w:pPr>
      <w:r>
        <w:rPr>
          <w:rFonts w:ascii="Arial" w:cs="Arial" w:eastAsia="Arial" w:hAnsi="Arial"/>
          <w:sz w:val="15"/>
          <w:szCs w:val="15"/>
          <w:color w:val="auto"/>
        </w:rPr>
        <w:t>We have audited the accompanying consolidated balance sheets of ExlService Holdings, Inc. (the “Company”) as of December 31, 2005 and 2004, and the related consolidated statements of operations,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at December 31, 2005 and 2004, and the consolidated results of its operations and its cash flows for each of the three years in the period ended December 31, 2005,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85725</wp:posOffset>
            </wp:positionV>
            <wp:extent cx="2101215" cy="5657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012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2006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 Member Practice of Ernst &amp; Young Global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24,240,632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18,760,120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474,504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$50,000 in 2004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14,762,331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10,520,227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381,604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1,037,839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1,165,000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959,088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43,020,998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32,625,313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Fixed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16,206,665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14,888,102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210,521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871,327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2,266,800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62,576,311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50,385,579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1,391,775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7,608,889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3,486,917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3,408,714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6,319,374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4,415,191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777,643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215,150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19,721,545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14,195,641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800" w:type="dxa"/>
            <w:vAlign w:val="bottom"/>
            <w:gridSpan w:val="2"/>
          </w:tcPr>
          <w:p>
            <w:pPr>
              <w:spacing w:after="0"/>
              <w:rPr>
                <w:sz w:val="20"/>
                <w:szCs w:val="20"/>
                <w:color w:val="auto"/>
              </w:rPr>
            </w:pPr>
            <w:r>
              <w:rPr>
                <w:rFonts w:ascii="Arial" w:cs="Arial" w:eastAsia="Arial" w:hAnsi="Arial"/>
                <w:sz w:val="18"/>
                <w:szCs w:val="18"/>
                <w:color w:val="auto"/>
              </w:rPr>
              <w:t>Senior long-term debt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5,583,499</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5,364,581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$.001 par value, 55,000 shares authorized: 45,833.36 shares designated as Series A redeemable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45,304 shares issued and outstanding</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256,300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25,561,344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25,553,256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0" w:type="dxa"/>
            <w:vAlign w:val="bottom"/>
            <w:gridSpan w:val="2"/>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45,833.36 shares designated as Series A redeemable shares; 45,304 shares issued and outstanding (liquidation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preference $6,183,584 at December 31, 2005)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6,071,084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12,000,000 shares authorized: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10,196,878 shares designated as Series A; 10,081,778 shares issued and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10,082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7"/>
              </w:rPr>
              <w:t>1,264,538 shares designated as Series B; 583,479 shares and 529,369 shares issued at December 31, 2005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2004, respectively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17,102,069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17,198,127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(200,188)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15,235,424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8,425,314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(1,189,628)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30,958,342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24,846,782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Less 61,414 shares of Series B common stock held in treasury, at cost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(14,459)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30,943,883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24,832,323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62,576,311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50,385,579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-5275580</wp:posOffset>
            </wp:positionV>
            <wp:extent cx="62992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-5275580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-5275580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-5275580</wp:posOffset>
            </wp:positionV>
            <wp:extent cx="3873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-27305</wp:posOffset>
            </wp:positionV>
            <wp:extent cx="150495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04950" cy="2984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025"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73,419,952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60,440,646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27,771,359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533,840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26,000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73,953,792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60,466,646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27,771,359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47,597,523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38,716,017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18,443,205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26,356,269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21,750,629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13,200,239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11,085,273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7,891,083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1,685,020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1,456,153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5,888,975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3,909,098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420,719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20,774,234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16,450,524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5,582,035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5,300,105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(88,130)</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693,538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258,583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(408,732)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(332,594)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(396,787)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(598,409)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(281,970)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6,412,540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5,401,880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(647,008)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21,584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769,554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7,059,548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(249,438)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(258,131)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6,810,110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(1,015,441)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Diluted earnings (loss) per share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6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10,587,274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10,259,166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9,784,420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10,795,514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10,508,626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-901700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-901700</wp:posOffset>
            </wp:positionV>
            <wp:extent cx="120459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4595"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-901700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2"/>
          <w:szCs w:val="12"/>
          <w:i w:val="1"/>
          <w:iCs w:val="1"/>
          <w:color w:val="auto"/>
        </w:rPr>
      </w:pPr>
      <w:r>
        <w:rPr>
          <w:rFonts w:ascii="Arial" w:cs="Arial" w:eastAsia="Arial" w:hAnsi="Arial"/>
          <w:sz w:val="12"/>
          <w:szCs w:val="12"/>
          <w:i w:val="1"/>
          <w:iCs w:val="1"/>
          <w:color w:val="auto"/>
        </w:rPr>
        <w:t>The weighted average number of shares used in computing earnings (loss) per share for the years ended December 31, 2005, 2004 and 2003 includes Series A and Series B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w w:val="88"/>
              </w:rPr>
              <w:t>ExlService Holdings, Inc.</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5"/>
          </w:tcPr>
          <w:p>
            <w:pPr>
              <w:jc w:val="center"/>
              <w:ind w:right="580"/>
              <w:spacing w:after="0"/>
              <w:rPr>
                <w:sz w:val="20"/>
                <w:szCs w:val="20"/>
                <w:color w:val="auto"/>
              </w:rPr>
            </w:pPr>
            <w:r>
              <w:rPr>
                <w:rFonts w:ascii="Arial" w:cs="Arial" w:eastAsia="Arial" w:hAnsi="Arial"/>
                <w:sz w:val="18"/>
                <w:szCs w:val="18"/>
                <w:b w:val="1"/>
                <w:bCs w:val="1"/>
                <w:color w:val="auto"/>
                <w:w w:val="86"/>
              </w:rPr>
              <w:t>Consolidated Statements of Stockholders’ Equity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0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13"/>
                <w:szCs w:val="13"/>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2"/>
              </w:rPr>
              <w:t>Series B</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180"/>
              <w:spacing w:after="0" w:line="151"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10" w:type="dxa"/>
            <w:vAlign w:val="bottom"/>
            <w:gridSpan w:val="3"/>
          </w:tcPr>
          <w:p>
            <w:pPr>
              <w:jc w:val="center"/>
              <w:ind w:right="270"/>
              <w:spacing w:after="0" w:line="135" w:lineRule="exact"/>
              <w:rPr>
                <w:sz w:val="20"/>
                <w:szCs w:val="20"/>
                <w:color w:val="auto"/>
              </w:rPr>
            </w:pPr>
            <w:r>
              <w:rPr>
                <w:rFonts w:ascii="Arial" w:cs="Arial" w:eastAsia="Arial" w:hAnsi="Arial"/>
                <w:sz w:val="14"/>
                <w:szCs w:val="14"/>
                <w:b w:val="1"/>
                <w:bCs w:val="1"/>
                <w:color w:val="auto"/>
                <w:w w:val="86"/>
              </w:rPr>
              <w:t>Deferred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14"/>
                <w:szCs w:val="14"/>
                <w:color w:val="auto"/>
              </w:rPr>
            </w:pP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rPr>
              <w:t>Additional</w:t>
            </w:r>
          </w:p>
        </w:tc>
        <w:tc>
          <w:tcPr>
            <w:tcW w:w="90" w:type="dxa"/>
            <w:vAlign w:val="bottom"/>
          </w:tcPr>
          <w:p>
            <w:pPr>
              <w:spacing w:after="0"/>
              <w:rPr>
                <w:sz w:val="14"/>
                <w:szCs w:val="14"/>
                <w:color w:val="auto"/>
              </w:rPr>
            </w:pPr>
          </w:p>
        </w:tc>
        <w:tc>
          <w:tcPr>
            <w:tcW w:w="91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Paid-in</w:t>
            </w:r>
          </w:p>
        </w:tc>
        <w:tc>
          <w:tcPr>
            <w:tcW w:w="90" w:type="dxa"/>
            <w:vAlign w:val="bottom"/>
          </w:tcPr>
          <w:p>
            <w:pPr>
              <w:spacing w:after="0"/>
              <w:rPr>
                <w:sz w:val="12"/>
                <w:szCs w:val="12"/>
                <w:color w:val="auto"/>
              </w:rPr>
            </w:pPr>
          </w:p>
        </w:tc>
        <w:tc>
          <w:tcPr>
            <w:tcW w:w="910" w:type="dxa"/>
            <w:vAlign w:val="bottom"/>
            <w:gridSpan w:val="3"/>
          </w:tcPr>
          <w:p>
            <w:pPr>
              <w:jc w:val="center"/>
              <w:ind w:right="270"/>
              <w:spacing w:after="0" w:line="149" w:lineRule="exact"/>
              <w:rPr>
                <w:sz w:val="20"/>
                <w:szCs w:val="20"/>
                <w:color w:val="auto"/>
              </w:rPr>
            </w:pPr>
            <w:r>
              <w:rPr>
                <w:rFonts w:ascii="Arial" w:cs="Arial" w:eastAsia="Arial" w:hAnsi="Arial"/>
                <w:sz w:val="14"/>
                <w:szCs w:val="14"/>
                <w:b w:val="1"/>
                <w:bCs w:val="1"/>
                <w:color w:val="auto"/>
                <w:w w:val="80"/>
              </w:rPr>
              <w:t>Based</w:t>
            </w: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Income</w:t>
            </w: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(Loss)</w:t>
            </w:r>
          </w:p>
        </w:tc>
        <w:tc>
          <w:tcPr>
            <w:tcW w:w="1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w:t>
            </w:r>
            <w:r>
              <w:rPr>
                <w:rFonts w:ascii="Arial" w:cs="Arial" w:eastAsia="Arial" w:hAnsi="Arial"/>
                <w:sz w:val="18"/>
                <w:szCs w:val="18"/>
                <w:i w:val="1"/>
                <w:iCs w:val="1"/>
                <w:color w:val="auto"/>
                <w:w w:val="94"/>
              </w:rPr>
              <w:t>,</w:t>
            </w:r>
            <w:r>
              <w:rPr>
                <w:rFonts w:ascii="Arial" w:cs="Arial" w:eastAsia="Arial" w:hAnsi="Arial"/>
                <w:sz w:val="18"/>
                <w:szCs w:val="18"/>
                <w:color w:val="auto"/>
                <w:w w:val="94"/>
              </w:rPr>
              <w:t xml:space="preserve"> 2002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9,555,462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$ 9,555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$ 2,091,517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$4,060,459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$ 6,177,945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B common stock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w w:val="97"/>
              </w:rPr>
              <w:t>options issued to management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444,538</w:t>
            </w:r>
          </w:p>
        </w:tc>
        <w:tc>
          <w:tcPr>
            <w:tcW w:w="600" w:type="dxa"/>
            <w:vAlign w:val="bottom"/>
            <w:gridSpan w:val="3"/>
          </w:tcPr>
          <w:p>
            <w:pPr>
              <w:ind w:left="340"/>
              <w:spacing w:after="0"/>
              <w:rPr>
                <w:sz w:val="20"/>
                <w:szCs w:val="20"/>
                <w:color w:val="auto"/>
              </w:rPr>
            </w:pPr>
            <w:r>
              <w:rPr>
                <w:rFonts w:ascii="Arial" w:cs="Arial" w:eastAsia="Arial" w:hAnsi="Arial"/>
                <w:sz w:val="18"/>
                <w:szCs w:val="18"/>
                <w:color w:val="auto"/>
                <w:w w:val="79"/>
              </w:rPr>
              <w:t>445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114,168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89"/>
              </w:rPr>
              <w:t>Deferred stock 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1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(170,299)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Amortization of 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750" w:type="dxa"/>
            <w:vAlign w:val="bottom"/>
            <w:gridSpan w:val="2"/>
          </w:tcPr>
          <w:p>
            <w:pPr>
              <w:jc w:val="right"/>
              <w:ind w:right="20"/>
              <w:spacing w:after="0"/>
              <w:rPr>
                <w:sz w:val="20"/>
                <w:szCs w:val="20"/>
                <w:color w:val="auto"/>
              </w:rPr>
            </w:pPr>
            <w:r>
              <w:rPr>
                <w:rFonts w:ascii="Arial" w:cs="Arial" w:eastAsia="Arial" w:hAnsi="Arial"/>
                <w:sz w:val="18"/>
                <w:szCs w:val="18"/>
                <w:color w:val="auto"/>
              </w:rPr>
              <w:t>15,295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Dividends and accretion 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91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(258,131)</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(258,131)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91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(369,455)</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(757,310)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9,555,462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444,538</w:t>
            </w: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445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2,375,984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1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(155,004)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3,045,018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(353,041)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A common stock issued (net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issuance cost of $37,374)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526,316</w:t>
            </w: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527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12,462,100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12,462,627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B common stock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w w:val="97"/>
              </w:rPr>
              <w:t>options issued to management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84,831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114,892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Non-employee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1,853,601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Deferred employee stock based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423,775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(423,775)</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9"/>
              </w:rPr>
              <w:t>Employee stock options 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(32,225)</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Amortization of 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750" w:type="dxa"/>
            <w:vAlign w:val="bottom"/>
            <w:gridSpan w:val="2"/>
          </w:tcPr>
          <w:p>
            <w:pPr>
              <w:jc w:val="right"/>
              <w:ind w:right="20"/>
              <w:spacing w:after="0"/>
              <w:rPr>
                <w:sz w:val="20"/>
                <w:szCs w:val="20"/>
                <w:color w:val="auto"/>
              </w:rPr>
            </w:pPr>
            <w:r>
              <w:rPr>
                <w:rFonts w:ascii="Arial" w:cs="Arial" w:eastAsia="Arial" w:hAnsi="Arial"/>
                <w:sz w:val="18"/>
                <w:szCs w:val="18"/>
                <w:color w:val="auto"/>
              </w:rPr>
              <w:t>104,665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(12,351)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Minimum pension liability</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91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91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5,380,296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73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5,387,956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10,081,778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529,369</w:t>
            </w: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529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17,198,127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1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(441,889)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8,425,314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(345,381)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ind w:left="100"/>
              <w:spacing w:after="0"/>
              <w:rPr>
                <w:sz w:val="20"/>
                <w:szCs w:val="20"/>
                <w:color w:val="auto"/>
              </w:rPr>
            </w:pPr>
            <w:r>
              <w:rPr>
                <w:rFonts w:ascii="Arial" w:cs="Arial" w:eastAsia="Arial" w:hAnsi="Arial"/>
                <w:sz w:val="18"/>
                <w:szCs w:val="18"/>
                <w:color w:val="auto"/>
              </w:rPr>
              <w:t>F-5</w:t>
            </w: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-3250565</wp:posOffset>
            </wp:positionV>
            <wp:extent cx="556958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69585" cy="2984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-325755</wp:posOffset>
            </wp:positionV>
            <wp:extent cx="556958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695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rPr>
              <w:t>ExlService Holdings, Inc.</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8"/>
          </w:tcPr>
          <w:p>
            <w:pPr>
              <w:jc w:val="right"/>
              <w:ind w:right="260"/>
              <w:spacing w:after="0"/>
              <w:rPr>
                <w:sz w:val="20"/>
                <w:szCs w:val="20"/>
                <w:color w:val="auto"/>
              </w:rPr>
            </w:pPr>
            <w:r>
              <w:rPr>
                <w:rFonts w:ascii="Arial" w:cs="Arial" w:eastAsia="Arial" w:hAnsi="Arial"/>
                <w:sz w:val="18"/>
                <w:szCs w:val="18"/>
                <w:b w:val="1"/>
                <w:bCs w:val="1"/>
                <w:color w:val="auto"/>
                <w:w w:val="94"/>
              </w:rPr>
              <w:t>Consolidated Statements of Stockholders’ Equity (continued)</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40" w:type="dxa"/>
            <w:vAlign w:val="bottom"/>
            <w:gridSpan w:val="3"/>
          </w:tcPr>
          <w:p>
            <w:pPr>
              <w:ind w:left="480"/>
              <w:spacing w:after="0"/>
              <w:rPr>
                <w:sz w:val="20"/>
                <w:szCs w:val="20"/>
                <w:color w:val="auto"/>
              </w:rPr>
            </w:pPr>
            <w:r>
              <w:rPr>
                <w:rFonts w:ascii="Arial" w:cs="Arial" w:eastAsia="Arial" w:hAnsi="Arial"/>
                <w:sz w:val="14"/>
                <w:szCs w:val="14"/>
                <w:b w:val="1"/>
                <w:bCs w:val="1"/>
                <w:color w:val="auto"/>
              </w:rPr>
              <w:t>Series 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5"/>
              </w:rPr>
              <w:t>Series B</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4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Deferred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Based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Income</w:t>
            </w:r>
          </w:p>
        </w:tc>
        <w:tc>
          <w:tcPr>
            <w:tcW w:w="7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Treasury</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(Loss)</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10,081,778</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$10,082 529,369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529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$17,198,127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(441,889)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8,425,314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(345,381)</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(14,459)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9"/>
              </w:rPr>
              <w:t>Series B common stock and options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issued to management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54,110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54</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Non-employee options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Employee stock options forfeited</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(175,744)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175,744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6"/>
              </w:rPr>
              <w:t>Dividends and accretion on preferred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(249,438)</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2"/>
              </w:rPr>
              <w:t>Amortization of deferred compensation</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(186,011)</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Cash flow hedges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(697,642)</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7,059,548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Reclassification adjustment: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 hedges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10,081,778</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$10,082 583,479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583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$17,102,069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(200,188)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15,235,424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(1,189,628)</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(14,459)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$30,943,883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395732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95732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7,059,548</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5,380,296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5,888,975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3,909,098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598,409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675,173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Interest on senior long 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218,918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210,110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360,494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Foreign exchange gain (unrealized)</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(217,537)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(1,935,264)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Gain on sale of 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Bad debt expense (recovery)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1,308,422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(4,242,104)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(5,258,055)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(4,714,544)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(2,417,740)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(349,323)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648,920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(1,373,678)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4,121,972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1,569,918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accrued expenses and other current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1,462,415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3,820,920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1,586,054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(250,178)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385,015</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(572,787)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13,142,943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9,882,443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(1,882,275)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fixed assets (net of sale proceeds)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(7,126,518)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(12,336,918)</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(5,405,780)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(7,126,518)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(12,336,918)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(5,405,780)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issuance (payment on redemption) of senior long-term debt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issuance (payment on redemption) of preferred stock</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common stock transactions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sale of Series A common stock, net of issuance costs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12,462,627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114,976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Series B common stock at cost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(12,351)</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12,433,867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5,480,512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10,110,844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(7,044,238)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18,760,120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8,649,276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15,693,514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18,760,120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8,649,276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68,666</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44,798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1,052,429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704,811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-850265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-850265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-850265</wp:posOffset>
            </wp:positionV>
            <wp:extent cx="105918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5918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-850265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jc w:val="both"/>
        <w:ind w:left="240" w:right="10180" w:hanging="232"/>
        <w:spacing w:after="0" w:line="373" w:lineRule="auto"/>
        <w:tabs>
          <w:tab w:leader="none" w:pos="187"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Organization</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(“Exl Holdings”) is organized as a corporation under the laws of the state of Delaware. Exl Holdings, together with its subsidiaries ExlService.com,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consolidated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Foreign Currency</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functional currency of Exl Holdings and Exl Inc is the United States Dollar (“U.S. Dollar”), being the currency of the primary economic environment in which they operate. The functional currency of Exl India, NCOP and ESSPL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operations.</w:t>
      </w:r>
    </w:p>
    <w:p>
      <w:pPr>
        <w:spacing w:after="0" w:line="10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and cash equivalents consist solely of funds held in general checking accounts and money market accounts.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Fixed Assets</w:t>
      </w:r>
    </w:p>
    <w:p>
      <w:pPr>
        <w:spacing w:after="0" w:line="8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is computed using the straight-line method over the shorter of the assets’ estimated lives or the lease term.</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Sarbanes-Oxley compliance, internal audit and financial reporting.</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materials,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operations. The Company typically incurs telecommunications and travel related costs that are billed to and reimbursed by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following periods include reimbursements of out-of-pocket expenses: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3,398,750</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5800" w:type="dxa"/>
            <w:vAlign w:val="bottom"/>
          </w:tcPr>
          <w:p>
            <w:pPr>
              <w:jc w:val="right"/>
              <w:spacing w:after="0"/>
              <w:rPr>
                <w:sz w:val="20"/>
                <w:szCs w:val="20"/>
                <w:color w:val="auto"/>
              </w:rPr>
            </w:pPr>
            <w:r>
              <w:rPr>
                <w:rFonts w:ascii="Arial" w:cs="Arial" w:eastAsia="Arial" w:hAnsi="Arial"/>
                <w:sz w:val="18"/>
                <w:szCs w:val="18"/>
                <w:color w:val="auto"/>
              </w:rPr>
              <w:t>4,182,638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555,372</w:t>
            </w: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800" w:type="dxa"/>
            <w:vAlign w:val="bottom"/>
          </w:tcPr>
          <w:p>
            <w:pPr>
              <w:jc w:val="right"/>
              <w:ind w:right="4352"/>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Pursuant to a transition/wind-down services agreement executed with a customer on November 14, 2002, the Company contracted to provide wind-down and transition services over the four-month period from December 1, 2002 to March 31, 2003. Revenue for the year ended December 31, 2003 includes approximately $1,500,000 for the services rendered to this customer pursuant to the transition/wind-down services agreement. Revenue from services provided to this customer represented 18% of total revenues on the consolidated statement of operations for the year ended December 31,2003.</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 ended December 31, 2005, two clients accounted for 49% and 15% of the Company’s total revenues, respectively. These same two clients accounted for 52% and 24% of the Company’s total revenues for the year ended December 31, 2004, respectively, and accounted for 43% and 31% of the Company’s total revenues for the year ended December 31,2003, respectively.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Segment Information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consolidated results of operations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Revenues and the cost of revenues from business processing outsourcing services and advisory services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Advisory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Advisory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Advisory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BPO</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Services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76"/>
              </w:rPr>
              <w:t>Services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66,200,736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7,753,056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73,953,792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2"/>
              </w:rPr>
              <w:t>55,764,990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4,701,656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60,466,646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27,649,509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121,850</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27,771,359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w w:val="93"/>
              </w:rPr>
              <w:t>Cost of revenue (exclusive of depreciation and amortization)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w w:val="91"/>
              </w:rPr>
              <w:t>43,540,498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4"/>
                <w:szCs w:val="14"/>
                <w:color w:val="auto"/>
                <w:w w:val="83"/>
              </w:rPr>
              <w:t>4,057,025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47,597,523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w w:val="82"/>
              </w:rPr>
              <w:t>36,040,722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w w:val="83"/>
              </w:rPr>
              <w:t>2,675,295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38,716,017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18,351,060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92,145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18,443,205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22,660,238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3,696,031</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26,356,269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2"/>
              </w:rPr>
              <w:t>19,724,268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2,026,361</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21,750,629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9,298,449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29,705</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9,328,154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5,888,975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3,909,098</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420,719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693,538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258,583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(408,732)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(332,594)</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(277,331)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(396,787)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(598,409)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(281,970)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(647,008)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21,584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769,554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Cost of Revenues</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Cost of revenues includes salaries, employee benefits and stock compensation expense, project related travel costs, communication expenses, technology operating expenses and facilities costs.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Company accounts for income taxes pursuant to the provisions of Statement of Financial Accounting Standards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Under SFAS No. 109, deferred tax assets and liabilities are recognized for future tax consequences attributable to differences between the financial statement carrying amounts of existing assets and liabilities and their tax bases. Any deferred tax assets recognized for net operating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loss carryforwards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 Benefits</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2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the years of employment with the Company. Gratuity benefit cost for the year is calculated on an actuarial basis.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Changes in the fair values of contracts that are deemed effective are recorded as a component of accumulated other comprehensive income (loss) until the settlement of that contract. The Company reports comprehensive income (loss) in the consolidated statements of stockholders’ equity.</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Financial Instruments and Concentration of Credit Risk</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Financial instruments that potentially subject the Company to concentrations of credit risk consist principally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time deposits. By their nature, all such financial instruments involve risks, including the credit risks of non-performance by counterparties.</w:t>
      </w:r>
    </w:p>
    <w:p>
      <w:pPr>
        <w:spacing w:after="0" w:line="12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 xml:space="preserve">Derivatives and Hedge Accounting: </w:t>
      </w:r>
      <w:r>
        <w:rPr>
          <w:rFonts w:ascii="Arial" w:cs="Arial" w:eastAsia="Arial" w:hAnsi="Arial"/>
          <w:sz w:val="16"/>
          <w:szCs w:val="16"/>
          <w:color w:val="auto"/>
        </w:rPr>
        <w:t>In the Company’s normal course of business, the Company actively looks to mitigate the exposure of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risk by entering into various hedging instruments, authorized under Company polices with counterparties that are highly-rated financial institutions. The Company’s primary exchange rate exposure is with the British pound and Indian rupee. The Company uses derivative instruments for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w:t>
      </w:r>
      <w:r>
        <w:rPr>
          <w:rFonts w:ascii="Arial" w:cs="Arial" w:eastAsia="Arial" w:hAnsi="Arial"/>
          <w:sz w:val="15"/>
          <w:szCs w:val="15"/>
          <w:i w:val="1"/>
          <w:iCs w:val="1"/>
          <w:color w:val="auto"/>
        </w:rPr>
        <w:t>Accounting for Derivative Instruments and Hedging Activities</w:t>
      </w:r>
      <w:r>
        <w:rPr>
          <w:rFonts w:ascii="Arial" w:cs="Arial" w:eastAsia="Arial" w:hAnsi="Arial"/>
          <w:sz w:val="15"/>
          <w:szCs w:val="15"/>
          <w:color w:val="auto"/>
        </w:rPr>
        <w:t>”. Changes in the fair value of these cash flow hedges which are deemed effective, are recorded in accumulated other comprehensive income (loss) until the contract is settled and at that time are recognized in the consolidated statements of operations. The Company evaluates hedge effectiveness at the time a contract is entered into as well as on an ongoing basis. If during this time, a contract is deemed ineffective, the change in the fair value is recorded in the consolidated statements of operations.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entered into forward exchange contracts during the years ended December 31, 2005, 2004 and 2003. At December 31,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30"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The Company has evaluated the effectiveness of all forward exchange contracts. For the year ended December 31, 2005, net gains from ineffective cash flow hedges included in the consolidated statement of operations totaled $1,352,883. For hedge relationships discontinued because the forecasted transaction is not expected to occur by the end of the originally specified period, any related derivative amounts recorded in equity are reclassified to earnings.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Stock Based Compensation</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Stock Based Compensation: </w:t>
      </w:r>
      <w:r>
        <w:rPr>
          <w:rFonts w:ascii="Arial" w:cs="Arial" w:eastAsia="Arial" w:hAnsi="Arial"/>
          <w:sz w:val="18"/>
          <w:szCs w:val="18"/>
          <w:color w:val="auto"/>
        </w:rPr>
        <w:t>In fiscal 2003, the Company instituted the Exl Holdings 2003 Stock Option Plan (the “2003 Plan”). The 2003 Plan covers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employees of the Company and its subsidiaries. The Compensation Committee of the Board (the “Committee”) administers the 2003 Plan and grants stock options to eligible employees of the Company and its subsidiaries.</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four years from the date of grant with 25% of the options vesting each year. Pursuant to the 2003 Plan, the Company has reserved 800,000 shares of Series B common stock for the granting of options.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Accounting Principles Board (“APB”) Opinion No. 25 and related interpretations to account for stock options granted to its employees.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compensation cost is recognized only for stock option awards granted where the exercise price is less than the market value on the date of grant.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Had the compensation cost been recognized based on the fair value at the date of grant in accordance with Statement of Financial Accounting Standards No. 123, “Accounting for Stock Based Compensation” as amended by Statement of Financial Accounting Standards No. 148, “Accounting for Stock-Based Compensation —Transition and Disclosure”, the pro-forma amounts of net income (loss) would have been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6,810,110</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$ 5,380,296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(1,015,441)</w:t>
            </w: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w w:val="93"/>
              </w:rPr>
              <w:t>Add stock based employee compensation expense included in reported net income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65,957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104,665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stock based employee compensation expense determined under the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(464,715)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(268,240)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6,411,352</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$ 5,216,721</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(1,015,854)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0.52</w:t>
            </w:r>
          </w:p>
        </w:tc>
        <w:tc>
          <w:tcPr>
            <w:tcW w:w="4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Basic, pro forma</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0.61</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-1399540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-1399540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-1399540</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-1399540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-1399540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-1399540</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-1399540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-1399540</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-1399540</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on the date of grant using the Black-Scholes option valuation model with the following assumptions: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128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80" w:type="dxa"/>
            <w:vAlign w:val="bottom"/>
            <w:gridSpan w:val="2"/>
            <w:shd w:val="clear" w:color="auto" w:fill="CCEEFF"/>
          </w:tcPr>
          <w:p>
            <w:pPr>
              <w:jc w:val="center"/>
              <w:ind w:left="360"/>
              <w:spacing w:after="0"/>
              <w:rPr>
                <w:sz w:val="20"/>
                <w:szCs w:val="20"/>
                <w:color w:val="auto"/>
              </w:rPr>
            </w:pPr>
            <w:r>
              <w:rPr>
                <w:rFonts w:ascii="Arial" w:cs="Arial" w:eastAsia="Arial" w:hAnsi="Arial"/>
                <w:sz w:val="18"/>
                <w:szCs w:val="18"/>
                <w:color w:val="auto"/>
                <w:w w:val="92"/>
              </w:rPr>
              <w:t>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Expected life</w:t>
            </w:r>
          </w:p>
        </w:tc>
        <w:tc>
          <w:tcPr>
            <w:tcW w:w="820" w:type="dxa"/>
            <w:vAlign w:val="bottom"/>
          </w:tcPr>
          <w:p>
            <w:pPr>
              <w:ind w:left="40"/>
              <w:spacing w:after="0"/>
              <w:rPr>
                <w:sz w:val="20"/>
                <w:szCs w:val="20"/>
                <w:color w:val="auto"/>
              </w:rPr>
            </w:pPr>
            <w:r>
              <w:rPr>
                <w:rFonts w:ascii="Arial" w:cs="Arial" w:eastAsia="Arial" w:hAnsi="Arial"/>
                <w:sz w:val="18"/>
                <w:szCs w:val="18"/>
                <w:color w:val="auto"/>
                <w:w w:val="90"/>
              </w:rPr>
              <w:t>60 months</w:t>
            </w:r>
          </w:p>
        </w:tc>
        <w:tc>
          <w:tcPr>
            <w:tcW w:w="4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60 months</w:t>
            </w:r>
          </w:p>
        </w:tc>
        <w:tc>
          <w:tcPr>
            <w:tcW w:w="840" w:type="dxa"/>
            <w:vAlign w:val="bottom"/>
          </w:tcPr>
          <w:p>
            <w:pPr>
              <w:ind w:left="60"/>
              <w:spacing w:after="0"/>
              <w:rPr>
                <w:sz w:val="20"/>
                <w:szCs w:val="20"/>
                <w:color w:val="auto"/>
              </w:rPr>
            </w:pPr>
            <w:r>
              <w:rPr>
                <w:rFonts w:ascii="Arial" w:cs="Arial" w:eastAsia="Arial" w:hAnsi="Arial"/>
                <w:sz w:val="18"/>
                <w:szCs w:val="18"/>
                <w:color w:val="auto"/>
                <w:w w:val="90"/>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4.25%</w:t>
            </w:r>
          </w:p>
        </w:tc>
        <w:tc>
          <w:tcPr>
            <w:tcW w:w="1280" w:type="dxa"/>
            <w:vAlign w:val="bottom"/>
            <w:gridSpan w:val="2"/>
            <w:shd w:val="clear" w:color="auto" w:fill="CCEEFF"/>
          </w:tcPr>
          <w:p>
            <w:pPr>
              <w:jc w:val="center"/>
              <w:ind w:left="360"/>
              <w:spacing w:after="0"/>
              <w:rPr>
                <w:sz w:val="20"/>
                <w:szCs w:val="20"/>
                <w:color w:val="auto"/>
              </w:rPr>
            </w:pPr>
            <w:r>
              <w:rPr>
                <w:rFonts w:ascii="Arial" w:cs="Arial" w:eastAsia="Arial" w:hAnsi="Arial"/>
                <w:sz w:val="18"/>
                <w:szCs w:val="18"/>
                <w:color w:val="auto"/>
                <w:w w:val="92"/>
              </w:rPr>
              <w:t>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Volatility</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gridSpan w:val="2"/>
          </w:tcPr>
          <w:p>
            <w:pPr>
              <w:jc w:val="center"/>
              <w:ind w:left="360"/>
              <w:spacing w:after="0"/>
              <w:rPr>
                <w:sz w:val="20"/>
                <w:szCs w:val="20"/>
                <w:color w:val="auto"/>
              </w:rPr>
            </w:pPr>
            <w:r>
              <w:rPr>
                <w:rFonts w:ascii="Arial" w:cs="Arial" w:eastAsia="Arial" w:hAnsi="Arial"/>
                <w:sz w:val="18"/>
                <w:szCs w:val="18"/>
                <w:color w:val="auto"/>
                <w:w w:val="88"/>
              </w:rPr>
              <w:t>50%</w:t>
            </w: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earnings per share is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For the years ended December 31, 2005 and 2004, the weighted average number of shares used in calculating diluted earnings per share includes stock options of 143,283 and 249,460, respectively. The calculation of earnings per share for the years ended December 31, 2005, 2004 and 2003 exclude stock options of 329,875, 142,000 and 376,275, respectively, because to include them in the calculation would be antidilutive.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December 2004, the FASB issued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which establishes standards for transactions in which an entity exchanges its equity for goods or services. This statement requires a public entity to measure the cost of employee services received in exchange for an award of equity instruments based on the grant-date fair value of the award. This eliminates the exception to account for such awards using the intrinsic value method previously allowable under APB Opinion No. 25. SFAS No. 123(R) will be effective for the Company for reporting periods beginning on January 1, 2006.</w:t>
      </w:r>
    </w:p>
    <w:p>
      <w:pPr>
        <w:spacing w:after="0" w:line="9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plans to adopt SFAS 123(R) using the modified prospective method. Under the modified prospective method, compensation cost is recognized beginning with the effective date (a) based on the requirements of SFAS No. 123(R) for all share based payments granted after the effective date and (b) based on the requirements of SFAS No. 123 for all awards granted to employees prior to the effective date of SFAS No. 123(R) that remain unvested on the effective date.</w:t>
      </w:r>
    </w:p>
    <w:p>
      <w:pPr>
        <w:spacing w:after="0" w:line="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permitted by SFAS No. 123, the Company currently accounts for share-based payments to employees using APB Opinion 25’s intrinsic value method and, as such, generally recognizes compensation cost for employee stock options where the exercise price is less than the fair value on the date of grant. Accordingly, the adoption of SFAS No. 123(R)’s fair value method will have a significant impact on its consolidated results of operations, although it will have no impact on its overall consolidated financial position. The impact of the adoption of SFAS No. 123(R) will depend on levels of share-based payments granted in the future and the rate of forfeiture of unvested grants. However, had the Company adopted SFAS No. 123(R) in prior periods, the impact of that statement would have approximated the impact of SFAS No. 123 as described in the disclosure of pro forma net income (loss) and earnings (loss) per share.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currently believes that stock-based compensation expense for the year ended December 31, 2006 related to share-based payments granted prior to January 1, 2006 and unvested as of that date will be approximately $700,000.</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December 2004, the FASB issued SFAS No. 153, “</w:t>
      </w:r>
      <w:r>
        <w:rPr>
          <w:rFonts w:ascii="Arial" w:cs="Arial" w:eastAsia="Arial" w:hAnsi="Arial"/>
          <w:sz w:val="16"/>
          <w:szCs w:val="16"/>
          <w:i w:val="1"/>
          <w:iCs w:val="1"/>
          <w:color w:val="auto"/>
        </w:rPr>
        <w:t>Exchanges of Nonmonetary Assets</w:t>
      </w:r>
      <w:r>
        <w:rPr>
          <w:rFonts w:ascii="Arial" w:cs="Arial" w:eastAsia="Arial" w:hAnsi="Arial"/>
          <w:sz w:val="16"/>
          <w:szCs w:val="16"/>
          <w:color w:val="auto"/>
        </w:rPr>
        <w:t>”, which eliminated the exception for nonmonetary exchanges of similar productive assets and replaces it with a general exception for exchanges of nonmonetary assets that do not have commercial substance. SFAS No. 153 will be effective for nonmonetary asset exchanges occurring in fiscal periods beginning after June 15, 2005. The Company does not believe the adoption of SFAS No. 153 will have a material impact on its consolidated financial position, results of operations or cash flows.</w:t>
      </w:r>
    </w:p>
    <w:p>
      <w:pPr>
        <w:spacing w:after="0" w:line="9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2005, the FASB issued SFAS No. 154, “</w:t>
      </w:r>
      <w:r>
        <w:rPr>
          <w:rFonts w:ascii="Arial" w:cs="Arial" w:eastAsia="Arial" w:hAnsi="Arial"/>
          <w:sz w:val="16"/>
          <w:szCs w:val="16"/>
          <w:i w:val="1"/>
          <w:iCs w:val="1"/>
          <w:color w:val="auto"/>
        </w:rPr>
        <w:t>Accounting Changes &amp; Error Corrections</w:t>
      </w:r>
      <w:r>
        <w:rPr>
          <w:rFonts w:ascii="Arial" w:cs="Arial" w:eastAsia="Arial" w:hAnsi="Arial"/>
          <w:sz w:val="16"/>
          <w:szCs w:val="16"/>
          <w:color w:val="auto"/>
        </w:rPr>
        <w:t>”, which provided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will be effective for accounting changes and correction of errors made in fiscal years beginning after December 15, 2005. The Company does not believe the adoption of SFAS No. 154 will have a material impact on its consolidated financial position, results of operations or cash flows.</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 on Cash Balances and Time Deposits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Current restricted time deposits of Exl India represent amounts on deposit with banks against letters of credit and bank guarantees issued by the Company for equipment imports amounting to $474,504 that will mature on various dates in 2006.</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Non-current restricted time deposits represent guarantees against custom and excise bonding issued through banks amounting to $210,521 that will mature between 2007 and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Fixed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20" w:type="dxa"/>
            <w:vAlign w:val="bottom"/>
          </w:tcPr>
          <w:p>
            <w:pPr>
              <w:spacing w:after="0"/>
              <w:rPr>
                <w:sz w:val="3"/>
                <w:szCs w:val="3"/>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Useful Life</w:t>
            </w:r>
          </w:p>
        </w:tc>
        <w:tc>
          <w:tcPr>
            <w:tcW w:w="4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3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$13,310,963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4,966,353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3,634,048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2,313,948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Motor vehicles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778,273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789,761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4,889,348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26,258,885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19,355,767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10,052,220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(4,467,665)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$16,206,665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$14,888,102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57023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2005 is $778,273 and $361,829, respectively, and at December 31, 2004, $789,761 and $166,661, respectively.</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useful life of 36 months was appropriate. As a result of this review and the success of the Company’s business model, the Company believes that it will remain in these facilities through at least a further 60 months. 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w:t>
      </w:r>
    </w:p>
    <w:p>
      <w:pPr>
        <w:spacing w:after="0" w:line="1" w:lineRule="exact"/>
        <w:rPr>
          <w:sz w:val="20"/>
          <w:szCs w:val="20"/>
          <w:color w:val="auto"/>
        </w:rPr>
      </w:pPr>
    </w:p>
    <w:p>
      <w:pPr>
        <w:ind w:right="600" w:firstLine="8"/>
        <w:spacing w:after="0" w:line="261"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amortization expense to be recognized for periods starting April 1, 2005 of leasehold assets put into place prior to April 1, 2005 that were not fully amortized.</w:t>
      </w:r>
    </w:p>
    <w:p>
      <w:pPr>
        <w:spacing w:after="0" w:line="124"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change in estimated useful life of leasehold improvements resulted in amortization expense being approximately $554,000 less in 2005 than what it would have been had the estimated useful life not changed.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Senior Long-Term Debt</w:t>
      </w:r>
    </w:p>
    <w:p>
      <w:pPr>
        <w:spacing w:after="0" w:line="8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Senior Long-Term Debt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amount of $272,403. Interest on the principal amount is payable on maturity and accrues at a rate equal to the greater of (i) 2.02% semiannually or (ii) LIBOR.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redeemed promissory notes including accrued interest of $13,239 in 2004.</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effective interest rate for the years ended December 31, 2005 and 2004 was 4.08%. Accrued interest at December 31, 2005 and 2004 included in senior long-term debt on the consolidated balance sheets is $650,335 and $431,417, respectively.</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Deferred financing costs, totaling $300,000, are included in other assets and are being amortized to interest expense through the maturity date of the senior long-term debt. For the years ended December 31, 2005, 2004 and 2003, amortization of deferred financing costs amounted to $60,000, $60,000 and $67,500,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Preferred Stock</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Liquidation preference is equal to $100 per share plus any accrued and unpaid dividends.</w:t>
      </w:r>
    </w:p>
    <w:p>
      <w:pPr>
        <w:spacing w:after="0" w:line="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2005 amounted to $1,653,184.</w:t>
      </w:r>
    </w:p>
    <w:p>
      <w:pPr>
        <w:spacing w:after="0" w:line="9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to (i) remove a provision stating that upon the resignation by, or other termination of employment of, Vikram Talwar or Rohit Kapoor, the holders of the redeemable preferred stock may require the Company to redeem the preferred stock and (ii) remove the automatic redemption provisions of the preferred stock agreement.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0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On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xml:space="preserve"> This statement requires, among other things, that any of various financial instruments that are issued in the form of shares that are mandatorily redeemable on a fixed or determinable date be classified as liabilities, any dividends paid on the underlying shares be treated as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Preferred Stock (continued)</w:t>
      </w:r>
    </w:p>
    <w:p>
      <w:pPr>
        <w:spacing w:after="0" w:line="164"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expense, and issuance costs should be deferred and amortized using the interest method. SFAS No. 150 is effective for all financial instruments created or modified after May 31, 2003, and is effective July 1, 2003 for the Company. As required by SFAS No. 150, accrued and unpaid dividends in fiscal years prior to adoption of SFAS No. 150 have not been reclassified to interest expense. Such amount, totaling $223,131 for the six months ended June 30, 2003, is included in dividends and accretion on preferred stock in the consolidated statements of operations. Effective July 1, 2003, dividends on the redeemable preferred stock have been classified as interest expense. For the years ended December 31, 2005, 2004 and 2003, the Company has recorded $359,308, $538,409 and $249,470, respectively, of redeemable preferred stock dividends as interest expense. As a result of the amended provisions, effective August 16, 2005 accrued dividends of $226,917 are no longer included in interest expense but are included in dividends and accretion on preferred stock in the consolidated statements of operations.</w:t>
      </w:r>
    </w:p>
    <w:p>
      <w:pPr>
        <w:spacing w:after="0" w:line="9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preferred stock is recorded net of issuance costs of $300,000, which are accreted over a period of five years. For the years ended December 31, 2005, 2004 and 2003, amortization of issuance costs included in interest expense—redeemable preferred stock amounted to $37,479, $60,000 and $32,500, respectively. For the years ended December 31, 2005 and 2003, amortization of issuance costs included in dividends and accretion on preferred stock amounted to $22,521 and $35,000, respectively.</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redeemable preferred stock is carried at the amount of cash that would be paid under the respective agreement if the shares were repurchased or redeemed at the reporting date less unamortized issuance costs of $112,500 and $172,500 at December 31, 2005 and 2004,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redeemed and retired preferred stock amounting to $13,709 in 2004.</w:t>
      </w:r>
    </w:p>
    <w:p>
      <w:pPr>
        <w:spacing w:after="0" w:line="152" w:lineRule="exact"/>
        <w:rPr>
          <w:sz w:val="20"/>
          <w:szCs w:val="20"/>
          <w:color w:val="auto"/>
        </w:rPr>
      </w:pPr>
    </w:p>
    <w:p>
      <w:pPr>
        <w:ind w:left="240" w:right="9920" w:hanging="232"/>
        <w:spacing w:after="0" w:line="373" w:lineRule="auto"/>
        <w:tabs>
          <w:tab w:leader="none" w:pos="187"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Prior to the occurrence of a conversion event, as defined in the Company’s Certificate of Incorporation, the Series B common stock will be converted into Series A common stock initially at a ratio of 1:1. Among other things, a conversion event includes the consummation of a sale of common stock in a public offering, as defined.</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July 2004, NUI Investment Limited, a significant client, purchased 526,316 shares of Series A common stock for $12,500,000. Net proceeds to the Company were $12,462,627.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 (continued)</w:t>
      </w:r>
    </w:p>
    <w:p>
      <w:pPr>
        <w:spacing w:after="0" w:line="16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sets forth the activity and the funded status of the Gratuity Plan and the amounts recognized in the Company’s consolidated financial statements at the end of the relevant periods: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395,454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208,056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(76,078)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Actuarial loss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524,152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435,576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loss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-1229995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-1229995</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-1229995</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-1229995</wp:posOffset>
            </wp:positionV>
            <wp:extent cx="45847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-929640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-929640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-929640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-929640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-929640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-929640</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-629285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-629285</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-629285</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-629285</wp:posOffset>
            </wp:positionV>
            <wp:extent cx="45847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118745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8745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September 15, 2005, the Company modified the eligibility criteria of the Company’s Gratuity Plan changing the minimum period of continuous service for eligibility under the Company’s Gratuity Plan to five years from two years. The change in the service period was effective immediately for all new employees starting on or after September 15,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Net gratuity cost includes the following components: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$140,394</w:t>
            </w:r>
          </w:p>
        </w:tc>
        <w:tc>
          <w:tcPr>
            <w:tcW w:w="4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$ 94,226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cost</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20,166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9,517</w:t>
            </w:r>
          </w:p>
        </w:tc>
        <w:tc>
          <w:tcPr>
            <w:tcW w:w="4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18,860</w:t>
            </w:r>
          </w:p>
        </w:tc>
        <w:tc>
          <w:tcPr>
            <w:tcW w:w="4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(40,749)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$282,307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$168,771</w:t>
            </w:r>
          </w:p>
        </w:tc>
        <w:tc>
          <w:tcPr>
            <w:tcW w:w="4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$ 64,415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-29210</wp:posOffset>
            </wp:positionV>
            <wp:extent cx="43307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44132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2005, 2004 and 2003 for the above calculations, a discount rate of 8% has been assumed and salaries are assumed to increase at the rate of 8%, 7% and 8% per annum, respectively.</w:t>
      </w:r>
    </w:p>
    <w:p>
      <w:pPr>
        <w:spacing w:after="0" w:line="11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2003, the Company established the ExlService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$42,812, $29,569 and $6,457 in 2005, 2004 and 2003, respectively.</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 (continued)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consolidated balance sheets. The contributions made to the Government Provident Fund for each year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$ 819,912</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3840" w:type="dxa"/>
            <w:vAlign w:val="bottom"/>
          </w:tcPr>
          <w:p>
            <w:pPr>
              <w:jc w:val="right"/>
              <w:spacing w:after="0"/>
              <w:rPr>
                <w:sz w:val="20"/>
                <w:szCs w:val="20"/>
                <w:color w:val="auto"/>
              </w:rPr>
            </w:pPr>
            <w:r>
              <w:rPr>
                <w:rFonts w:ascii="Arial" w:cs="Arial" w:eastAsia="Arial" w:hAnsi="Arial"/>
                <w:sz w:val="18"/>
                <w:szCs w:val="18"/>
                <w:color w:val="auto"/>
              </w:rPr>
              <w:t>603,323</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Exl India leases motor vehicles from finance companies. Such leases are recorded as capital leases with interest rates ranging from 9.0% to 12.5%. Future minimum lease payments under these capital leases at December 31, 2005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2006</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2008</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94,839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533,998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471,450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215,150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256,300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at various dates through 2009. Future minimum lease payments under these non-cancelable agreements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2006</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2007</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2008</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2009</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1,706,000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Rent expense under operating leases was $2,453,121, $1,646,367 and $817,400 for the years ended December 31, 2005, 2004 and 2003,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fiscal year under the Indian Income Tax Act ends on March 31. A portion of the Company’s Indian operations qualify for deduction from taxable income because its profits are attributable to undertakings situated in Export Processing Zones. This deduction is available for a period of ten consecutive years beginning from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year in which the respective undertaking commenced commercial operations. Accordingly, Exl India and NCOP can benefit from this deduction. This deduction shall terminate if the Company ceases to be an undertaking situated in Export Processing Zones. ESSPL is not eligible for this deduction.</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differences in depreciation rates of fixed assets and provisions for gratuity and vacation pay which are allowable on a cash basis under the Indian Income Tax Act.</w:t>
      </w:r>
    </w:p>
    <w:p>
      <w:pPr>
        <w:spacing w:after="0" w:line="12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income taxes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267,044</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(2,009,204)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5,801,334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5,134,836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6,412,540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5,401,880</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63881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3881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provision for income taxes consists of the following:</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1,091,491</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72,647</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69,554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1,291,430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122,647</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(1,919,000)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(101,063)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(1,938,438)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(101,063)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(647,008)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49276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The Company’s current income tax expense was reduced by approximately $808,000 as a result of using available net operating loss carryforwards.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00"/>
          </w:cols>
          <w:pgMar w:left="240" w:top="460"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net deferred income tax assets and liabilities are approximately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AMT credit carryforward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Accounts receivable allowances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Unrealized exchange loss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2,036,000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exchange gain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(1,744,000)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2,036,000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50990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the Company has AMT tax credit carryforwards of approximately $832,000, which do not have an expiration date.</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1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At December 31, 2005, the Company performed an analysis of the U.S. deferred tax asset valuation allowance. Based on the analysis, the Company has concluded that a valuation allowance offsetting the deferred tax assets not be recorded at December 31, 2005 based on the conclusion that it is more likely than not that there will be sufficient future taxable income to realize the deferred tax assets. The valuation allowance (decreased) increased by approximately ($1,744,000), ($355,000) and $1,436,000 for the years ended December 31, 2005, 2004 and 2003, respectively.</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at December 31, 2005, the Company performed an analysis of the deferred tax asset valuation allowance for its Indian subsidiary. At December 31, 2005 and 2004, the deferred tax asset valuation allowance for the Company’s Indian subsidiary was $1,753,000 and $2,440,000, respectively. The Company had concluded that a valuation allowance offsetting the deferred tax assets continue to be recorded at December 31, 2005 based on the conclusion that it is more likely than not that these assets related to the Indian subsidiary will not be realized.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tax benefit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2,244,000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(1,744,000)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(355,000)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(1,854,000)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(1,743,000)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IPO costs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Non-deductible preferred stock dividend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non-cash compensation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57848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40" w:right="9020" w:hanging="232"/>
        <w:spacing w:after="0" w:line="398" w:lineRule="auto"/>
        <w:tabs>
          <w:tab w:leader="none" w:pos="266"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Stock Based Compensation Stock Option Plan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fiscal 2003, the Company instituted the Exl Holdings 2003 Stock Option Plan (the “2003 Plan”) under which it may award options to employees, officers, directors, advisory board and consultants to purchase up to 800,000 shares of its Series B common stock. The options vest over a four-year period. The vested options must be exercised within 10 years after the vesting date or they will expire. If an employee is terminated they must exercise any vested options within 90 days after termination or the vested options are forfeited.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2003 Plan is shown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of 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404,600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(58,325)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346,275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257,100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2 .42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465,424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277,750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(133,513)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555,551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-629285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-629285</wp:posOffset>
            </wp:positionV>
            <wp:extent cx="3873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-329565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-329565</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320"/>
          </w:cols>
          <w:pgMar w:left="240" w:top="459" w:right="33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weighted-average fair value of options issued under the 2003 Plan during 2005 and 2004 was $6.54 and $9.29 respectively, and the weighted-average remaining contractual life of options outstanding and exercisable at December 31, 2005 and 2004 was 8.45 and 8.89 years, respectively.</w:t>
      </w:r>
    </w:p>
    <w:p>
      <w:pPr>
        <w:spacing w:after="0" w:line="7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 options granted to employees in 2004 and 2003, the Company recorded $423,775 and $165,409 in deferred compensation, representing the difference between the exercise price of the options on the date of grant and the fair value of the Company’s common stock. Deferred compensation is amortized over the vesting period of the related options. For the years ended December 31, 2005, 2004 and 2003, the Company amortized and recorded $65,957, $104,665 and $10,405, respectively, as compensation expense.</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December 2003, the Company granted an employee options to purchase 20,000 shares of Series B common stock at an exercise of $5.00 per share outside the 2003 Plan. For the year ended December 31, 2003, the Company recorded $12,600 as compensation expense.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12-month period ended December 31, 2005, the Company granted stock options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Deemed Fair</w:t>
            </w:r>
          </w:p>
        </w:tc>
        <w:tc>
          <w:tcPr>
            <w:tcW w:w="3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74"/>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Granted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Value Per Share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Per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March 15,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22,250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27,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May 31,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140,000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June 24,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29,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October 31,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8,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deemed fair value of the common stock for accounting purposes is supported by contemporaneous valuations performed by a third party valuation consultant.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outcome of these valuation processes was that the fair value of the Company’s common stock had declined due to the following reasons:</w:t>
      </w:r>
    </w:p>
    <w:p>
      <w:pPr>
        <w:spacing w:after="0" w:line="70"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Key Company milestones relating to attainment of revenue targets had not been met;</w:t>
      </w:r>
    </w:p>
    <w:p>
      <w:pPr>
        <w:spacing w:after="0" w:line="103"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decision by the Company to voluntarily exit certain businesses and therefore the overall revenue target and operating income target for the Company in 2005 declined to the original business plan;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Comparable company and industry analysis;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Anticipated initial public offering price per share and the timing of the initial public offering.</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Series B Common Stock</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2003, certain employees purchased 444,538 shares of Series B common stock for an aggregate purchase price of $102,013. The difference of $4,890 between the fair value of these shares and the purchase price was recorded as compensation expense in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years ended December 31, 2005, 2004 and 2003, the Company amortized and recorded compensation expense of $84,171, $101,420 and $101,420, respectively.</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Advisory Board Options</w:t>
      </w:r>
    </w:p>
    <w:p>
      <w:pPr>
        <w:spacing w:after="0" w:line="83" w:lineRule="exact"/>
        <w:rPr>
          <w:sz w:val="20"/>
          <w:szCs w:val="20"/>
          <w:color w:val="auto"/>
        </w:rPr>
      </w:pPr>
    </w:p>
    <w:p>
      <w:pPr>
        <w:jc w:val="both"/>
        <w:ind w:right="100"/>
        <w:spacing w:after="0" w:line="302" w:lineRule="auto"/>
        <w:rPr>
          <w:sz w:val="20"/>
          <w:szCs w:val="20"/>
          <w:color w:val="auto"/>
        </w:rPr>
      </w:pPr>
      <w:r>
        <w:rPr>
          <w:rFonts w:ascii="Arial" w:cs="Arial" w:eastAsia="Arial" w:hAnsi="Arial"/>
          <w:sz w:val="15"/>
          <w:szCs w:val="15"/>
          <w:color w:val="auto"/>
        </w:rPr>
        <w:t>In 2005, the Company also granted to a member of its advisory board options to purchase 5,000 shares of Series B common stock at an exercise price of $23.75 per share under the Plan. Using the Black-Scholes valuation model, the fair value of these options at December 31, 2005 was determined to be $20,750. In 2003, the Company also granted to members of its advisory board options to purchase 10,000 shares of Series B common stock at an exercise price of $0.24 per share under the Plan. Using the Black-Scholes valuation model, the fair value of these options at December 31, 2005 was determined to be approximately $172,000.</w:t>
      </w:r>
    </w:p>
    <w:p>
      <w:pPr>
        <w:spacing w:after="0" w:line="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options vest over a period of four years and expire ten years from the vesting date. For the years ended December 31, 2005, 2004 and 2003, the Company recorded $67,390, $61,494 and $1,750, respectively, as compensation expense. The fair value and related compensation expense will be remeasured for the unvested portion of these options at the end of each reporting period until such options are fully vested.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Client Options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BlackScholes valuation model was approximately $1,792,000. Such amount is being amortized as a reduction to revenue over the five-year term of the services agreement. Amortization for the years ended December 31, 2005 and 2004 was approximately $358,000 and $299,000,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The fair value was estimated considering the following assumptions:</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life</w:t>
            </w:r>
          </w:p>
        </w:tc>
        <w:tc>
          <w:tcPr>
            <w:tcW w:w="3020" w:type="dxa"/>
            <w:vAlign w:val="bottom"/>
          </w:tcPr>
          <w:p>
            <w:pPr>
              <w:ind w:left="2440"/>
              <w:spacing w:after="0"/>
              <w:rPr>
                <w:sz w:val="20"/>
                <w:szCs w:val="20"/>
                <w:color w:val="auto"/>
              </w:rPr>
            </w:pPr>
            <w:r>
              <w:rPr>
                <w:rFonts w:ascii="Arial" w:cs="Arial" w:eastAsia="Arial" w:hAnsi="Arial"/>
                <w:sz w:val="18"/>
                <w:szCs w:val="18"/>
                <w:color w:val="auto"/>
                <w:w w:val="94"/>
              </w:rPr>
              <w:t>5 years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87"/>
              </w:rPr>
              <w:t>$23.75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020" w:type="dxa"/>
            <w:vAlign w:val="bottom"/>
          </w:tcPr>
          <w:p>
            <w:pPr>
              <w:jc w:val="center"/>
              <w:ind w:left="2292"/>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received services in India for employee training performed by a company controlled by one of its stockholders. This company is one of the many companies rendering such services to Exl India. The Company recorded expenses related to these services of $86,417, $223,458 and $192,944 for the years ended December 31, 2005, 2004 and 2003, respectively. At December 31, 2005, the Company had a balance receivable of $2,492 related to these services.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our significant stockholders. The Company received approximately $320,000 and $26,000 in 2005 and 2004, respectively, in advisory fees and expense reimbursements from Williams Scotsman, Inc.</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provides advisory services to Duane Reade Holdings, Inc., which is indirectly owned by one of its significant stockholders. The Company received approximately $213,840 in 2005 in advisory fees and expense reimbursements from Duane Reade Holdings, Inc.</w:t>
      </w:r>
    </w:p>
    <w:p>
      <w:pPr>
        <w:spacing w:after="0" w:line="11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 received services in India for catering of meals by a company controlled by a stockholder. The Company recorded expenses related to these services of $31,658 for the year ended December 31, 2003. The services of this company were terminated during 2003.</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entered into employment and non-competition agreements with management in November 2002. The initial term of these agreements was three years and the Company has the option to extend the term for two additional one year periods. The agreements have been extended through September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is being amortized over a three-year period consistent with the preferred stock issued to such officers. For the years ended December 31, 2005, 2004 and 2003, the Company recorded compensation expense of $103,008, $108,660 and $108,660, respectively.</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 the years ended December 31, 2005, 2004 and 2003, the Company paid a management fee of $100,000, $200,000 and $200,000, respectively, to certain 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United States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35,648,405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28,832,232</w:t>
            </w:r>
          </w:p>
        </w:tc>
        <w:tc>
          <w:tcPr>
            <w:tcW w:w="3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15,927,472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38,298,387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31,634,414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11,843,887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Germany</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73,953,792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60,466,646</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27,771,359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United States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779,961</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975,813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15,425,040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13,912,289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United Kingdom</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16,206,665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14,888,102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00" w:type="dxa"/>
            <w:vAlign w:val="bottom"/>
            <w:gridSpan w:val="2"/>
          </w:tcPr>
          <w:p>
            <w:pPr>
              <w:jc w:val="right"/>
              <w:ind w:right="560"/>
              <w:spacing w:after="0"/>
              <w:rPr>
                <w:sz w:val="20"/>
                <w:szCs w:val="20"/>
                <w:color w:val="auto"/>
              </w:rPr>
            </w:pPr>
            <w:r>
              <w:rPr>
                <w:rFonts w:ascii="Arial" w:cs="Arial" w:eastAsia="Arial" w:hAnsi="Arial"/>
                <w:sz w:val="18"/>
                <w:szCs w:val="18"/>
                <w:color w:val="auto"/>
              </w:rPr>
              <w:t>F-25</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-1938020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-1938020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-1938020</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-1938020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-1938020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-1938020</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-1938020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-1938020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-1938020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40" w:right="8420" w:hanging="232"/>
        <w:spacing w:after="0" w:line="398" w:lineRule="auto"/>
        <w:tabs>
          <w:tab w:leader="none" w:pos="275"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Fixed Asset Commitments</w:t>
      </w:r>
    </w:p>
    <w:p>
      <w:pPr>
        <w:spacing w:after="0" w:line="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December 31, 2005, the Company had committed to spend approximately $1,383,000 under agreements to purchase fixed assets. This amount is net of advances paid in respect of these purchases.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Commitments</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$104.9 million and $43.4 million, respectively, over a period of five years.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Exl India is unable to achieve its commitments over the specified period, Exl India may be required to refund such incentives, along with penalties and fines. Management, however, believes that Exl India will achieve these export levels within the required timeframe.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Exl Service Holdings, Inc.</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24,340,259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24,240,632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561,920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21,602,475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14,762,331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383,024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2,266,437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1,093,192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50,955,822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43,020,998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14,202,947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16,206,665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557,656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2,111,705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67,968,305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62,576,311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1,348,444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6,644,233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7,608,889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4,478,556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8,472,429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6,319,374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195,296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21,315,278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19,721,545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Senior long-term debt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5,725,947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5,583,499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27,224,774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25,561,344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45,833.36 designated as Series A redeemable shares; 45,304 issued and outstanding, (liquidation preference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$6,495,963 at June 30, 2006 and $6,183,584 at December 31, 2005)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6,413,463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6,071,084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13,000,000 shares authorized: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w w:val="93"/>
              </w:rPr>
              <w:t>11,122,702 designated as Series A: 10,081,778 shares issued and outstanding as of June 30, 2006 and as of</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December 31, 2005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1,659,230 designated as Series B; 617,240 shares issued at June 30, 2006; 583,479 shares issued at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17,313,746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17,102,069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18,591,487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15,235,424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(1,550,348)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(1,189,628)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34,365,584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30,958,342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0"/>
              </w:rPr>
              <w:t>Less: 74,569 shares as at June 30, 2006 and 61,414 shares as at December 31, 2005, of Series B common stock held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in treasury, at cost</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(35,516)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34,330,068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30,943,883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67,968,305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62,576,311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-5037455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-5037455</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-5037455</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-5037455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-5037455</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-5037455</wp:posOffset>
            </wp:positionV>
            <wp:extent cx="3873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Exl Service Holdings, Inc.</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left="675"/>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center"/>
              <w:ind w:left="655"/>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24,650,263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17,727,247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46,107,597</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35,331,825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Revenues (from related party)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579,995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680,645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273,868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25,230,258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17,808,865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46,788,242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35,605,693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15,941,695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11,830,122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29,887,639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23,664,068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9,288,563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16,900,603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11,941,625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3,633,351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2,868,746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7,308,380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6,041,696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1,875,243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1,539,309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3,639,974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2,979,651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6,194,503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4,867,903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12,396,454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3,094,060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4,504,149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(1,100,715)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(699,894)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363,759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601,382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(203,767)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(313,277)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4,201,870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670,196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503,428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(173,651)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(342,379)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1,557,360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3,356,063</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10,612,084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10,587,787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10,608,813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10,573,977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10,703,917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10,714,198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10,714,911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10,729,467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-859155</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-859155</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-859155</wp:posOffset>
            </wp:positionV>
            <wp:extent cx="243078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3078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2"/>
          <w:szCs w:val="12"/>
          <w:i w:val="1"/>
          <w:iCs w:val="1"/>
          <w:color w:val="auto"/>
        </w:rPr>
      </w:pPr>
      <w:r>
        <w:rPr>
          <w:rFonts w:ascii="Arial" w:cs="Arial" w:eastAsia="Arial" w:hAnsi="Arial"/>
          <w:sz w:val="12"/>
          <w:szCs w:val="12"/>
          <w:i w:val="1"/>
          <w:iCs w:val="1"/>
          <w:color w:val="auto"/>
        </w:rPr>
        <w:t>The weighted average number of shares used in computing earnings per share for the three months and six months ended June 30, 2006 and 2005 includes Series A and Series B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Exl Service Holdings, Inc.</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3,698,442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2,680,774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3,639,974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2,979,651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400,751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Interest on senior long term debt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142,448</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167,970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Foreign exchange gain (unrealized)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1,416,135</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(797,900)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(1,339,048)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(6,907,307)</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751,684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193,801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272,725</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(1,073,430)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2,118,482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(601,324)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15,022</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(766,858)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2,698,719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4,377,254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Purchase of fixed assets (net of sale proceeds)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(2,262,582)</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(1,811,657)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(2,262,582)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(1,811,657)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(155,325)</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common stock transactions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22,384</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9,842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(182,512)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99,627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2,390,622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24,240,632</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18,760,120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24,340,259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21,150,742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24,667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1,938,872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-781685</wp:posOffset>
            </wp:positionV>
            <wp:extent cx="150495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504950"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300" w:firstLine="8"/>
        <w:spacing w:after="0" w:line="332" w:lineRule="auto"/>
        <w:tabs>
          <w:tab w:leader="none" w:pos="176"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(“Exl Holdings”) is organized as a corporation under the laws of the State of Delaware, Exl Holdings, together with its subsidiaries Exl 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unaudited condensed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Annual Consolidated Financial Statements of Exl Service Holdings, Inc for the fiscal year ended December 31, 2005 and Management’s Discussion and Analysis of Financial Condition and Results of Operations included elsewhere herein.</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unaudited interim financial statements reflect all adjustments (of a normal and recurring nature) which management considers necessary for a fair presentation of the results of operations for these periods. The results of operations for the interim periods are not necessarily indicative of the results for the full year.</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condensed consolidated balance sheet at December 31, 2005 was derived from the audited consolidated balance sheet of ExlService Holdings, Inc. at that date.</w:t>
      </w:r>
    </w:p>
    <w:p>
      <w:pPr>
        <w:spacing w:after="0" w:line="112" w:lineRule="exact"/>
        <w:rPr>
          <w:sz w:val="20"/>
          <w:szCs w:val="20"/>
          <w:color w:val="auto"/>
        </w:rPr>
      </w:pPr>
    </w:p>
    <w:p>
      <w:pPr>
        <w:ind w:right="7940" w:firstLine="8"/>
        <w:spacing w:after="0" w:line="332" w:lineRule="auto"/>
        <w:tabs>
          <w:tab w:leader="none" w:pos="17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consolidated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functional currency of Exl Holdings and Exl Inc is the United States Dollar (“U.S. Dollar”), being the currency of the primary economic environment in which they operate. The functional currency of Exl India,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NCOP and ESSPL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 of Income.</w:t>
      </w:r>
    </w:p>
    <w:p>
      <w:pPr>
        <w:spacing w:after="0" w:line="9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 Oxley compliance, internal audit and financial reporting.</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Income. The Company typically incurs telecommunications and travel related costs that are billed to and reimbursed by clients.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6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917,789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Three Months Ended June 30, 2005</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845,569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1,952,004</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Six Months Ended June 30, 2005</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1,572,446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During the three months ended June 30, 2006, two customers accounted for 41% and 14%, respectively, of the Company’s total revenues. During the three months ended June 30, 2005, two customers accounted for 54% and 10%, respectively, of the Company’s total revenues.</w:t>
      </w:r>
    </w:p>
    <w:p>
      <w:pPr>
        <w:spacing w:after="0" w:line="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the six months ended June 30, 2006, two customers accounted for 44% and 12%, respectively, of the Company’s total revenues. During the six months ended June 30, 2005, two customers accounted for 52% and 11%, respectively, of the Company’s total revenues.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20"/>
          </w:cols>
          <w:pgMar w:left="24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on June 30, 2006, two customers accounted for 36% and 19%, respectively, of the Company’s total accounts receivable. As on December 31, 2005, two customers accounted for 49% and 13%, respectively, of the Company’s total accounts receivable.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consolidated results of operations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Revenues and the cost of revenues from business processing outsourcing services and advisory services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14"/>
                <w:szCs w:val="14"/>
                <w:color w:val="auto"/>
              </w:rPr>
            </w:pPr>
          </w:p>
        </w:tc>
        <w:tc>
          <w:tcPr>
            <w:tcW w:w="22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23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c>
          <w:tcPr>
            <w:tcW w:w="22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June 30, 2006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June 30, 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June 30, 2006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June 30, 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Advisory</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Services</w:t>
            </w: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2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23,045,384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2,184,874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25,230,258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16,154,004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1,654,861</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17,808,865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$43,161,174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$3,627,068</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46,788,242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$32,196,628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$3,409,065</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35,605,693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spacing w:after="0" w:line="138" w:lineRule="exact"/>
              <w:rPr>
                <w:sz w:val="20"/>
                <w:szCs w:val="20"/>
                <w:color w:val="auto"/>
              </w:rPr>
            </w:pPr>
            <w:r>
              <w:rPr>
                <w:rFonts w:ascii="Arial" w:cs="Arial" w:eastAsia="Arial" w:hAnsi="Arial"/>
                <w:sz w:val="14"/>
                <w:szCs w:val="14"/>
                <w:color w:val="auto"/>
              </w:rPr>
              <w:t>Cost of revenue (exclusive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14,680,163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1,261,532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15,941,695</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10,940,951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889,171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11,830,122</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27,540,785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2,346,854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29,887,639</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21,963,086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1,700,982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82"/>
              </w:rPr>
              <w:t>23,664,068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8,365,221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923,342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9,288,563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5,213,053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765,690</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5,978,743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$15,620,389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$1,280,214</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16,900,603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$10,233,542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$1,708,083</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11,941,625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1,875,243</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1,539,309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3,639,974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2,979,651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363,759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138,497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601,382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(101,748)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(95,546)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(203,767)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 expense—redeemable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(159,167)</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(313,277)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670,196</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153,565</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503,428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266,751</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Changes in the fair values of contracts that are deemed effective are recorded as a component of accumulated other comprehensive income (loss) until the settlement of that contract. The Company reports comprehensive income (loss) in the consolidated statements of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recorded amounts approximate fair value due to their relatively short maturity periods.</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time deposits. By their nature, all such financial instruments involve risks including the credit risks of non-performance by counterparties.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risk by entering into various hedging instruments, authorized under Company polices with counterparties that are highly-rated financial institutions. The Company’s primary exchange rate exposure is with the British pound and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Changes in the fair value of these cash flow hedges which are deemed effective, are recorded in accumulated other comprehensive income (loss) until the contract is settled and at that time are recognized in the consolidated statements of Income. The Company evaluates hedge effectiveness at the time a contract is entered into as well as on an ongoing basis. If during this time, a contract is deemed ineffective, the change in the fair value is recorded in the consolidated statements of Income.</w:t>
      </w:r>
    </w:p>
    <w:p>
      <w:pPr>
        <w:spacing w:after="0" w:line="109"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Company entered into forward exchange contracts during the three months ended June 30, 2006. At June 30, 2006, forward exchange contracts of $41,750,000 and GBP 14,500,000 were outstanding.</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has evaluated the effectiveness of all forward exchange contracts. For the three months ended June 30, 2006 and 2005, net gains/(losses) from ineffective cash flow hedges included in the statement of income totaled approximately $(975,000) and $612,000, respectively. For the six months ended June 30, 2006 and 2005, net gains/(losses) from ineffective cash flow hedges included in the consolidated statements of income totaled $(1,007,000) and $732,000, respectively. Such gain/(loss) is included in foreign exchange gain/(loss) in the income statement. For hedge relationships discontinued because the forecasted transaction is not expected to occur by the end of the originally specified period, any related derivative amounts recorded in equity are reclassified to earnings.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February 2006, the FASB issued SFAS No. 155, </w:t>
      </w:r>
      <w:r>
        <w:rPr>
          <w:rFonts w:ascii="Arial" w:cs="Arial" w:eastAsia="Arial" w:hAnsi="Arial"/>
          <w:sz w:val="16"/>
          <w:szCs w:val="16"/>
          <w:i w:val="1"/>
          <w:iCs w:val="1"/>
          <w:color w:val="auto"/>
        </w:rPr>
        <w:t>“Accounting for certain Hybrid Financial Instruments an amendment of FASB Statements No. 133 and 140,”</w:t>
      </w:r>
      <w:r>
        <w:rPr>
          <w:rFonts w:ascii="Arial" w:cs="Arial" w:eastAsia="Arial" w:hAnsi="Arial"/>
          <w:sz w:val="16"/>
          <w:szCs w:val="16"/>
          <w:color w:val="auto"/>
        </w:rPr>
        <w:t xml:space="preserve"> or SFAS No. 155. SFAS No. 155 permits fair value remeasurement for any hybrid financial 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do not expect the adoption of SFAS 155 to have a material impact on our consolidated financial position, results of operations or cash flows.</w:t>
      </w:r>
    </w:p>
    <w:p>
      <w:pPr>
        <w:spacing w:after="0" w:line="10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In March 2006, the FASB issued SFAS No.156, </w:t>
      </w:r>
      <w:r>
        <w:rPr>
          <w:rFonts w:ascii="Arial" w:cs="Arial" w:eastAsia="Arial" w:hAnsi="Arial"/>
          <w:sz w:val="18"/>
          <w:szCs w:val="18"/>
          <w:i w:val="1"/>
          <w:iCs w:val="1"/>
          <w:color w:val="auto"/>
        </w:rPr>
        <w:t>“Accounting for Servicing of Financial Assets-an Amendment to FASB Statement No.140,”</w:t>
      </w:r>
      <w:r>
        <w:rPr>
          <w:rFonts w:ascii="Arial" w:cs="Arial" w:eastAsia="Arial" w:hAnsi="Arial"/>
          <w:sz w:val="18"/>
          <w:szCs w:val="18"/>
          <w:color w:val="auto"/>
        </w:rPr>
        <w:t xml:space="preserve"> or SFAS No.156, which clarifies the accounting for separately recognized servicing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assets and liabilities. SFAS No.156 is effective in fiscal years beginning after September 15, 2006. We do not believe the adoption of SFAS No.156 will have a material impact on our consolidated financial position, results of operation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July 2006, the FASB issued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FIN 48 is effective for fiscal years beginning after December 15, 2006. We have not yet evaluated the impact of adopting FIN 48 on our consolidated financial position, results of operation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 on Cash Balances and Time Deposits</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Current restricted time deposits represent amounts on deposit with banks against letters of credit and bank guarantees issued by the Company for equipment imports amounting to $561,920 that will mature on various dates in 2006.</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Non-current restricted cash represents guarantees against custom and excise bonding issued through banks amounting to $140,175 that will mature between 2007 and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comprehensive income for the three and six months ended June 30, 2006 and June 30,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June 30,</w:t>
            </w:r>
          </w:p>
        </w:tc>
        <w:tc>
          <w:tcPr>
            <w:tcW w:w="22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2"/>
                <w:szCs w:val="22"/>
                <w:color w:val="auto"/>
              </w:rPr>
            </w:pPr>
          </w:p>
        </w:tc>
        <w:tc>
          <w:tcPr>
            <w:tcW w:w="1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1,411,509</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$ 1,557,360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$ 3,356,063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$ 2,680,774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Unrealized gain/(loss) on effective cash flow hedges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(585,470)</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78,891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($163,818)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Minimum pension liability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(239,695)</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(11,098)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(196,902)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(825,165)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67,793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(360,720)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586,344</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$ 1,625,153</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$ 2,995,343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$ 2,791,001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8"/>
                <w:szCs w:val="18"/>
                <w:color w:val="auto"/>
              </w:rPr>
              <w:t>F-34</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Fixed assets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3"/>
              </w:rPr>
              <w:t>Useful Life</w:t>
            </w:r>
          </w:p>
        </w:tc>
        <w:tc>
          <w:tcPr>
            <w:tcW w:w="15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$ 15,897,355</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$ 13,310,963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Pr>
          <w:p>
            <w:pPr>
              <w:jc w:val="center"/>
              <w:spacing w:after="0"/>
              <w:rPr>
                <w:sz w:val="20"/>
                <w:szCs w:val="20"/>
                <w:color w:val="auto"/>
              </w:rPr>
            </w:pPr>
            <w:r>
              <w:rPr>
                <w:rFonts w:ascii="Arial" w:cs="Arial" w:eastAsia="Arial" w:hAnsi="Arial"/>
                <w:sz w:val="18"/>
                <w:szCs w:val="18"/>
                <w:color w:val="auto"/>
                <w:w w:val="84"/>
              </w:rPr>
              <w:t>3-5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7,518,991</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4,966,353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3,063,876</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2,313,948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Motor vehicles</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814,763</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778,273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229,305</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4,889,348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27,524,290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26,258,885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9"/>
                <w:szCs w:val="19"/>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8"/>
                <w:szCs w:val="18"/>
                <w:color w:val="auto"/>
              </w:rPr>
              <w:t>(13,321,343)</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(10,052,220)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$ 14,202,947</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$ 16,206,665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-27305</wp:posOffset>
            </wp:positionV>
            <wp:extent cx="162496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624965" cy="29845"/>
                    </a:xfrm>
                    <a:prstGeom prst="rect">
                      <a:avLst/>
                    </a:prstGeom>
                    <a:noFill/>
                  </pic:spPr>
                </pic:pic>
              </a:graphicData>
            </a:graphic>
          </wp:anchor>
        </w:drawing>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June 30, 2006 were $717,171 and $361,368, respectively, and at December 31, 2005 were $778,273 and $361,829, respectively.</w:t>
      </w:r>
    </w:p>
    <w:p>
      <w:pPr>
        <w:spacing w:after="0" w:line="127" w:lineRule="exact"/>
        <w:rPr>
          <w:sz w:val="20"/>
          <w:szCs w:val="20"/>
          <w:color w:val="auto"/>
        </w:rPr>
      </w:pPr>
    </w:p>
    <w:p>
      <w:pPr>
        <w:jc w:val="both"/>
        <w:ind w:right="200"/>
        <w:spacing w:after="0" w:line="303" w:lineRule="auto"/>
        <w:rPr>
          <w:sz w:val="20"/>
          <w:szCs w:val="20"/>
          <w:color w:val="auto"/>
        </w:rPr>
      </w:pPr>
      <w:r>
        <w:rPr>
          <w:rFonts w:ascii="Arial" w:cs="Arial" w:eastAsia="Arial" w:hAnsi="Arial"/>
          <w:sz w:val="15"/>
          <w:szCs w:val="15"/>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life of 36 months was appropriate. As a result of this review and the success of the Company’s business model, the Company believes that it will remain in these facilities through at least a further 60 months.</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 (2) the amortization expense to be recognized for periods starting April 1, 2005 of leasehold assets put into place prior to April 1, 2005 that were not fully amortized.</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change in estimated useful life of leasehold improvements resulted in amortization expense being approximately $176,000 less in the three months ended June 30, 2006 and $352,000 for the six months ended June 30, 2006 and approximately $176,000 less in the three and six months ended June 30, 2005, than what it would have been had the estimated useful life not changed.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Long-Term Debt</w:t>
      </w:r>
    </w:p>
    <w:p>
      <w:pPr>
        <w:spacing w:after="0" w:line="83"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 The Company redeemed promissory notes including accrued interest of $13,239 in 2004.</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effective interest rate at June 30, 2006 was 5.17% and at December 31, 2005 was 4.08%. Accrued interest at June 30, 2006 and December 31, 2005 included in senior long-term debt on the consolidated balance sheets is $792,783 and $650,335,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financing costs, totaling $300,000, are included in other assets and are being amortized to interest expense through the maturity date of the senior long-term debt. For each of the three and six months ended June 30, 2006 and June 30, 2005, amortization of deferred financing costs amounted to $15,000 and $30,000,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Preferred Stock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The liquidation preference is equal to $100 per share plus any accrued and unpaid dividends.</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June 30, 2006 and December 31, 2005 amounted to $1,965,562 and $1,653,183, respectively.</w:t>
      </w:r>
    </w:p>
    <w:p>
      <w:pPr>
        <w:spacing w:after="0" w:line="1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to (i) remove a provision stating that upon the resignation by, or other termination of employment of, Vikram Talwar or Rohit Kapoor, the holders of the redeemable preferred stock may require the Company to redeem the preferred stock and (ii) remove the automatic redemption provisions of the preferred stock agreement.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statement requires, among other things, that any of various financial instruments that are issued in the form of shares that are mandatorily redeemable on a fixed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 determinable date be classified as liabilities, any dividends paid on the underlying shares be treated as interest expense, and issuance costs should be deferred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amortized using the interest method. SFAS No. 150 is effective for all financial instruments created or modified after May 31, 2003, and is effective July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for the Company. As required by SFAS No. 150, accrued and unpaid dividends in fiscal years prior to adoption of SFAS No. 150 have not been reclassified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interest expense. Effective July 1, 2003, dividends on the redeemable preferred stock have been classified as interest expense.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2005, the Company recorded $144,167 as interest expense. For the six months ended June 20, 2005, the Company recorded $283,277 as interest expense.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amended provisions, effective August 16, 2005, for the three months ended June 30, 2006 accrued dividends of $158,651 and for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June 30, 2006 accrued dividends of $312,379 are no longer included in interest expense but are included in dividends and accretion on preferred stock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Income.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preferred stock is recorded net of issuance costs of $300,000, which are accreted over a period of five years. For the three and six months ended June 30, 2006, amortization of issuance costs of $15,000 and $30,000, respectively, was included as dividends and accretion on preferred stock in the statement of Income. For the three and six months ended June 30, 2005 amortization of issuance costs of $15,000 and $30,000, respectively, was included in interest expense in the Statement of Income.</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redeemable preferred stock is carried at the amount of cash that would be paid under the respective agreement if the shares were repurchased or redeemed at the reporting date less unamortized issuance costs of $82,500 and $112,500 at June 30, 2006 and at December 31, 2005, respectively.</w:t>
      </w:r>
    </w:p>
    <w:p>
      <w:pPr>
        <w:spacing w:after="0" w:line="66" w:lineRule="exact"/>
        <w:rPr>
          <w:sz w:val="20"/>
          <w:szCs w:val="20"/>
          <w:color w:val="auto"/>
        </w:rPr>
      </w:pPr>
    </w:p>
    <w:p>
      <w:pPr>
        <w:ind w:right="9920" w:firstLine="8"/>
        <w:spacing w:after="0" w:line="373" w:lineRule="auto"/>
        <w:tabs>
          <w:tab w:leader="none" w:pos="176"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Prior to the occurrence of a conversion event, as defined in the Company’s Certificate of Incorporation, the Series B common stock will be converted into Series A common stock initially at a ratio of 1:1. Among other things, a conversion event includes the consummation of a sale of common stock in a public offering, as defined.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period to which they relate.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gratuity cost includes the following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174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72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61"/>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$ 63,039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$ 52,014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128,151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cost</w:t>
            </w:r>
          </w:p>
        </w:tc>
        <w:tc>
          <w:tcPr>
            <w:tcW w:w="4060" w:type="dxa"/>
            <w:vAlign w:val="bottom"/>
            <w:gridSpan w:val="4"/>
          </w:tcPr>
          <w:p>
            <w:pPr>
              <w:jc w:val="right"/>
              <w:ind w:right="340"/>
              <w:spacing w:after="0"/>
              <w:rPr>
                <w:sz w:val="20"/>
                <w:szCs w:val="20"/>
                <w:color w:val="auto"/>
              </w:rPr>
            </w:pPr>
            <w:r>
              <w:rPr>
                <w:rFonts w:ascii="Arial" w:cs="Arial" w:eastAsia="Arial" w:hAnsi="Arial"/>
                <w:sz w:val="18"/>
                <w:szCs w:val="18"/>
                <w:color w:val="auto"/>
              </w:rPr>
              <w:t>7,503</w:t>
            </w:r>
          </w:p>
        </w:tc>
        <w:tc>
          <w:tcPr>
            <w:tcW w:w="640" w:type="dxa"/>
            <w:vAlign w:val="bottom"/>
          </w:tcPr>
          <w:p>
            <w:pPr>
              <w:jc w:val="right"/>
              <w:spacing w:after="0"/>
              <w:rPr>
                <w:sz w:val="20"/>
                <w:szCs w:val="20"/>
                <w:color w:val="auto"/>
              </w:rPr>
            </w:pPr>
            <w:r>
              <w:rPr>
                <w:rFonts w:ascii="Arial" w:cs="Arial" w:eastAsia="Arial" w:hAnsi="Arial"/>
                <w:sz w:val="18"/>
                <w:szCs w:val="18"/>
                <w:color w:val="auto"/>
              </w:rPr>
              <w:t>5,042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40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$ 70,542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$ 70,577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143,403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39878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consolidated balance sheets. The contributions made to the Government Provident Fund for each period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2006</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681,183</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Three months ended June 30, 2005</w:t>
            </w:r>
          </w:p>
        </w:tc>
        <w:tc>
          <w:tcPr>
            <w:tcW w:w="4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527,057</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2006</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1,283,862</w:t>
            </w: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Six months ended June 30, 2005</w:t>
            </w:r>
          </w:p>
        </w:tc>
        <w:tc>
          <w:tcPr>
            <w:tcW w:w="4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961,329</w:t>
            </w:r>
          </w:p>
        </w:tc>
      </w:tr>
      <w:tr>
        <w:trPr>
          <w:trHeight w:val="35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20" w:type="dxa"/>
            <w:vAlign w:val="bottom"/>
          </w:tcPr>
          <w:p>
            <w:pPr>
              <w:jc w:val="right"/>
              <w:ind w:right="3532"/>
              <w:spacing w:after="0"/>
              <w:rPr>
                <w:sz w:val="20"/>
                <w:szCs w:val="20"/>
                <w:color w:val="auto"/>
              </w:rPr>
            </w:pPr>
            <w:r>
              <w:rPr>
                <w:rFonts w:ascii="Arial" w:cs="Arial" w:eastAsia="Arial" w:hAnsi="Arial"/>
                <w:sz w:val="18"/>
                <w:szCs w:val="18"/>
                <w:color w:val="auto"/>
              </w:rPr>
              <w:t>F-37</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Exl India leases motor vehicles from finance companies. Such leases are recorded as capital leases with interest rates ranging from 9.0% to 12.5%. Future minimum lease payments under these capital leases at June 30, 2006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2007</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2009</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427,500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378,845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195,296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183,549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conducts its operations using facilities, office furniture and certain equipment leased under non-cancelable operating lease agreements that expire at various dates through the year 2009. Future minimum lease payments under these non-cancelable agreements expiring after more than 12 months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892"/>
              <w:spacing w:after="0"/>
              <w:rPr>
                <w:sz w:val="20"/>
                <w:szCs w:val="20"/>
                <w:color w:val="auto"/>
              </w:rPr>
            </w:pPr>
            <w:r>
              <w:rPr>
                <w:rFonts w:ascii="Arial" w:cs="Arial" w:eastAsia="Arial" w:hAnsi="Arial"/>
                <w:sz w:val="18"/>
                <w:szCs w:val="18"/>
                <w:color w:val="auto"/>
                <w:w w:val="84"/>
              </w:rPr>
              <w:t>Year end June 30</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center"/>
              <w:ind w:right="3892"/>
              <w:spacing w:after="0"/>
              <w:rPr>
                <w:sz w:val="20"/>
                <w:szCs w:val="20"/>
                <w:color w:val="auto"/>
              </w:rPr>
            </w:pPr>
            <w:r>
              <w:rPr>
                <w:rFonts w:ascii="Arial" w:cs="Arial" w:eastAsia="Arial" w:hAnsi="Arial"/>
                <w:sz w:val="18"/>
                <w:szCs w:val="18"/>
                <w:color w:val="auto"/>
                <w:w w:val="89"/>
              </w:rPr>
              <w:t>2007</w:t>
            </w:r>
          </w:p>
        </w:tc>
        <w:tc>
          <w:tcPr>
            <w:tcW w:w="3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892"/>
              <w:spacing w:after="0"/>
              <w:rPr>
                <w:sz w:val="20"/>
                <w:szCs w:val="20"/>
                <w:color w:val="auto"/>
              </w:rPr>
            </w:pPr>
            <w:r>
              <w:rPr>
                <w:rFonts w:ascii="Arial" w:cs="Arial" w:eastAsia="Arial" w:hAnsi="Arial"/>
                <w:sz w:val="18"/>
                <w:szCs w:val="18"/>
                <w:color w:val="auto"/>
                <w:w w:val="89"/>
              </w:rPr>
              <w:t>2008</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jc w:val="center"/>
              <w:ind w:right="3892"/>
              <w:spacing w:after="0"/>
              <w:rPr>
                <w:sz w:val="20"/>
                <w:szCs w:val="20"/>
                <w:color w:val="auto"/>
              </w:rPr>
            </w:pPr>
            <w:r>
              <w:rPr>
                <w:rFonts w:ascii="Arial" w:cs="Arial" w:eastAsia="Arial" w:hAnsi="Arial"/>
                <w:sz w:val="18"/>
                <w:szCs w:val="18"/>
                <w:color w:val="auto"/>
                <w:w w:val="89"/>
              </w:rPr>
              <w:t>2009</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288,300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1,362,880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Rent expense under operating leases was $674,100 and $589,455 for the three months ended June 30, 2006 and 2005, respectively. Rent expense under operating leases was $1,350,937 and $1,159,721 for the six months ended June 30, 2006 and 2005,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recorded tax expense of $799,498 and $1,245,502 for the three and six month period ended June 30, 2006, respectively. However this was partially offset by a deferred tax benefit primarily generated from recognizing deferred tax assets on deferred compensation and deferred revenue in the United States and depreciation in foreign tax jurisdictions. This increase in deferred tax assets was partially offset by utilization of AMT credit carryforwards. This resulted in an overall tax expense of $503,428 being recorded for the six months ended June 30, 2006 and $670,196 for three months ended June 30, 2006.</w:t>
      </w:r>
    </w:p>
    <w:p>
      <w:pPr>
        <w:spacing w:after="0" w:line="9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June 30, 2006, the Company performed an analysis of the deferred tax asset valuation allowance for its Indian subsidiary. The Company had concluded that a valuation allowance offsetting the deferred tax assets continue to be recorded at June 30, 2006 based on the conclusion that it is more likely than not that these assets related to the Indian subsidiary will not be realized. The valuation allowance at June 30, 2006 is approximately $1,990,000.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fiscal 2006 the Company instituted the Exl Holdings 2006 Stock Option Plan (the “2006 Plan”). The 2006 Plan covers all the employees of the Company and its subsidiaries. The Compensation Committee of the Board (the “Committee”) administers the 2006 Plan and grants stock options to eligible employees of the Company and its subsidiaries.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10% vesting in year 1, 20% vesting in year 2, 30% vesting in year 3 and 40% vesting in year 4. Pursuant to the 2006 Plan, the Company has reserved 574,692 shares of Series B common stock for the granting of options. If an employee is terminated they must exercise any vested options within 90 days after termination or the vested options are forfeited.</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fiscal 2003, the Company instituted the Exl Holdings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 Pursuant to the 2003 Plan, the Company has reserved 800,000 shares of Series B common stock for the granting of options. If an employee is terminated they must exercise any vested options within 90 days after termination or the vested options are forfeited.</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January 1, 2006, we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using the modified prospective method of transition. Under the provisions of SFAS No. 123(R), the estimated fair value of share- based awards granted under stock incentive plans are recognized as compensation expense over the vesting period. Using the modified prospective method, compensation expense is recognized beginning with the effective date of adoption of SFAS No.123(R) for all share-based payments (i) granted after the effective date of adoption and (ii) granted prior to the effective date of adoption and that remain unvested on the date of adoption.</w:t>
      </w:r>
    </w:p>
    <w:p>
      <w:pPr>
        <w:spacing w:after="0" w:line="12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We recorded approximately $201,207 and $400,751 of total share-based compensation expense for the three and six month period ended June 30, 2006, respectively as required under SFAS No. 123(R).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Prior to January 1, 2006, the Company accounted for share-based payments using the Accounting Principles Board (“APB”) Opinion No. 25 intrinsic value method and, as such, generally recognized compensation cost for employee stock options where the exercise price was less that the fair value on the date of grant.</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4"/>
          </w:tcPr>
          <w:p>
            <w:pPr>
              <w:ind w:left="4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0"/>
              </w:rPr>
              <w:t>June 30, 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w w:val="95"/>
              </w:rPr>
              <w:t>Add: stock based employee compensation expense included in reported net income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(14,610)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stock based employee compensation expense determined under the fair value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(128,785)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to common stockholders</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 pro forma</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-781685</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-781685</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-781685</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-781685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-781685</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-781685</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with the following assumptions. In addition, a forfeiture rate of 25% has been used based on a review of historical option activity.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value the option grants for three and six month ended June 30, 2006 and June 30, 2005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Three months ended</w:t>
            </w:r>
          </w:p>
        </w:tc>
        <w:tc>
          <w:tcPr>
            <w:tcW w:w="340" w:type="dxa"/>
            <w:vAlign w:val="bottom"/>
          </w:tcPr>
          <w:p>
            <w:pPr>
              <w:spacing w:after="0"/>
              <w:rPr>
                <w:sz w:val="14"/>
                <w:szCs w:val="14"/>
                <w:color w:val="auto"/>
              </w:rPr>
            </w:pPr>
          </w:p>
        </w:tc>
        <w:tc>
          <w:tcPr>
            <w:tcW w:w="162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5"/>
                <w:szCs w:val="15"/>
                <w:color w:val="auto"/>
              </w:rPr>
            </w:pPr>
          </w:p>
        </w:tc>
        <w:tc>
          <w:tcPr>
            <w:tcW w:w="162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340" w:type="dxa"/>
            <w:vAlign w:val="bottom"/>
            <w:gridSpan w:val="2"/>
          </w:tcPr>
          <w:p>
            <w:pPr>
              <w:jc w:val="center"/>
              <w:ind w:left="2476"/>
              <w:spacing w:after="0"/>
              <w:rPr>
                <w:sz w:val="20"/>
                <w:szCs w:val="20"/>
                <w:color w:val="auto"/>
              </w:rPr>
            </w:pPr>
            <w:r>
              <w:rPr>
                <w:rFonts w:ascii="Arial" w:cs="Arial" w:eastAsia="Arial" w:hAnsi="Arial"/>
                <w:sz w:val="14"/>
                <w:szCs w:val="14"/>
                <w:b w:val="1"/>
                <w:bCs w:val="1"/>
                <w:color w:val="auto"/>
                <w:w w:val="83"/>
              </w:rPr>
              <w:t>2006</w:t>
            </w:r>
          </w:p>
        </w:tc>
        <w:tc>
          <w:tcPr>
            <w:tcW w:w="98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2006</w:t>
            </w:r>
          </w:p>
        </w:tc>
        <w:tc>
          <w:tcPr>
            <w:tcW w:w="114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40" w:type="dxa"/>
            <w:vAlign w:val="bottom"/>
            <w:gridSpan w:val="2"/>
            <w:shd w:val="clear" w:color="auto" w:fill="CCEEFF"/>
          </w:tcPr>
          <w:p>
            <w:pPr>
              <w:jc w:val="center"/>
              <w:ind w:left="2476"/>
              <w:spacing w:after="0"/>
              <w:rPr>
                <w:sz w:val="20"/>
                <w:szCs w:val="20"/>
                <w:color w:val="auto"/>
              </w:rPr>
            </w:pPr>
            <w:r>
              <w:rPr>
                <w:rFonts w:ascii="Arial" w:cs="Arial" w:eastAsia="Arial" w:hAnsi="Arial"/>
                <w:sz w:val="18"/>
                <w:szCs w:val="18"/>
                <w:color w:val="auto"/>
                <w:w w:val="84"/>
              </w:rPr>
              <w:t>0%</w:t>
            </w:r>
          </w:p>
        </w:tc>
        <w:tc>
          <w:tcPr>
            <w:tcW w:w="98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5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3"/>
              </w:rPr>
              <w:t>60 months</w:t>
            </w:r>
          </w:p>
        </w:tc>
        <w:tc>
          <w:tcPr>
            <w:tcW w:w="34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60 months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60 months</w:t>
            </w:r>
          </w:p>
        </w:tc>
        <w:tc>
          <w:tcPr>
            <w:tcW w:w="32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85"/>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340" w:type="dxa"/>
            <w:vAlign w:val="bottom"/>
            <w:gridSpan w:val="2"/>
            <w:shd w:val="clear" w:color="auto" w:fill="CCEEFF"/>
          </w:tcPr>
          <w:p>
            <w:pPr>
              <w:jc w:val="center"/>
              <w:ind w:left="2476"/>
              <w:spacing w:after="0"/>
              <w:rPr>
                <w:sz w:val="20"/>
                <w:szCs w:val="20"/>
                <w:color w:val="auto"/>
              </w:rPr>
            </w:pPr>
            <w:r>
              <w:rPr>
                <w:rFonts w:ascii="Arial" w:cs="Arial" w:eastAsia="Arial" w:hAnsi="Arial"/>
                <w:sz w:val="18"/>
                <w:szCs w:val="18"/>
                <w:color w:val="auto"/>
                <w:w w:val="90"/>
              </w:rPr>
              <w:t>4.25%</w:t>
            </w:r>
          </w:p>
        </w:tc>
        <w:tc>
          <w:tcPr>
            <w:tcW w:w="98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2"/>
              </w:rPr>
              <w:t>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14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3340" w:type="dxa"/>
            <w:vAlign w:val="bottom"/>
            <w:gridSpan w:val="2"/>
          </w:tcPr>
          <w:p>
            <w:pPr>
              <w:jc w:val="center"/>
              <w:ind w:left="2496"/>
              <w:spacing w:after="0"/>
              <w:rPr>
                <w:sz w:val="20"/>
                <w:szCs w:val="20"/>
                <w:color w:val="auto"/>
              </w:rPr>
            </w:pPr>
            <w:r>
              <w:rPr>
                <w:rFonts w:ascii="Arial" w:cs="Arial" w:eastAsia="Arial" w:hAnsi="Arial"/>
                <w:sz w:val="18"/>
                <w:szCs w:val="18"/>
                <w:color w:val="auto"/>
                <w:w w:val="88"/>
              </w:rPr>
              <w:t>50%</w:t>
            </w:r>
          </w:p>
        </w:tc>
        <w:tc>
          <w:tcPr>
            <w:tcW w:w="980" w:type="dxa"/>
            <w:vAlign w:val="bottom"/>
            <w:gridSpan w:val="2"/>
          </w:tcPr>
          <w:p>
            <w:pPr>
              <w:jc w:val="center"/>
              <w:ind w:left="416"/>
              <w:spacing w:after="0"/>
              <w:rPr>
                <w:sz w:val="20"/>
                <w:szCs w:val="20"/>
                <w:color w:val="auto"/>
              </w:rPr>
            </w:pPr>
            <w:r>
              <w:rPr>
                <w:rFonts w:ascii="Arial" w:cs="Arial" w:eastAsia="Arial" w:hAnsi="Arial"/>
                <w:sz w:val="18"/>
                <w:szCs w:val="18"/>
                <w:color w:val="auto"/>
                <w:w w:val="88"/>
              </w:rPr>
              <w:t>50%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92"/>
              <w:spacing w:after="0"/>
              <w:rPr>
                <w:sz w:val="20"/>
                <w:szCs w:val="20"/>
                <w:color w:val="auto"/>
              </w:rPr>
            </w:pPr>
            <w:r>
              <w:rPr>
                <w:rFonts w:ascii="Arial" w:cs="Arial" w:eastAsia="Arial" w:hAnsi="Arial"/>
                <w:sz w:val="18"/>
                <w:szCs w:val="18"/>
                <w:color w:val="auto"/>
              </w:rPr>
              <w:t>50%</w:t>
            </w:r>
          </w:p>
        </w:tc>
        <w:tc>
          <w:tcPr>
            <w:tcW w:w="114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Stock option activity under the Plan is shown below:</w:t>
            </w: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1960" w:type="dxa"/>
            <w:vAlign w:val="bottom"/>
            <w:gridSpan w:val="5"/>
          </w:tcPr>
          <w:p>
            <w:pPr>
              <w:ind w:left="34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5"/>
                <w:szCs w:val="15"/>
                <w:color w:val="auto"/>
              </w:rPr>
            </w:pPr>
          </w:p>
        </w:tc>
        <w:tc>
          <w:tcPr>
            <w:tcW w:w="1620" w:type="dxa"/>
            <w:vAlign w:val="bottom"/>
            <w:gridSpan w:val="4"/>
          </w:tcPr>
          <w:p>
            <w:pPr>
              <w:ind w:left="1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555,551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89,775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(33,761)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(82,312)</w:t>
            </w:r>
          </w:p>
        </w:tc>
        <w:tc>
          <w:tcPr>
            <w:tcW w:w="340" w:type="dxa"/>
            <w:vAlign w:val="bottom"/>
          </w:tcPr>
          <w:p>
            <w:pPr>
              <w:spacing w:after="0"/>
              <w:rPr>
                <w:sz w:val="19"/>
                <w:szCs w:val="19"/>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529,253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2006</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Available for grant at June 30, 2006</w:t>
            </w:r>
          </w:p>
        </w:tc>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507,737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40" w:type="dxa"/>
            <w:vAlign w:val="bottom"/>
            <w:gridSpan w:val="2"/>
          </w:tcPr>
          <w:p>
            <w:pPr>
              <w:ind w:left="900"/>
              <w:spacing w:after="0"/>
              <w:rPr>
                <w:sz w:val="20"/>
                <w:szCs w:val="20"/>
                <w:color w:val="auto"/>
              </w:rPr>
            </w:pPr>
            <w:r>
              <w:rPr>
                <w:rFonts w:ascii="Arial" w:cs="Arial" w:eastAsia="Arial" w:hAnsi="Arial"/>
                <w:sz w:val="18"/>
                <w:szCs w:val="18"/>
                <w:color w:val="auto"/>
              </w:rPr>
              <w:t>F-40</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issued 5,000 shares of restricted stock during the three months ended June 30, 2006. The weighted-average fair value of options issued under the 2003 Plan during the six months ended June 2006 and 2005 was $8.93 and $6.67, respectively, and during the three months ended June 2006 and 2005 was $8.93 and $5.41, respectively. The weighted-average remaining contractual life of options outstanding and exercisable at June 30, 2006 and June 30, 2005 was 8.15 years and 8.88 years,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the options issued to date. Stock options that are anti-dilutive are excluded from the computation of weighted average shares outstanding. For the three months ended June 30, 2006 and 2005, the weighted average number of shares used in calculating diluted earnings per share includes stock options of $91,833 and $126,410, respectively. For the six months ended June 30, 2006 and 2005, the weighted average number of shares used in calculating diluted earnings per share includes stock options of $106,097 and $155,489, respectively. The calculation of earnings per share for the three months ended June 30, 2006 and 2005 exclude stock options of 368,412 and 355,375, respectively, and for six months ended June 30, 2006 and 2005 exclude stock options of 368,412 and 355,375, respectively, because the exercise price of the option is more than the average price of stock and hence to include them in the calculation would be anti-dilutive. The calculation of dilutive earnings per share includes future stock compensation of $2,267,886 for the three and six months ended June 30, 2006.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six months ended June 30, 2005, the Company amortized and recorded compensation expense of $24,918.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77" w:lineRule="exact"/>
        <w:rPr>
          <w:sz w:val="20"/>
          <w:szCs w:val="20"/>
          <w:color w:val="auto"/>
        </w:rPr>
      </w:pPr>
    </w:p>
    <w:p>
      <w:pPr>
        <w:jc w:val="both"/>
        <w:ind w:right="60"/>
        <w:spacing w:after="0" w:line="302" w:lineRule="auto"/>
        <w:rPr>
          <w:sz w:val="20"/>
          <w:szCs w:val="20"/>
          <w:color w:val="auto"/>
        </w:rPr>
      </w:pPr>
      <w:r>
        <w:rPr>
          <w:rFonts w:ascii="Arial" w:cs="Arial" w:eastAsia="Arial" w:hAnsi="Arial"/>
          <w:sz w:val="15"/>
          <w:szCs w:val="15"/>
          <w:color w:val="auto"/>
        </w:rPr>
        <w:t>In 2005, the Company also granted to a member of its advisory board options to purchase 5,000 shares of Series B common stock at an exercise price of $23.75 per share under the 2003 Plan. Using the Black-Scholes valuation model, the fair value of these options at June 30, 2006 was determined to be $34,000. In 2003, the Company also granted to members of its advisory board options to purchase 10,000 shares of Series B common stock at an exercise price of $0.24 per share under the 2003 Plan. Using the Black-Scholes valuation model, the fair value of these options at June 30, 2006 was determined to be approximately $172,000.</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These options vest over a period of four years and expire ten years from the vesting date. For the three months ended June 30, 2006, the Company recorded an expense reversal of $25,991 and for three months ended June 30, 2005 an expense of $14,753 towards compensation expense. For the six months ended June 30, 2006, the Company recorded an expense reversal of $11,238 of compensation expense. For the six months ended June 30, 2005, the Company recorded $29,506 as compensation expense. The fair value and related compensation expense will be remeasured for the unvested portion of these options at the end of each reporting period until such options are fully vested. The Company had remeasured the fair value of the unvested portion at the end of June 30, 2006 and had accordingly passed a credit to the compensation expense.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 Scholes valuation model was approximately $1,792,000. Such amount is being amortized as a reduction to revenue over the five-year term of the services agreement. Amortization for the three months ended June 30, 2006 and 2005 was approximately $89,604. Amortization for the six months ended June 30, 2006 and 2005 was approximately $179,208.</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The fair value was estimated considering the following assumptions:</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Life</w:t>
            </w:r>
          </w:p>
        </w:tc>
        <w:tc>
          <w:tcPr>
            <w:tcW w:w="302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23.75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15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received services in India for employee training performed by a company controlled by one of its stockholders. This company is one of the many companies rendering such services to Exl India. The Company recorded expenses related to these services of $7,477 and $24,562 for the three months ended June 30, 2006 and June 30, 2005, respectively. For the six months ended June 30, 2006 and June 30, 2005, the Company recorded expenses of $25,925 and $38,907, respectively, for these services. At June 30, 2006 the Company had a balance payable of $15,811 related to these services.</w:t>
      </w:r>
    </w:p>
    <w:p>
      <w:pPr>
        <w:spacing w:after="0" w:line="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our significant stockholders. The Company received approximately $219,760 and $73,738 in the three months ending June 30, 2006 and 2005, respectively, and $245,410 and $265,988 in the first six months of 2006 and 2005, respectively, in advisory fees revenue and expense reimbursements from Williams Scotsman, Inc.</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provides BPO services to MedSynergies, Inc., a provider of outsourced billing, claims administration and payment processing services to healthcare providers. MedSynergies, Inc. is controlled by entities related to FTVentures, one of our significant stockholders. The Company recognized revenue of approximately $156,335 in the three months ending June 30, 2006 and the first six months of 2006 from MedSynergies, Inc.</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provides advisory services to Duane Reade Holdings, Inc., which is indirectly owned by one of its significant stockholders. The Company received approximately $203,900 and $7,880 in the three months ending June 30, 2006 and 2005, respectively, and $278,900 and $7,880 in the first six months of 2006 and 2005, respectively, in advisory fees and expense reimbursements from Duane Reade Holdings, Inc.</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June 30, 2006 the Company had a balance receivable of $389,368 related to these services.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Company entered into employment and non-competition agreements with management in November 2002. The initial term of these agreements was three years and the Company has the option to extend the term for two additional one-year periods. The agreements were extended through September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was amortized over a three-year period consistent with the preferred stock issued to such officers. This was fully amortized by December 2005. The Company recorded compensation expense of $27,165 and $54,330 during the three months and six months ended June 30, 2005, respectively.</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each of the three months ended June 30, 2006 and 2005, the Company accrued management fees of $50,000 to certain investors. For each of the six months ended June 30, 2006 and 2005, the Company accrued management fees of $100,000 to certain 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9"/>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5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United States</w:t>
            </w:r>
          </w:p>
        </w:tc>
        <w:tc>
          <w:tcPr>
            <w:tcW w:w="3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11,202,590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8,188,686</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20,760,173</w:t>
            </w:r>
          </w:p>
        </w:tc>
        <w:tc>
          <w:tcPr>
            <w:tcW w:w="43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950" w:type="dxa"/>
            <w:vAlign w:val="bottom"/>
          </w:tcPr>
          <w:p>
            <w:pPr>
              <w:jc w:val="right"/>
              <w:spacing w:after="0"/>
              <w:rPr>
                <w:sz w:val="20"/>
                <w:szCs w:val="20"/>
                <w:color w:val="auto"/>
              </w:rPr>
            </w:pPr>
            <w:r>
              <w:rPr>
                <w:rFonts w:ascii="Arial" w:cs="Arial" w:eastAsia="Arial" w:hAnsi="Arial"/>
                <w:sz w:val="18"/>
                <w:szCs w:val="18"/>
                <w:color w:val="auto"/>
              </w:rPr>
              <w:t>16,876,177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14,027,668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26,024,069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25,230,258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17,808,865</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46,788,242</w:t>
            </w:r>
          </w:p>
        </w:tc>
        <w:tc>
          <w:tcPr>
            <w:tcW w:w="43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35,605,693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7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June 30, 2006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December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United States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914,711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779,961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13,283,106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UK</w:t>
            </w:r>
          </w:p>
        </w:tc>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$ 14,202,947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16,206,665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06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F-43</w:t>
            </w: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-1655445</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-1655445</wp:posOffset>
            </wp:positionV>
            <wp:extent cx="321119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21119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580" w:firstLine="8"/>
        <w:spacing w:after="0" w:line="398" w:lineRule="auto"/>
        <w:tabs>
          <w:tab w:leader="none" w:pos="263"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June 30, 2006, the Company had committed to spend approximately $150,000 under agreements to purchase fixed assets. This amount is net of advances paid in respect of these purchases.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$244.5 million and $43.4 million, respectively, over a period of five years.</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event Exl India is unable to achieve its commitments over the specified period, Exl India may be required to refund such incentives along with penalties and fines. Management believes that Exl India will achieve these export levels within the required timeframe.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July 1, 2006, the Company completed the acquisition of Inductis for approximately $13 million.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40"/>
          </w:cols>
          <w:pgMar w:left="240" w:top="460" w:right="3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Russell Bedford</w:t>
      </w:r>
    </w:p>
    <w:p>
      <w:pPr>
        <w:spacing w:after="0" w:line="2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Stefanou Mirchandani LLP</w:t>
      </w:r>
    </w:p>
    <w:p>
      <w:pPr>
        <w:spacing w:after="0" w:line="14" w:lineRule="exact"/>
        <w:rPr>
          <w:sz w:val="20"/>
          <w:szCs w:val="20"/>
          <w:color w:val="auto"/>
        </w:rPr>
      </w:pPr>
    </w:p>
    <w:p>
      <w:pPr>
        <w:ind w:left="8000"/>
        <w:spacing w:after="0"/>
        <w:rPr>
          <w:sz w:val="20"/>
          <w:szCs w:val="20"/>
          <w:color w:val="auto"/>
        </w:rPr>
      </w:pPr>
      <w:r>
        <w:rPr>
          <w:rFonts w:ascii="Arial" w:cs="Arial" w:eastAsia="Arial" w:hAnsi="Arial"/>
          <w:sz w:val="14"/>
          <w:szCs w:val="14"/>
          <w:i w:val="1"/>
          <w:iCs w:val="1"/>
          <w:color w:val="auto"/>
        </w:rPr>
        <w:t>Accountants and Advisors</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4"/>
          <w:szCs w:val="14"/>
          <w:color w:val="auto"/>
        </w:rPr>
        <w:t>5 West 37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Street</w:t>
      </w:r>
    </w:p>
    <w:p>
      <w:pPr>
        <w:ind w:left="8000"/>
        <w:spacing w:after="0" w:line="221" w:lineRule="auto"/>
        <w:rPr>
          <w:sz w:val="20"/>
          <w:szCs w:val="20"/>
          <w:color w:val="auto"/>
        </w:rPr>
      </w:pPr>
      <w:r>
        <w:rPr>
          <w:rFonts w:ascii="Arial" w:cs="Arial" w:eastAsia="Arial" w:hAnsi="Arial"/>
          <w:sz w:val="14"/>
          <w:szCs w:val="14"/>
          <w:color w:val="auto"/>
        </w:rPr>
        <w:t>9th Floor</w:t>
      </w:r>
    </w:p>
    <w:p>
      <w:pPr>
        <w:ind w:left="8000"/>
        <w:spacing w:after="0" w:line="221" w:lineRule="auto"/>
        <w:rPr>
          <w:sz w:val="20"/>
          <w:szCs w:val="20"/>
          <w:color w:val="auto"/>
        </w:rPr>
      </w:pPr>
      <w:r>
        <w:rPr>
          <w:rFonts w:ascii="Arial" w:cs="Arial" w:eastAsia="Arial" w:hAnsi="Arial"/>
          <w:sz w:val="14"/>
          <w:szCs w:val="14"/>
          <w:color w:val="auto"/>
        </w:rPr>
        <w:t>New York, New York 10018-5315</w:t>
      </w:r>
    </w:p>
    <w:p>
      <w:pPr>
        <w:ind w:left="8000"/>
        <w:spacing w:after="0" w:line="222" w:lineRule="auto"/>
        <w:rPr>
          <w:sz w:val="20"/>
          <w:szCs w:val="20"/>
          <w:color w:val="auto"/>
        </w:rPr>
      </w:pPr>
      <w:r>
        <w:rPr>
          <w:rFonts w:ascii="Arial" w:cs="Arial" w:eastAsia="Arial" w:hAnsi="Arial"/>
          <w:sz w:val="14"/>
          <w:szCs w:val="14"/>
          <w:color w:val="auto"/>
        </w:rPr>
        <w:t>212.868.3669</w:t>
      </w:r>
    </w:p>
    <w:p>
      <w:pPr>
        <w:ind w:left="8000"/>
        <w:spacing w:after="0"/>
        <w:rPr>
          <w:sz w:val="20"/>
          <w:szCs w:val="20"/>
          <w:color w:val="auto"/>
        </w:rPr>
      </w:pPr>
      <w:r>
        <w:rPr>
          <w:rFonts w:ascii="Arial" w:cs="Arial" w:eastAsia="Arial" w:hAnsi="Arial"/>
          <w:sz w:val="14"/>
          <w:szCs w:val="14"/>
          <w:color w:val="auto"/>
        </w:rPr>
        <w:t>212.868.3498/Fax</w:t>
      </w:r>
    </w:p>
    <w:p>
      <w:pPr>
        <w:spacing w:after="0" w:line="97" w:lineRule="exact"/>
        <w:rPr>
          <w:sz w:val="20"/>
          <w:szCs w:val="20"/>
          <w:color w:val="auto"/>
        </w:rPr>
      </w:pPr>
    </w:p>
    <w:p>
      <w:pPr>
        <w:ind w:left="8000"/>
        <w:spacing w:after="0"/>
        <w:rPr>
          <w:sz w:val="20"/>
          <w:szCs w:val="20"/>
          <w:color w:val="auto"/>
        </w:rPr>
      </w:pPr>
      <w:r>
        <w:rPr>
          <w:rFonts w:ascii="Arial" w:cs="Arial" w:eastAsia="Arial" w:hAnsi="Arial"/>
          <w:sz w:val="14"/>
          <w:szCs w:val="14"/>
          <w:color w:val="auto"/>
        </w:rPr>
        <w:t>nyc@rbsmllp.com</w:t>
      </w:r>
    </w:p>
    <w:p>
      <w:pPr>
        <w:spacing w:after="0" w:line="133" w:lineRule="exact"/>
        <w:rPr>
          <w:sz w:val="20"/>
          <w:szCs w:val="20"/>
          <w:color w:val="auto"/>
        </w:rPr>
      </w:pPr>
    </w:p>
    <w:p>
      <w:pPr>
        <w:ind w:left="20" w:right="3140" w:firstLine="3145"/>
        <w:spacing w:after="0" w:line="379" w:lineRule="auto"/>
        <w:rPr>
          <w:sz w:val="20"/>
          <w:szCs w:val="20"/>
          <w:color w:val="auto"/>
        </w:rPr>
      </w:pPr>
      <w:r>
        <w:rPr>
          <w:rFonts w:ascii="Arial" w:cs="Arial" w:eastAsia="Arial" w:hAnsi="Arial"/>
          <w:sz w:val="18"/>
          <w:szCs w:val="18"/>
          <w:b w:val="1"/>
          <w:bCs w:val="1"/>
          <w:color w:val="auto"/>
        </w:rPr>
        <w:t xml:space="preserve">Report of Independent Registered Certified Public Accounting Firm </w:t>
      </w:r>
      <w:r>
        <w:rPr>
          <w:rFonts w:ascii="Arial" w:cs="Arial" w:eastAsia="Arial" w:hAnsi="Arial"/>
          <w:sz w:val="18"/>
          <w:szCs w:val="18"/>
          <w:color w:val="auto"/>
        </w:rPr>
        <w:t>Board of Directors and Stockholders of Inductis, Inc.</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Inductis, Inc. and subsidiaries (the “Company”) as of December 31, 2005 and 2004 (Restated) and the related consolidated statements of income, stockholders’ equity, and cash flows for each of the two years ended December 31, 2005. These financial statements are the responsibility of the company’s management. Our responsibility is to express an opinion on these financial statements based upon our audits.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of America).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29"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the Company and subsidiaries as of December 31, 2005 and 2004 (Restated), and the results of its operations and its cash flows for each of the two years ended December 31, 2005, in conformity with accounting principles generally accepted in the United States of America.</w:t>
      </w:r>
    </w:p>
    <w:p>
      <w:pPr>
        <w:spacing w:after="0" w:line="9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discussed in Note 24, the previously issued financial statements for the year ended December 31, 2004 have been restated to correct the revenue recognition of out of pocket expenses and correction in the net deferred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80645</wp:posOffset>
            </wp:positionV>
            <wp:extent cx="2769870" cy="21463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769870" cy="2146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RUSSELL BEDFORD STEFANOU MIRCHANDANI LLP</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Note 23 (b), as to which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date is June 18, 2006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Washington DC • Philadelphia, PA • New York, NY • Irvine, CA</w:t>
      </w:r>
    </w:p>
    <w:p>
      <w:pPr>
        <w:jc w:val="center"/>
        <w:spacing w:after="0"/>
        <w:rPr>
          <w:sz w:val="20"/>
          <w:szCs w:val="20"/>
          <w:color w:val="auto"/>
        </w:rPr>
      </w:pPr>
      <w:r>
        <w:rPr>
          <w:rFonts w:ascii="Arial" w:cs="Arial" w:eastAsia="Arial" w:hAnsi="Arial"/>
          <w:sz w:val="14"/>
          <w:szCs w:val="14"/>
          <w:color w:val="auto"/>
        </w:rPr>
        <w:t>Member of Russell Bedford International with affiliated offices worldwide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 of allowances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(Note 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Employee advances (Note 19(b))</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asset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1,435,805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(Note 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10,656,966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and equipment, net (Note 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1,411,934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 term debts (Note 12(a))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4,085,084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portion of capital lease obligations (Note 11(a))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269,825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(short-term) (Note 16)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406,990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 term debts (Note 12(b))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of Capital lease obligations (Note 11(a))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liabilities (long-term)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9,451,757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7"/>
              </w:rPr>
              <w:t>Common Stock $0.0001 par value 10,592,518 &amp; 6,048,700 outstanding as of 2005 &amp; 2004 respectively. 9,770,018 &amp;</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6,048,700 issued as of 2004 &amp; 2005 (Note 13)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1,641,271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2,878,478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8"/>
              </w:rPr>
              <w:t>Less: 822,500 shares at December 31, 2005, 2004 respectively of class C1 common stock held in treasury, at cost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(24,078)</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-4505960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-4505960</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-4505960</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-4505960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-4505960</wp:posOffset>
            </wp:positionV>
            <wp:extent cx="2159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-4505960</wp:posOffset>
            </wp:positionV>
            <wp:extent cx="3873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-1856105</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-1856105</wp:posOffset>
            </wp:positionV>
            <wp:extent cx="2159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-1856105</wp:posOffset>
            </wp:positionV>
            <wp:extent cx="3873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-1856105</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-1856105</wp:posOffset>
            </wp:positionV>
            <wp:extent cx="2159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-1856105</wp:posOffset>
            </wp:positionV>
            <wp:extent cx="3873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91313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20,947,166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15,982,214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10,246,079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10,077,832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10,701,087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5,914,760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3,875,540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482,316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1,547,511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Other expenses, net (Note 15)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255,321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201,791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Income tax benefit (Note 16)</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558,750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554,276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1,850,940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adjustment gain</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1,869,814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2,066,940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10,760,866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47066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3020" w:type="dxa"/>
        <w:tblCellMar>
          <w:top w:w="0" w:type="dxa"/>
          <w:left w:w="0" w:type="dxa"/>
          <w:bottom w:w="0" w:type="dxa"/>
          <w:right w:w="0" w:type="dxa"/>
        </w:tblCellMar>
      </w:tblPr>
      <w:tr>
        <w:trPr>
          <w:trHeight w:val="174"/>
        </w:trPr>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900" w:type="dxa"/>
            <w:vAlign w:val="bottom"/>
          </w:tcPr>
          <w:p>
            <w:pPr>
              <w:spacing w:after="0"/>
              <w:rPr>
                <w:sz w:val="15"/>
                <w:szCs w:val="15"/>
                <w:color w:val="auto"/>
              </w:rPr>
            </w:pPr>
          </w:p>
        </w:tc>
        <w:tc>
          <w:tcPr>
            <w:tcW w:w="110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5"/>
        </w:trPr>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Members</w:t>
            </w: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paid-in</w:t>
            </w:r>
          </w:p>
        </w:tc>
        <w:tc>
          <w:tcPr>
            <w:tcW w:w="900" w:type="dxa"/>
            <w:vAlign w:val="bottom"/>
            <w:vMerge w:val="restart"/>
          </w:tcPr>
          <w:p>
            <w:pPr>
              <w:ind w:left="200"/>
              <w:spacing w:after="0" w:line="149" w:lineRule="exact"/>
              <w:rPr>
                <w:sz w:val="20"/>
                <w:szCs w:val="20"/>
                <w:color w:val="auto"/>
              </w:rPr>
            </w:pPr>
            <w:r>
              <w:rPr>
                <w:rFonts w:ascii="Arial" w:cs="Arial" w:eastAsia="Arial" w:hAnsi="Arial"/>
                <w:sz w:val="14"/>
                <w:szCs w:val="14"/>
                <w:b w:val="1"/>
                <w:bCs w:val="1"/>
                <w:color w:val="auto"/>
              </w:rPr>
              <w:t>Retained</w:t>
            </w:r>
          </w:p>
        </w:tc>
        <w:tc>
          <w:tcPr>
            <w:tcW w:w="1100" w:type="dxa"/>
            <w:vAlign w:val="bottom"/>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89"/>
        </w:trPr>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w w:val="86"/>
              </w:rPr>
              <w:t>Amount</w:t>
            </w:r>
          </w:p>
        </w:tc>
        <w:tc>
          <w:tcPr>
            <w:tcW w:w="1060" w:type="dxa"/>
            <w:vAlign w:val="bottom"/>
          </w:tcPr>
          <w:p>
            <w:pPr>
              <w:jc w:val="center"/>
              <w:ind w:left="52"/>
              <w:spacing w:after="0"/>
              <w:rPr>
                <w:sz w:val="20"/>
                <w:szCs w:val="20"/>
                <w:color w:val="auto"/>
              </w:rPr>
            </w:pPr>
            <w:r>
              <w:rPr>
                <w:rFonts w:ascii="Arial" w:cs="Arial" w:eastAsia="Arial" w:hAnsi="Arial"/>
                <w:sz w:val="14"/>
                <w:szCs w:val="14"/>
                <w:b w:val="1"/>
                <w:bCs w:val="1"/>
                <w:color w:val="auto"/>
                <w:w w:val="89"/>
              </w:rPr>
              <w:t>Capital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10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60325</wp:posOffset>
            </wp:positionV>
            <wp:extent cx="350774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Treasury Stock</w:t>
            </w:r>
          </w:p>
        </w:tc>
        <w:tc>
          <w:tcPr>
            <w:tcW w:w="104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5"/>
        </w:trPr>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vMerge w:val="restart"/>
          </w:tcPr>
          <w:p>
            <w:pPr>
              <w:jc w:val="center"/>
              <w:ind w:left="212"/>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89"/>
        </w:trPr>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ind w:left="212"/>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6465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220"/>
            <w:col w:w="2660"/>
          </w:cols>
          <w:pgMar w:left="240" w:top="460"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2,808,439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$ 3,502,898</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(822,500)</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2"/>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$ 6,273,950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contribution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564,564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564,564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Members’ retirement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(668,786)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distribution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(3,644,531)</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(3,644,531)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2,686,313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(624,420)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5,047</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as of December 31,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1,745,999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$ 2,878,478</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(822,500)</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2"/>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$ 4,592,137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$ 2,878,478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(822,500)</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2"/>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$ 4,592,137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contribution of the former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209,307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Members’ retirement of the former</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(449,668)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(449,668)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distribution of the former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(3,604,447)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(3,604,447)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3,088,147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(1,237,207)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Membership interest exchanged for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shares (Note 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4,543,818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(989,338)</w:t>
            </w: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988,884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10,592,518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988,884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$ 1,641,271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(822,500)</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2"/>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$ 2,617,143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-1984375</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-1984375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-1984375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-1984375</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-1984375</wp:posOffset>
            </wp:positionV>
            <wp:extent cx="2159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-1984375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-1984375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-1984375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-1984375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-1984375</wp:posOffset>
            </wp:positionV>
            <wp:extent cx="355473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554730" cy="2984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-29210</wp:posOffset>
            </wp:positionV>
            <wp:extent cx="53213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32130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1,850,940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2,061,893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taxes (net)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(845,492)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Allowance for bad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Bad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Interest expense credited to notes payable—others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impairment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2,756,500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Accounts receivables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(2,200,361)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receivables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(178,708)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Accrued employee costs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412,778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370,313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3,377,378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2,248,206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Movement in Restricted Cash</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(717,569)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Loans extended to/by related parties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(2,756,500)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1,388,209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(1,426,705)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(3,509,227)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(171,333)</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principal under capital lease Obligations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Repayment of notes payable</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(331,569)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short term borrowings (Including current portion of long 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Proceeds from issuance of long 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contribution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Members’ retirement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(272,877)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distribution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(3,604,447)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(3,644,532)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(1,825,110)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(1,440,131)</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(1,956,959)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636,742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Gain on currency translation adjustment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3,615,755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2,973,966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1,677,670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disclosures for the cash flow information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Cash paid for during the year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377,392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266,943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during the year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-507365</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-507365</wp:posOffset>
            </wp:positionV>
            <wp:extent cx="2159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-507365</wp:posOffset>
            </wp:positionV>
            <wp:extent cx="3873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57848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240" w:right="7160" w:hanging="232"/>
        <w:spacing w:after="0" w:line="332" w:lineRule="auto"/>
        <w:tabs>
          <w:tab w:leader="none" w:pos="187"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ORGANIZATION AND NATURE OF OPERATIONS </w:t>
      </w:r>
      <w:r>
        <w:rPr>
          <w:rFonts w:ascii="Arial" w:cs="Arial" w:eastAsia="Arial" w:hAnsi="Arial"/>
          <w:sz w:val="18"/>
          <w:szCs w:val="18"/>
          <w:b w:val="1"/>
          <w:bCs w:val="1"/>
          <w:i w:val="1"/>
          <w:iCs w:val="1"/>
          <w:color w:val="auto"/>
        </w:rPr>
        <w:t>Incorporation and history</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Inductis Inc. (“the Company”), a Delaware Corporation was incorporated on June 8, 2000. Inductis Group LLC, (“the former holding company”) formed on August 27, 2002, was merged with the Company on December 31, 2005 </w:t>
      </w:r>
      <w:r>
        <w:rPr>
          <w:rFonts w:ascii="Arial" w:cs="Arial" w:eastAsia="Arial" w:hAnsi="Arial"/>
          <w:sz w:val="16"/>
          <w:szCs w:val="16"/>
          <w:i w:val="1"/>
          <w:iCs w:val="1"/>
          <w:color w:val="auto"/>
        </w:rPr>
        <w:t>(See Note 3).</w:t>
      </w:r>
      <w:r>
        <w:rPr>
          <w:rFonts w:ascii="Arial" w:cs="Arial" w:eastAsia="Arial" w:hAnsi="Arial"/>
          <w:sz w:val="16"/>
          <w:szCs w:val="16"/>
          <w:color w:val="auto"/>
        </w:rPr>
        <w:t xml:space="preserve"> The Indian subsidiary of the Company, Inductis India Private Limited, was incorporated on November 19, 2001. The Company and its subsidiary are engaged in providing management consulting and business data analytics services in the field of finance, strategic marketing, re-engineering and data analysis for various clients primarily in the United States of America.</w:t>
      </w:r>
    </w:p>
    <w:p>
      <w:pPr>
        <w:spacing w:after="0" w:line="93"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preparation and principles of consolidation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to reflect the financial position and results of operations of the Company along with its subsidiary.</w:t>
      </w:r>
    </w:p>
    <w:p>
      <w:pPr>
        <w:spacing w:after="0" w:line="15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The consolidated financial statements present the accounts of the Company and its wholly owned subsidiary, Inductis India Private Limited (hereinafter collectively referred to as “the Company”). All material inter-company accounts and transactions have been eliminated on consolidation.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 of revenues and expenses during the reporting periods.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were made to the prior years’ financial statements to conform to the current year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Functional currency and exchange rate translation</w:t>
      </w:r>
    </w:p>
    <w:p>
      <w:pPr>
        <w:spacing w:after="0" w:line="7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consolidated financial statements are reported in United States Dollars (US dollars). The functional currency of the subsidiary of the Company is its local currency, the Indian Rupee.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periods.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are comprised primarily of income from time-and-material contracts. Revenue with respect to such time-and-material contracts is recognized as related services are performed.</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In accordance with EITF Issue No.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xml:space="preserve"> the Company has accounted for reimbursements received for out-of-pocket expenses incurred as revenues in the statement of operations.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accrued, but not yet billed is classified as unbilled revenue, while billings on incomplete contracts in excess of accrued revenue are classified as deferred revenue.</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When the Company receives advance payments from customers for the sale of products or provision of services, such payments are reported as advances from customers until all conditions for revenue recognition are met.</w:t>
      </w:r>
    </w:p>
    <w:p>
      <w:pPr>
        <w:spacing w:after="0" w:line="11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has restated their financial statements for the year ended December 31, 2004 to reflect the reimbursed expenses in accordance with EITF Issue No 01-14. For the years ended December 31, 2005 and 2004, the reimbursement of expenses included in revenue was $1,668,316 and $724,124,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 The estimated useful life of the assets is as follows: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414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85"/>
              </w:rPr>
              <w:t>3-5 years</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Software</w:t>
            </w:r>
          </w:p>
        </w:tc>
        <w:tc>
          <w:tcPr>
            <w:tcW w:w="4140" w:type="dxa"/>
            <w:vAlign w:val="bottom"/>
          </w:tcPr>
          <w:p>
            <w:pPr>
              <w:ind w:left="3480"/>
              <w:spacing w:after="0"/>
              <w:rPr>
                <w:sz w:val="20"/>
                <w:szCs w:val="20"/>
                <w:color w:val="auto"/>
              </w:rPr>
            </w:pPr>
            <w:r>
              <w:rPr>
                <w:rFonts w:ascii="Arial" w:cs="Arial" w:eastAsia="Arial" w:hAnsi="Arial"/>
                <w:sz w:val="18"/>
                <w:szCs w:val="18"/>
                <w:color w:val="auto"/>
                <w:w w:val="85"/>
              </w:rPr>
              <w:t>3-5 years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equipments</w:t>
            </w:r>
          </w:p>
        </w:tc>
        <w:tc>
          <w:tcPr>
            <w:tcW w:w="414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85"/>
              </w:rPr>
              <w:t>5-7 years</w:t>
            </w: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Impairment of long-lived assets and long-lived assets to be disposed of</w:t>
      </w:r>
    </w:p>
    <w:p>
      <w:pPr>
        <w:spacing w:after="0" w:line="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In accordance with the requirements of Statement of Financial Accounting Standards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long-lived assets are reviewed for impairment whenever events or changes in business circumstances indicate that the carrying amount of assets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An impairment of $2,756,500 was booked for the year ended December 31, 2005 on the loan made to iTouchpoint Technologies LLC.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Note 9 and 19(a)).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Start-up-costs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 of start-up activities including organization costs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research and development expenses for the years ended December 31, 2005 and 2004,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Investment securities</w:t>
      </w:r>
    </w:p>
    <w:p>
      <w:pPr>
        <w:spacing w:after="0" w:line="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accounts for investments, per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xml:space="preserve">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Cash equivalents and restricted cash</w:t>
      </w:r>
    </w:p>
    <w:p>
      <w:pPr>
        <w:spacing w:after="0" w:line="7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purchase/investment, of three months or less to be cash equivalents.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Income taxes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accordance with the provisions of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05"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The former holding company which merged with the Company during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Retirement benefits to employees</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Dividend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Dividends are recognized upon approval by the shareholders. During the years ended December 31, 2005 and 2004 no dividends were declared.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Earnings per share</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In accordance with the provisions of SFAS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27" w:lineRule="exact"/>
        <w:rPr>
          <w:sz w:val="20"/>
          <w:szCs w:val="20"/>
          <w:color w:val="auto"/>
        </w:rPr>
      </w:pPr>
    </w:p>
    <w:p>
      <w:pPr>
        <w:ind w:right="7940" w:firstLine="8"/>
        <w:spacing w:after="0" w:line="328" w:lineRule="auto"/>
        <w:tabs>
          <w:tab w:leader="none" w:pos="249"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i w:val="1"/>
          <w:iCs w:val="1"/>
          <w:color w:val="auto"/>
        </w:rPr>
        <w:t>Stock-Based Payments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December 16, 2004, the FASB issued SFAS 123R, </w:t>
      </w:r>
      <w:r>
        <w:rPr>
          <w:rFonts w:ascii="Arial" w:cs="Arial" w:eastAsia="Arial" w:hAnsi="Arial"/>
          <w:sz w:val="18"/>
          <w:szCs w:val="18"/>
          <w:i w:val="1"/>
          <w:iCs w:val="1"/>
          <w:color w:val="auto"/>
        </w:rPr>
        <w:t>Stock-Based Payment, an amendment of FASB Statements No. 123 and 95,</w:t>
      </w:r>
      <w:r>
        <w:rPr>
          <w:rFonts w:ascii="Arial" w:cs="Arial" w:eastAsia="Arial" w:hAnsi="Arial"/>
          <w:sz w:val="18"/>
          <w:szCs w:val="18"/>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Arial" w:cs="Arial" w:eastAsia="Arial" w:hAnsi="Arial"/>
          <w:sz w:val="18"/>
          <w:szCs w:val="18"/>
          <w:i w:val="1"/>
          <w:iCs w:val="1"/>
          <w:color w:val="auto"/>
        </w:rPr>
        <w:t>Accounting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Stock Issued to Employees, </w:t>
      </w:r>
      <w:r>
        <w:rPr>
          <w:rFonts w:ascii="Arial" w:cs="Arial" w:eastAsia="Arial" w:hAnsi="Arial"/>
          <w:sz w:val="18"/>
          <w:szCs w:val="18"/>
          <w:color w:val="auto"/>
        </w:rPr>
        <w:t>and requires that such transactions be accounted for using a fair-value-based method and recognized as expenses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income. The standard requires that the modified prospective method be used, which requires that the fair value of new awards granted from the beginning of the 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The revised SFAS 123R as issued by FASB will not impact on the Company’s consolidated statement of income for the year ended December 31, 2005 and 2004, as the options were granted in 2006 and accordingly no adjustment was made for FAS 123R in the books for the year ended December 31,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77" w:lineRule="exact"/>
        <w:rPr>
          <w:sz w:val="20"/>
          <w:szCs w:val="20"/>
          <w:color w:val="auto"/>
        </w:rPr>
      </w:pPr>
    </w:p>
    <w:p>
      <w:pPr>
        <w:ind w:right="240"/>
        <w:spacing w:after="0" w:line="309" w:lineRule="auto"/>
        <w:rPr>
          <w:sz w:val="20"/>
          <w:szCs w:val="20"/>
          <w:color w:val="auto"/>
        </w:rPr>
      </w:pPr>
      <w:r>
        <w:rPr>
          <w:rFonts w:ascii="Arial" w:cs="Arial" w:eastAsia="Arial" w:hAnsi="Arial"/>
          <w:sz w:val="15"/>
          <w:szCs w:val="15"/>
          <w:color w:val="auto"/>
        </w:rPr>
        <w:t xml:space="preserve">In May 2005, FASB Issued SFAS No. 154, </w:t>
      </w:r>
      <w:r>
        <w:rPr>
          <w:rFonts w:ascii="Arial" w:cs="Arial" w:eastAsia="Arial" w:hAnsi="Arial"/>
          <w:sz w:val="15"/>
          <w:szCs w:val="15"/>
          <w:i w:val="1"/>
          <w:iCs w:val="1"/>
          <w:color w:val="auto"/>
        </w:rPr>
        <w:t>Accounting Changes and Error Corrections—a replacement of APB No. 20 and FAS No. 3.</w:t>
      </w:r>
      <w:r>
        <w:rPr>
          <w:rFonts w:ascii="Arial" w:cs="Arial" w:eastAsia="Arial" w:hAnsi="Arial"/>
          <w:sz w:val="15"/>
          <w:szCs w:val="15"/>
          <w:color w:val="auto"/>
        </w:rPr>
        <w:t xml:space="preserve"> SFAS 154 provide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SFAS 154 also provides guidance for determining whether retrospective application of a change in accounting principle is impracticable and for reporting a change when retrospective application is impracticable.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retrospectively. Therefore, the reporting of a correction of an error by restating previously issued financial statements is also addressed by SFAS 154. SFAS 154 shall be effective for accounting changes and corrections of errors made in fiscal years beginning after December 15, 2005. The adoption of this standard is not expected to have any impact on the Company’s consolidated financial statements for the year ended December 31, 2005.</w:t>
      </w:r>
    </w:p>
    <w:p>
      <w:pPr>
        <w:spacing w:after="0" w:line="89"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RESTRUCTURE AND RECAPITALIZATION</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In substance the Agreement is a recapitalization of the former holding company’s capital structure. The Company did not recognize goodwill or any intangible assets in connection with the transaction. The Members of the former holding company have been issued 8,937,235 Class C-1 Common Stock and 832,783 Class C-2 Common Stock in exchange of outstanding Class C-1 and Class C-2 membership units respectively of the holding company. The excess of cash paid for membership units of the former holding company over par value of Common Stock of the Company amounting to $988,884 has been reflected in Additional Paid in Capital. The results of the operations of the acquired business are included in the Company’s Consolidated Financial Statements with effect from date the Company became the wholly-owned subsidiary of the former holding company. Accordingly the financial statements for each of the years ended December 31, 2005 and 2004 represents the consolidated financial statements of the Company and its former holding company.</w:t>
      </w:r>
    </w:p>
    <w:p>
      <w:pPr>
        <w:spacing w:after="0" w:line="100"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AND CONCENTRATION OF RISK</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equivalents, trade receivables, and short-term loans. The cash resources of the Company are invested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banks. By their nature, all such financial instruments involve risk including the credit risk of non-performance by counter parties. It is the management’s opinion, as of December 31, 2005 and 2004 there were not any risk of loss in the event of non-performance of the counter parties to these financial instruments, other than the amounts already provided for in the financial statements.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December 31, 2005 and 2004 a single customer accounted for approximately 56.84% and 54.25% of revenue, respectively. The same customer accounted for approximately 76.11% and 84.16% of the receivable balance as of December 31, 2005 and 2004, respectively.</w:t>
      </w:r>
    </w:p>
    <w:p>
      <w:pPr>
        <w:spacing w:after="0" w:line="112"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and cash equivalents consists of $1,677,670 and $3,615,755 of which $694,410 and $395,545 was located in India for the years ended December 31, 2005 and 2004,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OTHER CURRENT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other current assets comprise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Prepaid taxes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102,247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83,893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140,603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317,412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138,704</w:t>
            </w:r>
          </w:p>
        </w:tc>
        <w:tc>
          <w:tcPr>
            <w:tcW w:w="0" w:type="dxa"/>
            <w:vAlign w:val="bottom"/>
          </w:tcPr>
          <w:p>
            <w:pPr>
              <w:spacing w:after="0"/>
              <w:rPr>
                <w:sz w:val="1"/>
                <w:szCs w:val="1"/>
                <w:color w:val="auto"/>
              </w:rPr>
            </w:pPr>
          </w:p>
        </w:tc>
      </w:tr>
      <w:tr>
        <w:trPr>
          <w:trHeight w:val="132"/>
        </w:trPr>
        <w:tc>
          <w:tcPr>
            <w:tcW w:w="66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666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80" w:type="dxa"/>
            <w:vAlign w:val="bottom"/>
          </w:tcPr>
          <w:p>
            <w:pPr>
              <w:spacing w:after="0"/>
              <w:rPr>
                <w:sz w:val="24"/>
                <w:szCs w:val="24"/>
                <w:color w:val="auto"/>
              </w:rPr>
            </w:pPr>
          </w:p>
        </w:tc>
        <w:tc>
          <w:tcPr>
            <w:tcW w:w="6480" w:type="dxa"/>
            <w:vAlign w:val="bottom"/>
            <w:gridSpan w:val="3"/>
          </w:tcPr>
          <w:p>
            <w:pPr>
              <w:ind w:left="280"/>
              <w:spacing w:after="0"/>
              <w:rPr>
                <w:sz w:val="20"/>
                <w:szCs w:val="20"/>
                <w:color w:val="auto"/>
              </w:rPr>
            </w:pPr>
            <w:r>
              <w:rPr>
                <w:rFonts w:ascii="Arial" w:cs="Arial" w:eastAsia="Arial" w:hAnsi="Arial"/>
                <w:sz w:val="18"/>
                <w:szCs w:val="18"/>
                <w:color w:val="auto"/>
              </w:rPr>
              <w:t>As of December 31, property and equipment comprise the following:</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256"/>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23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1,240,209</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1,078,611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297,545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226,904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962,149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511,905</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Capital work-in-progress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2,504,576</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1,817,420</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1,092,642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636,959</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1,411,934</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1,180,461</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-2233295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-2233295</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-2233295</wp:posOffset>
            </wp:positionV>
            <wp:extent cx="2159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-2233295</wp:posOffset>
            </wp:positionV>
            <wp:extent cx="47561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5873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expense (including depreciation of capitalized leases and amortization expense for software) was $482,316 and $319,434 for the years ended December 31, 2005 and 2004, respectively. Accumulated depreciation and amortization includes accumulated depreciation for software of $132,511 and $80,106 as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December 31, 2005 and 2004, respectively. Depreciation expense for software for the years ended December 31, 2005 and 2004 is $52,405 and $45,471, respectively. Deletion of fixed assets for the year ended December 31, 2005 and 2004 were $30,413 and $493,933 of which accumulated depreciation was $26,633 and $33,356 respectively.</w:t>
      </w:r>
    </w:p>
    <w:p>
      <w:pPr>
        <w:spacing w:after="0" w:line="121"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available for sale consist of investment in units of Mutual Funds and the book value approximates the fair value of such units.</w:t>
      </w:r>
    </w:p>
    <w:p>
      <w:pPr>
        <w:spacing w:after="0" w:line="18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Proceeds from the sale of securities, available were $1,388,209 and $0, during the years ended December 31, 2005 and 2004, respectively. Dividend income earned from these investments during the years ended December 31, 2005 and 2004, was $5,235 and $0, respectively.</w:t>
      </w:r>
    </w:p>
    <w:p>
      <w:pPr>
        <w:spacing w:after="0" w:line="66" w:lineRule="exact"/>
        <w:rPr>
          <w:sz w:val="20"/>
          <w:szCs w:val="20"/>
          <w:color w:val="auto"/>
        </w:rPr>
      </w:pPr>
    </w:p>
    <w:p>
      <w:pPr>
        <w:jc w:val="both"/>
        <w:ind w:right="9880" w:firstLine="13"/>
        <w:spacing w:after="0" w:line="373" w:lineRule="auto"/>
        <w:tabs>
          <w:tab w:leader="none" w:pos="18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OTHER ASSETS </w:t>
      </w:r>
      <w:r>
        <w:rPr>
          <w:rFonts w:ascii="Arial" w:cs="Arial" w:eastAsia="Arial" w:hAnsi="Arial"/>
          <w:sz w:val="16"/>
          <w:szCs w:val="16"/>
          <w:b w:val="1"/>
          <w:bCs w:val="1"/>
          <w:color w:val="auto"/>
        </w:rPr>
        <w:t>Impairment Charge</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year ended December 31, 2005, the Company was in the process of acquiring an equity interest in iTouchpoint Technologies LLC (“iTouchpoint”). As part of this process the Company entered into a long-term bridge loan with iTouchpoint under which the Company promised to loan iTouchpoint up to $3,000,000 to assist with the funding of the business operations. After the extension of the long-term bridge loan, the principal owner of iTouchpoint also became a member of the Company’s Board of Directors. During the year ended December 31, 2005, the Company advanced $2,756,500 under this long-term bridge loan agreement to iTouchpoint. The loan is senior to all existing indebtedness of the Company and is secured by all assets of the Company. It can be called at any time in the event of default or at the end of June 2006 in case the acquisition of iTouchpoint has not been completed.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entering into the loan agreement, iTouchpoint has not met the sales levels the Company originally anticipated at the time of the loan was made.</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Due to the significance of the continued operating losses, management performed an evaluation of the recoverability of the entire loan from iTouchPoint as described in Statement of Financial Accounting Standards No. 144 “</w:t>
      </w:r>
      <w:r>
        <w:rPr>
          <w:rFonts w:ascii="Arial" w:cs="Arial" w:eastAsia="Arial" w:hAnsi="Arial"/>
          <w:sz w:val="16"/>
          <w:szCs w:val="16"/>
          <w:i w:val="1"/>
          <w:iCs w:val="1"/>
          <w:color w:val="auto"/>
        </w:rPr>
        <w:t>Account for the Impairment or Disposal of Long Lived Assets</w:t>
      </w:r>
      <w:r>
        <w:rPr>
          <w:rFonts w:ascii="Arial" w:cs="Arial" w:eastAsia="Arial" w:hAnsi="Arial"/>
          <w:sz w:val="16"/>
          <w:szCs w:val="16"/>
          <w:color w:val="auto"/>
        </w:rPr>
        <w:t>.” Management concluded from the results of this evaluation that a significant impairment charge was required because the estimated fair value was less than the carrying value of the asset. Considerable management judgment is necessary to estimate fair value. Accordingly, actual results could vary significantly from managements’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evaluation, the Company recognized an asset impairment loss of $2,756,500 during the year ended December 31, 2005.</w:t>
      </w:r>
    </w:p>
    <w:p>
      <w:pPr>
        <w:spacing w:after="0" w:line="152"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ACCOUNTS RECEIVABLE</w:t>
      </w:r>
    </w:p>
    <w:p>
      <w:pPr>
        <w:spacing w:after="0" w:line="8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accounts receivable as of December 31, 2005 and 2004, were $150,000 and $0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11.(a) </w:t>
      </w:r>
      <w:r>
        <w:rPr>
          <w:rFonts w:ascii="Arial" w:cs="Arial" w:eastAsia="Arial" w:hAnsi="Arial"/>
          <w:sz w:val="18"/>
          <w:szCs w:val="18"/>
          <w:b w:val="1"/>
          <w:bCs w:val="1"/>
          <w:u w:val="single" w:color="auto"/>
          <w:color w:val="auto"/>
        </w:rPr>
        <w:t>CAPITAL LEASES</w:t>
      </w:r>
    </w:p>
    <w:p>
      <w:pPr>
        <w:spacing w:after="0" w:line="8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the year ending December 31, 2004, the Company entered into a sale and leaseback arrangement with its bank. Under the agreement, the Company sold computers and related equipments and leased it back for a period of three years. For the year ended December 31, 2004, a gain of $26,679 realized in this transaction had been recognized in the statement of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such capital lease as of December 31, 2005 are as follows: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7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2006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138,046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126,542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264,588</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Less: Amount representing future interest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Present value of minimum 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255,500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131,159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Long term capital lease obligation</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124,341</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11.(b) </w:t>
      </w:r>
      <w:r>
        <w:rPr>
          <w:rFonts w:ascii="Arial" w:cs="Arial" w:eastAsia="Arial" w:hAnsi="Arial"/>
          <w:sz w:val="18"/>
          <w:szCs w:val="18"/>
          <w:b w:val="1"/>
          <w:bCs w:val="1"/>
          <w:u w:val="single" w:color="auto"/>
          <w:color w:val="auto"/>
        </w:rPr>
        <w:t>OPERATING LEASES</w:t>
      </w:r>
    </w:p>
    <w:p>
      <w:pPr>
        <w:spacing w:after="0" w:line="8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In the year ended December 31, 2004 the company executed a sale leaseback arrangement with the bank for three years for computers and related equipments which was accounted for as an operating lease. The gain of $14,300 was recognized in the statement of income for the year ended December 31, 2004.</w:t>
      </w:r>
    </w:p>
    <w:p>
      <w:pPr>
        <w:spacing w:after="0" w:line="4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Company is obliged under non-cancelable operating leases for its offices in New Jersey and New York expiring in April 2008 and September 2007, respectively. Future minimum lease payments as of December 31, 2005 for such non-cancelable operating leases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9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2006</w:t>
            </w:r>
          </w:p>
        </w:tc>
        <w:tc>
          <w:tcPr>
            <w:tcW w:w="303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466,287</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29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444,858</w:t>
            </w: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2008</w:t>
            </w:r>
          </w:p>
        </w:tc>
        <w:tc>
          <w:tcPr>
            <w:tcW w:w="29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149,120</w:t>
            </w: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minimum payments</w:t>
            </w:r>
          </w:p>
        </w:tc>
        <w:tc>
          <w:tcPr>
            <w:tcW w:w="30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1,060,265</w:t>
            </w: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is also obligated to pay certain real estate taxes and other expenses under the lease term. The New York Office lease is personally guaranteed by the principal owner of the Company.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the Company leases guest house facilities under cancelable operating lease agreements that are renewable on a periodic basis at the option of both the lessor and the lessee.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under operating leases is $432,855 and $366,273 for the years ended December 31, 2005 and 2004,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12.(a) </w:t>
      </w:r>
      <w:r>
        <w:rPr>
          <w:rFonts w:ascii="Arial" w:cs="Arial" w:eastAsia="Arial" w:hAnsi="Arial"/>
          <w:sz w:val="18"/>
          <w:szCs w:val="18"/>
          <w:b w:val="1"/>
          <w:bCs w:val="1"/>
          <w:u w:val="single" w:color="auto"/>
          <w:color w:val="auto"/>
        </w:rPr>
        <w:t>SHORT TERM DEBTS</w:t>
      </w:r>
    </w:p>
    <w:p>
      <w:pPr>
        <w:spacing w:after="0" w:line="8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The outstanding balance against fund-based facility is $3,500,000 and $3,000,000 for the years ended December 31, 2005 and 2004, respectively.</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Further, the company has a ten percent (10%) interest bearing promissory note payable to ex-members. The outstanding balance against these notes payable is $185,084 and $331,569 for the years ended December 31, 2005 and 2004,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short-term debt comprises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Short term debts</w:t>
            </w:r>
          </w:p>
        </w:tc>
        <w:tc>
          <w:tcPr>
            <w:tcW w:w="22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portion of the long term debt</w:t>
            </w:r>
          </w:p>
        </w:tc>
        <w:tc>
          <w:tcPr>
            <w:tcW w:w="21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2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4,085,084</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3,331,569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59563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promissory note payable of $185,084 includes $49,289 payable to its ex-member of the former holding company. The Company is contemplating litigation with the ex-member, as the Company alleges that the ex-member is in breech of some of the terms of the Repurchase Agreement with the Company. Currently the Company has notified the ex-member that he has forfeited his rights to the balance due of $49,289.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12.(b) </w:t>
      </w:r>
      <w:r>
        <w:rPr>
          <w:rFonts w:ascii="Arial" w:cs="Arial" w:eastAsia="Arial" w:hAnsi="Arial"/>
          <w:sz w:val="18"/>
          <w:szCs w:val="18"/>
          <w:b w:val="1"/>
          <w:bCs w:val="1"/>
          <w:u w:val="single" w:color="auto"/>
          <w:color w:val="auto"/>
        </w:rPr>
        <w:t>LONG TERM DEBTS</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2005, the Company obtained a term loan of $1,800,000 to finance the working capital relating to the proposed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long-term debt comprises of:</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3"/>
          </w:tcPr>
          <w:p>
            <w:pPr>
              <w:ind w:left="7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Secured long term debt</w:t>
            </w:r>
          </w:p>
        </w:tc>
        <w:tc>
          <w:tcPr>
            <w:tcW w:w="4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Less: current portion of long term debt</w:t>
            </w:r>
          </w:p>
        </w:tc>
        <w:tc>
          <w:tcPr>
            <w:tcW w:w="426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60" w:type="dxa"/>
            <w:vAlign w:val="bottom"/>
            <w:gridSpan w:val="3"/>
          </w:tcPr>
          <w:p>
            <w:pPr>
              <w:jc w:val="right"/>
              <w:ind w:right="3080"/>
              <w:spacing w:after="0"/>
              <w:rPr>
                <w:sz w:val="20"/>
                <w:szCs w:val="20"/>
                <w:color w:val="auto"/>
              </w:rPr>
            </w:pPr>
            <w:r>
              <w:rPr>
                <w:rFonts w:ascii="Arial" w:cs="Arial" w:eastAsia="Arial" w:hAnsi="Arial"/>
                <w:sz w:val="18"/>
                <w:szCs w:val="18"/>
                <w:color w:val="auto"/>
              </w:rPr>
              <w:t>F-58</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-325755</wp:posOffset>
            </wp:positionV>
            <wp:extent cx="50990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3816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The maturity profile of term loan as of December 31, 2005 is as follows: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6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December 31, 2007</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December 31, 2009 &amp; beyond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1,800,000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6449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64490"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two classes of Common Stock; Class C-1 Common Stock and Class C-2 Common Stock. Par value of each Common Stock as of December 31, 2005 is $0.0001.</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 (</w:t>
      </w:r>
      <w:r>
        <w:rPr>
          <w:rFonts w:ascii="Arial" w:cs="Arial" w:eastAsia="Arial" w:hAnsi="Arial"/>
          <w:sz w:val="16"/>
          <w:szCs w:val="16"/>
          <w:i w:val="1"/>
          <w:iCs w:val="1"/>
          <w:color w:val="auto"/>
        </w:rPr>
        <w:t>See Note 3</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detail of Common Stock of the Company for the year ended December 31, 2005 is as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4"/>
                <w:szCs w:val="14"/>
                <w:b w:val="1"/>
                <w:bCs w:val="1"/>
                <w:color w:val="auto"/>
              </w:rPr>
              <w:t>Class C-1</w:t>
            </w:r>
          </w:p>
        </w:tc>
        <w:tc>
          <w:tcPr>
            <w:tcW w:w="30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Arial" w:cs="Arial" w:eastAsia="Arial" w:hAnsi="Arial"/>
                <w:sz w:val="14"/>
                <w:szCs w:val="14"/>
                <w:b w:val="1"/>
                <w:bCs w:val="1"/>
                <w:color w:val="auto"/>
                <w:w w:val="97"/>
              </w:rPr>
              <w:t>Class C-2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760" w:type="dxa"/>
            <w:vAlign w:val="bottom"/>
          </w:tcPr>
          <w:p>
            <w:pPr>
              <w:jc w:val="right"/>
              <w:ind w:right="146"/>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Common Stock-other than restricted</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tcPr>
          <w:p>
            <w:pPr>
              <w:jc w:val="right"/>
              <w:spacing w:after="0"/>
              <w:rPr>
                <w:sz w:val="20"/>
                <w:szCs w:val="20"/>
                <w:color w:val="auto"/>
              </w:rPr>
            </w:pPr>
            <w:r>
              <w:rPr>
                <w:rFonts w:ascii="Arial" w:cs="Arial" w:eastAsia="Arial" w:hAnsi="Arial"/>
                <w:sz w:val="18"/>
                <w:szCs w:val="18"/>
                <w:color w:val="auto"/>
              </w:rPr>
              <w:t>6,557,062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478,806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7,035,868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2,380,173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353,977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2,734,150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8,937,235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822,500</w:t>
            </w:r>
          </w:p>
        </w:tc>
        <w:tc>
          <w:tcPr>
            <w:tcW w:w="30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9,759,735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10,592,518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Class C-1 Common Stock in entitled to one vote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membership units of the former holding company for the years ended December 31, 2004 are as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2004:</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Class C-1</w:t>
            </w:r>
          </w:p>
        </w:tc>
        <w:tc>
          <w:tcPr>
            <w:tcW w:w="30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Arial" w:cs="Arial" w:eastAsia="Arial" w:hAnsi="Arial"/>
                <w:sz w:val="14"/>
                <w:szCs w:val="14"/>
                <w:b w:val="1"/>
                <w:bCs w:val="1"/>
                <w:color w:val="auto"/>
              </w:rPr>
              <w:t>Class C-2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920" w:type="dxa"/>
            <w:vAlign w:val="bottom"/>
          </w:tcPr>
          <w:p>
            <w:pPr>
              <w:jc w:val="right"/>
              <w:ind w:right="226"/>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Vested Unites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4,149,598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426,598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4,576,196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Unvested Unites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4,754,041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777,478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5,531,519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8,903,639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10,107,715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Treasury stock</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822,500</w:t>
            </w:r>
          </w:p>
        </w:tc>
        <w:tc>
          <w:tcPr>
            <w:tcW w:w="300" w:type="dxa"/>
            <w:vAlign w:val="bottom"/>
          </w:tcPr>
          <w:p>
            <w:pPr>
              <w:spacing w:after="0"/>
              <w:rPr>
                <w:sz w:val="19"/>
                <w:szCs w:val="19"/>
                <w:color w:val="auto"/>
              </w:rPr>
            </w:pPr>
          </w:p>
        </w:tc>
        <w:tc>
          <w:tcPr>
            <w:tcW w:w="92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9,726,139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10,930,215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20" w:type="dxa"/>
            <w:vAlign w:val="bottom"/>
            <w:gridSpan w:val="2"/>
          </w:tcPr>
          <w:p>
            <w:pPr>
              <w:jc w:val="right"/>
              <w:ind w:right="2312"/>
              <w:spacing w:after="0"/>
              <w:rPr>
                <w:sz w:val="20"/>
                <w:szCs w:val="20"/>
                <w:color w:val="auto"/>
              </w:rPr>
            </w:pPr>
            <w:r>
              <w:rPr>
                <w:rFonts w:ascii="Arial" w:cs="Arial" w:eastAsia="Arial" w:hAnsi="Arial"/>
                <w:sz w:val="18"/>
                <w:szCs w:val="18"/>
                <w:color w:val="auto"/>
              </w:rPr>
              <w:t>F-59</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-325755</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$257,803 and $253,259 on capital contributions for the years ended December 31, 2005 and 2004, respectively, which has been recorded in net other expenses.</w:t>
      </w:r>
    </w:p>
    <w:p>
      <w:pPr>
        <w:spacing w:after="0" w:line="87"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 PLAN</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has formed a 2005 Equity Compensation Plan, whereby Stock Options, Stock Purchase rights, Stock Awards, Stock Appreciation Rights and Unrestricted Shares may be granted to the Service Providers and Employees of the Company. As of December 31, 2005 the company has not issued any equity instruments related to the 2005 Equity Compensation Plan </w:t>
      </w:r>
      <w:r>
        <w:rPr>
          <w:rFonts w:ascii="Arial" w:cs="Arial" w:eastAsia="Arial" w:hAnsi="Arial"/>
          <w:sz w:val="18"/>
          <w:szCs w:val="18"/>
          <w:i w:val="1"/>
          <w:iCs w:val="1"/>
          <w:color w:val="auto"/>
        </w:rPr>
        <w:t>(See Note 23 (c))</w:t>
      </w:r>
    </w:p>
    <w:p>
      <w:pPr>
        <w:spacing w:after="0" w:line="121" w:lineRule="exact"/>
        <w:rPr>
          <w:sz w:val="20"/>
          <w:szCs w:val="20"/>
          <w:color w:val="auto"/>
        </w:rPr>
      </w:pPr>
    </w:p>
    <w:p>
      <w:pPr>
        <w:ind w:left="280" w:hanging="272"/>
        <w:spacing w:after="0"/>
        <w:tabs>
          <w:tab w:leader="none" w:pos="2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EXPENSE,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comprise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&amp; dividend income</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(11,365)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(121,323)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Empire State Development Corporation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(40,250)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finance costs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419,392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net</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255,321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entities within the Group Company file individual tax returns as per regulations existing in their respective countries of domicile.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attributable to income from continuing operations for the years ended December 31, 2005 and 2004 consists of:</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U.S Taxes</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194,934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286,743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U.S Taxes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(845,493)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(699,526)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Others</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(845,493)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(699,526)</w:t>
            </w:r>
          </w:p>
        </w:tc>
        <w:tc>
          <w:tcPr>
            <w:tcW w:w="0" w:type="dxa"/>
            <w:vAlign w:val="bottom"/>
          </w:tcPr>
          <w:p>
            <w:pPr>
              <w:spacing w:after="0"/>
              <w:rPr>
                <w:sz w:val="1"/>
                <w:szCs w:val="1"/>
                <w:color w:val="auto"/>
              </w:rPr>
            </w:pPr>
          </w:p>
        </w:tc>
      </w:tr>
      <w:tr>
        <w:trPr>
          <w:trHeight w:val="32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tax benefit</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(558,750)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(554,276)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20" w:type="dxa"/>
            <w:vAlign w:val="bottom"/>
            <w:gridSpan w:val="2"/>
          </w:tcPr>
          <w:p>
            <w:pPr>
              <w:jc w:val="right"/>
              <w:ind w:right="3020"/>
              <w:spacing w:after="0"/>
              <w:rPr>
                <w:sz w:val="20"/>
                <w:szCs w:val="20"/>
                <w:color w:val="auto"/>
              </w:rPr>
            </w:pPr>
            <w:r>
              <w:rPr>
                <w:rFonts w:ascii="Arial" w:cs="Arial" w:eastAsia="Arial" w:hAnsi="Arial"/>
                <w:sz w:val="18"/>
                <w:szCs w:val="18"/>
                <w:color w:val="auto"/>
              </w:rPr>
              <w:t>F-60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-325755</wp:posOffset>
            </wp:positionV>
            <wp:extent cx="50165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2159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3873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income tax expense to the amount computed by applying the statutory income tax rate to income tax expense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2004 is: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taxes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$ 1,311,064</w:t>
            </w:r>
          </w:p>
        </w:tc>
        <w:tc>
          <w:tcPr>
            <w:tcW w:w="4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$ 1,512,664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Less: foreign subsidiary (India) net income before taxes</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2,952,630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2,882,860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(1,641,566)</w:t>
            </w:r>
          </w:p>
        </w:tc>
        <w:tc>
          <w:tcPr>
            <w:tcW w:w="13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(1,370,196)</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Enacted Tax rate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Computed tax expense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(558,132)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(465,867)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840" w:type="dxa"/>
            <w:vAlign w:val="bottom"/>
            <w:gridSpan w:val="6"/>
          </w:tcPr>
          <w:p>
            <w:pPr>
              <w:jc w:val="right"/>
              <w:ind w:right="440"/>
              <w:spacing w:after="0"/>
              <w:rPr>
                <w:sz w:val="20"/>
                <w:szCs w:val="20"/>
                <w:color w:val="auto"/>
              </w:rPr>
            </w:pPr>
            <w:r>
              <w:rPr>
                <w:rFonts w:ascii="Arial" w:cs="Arial" w:eastAsia="Arial" w:hAnsi="Arial"/>
                <w:sz w:val="18"/>
                <w:szCs w:val="18"/>
                <w:color w:val="auto"/>
              </w:rPr>
              <w:t>(170,364)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(233,621)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60,594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DTL beginning balance adjustment</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35,245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permanently reinvested</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(123,866)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(135,625)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Extraordinary Dividend</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138,928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58,845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recognized in the statement of income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  (558,750)</w:t>
            </w: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(554,276)</w:t>
            </w:r>
          </w:p>
        </w:tc>
        <w:tc>
          <w:tcPr>
            <w:tcW w:w="0" w:type="dxa"/>
            <w:vAlign w:val="bottom"/>
          </w:tcPr>
          <w:p>
            <w:pPr>
              <w:spacing w:after="0"/>
              <w:rPr>
                <w:sz w:val="1"/>
                <w:szCs w:val="1"/>
                <w:color w:val="auto"/>
              </w:rPr>
            </w:pPr>
          </w:p>
        </w:tc>
      </w:tr>
      <w:tr>
        <w:trPr>
          <w:trHeight w:val="132"/>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w w:val="93"/>
              </w:rPr>
              <w:t>The components of the deferred tax balances as of December 31, 2005 and 2004 are as follows:</w:t>
            </w: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employee costs</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107,170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38,976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846,394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Allowance for impairment of loan receivable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1,296,045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51,231</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1,435,805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936,601</w:t>
            </w:r>
          </w:p>
        </w:tc>
        <w:tc>
          <w:tcPr>
            <w:tcW w:w="0" w:type="dxa"/>
            <w:vAlign w:val="bottom"/>
          </w:tcPr>
          <w:p>
            <w:pPr>
              <w:spacing w:after="0"/>
              <w:rPr>
                <w:sz w:val="1"/>
                <w:szCs w:val="1"/>
                <w:color w:val="auto"/>
              </w:rPr>
            </w:pPr>
          </w:p>
        </w:tc>
      </w:tr>
      <w:tr>
        <w:trPr>
          <w:trHeight w:val="322"/>
        </w:trPr>
        <w:tc>
          <w:tcPr>
            <w:tcW w:w="7200" w:type="dxa"/>
            <w:vAlign w:val="bottom"/>
            <w:gridSpan w:val="2"/>
          </w:tcPr>
          <w:p>
            <w:pPr>
              <w:ind w:left="120"/>
              <w:spacing w:after="0"/>
              <w:rPr>
                <w:sz w:val="20"/>
                <w:szCs w:val="20"/>
                <w:color w:val="auto"/>
              </w:rPr>
            </w:pPr>
            <w:r>
              <w:rPr>
                <w:rFonts w:ascii="Arial" w:cs="Arial" w:eastAsia="Arial" w:hAnsi="Arial"/>
                <w:sz w:val="18"/>
                <w:szCs w:val="18"/>
                <w:color w:val="auto"/>
              </w:rPr>
              <w:t>Deferred tax liabilities: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Excess of accrual basis over cash basis taxable income</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1,020,555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1,352,672</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Others temporary difference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35,533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49,704</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1,056,088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1,402,376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-2488565</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-2488565</wp:posOffset>
            </wp:positionV>
            <wp:extent cx="2159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-2488565</wp:posOffset>
            </wp:positionV>
            <wp:extent cx="3873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-2488565</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-2488565</wp:posOffset>
            </wp:positionV>
            <wp:extent cx="2159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-2488565</wp:posOffset>
            </wp:positionV>
            <wp:extent cx="38735"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at December 31, 2004, the Company had a US State Net Operating loss carried forward of approximately $1,954,700 which gets fully utilized for the year ended December 31, 2005. The Company has state and local Net Operating Loss carry forwards that were suspended due to state and local restrictions.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 ended December 31, 2005, pursuant to Section 481 of the Code, the Company has changed its method of accounting for tax purposes from cash to accrual and has opted to offer the difference between the cash basis and accrual basis income over a period of four years. As of December 31, 2005, such difference to be adjusted with taxable income of the Company over future years amounts to $2,342,598 and a deferred tax liability has been created. The former holding has also changed from cash basis to accrual basis of accounting for tax purposes at merger with the Company and the difference has been added to the income of the members.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Under APB 23, a provision for tax has not been provided at December 31, 2005,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$1,226,952 and $1,251,550 as of December 31, 2005 and 2004, respectively.</w:t>
      </w:r>
    </w:p>
    <w:p>
      <w:pPr>
        <w:spacing w:after="0" w:line="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Also in the year ended December 31, 2005, $409,948 (net) was remitted as dividend to the U.S Parent and $70,772 in foreign tax was paid at source. In addition the divided was taxable to the U.S Corporation. Due to the favorable Divided Received Deduction provisions of the American Jobs Creation Act of 2004, tax was provided at only fifteen percent (15%) of the dividend remitted from foreign subsidiary. The ultimate tax liability related to repatriation of such earnings is dependent upon future tax planning opportunities and is not estimable at the present time. Further in the year ended December 31, 2004, $776,422 was remitted as dividend to the U.S. parent and $102,234 in foreign tax was paid at source. Such Dividend was offered for tax in the annual tax return of the Company.</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former holding company had elected to be treated as a partnership for federal and state income tax purposes and hence is not a tax paying entity for federal or state income tax purpose. All income or losses will be reported on the individual members’ income tax returns.</w:t>
      </w:r>
    </w:p>
    <w:p>
      <w:pPr>
        <w:spacing w:after="0" w:line="11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March 2009. Deferred Tax in respect of timing differences which originate and reverse during the tax holiday period are not recognized.</w:t>
      </w:r>
    </w:p>
    <w:p>
      <w:pPr>
        <w:spacing w:after="0" w:line="93" w:lineRule="exact"/>
        <w:rPr>
          <w:sz w:val="20"/>
          <w:szCs w:val="20"/>
          <w:color w:val="auto"/>
        </w:rPr>
      </w:pPr>
    </w:p>
    <w:p>
      <w:pPr>
        <w:ind w:right="8700" w:firstLine="8"/>
        <w:spacing w:after="0" w:line="332" w:lineRule="auto"/>
        <w:tabs>
          <w:tab w:leader="none" w:pos="263"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i w:val="1"/>
          <w:iCs w:val="1"/>
          <w:color w:val="auto"/>
        </w:rPr>
        <w:t>US Operations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to the plan by the Company, for the years ended December 31, 2005 and 2004 is $130,929 and $137,898,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employee benefit plans in the form of certain statutory and welfare schemes covering substantially all of its employees.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Gratuity</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as at December 31, 2005 and 2004 is $13,097 and $5,179, respectively and has not been funded.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Provident fund</w:t>
      </w:r>
    </w:p>
    <w:p>
      <w:pPr>
        <w:spacing w:after="0" w:line="77"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by the Company in respect of this plan for the years ended December 31, 2005, and 2004 are $4,066 and $2,450,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year ended December 31, 2005 and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transactions with the following related parties:</w:t>
      </w:r>
    </w:p>
    <w:p>
      <w:pPr>
        <w:spacing w:after="0" w:line="77" w:lineRule="exact"/>
        <w:rPr>
          <w:sz w:val="20"/>
          <w:szCs w:val="20"/>
          <w:color w:val="auto"/>
        </w:rPr>
      </w:pPr>
    </w:p>
    <w:p>
      <w:pPr>
        <w:ind w:left="460" w:right="360" w:firstLine="443"/>
        <w:spacing w:after="0" w:line="254" w:lineRule="auto"/>
        <w:tabs>
          <w:tab w:leader="none" w:pos="10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iTouchpoint Technologies LLC, in which a director of the Company has a significant ownership interest, controlling interest or over which he exercises significant influence.</w:t>
      </w:r>
    </w:p>
    <w:p>
      <w:pPr>
        <w:jc w:val="both"/>
        <w:ind w:left="460" w:right="200"/>
        <w:spacing w:after="0" w:line="329" w:lineRule="auto"/>
        <w:rPr>
          <w:rFonts w:ascii="Arial" w:cs="Arial" w:eastAsia="Arial" w:hAnsi="Arial"/>
          <w:sz w:val="18"/>
          <w:szCs w:val="18"/>
          <w:color w:val="auto"/>
        </w:rPr>
      </w:pPr>
      <w:r>
        <w:rPr>
          <w:rFonts w:ascii="Arial" w:cs="Arial" w:eastAsia="Arial" w:hAnsi="Arial"/>
          <w:sz w:val="15"/>
          <w:szCs w:val="15"/>
          <w:color w:val="auto"/>
        </w:rPr>
        <w:t>During the year ended December 31, 2005, the Company advanced $2,756,500 to iTouchPoint technologies LLC, whose principal owner is a member of the Company’s Board of Directors. The Company’s management performed an evaluation of the recoverability of the entire loan and concluded from the results of this evaluation that a significant impairment charge was required because estimated fair value was less than the carrying value of the asset.</w:t>
      </w:r>
    </w:p>
    <w:p>
      <w:pPr>
        <w:ind w:left="460"/>
        <w:spacing w:after="0"/>
        <w:rPr>
          <w:sz w:val="20"/>
          <w:szCs w:val="20"/>
          <w:color w:val="auto"/>
        </w:rPr>
      </w:pPr>
      <w:r>
        <w:rPr>
          <w:rFonts w:ascii="Arial" w:cs="Arial" w:eastAsia="Arial" w:hAnsi="Arial"/>
          <w:sz w:val="16"/>
          <w:szCs w:val="16"/>
          <w:color w:val="auto"/>
        </w:rPr>
        <w:t>Based upon the evaluation, the Company recognized an asset impairment loss of $2,756,500 during the year ended December 31, 2005 (</w:t>
      </w:r>
      <w:r>
        <w:rPr>
          <w:rFonts w:ascii="Arial" w:cs="Arial" w:eastAsia="Arial" w:hAnsi="Arial"/>
          <w:sz w:val="16"/>
          <w:szCs w:val="16"/>
          <w:i w:val="1"/>
          <w:iCs w:val="1"/>
          <w:color w:val="auto"/>
        </w:rPr>
        <w:t>see Note 9</w:t>
      </w:r>
      <w:r>
        <w:rPr>
          <w:rFonts w:ascii="Arial" w:cs="Arial" w:eastAsia="Arial" w:hAnsi="Arial"/>
          <w:sz w:val="16"/>
          <w:szCs w:val="16"/>
          <w:color w:val="auto"/>
        </w:rPr>
        <w:t>)</w:t>
      </w:r>
    </w:p>
    <w:p>
      <w:pPr>
        <w:spacing w:after="0" w:line="100" w:lineRule="exact"/>
        <w:rPr>
          <w:sz w:val="20"/>
          <w:szCs w:val="20"/>
          <w:color w:val="auto"/>
        </w:rPr>
      </w:pPr>
    </w:p>
    <w:p>
      <w:pPr>
        <w:ind w:left="5540" w:right="3660" w:hanging="4637"/>
        <w:spacing w:after="0" w:line="440" w:lineRule="auto"/>
        <w:tabs>
          <w:tab w:leader="none" w:pos="108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Employee advances are $49,146 and $45,285 as of December 31, 2005 and 2004, respectively. F-63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per share as of December 31:</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20"/>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1,850,940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10,760,866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11,145,044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Net earnings per share is based upon the weighted average of shares of common stock outstanding. On December 31, 2005, the Company entered into an Agreement and Plan of Merger (</w:t>
      </w:r>
      <w:r>
        <w:rPr>
          <w:rFonts w:ascii="Arial" w:cs="Arial" w:eastAsia="Arial" w:hAnsi="Arial"/>
          <w:sz w:val="16"/>
          <w:szCs w:val="16"/>
          <w:i w:val="1"/>
          <w:iCs w:val="1"/>
          <w:color w:val="auto"/>
        </w:rPr>
        <w:t>see Note 3</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Accordingly, all historical weighted average share and per share amounts have been restated to reflect the recapitalization of the Company as if the exchange of equity interests occurred on January 1, 2004.</w:t>
      </w:r>
    </w:p>
    <w:p>
      <w:pPr>
        <w:spacing w:after="0" w:line="87" w:lineRule="exact"/>
        <w:rPr>
          <w:sz w:val="20"/>
          <w:szCs w:val="20"/>
          <w:color w:val="auto"/>
        </w:rPr>
      </w:pPr>
    </w:p>
    <w:p>
      <w:pPr>
        <w:ind w:right="7760" w:firstLine="8"/>
        <w:spacing w:after="0" w:line="332" w:lineRule="auto"/>
        <w:tabs>
          <w:tab w:leader="none" w:pos="263"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CONTINGENCIES AND COMMITMENTS </w:t>
      </w:r>
      <w:r>
        <w:rPr>
          <w:rFonts w:ascii="Arial" w:cs="Arial" w:eastAsia="Arial" w:hAnsi="Arial"/>
          <w:sz w:val="18"/>
          <w:szCs w:val="18"/>
          <w:b w:val="1"/>
          <w:bCs w:val="1"/>
          <w:i w:val="1"/>
          <w:iCs w:val="1"/>
          <w:color w:val="auto"/>
        </w:rPr>
        <w:t>Capital commitments</w:t>
      </w:r>
    </w:p>
    <w:p>
      <w:pPr>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2005 and 2004, the Company had no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has provided guarantees to the regulatory authorities as security for compliance with local regulations. The aggregate amount of such guarantees as of December 31, 2005 and 2004 is $6,980 and $3,647, respectively.</w:t>
      </w:r>
    </w:p>
    <w:p>
      <w:pPr>
        <w:spacing w:after="0" w:line="112" w:lineRule="exact"/>
        <w:rPr>
          <w:sz w:val="20"/>
          <w:szCs w:val="20"/>
          <w:color w:val="auto"/>
        </w:rPr>
      </w:pPr>
    </w:p>
    <w:p>
      <w:pPr>
        <w:ind w:left="280" w:hanging="272"/>
        <w:spacing w:after="0"/>
        <w:tabs>
          <w:tab w:leader="none" w:pos="2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8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21"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Letter of Intent</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Subsequent to the date of the financial statements, the Company signed a letter of intent on March 14, 2006 with EXLService.com, Inc., a company registered with the State of Delaware, engaged in the business of business process outsourcing. As per the terms of the letter of intent, the Company will be acquired 100% by EXLService.com, Inc. on a going concern basis for a total purchase consideration of approximately $40 million. The shareholders of the Company will receive $2 million in cash, 535,918 shares of Series A common stock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EXLService.com, Inc, the potential to earn an additional 421,063 shares of Series A common stock of EXLService.com, provided certain revenue and profitability targets are met, and potential upside payments of $10 million in cash or equity at the then current market price if additional revenue and profit targets are met. EXL Holdings Inc. will assume all the assets and liabilities of the Company on the date of acquisition, with the exception of the iTouchpoint receivable (</w:t>
      </w:r>
      <w:r>
        <w:rPr>
          <w:rFonts w:ascii="Arial" w:cs="Arial" w:eastAsia="Arial" w:hAnsi="Arial"/>
          <w:sz w:val="18"/>
          <w:szCs w:val="18"/>
          <w:i w:val="1"/>
          <w:iCs w:val="1"/>
          <w:color w:val="auto"/>
        </w:rPr>
        <w:t>see Note 9</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approved the signing of the LOI on March 14,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 acquisition of iTouchpoint Technologies LLC</w:t>
      </w:r>
      <w:r>
        <w:rPr>
          <w:rFonts w:ascii="Arial" w:cs="Arial" w:eastAsia="Arial" w:hAnsi="Arial"/>
          <w:sz w:val="18"/>
          <w:szCs w:val="18"/>
          <w:i w:val="1"/>
          <w:iCs w:val="1"/>
          <w:color w:val="auto"/>
        </w:rPr>
        <w:t>.</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entered into an Asset Purchase agreement with iTouchpoint Technologies LLC., a Delaware limited liability company, whereby the Company through its newly formed wholly owned subsidiary, iTouchpoint Services LLC., will acquire certain assets and liabilities relating to the business of iTouchpoint Technologies LLC. The transaction is subject to iTouchpoint Technologies LLC acquiring 100% of iTouchpoint Softech Pvt. Limited. The term sheet for the acquisition expired on June 1, 2006.</w:t>
      </w:r>
    </w:p>
    <w:p>
      <w:pPr>
        <w:spacing w:after="0" w:line="13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intended not to renew the term sheet and that the note receivable from iTouchpoint Technologies LLC will be distributed as a dividend net of the impairments to its shareholders as part of the acquisition with EXLService.com, Inc.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Plan</w:t>
      </w:r>
    </w:p>
    <w:p>
      <w:pPr>
        <w:spacing w:after="0" w:line="7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Company has formed a 2005 Equity Compensation Plan, whereby Stock Options, Stock Purchase rights, Stock Awards, Stock Appreciation Rights and Unrestricted Shares may be granted to the Service Providers and Employees of the Company. Under such plan, the maximum aggregate number of shares that may be issued is 7,500,000 shares consisting of 3,400,000 shares of Class C-1 Common Stock and 4,100,000 shares of Class C-2 Common Stock. During the year, the Board has approved stock options amounting to $666,375 to be issued at an exercise price of $0.25 per share to certain employees, and to be granted upon the completion of corporate restructuring necessary to make Inductis Inc. the parent company. The options have not been granted as of December 31, 2005.</w:t>
      </w:r>
    </w:p>
    <w:p>
      <w:pPr>
        <w:spacing w:after="0" w:line="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the Inductis India Private Limited Stock Purchase Plan 2003, employees of the foreign subsidiary have been issued 41,104 and 40,366 membership units of the former holding company during the years ended December 31, 2005 and 2004, respectively, $580 and $412 was paid by the foreign subsidiary during the years ended December 31, 2005 and 2004, respectively, for such units have been accounted as Employee Compensation Expense under Cost of Sales in the Income Statement. Such membership units have been converted into Common Stock of the Company pursuant to the merger.</w:t>
      </w:r>
    </w:p>
    <w:p>
      <w:pPr>
        <w:spacing w:after="0" w:line="93"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RESTATEMENT OF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restated its financials statements for the year December 31, 2004 to correct the following errors in the financial statements previously filed:</w:t>
      </w:r>
    </w:p>
    <w:p>
      <w:pPr>
        <w:spacing w:after="0" w:line="100" w:lineRule="exact"/>
        <w:rPr>
          <w:sz w:val="20"/>
          <w:szCs w:val="20"/>
          <w:color w:val="auto"/>
        </w:rPr>
      </w:pPr>
    </w:p>
    <w:p>
      <w:pPr>
        <w:ind w:left="780" w:right="80" w:hanging="326"/>
        <w:spacing w:after="0" w:line="268" w:lineRule="auto"/>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historically accounted for net out of pocket expenditures and revenues as current assets and liabilities on the balance sheet and adjusted it as revenue or expense once it was substantiated as of December 31, 2004.</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corrected the deferred taxes for the year ended December 31, 2004.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restatement did affect the individual components of the Company’s assets and liabilities and equity as reported on its Balance Sheet as of December 31, 2004, as well as individual components of the Company’s revenues and cost of sales as reported on its Statement of Income for the year then ended.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Balance Sheet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3"/>
          </w:tcPr>
          <w:p>
            <w:pPr>
              <w:ind w:left="240"/>
              <w:spacing w:after="0"/>
              <w:rPr>
                <w:sz w:val="20"/>
                <w:szCs w:val="20"/>
                <w:color w:val="auto"/>
              </w:rPr>
            </w:pPr>
            <w:r>
              <w:rPr>
                <w:rFonts w:ascii="Arial" w:cs="Arial" w:eastAsia="Arial" w:hAnsi="Arial"/>
                <w:sz w:val="14"/>
                <w:szCs w:val="14"/>
                <w:b w:val="1"/>
                <w:bCs w:val="1"/>
                <w:color w:val="auto"/>
                <w:w w:val="90"/>
              </w:rPr>
              <w:t>December 31, 2004</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(As Restated)</w:t>
            </w:r>
          </w:p>
        </w:tc>
        <w:tc>
          <w:tcPr>
            <w:tcW w:w="1700" w:type="dxa"/>
            <w:vAlign w:val="bottom"/>
            <w:gridSpan w:val="4"/>
          </w:tcPr>
          <w:p>
            <w:pPr>
              <w:ind w:left="860"/>
              <w:spacing w:after="0"/>
              <w:rPr>
                <w:sz w:val="20"/>
                <w:szCs w:val="20"/>
                <w:color w:val="auto"/>
              </w:rPr>
            </w:pPr>
            <w:r>
              <w:rPr>
                <w:rFonts w:ascii="Arial" w:cs="Arial" w:eastAsia="Arial" w:hAnsi="Arial"/>
                <w:sz w:val="14"/>
                <w:szCs w:val="14"/>
                <w:b w:val="1"/>
                <w:bCs w:val="1"/>
                <w:color w:val="auto"/>
                <w:w w:val="88"/>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asset</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  936,601</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83,893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256,509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1,402,376</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tax payable</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Consolidated Statement of Income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4"/>
              </w:rPr>
              <w:t>(As Restated)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15,982,214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16,573,707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revenues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10,077,832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10,857,145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5,904,382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5,716,562</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3,875,540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3,343,371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4,194,974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for operations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1,709,408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2,053,757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Taxes (benefit) expense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(554,276)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278,700</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2,061,893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1,569,089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Consolidated Statement of Cash Flows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6"/>
              </w:rPr>
              <w:t>(As Restated)</w:t>
            </w:r>
          </w:p>
        </w:tc>
        <w:tc>
          <w:tcPr>
            <w:tcW w:w="260" w:type="dxa"/>
            <w:vAlign w:val="bottom"/>
          </w:tcPr>
          <w:p>
            <w:pPr>
              <w:spacing w:after="0"/>
              <w:rPr>
                <w:sz w:val="22"/>
                <w:szCs w:val="22"/>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2,061,893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1,569,089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2,248,206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2,253,202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(171,333)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(170,614)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(1,440,131)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(1,440,131)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636,742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40" w:type="dxa"/>
            <w:vAlign w:val="bottom"/>
            <w:gridSpan w:val="2"/>
          </w:tcPr>
          <w:p>
            <w:pPr>
              <w:jc w:val="right"/>
              <w:ind w:right="2632"/>
              <w:spacing w:after="0"/>
              <w:rPr>
                <w:sz w:val="20"/>
                <w:szCs w:val="20"/>
                <w:color w:val="auto"/>
              </w:rPr>
            </w:pPr>
            <w:r>
              <w:rPr>
                <w:rFonts w:ascii="Arial" w:cs="Arial" w:eastAsia="Arial" w:hAnsi="Arial"/>
                <w:sz w:val="18"/>
                <w:szCs w:val="18"/>
                <w:color w:val="auto"/>
              </w:rPr>
              <w:t>F-66</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-420370</wp:posOffset>
            </wp:positionV>
            <wp:extent cx="149606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49606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restated the December 31, 2003 capital accounts to reflect adjustments in the net out of pocket expenses which has been reclassified into revenue pursuant to EITF 14. The Company historically accounted for the net out of pocket expense on the balance sheet, and adjusted in through revenue once the complete accounting was provided by the service provider. In addition the Company has also adjusted its opening capital accounts to book the correct deferred tax liabilities.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Capital Account as originally reported as of December 31, 2003</w:t>
            </w:r>
          </w:p>
        </w:tc>
        <w:tc>
          <w:tcPr>
            <w:tcW w:w="5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$ 7,229,527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Add out of pocket expenses related to 2003</w:t>
            </w:r>
          </w:p>
        </w:tc>
        <w:tc>
          <w:tcPr>
            <w:tcW w:w="5340" w:type="dxa"/>
            <w:vAlign w:val="bottom"/>
            <w:gridSpan w:val="3"/>
          </w:tcPr>
          <w:p>
            <w:pPr>
              <w:jc w:val="right"/>
              <w:spacing w:after="0"/>
              <w:rPr>
                <w:sz w:val="20"/>
                <w:szCs w:val="20"/>
                <w:color w:val="auto"/>
              </w:rPr>
            </w:pPr>
            <w:r>
              <w:rPr>
                <w:rFonts w:ascii="Arial" w:cs="Arial" w:eastAsia="Arial" w:hAnsi="Arial"/>
                <w:sz w:val="18"/>
                <w:szCs w:val="18"/>
                <w:color w:val="auto"/>
              </w:rPr>
              <w:t>335,125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tax provisions</w:t>
            </w:r>
          </w:p>
        </w:tc>
        <w:tc>
          <w:tcPr>
            <w:tcW w:w="5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(1,290,702)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Capital January 1, 2004</w:t>
            </w:r>
          </w:p>
        </w:tc>
        <w:tc>
          <w:tcPr>
            <w:tcW w:w="5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$ 6,273,950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20" w:type="dxa"/>
            <w:vAlign w:val="bottom"/>
            <w:gridSpan w:val="4"/>
          </w:tcPr>
          <w:p>
            <w:pPr>
              <w:jc w:val="right"/>
              <w:ind w:right="4980"/>
              <w:spacing w:after="0"/>
              <w:rPr>
                <w:sz w:val="20"/>
                <w:szCs w:val="20"/>
                <w:color w:val="auto"/>
              </w:rPr>
            </w:pPr>
            <w:r>
              <w:rPr>
                <w:rFonts w:ascii="Arial" w:cs="Arial" w:eastAsia="Arial" w:hAnsi="Arial"/>
                <w:sz w:val="18"/>
                <w:szCs w:val="18"/>
                <w:color w:val="auto"/>
              </w:rPr>
              <w:t>F-67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-325755</wp:posOffset>
            </wp:positionV>
            <wp:extent cx="578485"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2"/>
              </w:rPr>
              <w:t>June 30, 2006</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June 30,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Unaudited</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(Note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 of allowances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7,235,107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Employee receivables (Note 19(b))</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2,079,031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1,435,805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(Note 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12,446,575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10,656,966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Property and equipment, net (Note 8)</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1,548,897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1,411,934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13,995,472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12,068,900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 term debts (Note 13(a))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3,201,713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4,085,084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portion of capital lease obligations (Note 12(b))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133,482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3,273,303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996,408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(Note 16)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487,036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 term debts (Note 13(b))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portion (Note 12(a))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taxes payable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10,849,374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Common Stock $0.0001 par value</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Issued 12,265,980 shares, outstanding and Issued 11,009,176 shares (Note 14)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2,789,727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988,884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stock compensation cost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(729,012)</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Less: 1,256,804 shares at June 30, 2006 of class C1 and C2 common stock held in treasury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(729,012)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3,146,098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13,995,472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12,068,900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-4625975</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-4625975</wp:posOffset>
            </wp:positionV>
            <wp:extent cx="2159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-4625975</wp:posOffset>
            </wp:positionV>
            <wp:extent cx="3873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-4625975</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-4625975</wp:posOffset>
            </wp:positionV>
            <wp:extent cx="2159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-4625975</wp:posOffset>
            </wp:positionV>
            <wp:extent cx="3873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13,568,423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9,162,900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8,071,864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6,067,460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5,496,559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3,095,440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5,558,496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2,957,538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329,571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155,264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(716,508)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(167,362)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expenses, net (Note 15)</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58,567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167,476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(775,075)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(Note 16)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(208,337)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(336,967)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(566,738)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adjustment (gain)/loss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(567,122)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Weighted Average 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12,265,980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10,302,436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12,265,980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10,302,436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-1506220</wp:posOffset>
            </wp:positionV>
            <wp:extent cx="60452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-1506220</wp:posOffset>
            </wp:positionV>
            <wp:extent cx="1270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-1506220</wp:posOffset>
            </wp:positionV>
            <wp:extent cx="2159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-1506220</wp:posOffset>
            </wp:positionV>
            <wp:extent cx="38735"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-923290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-923290</wp:posOffset>
            </wp:positionV>
            <wp:extent cx="2159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-923290</wp:posOffset>
            </wp:positionV>
            <wp:extent cx="3873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-923290</wp:posOffset>
            </wp:positionV>
            <wp:extent cx="61277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Unaudited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Net profit/(loss)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(566,738)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taxes (net)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(829,688)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Allowance for bad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Bad debt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Allowance for impairment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credited to notes payable—other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Stock based compensation cost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670,852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cost for restricted and unrestricted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Accounts receivables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(116,205)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(1,034,222)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receivables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(901,918)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(172,739)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Accrued employee costs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1,982,129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1,651,269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1,708,100)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Movement in 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extended to related parties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Proceeds from sale of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603,124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(571,533)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(501,674)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Payments of principal under capital lease Obligations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(65,042)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notes payable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Additions in notes payable</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to close lease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Repayment of bank borrowings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8"/>
              </w:rPr>
              <w:t>(1,500,000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equity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Repayment of long term debt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contribution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Members’ retirement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distribution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(719,217)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(1,185,622)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(2,606,399)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(236,669)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(2,535,662)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Add: Loss on currency translation adjustment</w:t>
            </w: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1,677,670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color w:val="auto"/>
              </w:rPr>
              <w:t>Cash and cash equivalents at end of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1,440,617</w:t>
            </w:r>
          </w:p>
        </w:tc>
        <w:tc>
          <w:tcPr>
            <w:tcW w:w="2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1,086,548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Cash paid during the six months ended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142,908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six months ended for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-507365</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-507365</wp:posOffset>
            </wp:positionV>
            <wp:extent cx="2159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-507365</wp:posOffset>
            </wp:positionV>
            <wp:extent cx="3873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578485"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377"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40" w:right="7120" w:hanging="232"/>
        <w:spacing w:after="0" w:line="332" w:lineRule="auto"/>
        <w:tabs>
          <w:tab w:leader="none" w:pos="187"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NATURE OF OPERATIONS </w:t>
      </w:r>
      <w:r>
        <w:rPr>
          <w:rFonts w:ascii="Arial" w:cs="Arial" w:eastAsia="Arial" w:hAnsi="Arial"/>
          <w:sz w:val="18"/>
          <w:szCs w:val="18"/>
          <w:b w:val="1"/>
          <w:bCs w:val="1"/>
          <w:i w:val="1"/>
          <w:iCs w:val="1"/>
          <w:color w:val="auto"/>
        </w:rPr>
        <w:t>Incorporation and history</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interim unaudited condensed consolidated financial statements present the accounts of Inductis, Inc., incorporated on June 8, 2000 (the “Company”), and its wholly owned subsidiaries, Inductis LLC, Inductis (India) Private Limited incorporated on November 19, 2001 and Inductis (Singapore) Pte Limited, incorporated on April 7, 2006 (hereinafter collectively referred to as the “Company”). Inductis Group LLC (the “former holding company”) formed on August 27, 2002, was merged with the Company on December 31, 2005. All inter-company accounts and transactions have been eliminated on consolidation.</w:t>
      </w:r>
    </w:p>
    <w:p>
      <w:pPr>
        <w:spacing w:after="0" w:line="9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accompanying unaudited interim condensed consolidated financial statements of the Company and its subsidiary companies do not include all of the information and note disclosures required by U.S. generally accepted accounting principles for complete financial statements. The accompanying unaudited interim condensed consolidated financial statements have been prepared in accordance with U.S generally accepted accounting principles and reflect all adjustments of a normal, recurring nature that are, in the opinion of management, necessary for a fair presentation of results for these periods. The results of operations for the period ended June 30, 2006 are not necessarily indicative of the results that may be expected for the fiscal year ending December 31, 2006. The condensed consolidated balance sheet for the twelve months ended December 31, 2005 was derived from the audited consolidated balance sheet of Inductis, Inc.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Certain prior-period amounts have been reclassified to conform to the current-period presentation.</w:t>
      </w:r>
    </w:p>
    <w:p>
      <w:pPr>
        <w:spacing w:after="0" w:line="152"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2" w:lineRule="exact"/>
        <w:rPr>
          <w:rFonts w:ascii="Arial" w:cs="Arial" w:eastAsia="Arial" w:hAnsi="Arial"/>
          <w:sz w:val="18"/>
          <w:szCs w:val="18"/>
          <w:b w:val="1"/>
          <w:bCs w:val="1"/>
          <w:color w:val="auto"/>
        </w:rPr>
      </w:pPr>
    </w:p>
    <w:p>
      <w:pPr>
        <w:ind w:left="480" w:hanging="244"/>
        <w:spacing w:after="0"/>
        <w:tabs>
          <w:tab w:leader="none" w:pos="480" w:val="left"/>
        </w:tabs>
        <w:numPr>
          <w:ilvl w:val="1"/>
          <w:numId w:val="1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preparation and principles of consolidation</w:t>
      </w:r>
    </w:p>
    <w:p>
      <w:pPr>
        <w:spacing w:after="0" w:line="77"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The accompanying unaudited interim condensed consolidated financial statements have been prepared in conformity with accounting principles generally accepted in the United States (“U.S. GAAP”) to reflect the financial position and results of operations of the Company along with its subsidiaries.</w:t>
      </w:r>
    </w:p>
    <w:p>
      <w:pPr>
        <w:spacing w:after="0" w:line="4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unaudited interim condensed consolidated financial statements present the accounts of the Company and its wholly owned subsidiaries, Inductis LLC., Inductis (India) Private Limited and Inductis (Singapore) Pte Limited. All material inter-company accounts and transactions have been eliminated on consolidation.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preparation of unaudited interim condensed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 of revenues and expenses during the reporting period.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were made to the prior periods’ financial statements to conform to the current year presentation.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Functional currency and exchange rate translation</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unaudited interim consolidated financial statements are reported in United States Dollars (US dollars). The functional currency of Inductis (India) Pvt Limited is Indian Rupees and for Inductis (Singapore) Pte Limited is the Singapore Dollar.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quarters.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other comprehensive income.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are comprised primarily of income from time-and-material contracts. Revenue with respect to such time-and-material contracts is recognized as related services are performed.</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In accordance with EITF Issue No.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the Company has accounted for reimbursements received for out-of-pocket expenses incurred as revenues in the consolidated statements of operation.</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accrued, but not yet billed is classified as unbilled revenue, while billings on incomplete contracts in excess of accrued revenue are classified as deferred revenue.</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When the Company receives advance payments from customers for the sale of products or provision of services, such payments are reported as advances from customers until all conditions for revenue recognition are met.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 for the following periods include reimbursements of out-of-pocket expenses:</w:t>
      </w:r>
    </w:p>
    <w:p>
      <w:pPr>
        <w:spacing w:after="0" w:line="153" w:lineRule="exact"/>
        <w:rPr>
          <w:sz w:val="20"/>
          <w:szCs w:val="20"/>
          <w:color w:val="auto"/>
        </w:rPr>
      </w:pPr>
    </w:p>
    <w:p>
      <w:pPr>
        <w:ind w:left="8460"/>
        <w:spacing w:after="0"/>
        <w:tabs>
          <w:tab w:leader="none" w:pos="97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68580</wp:posOffset>
            </wp:positionV>
            <wp:extent cx="13462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w:t>
            </w:r>
          </w:p>
        </w:tc>
        <w:tc>
          <w:tcPr>
            <w:tcW w:w="3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$ 1,118,986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869,780</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The estimated useful life of the assets is as follows:</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356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82"/>
              </w:rPr>
              <w:t>3-5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Software</w:t>
            </w:r>
          </w:p>
        </w:tc>
        <w:tc>
          <w:tcPr>
            <w:tcW w:w="3560" w:type="dxa"/>
            <w:vAlign w:val="bottom"/>
          </w:tcPr>
          <w:p>
            <w:pPr>
              <w:ind w:left="2920"/>
              <w:spacing w:after="0"/>
              <w:rPr>
                <w:sz w:val="20"/>
                <w:szCs w:val="20"/>
                <w:color w:val="auto"/>
              </w:rPr>
            </w:pPr>
            <w:r>
              <w:rPr>
                <w:rFonts w:ascii="Arial" w:cs="Arial" w:eastAsia="Arial" w:hAnsi="Arial"/>
                <w:sz w:val="18"/>
                <w:szCs w:val="18"/>
                <w:color w:val="auto"/>
                <w:w w:val="82"/>
              </w:rPr>
              <w:t>3-5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equipments</w:t>
            </w:r>
          </w:p>
        </w:tc>
        <w:tc>
          <w:tcPr>
            <w:tcW w:w="356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82"/>
              </w:rPr>
              <w:t>5-7 years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Impairment of long-lived assets and long-lived assets to be disposed of</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accordance with the requirements of Statement of Financial Accounting Standards (SFAS) No.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long-lived assets are reviewed for impairment whenever events or changes in business circumstances indicate that the carrying amount of assets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be 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Impairment on the loan made to iTouchpoint Technologies LLC.,(</w:t>
      </w:r>
      <w:r>
        <w:rPr>
          <w:rFonts w:ascii="Arial" w:cs="Arial" w:eastAsia="Arial" w:hAnsi="Arial"/>
          <w:sz w:val="16"/>
          <w:szCs w:val="16"/>
          <w:i w:val="1"/>
          <w:iCs w:val="1"/>
          <w:color w:val="auto"/>
        </w:rPr>
        <w:t>see Note 10</w:t>
      </w:r>
      <w:r>
        <w:rPr>
          <w:rFonts w:ascii="Arial" w:cs="Arial" w:eastAsia="Arial" w:hAnsi="Arial"/>
          <w:sz w:val="16"/>
          <w:szCs w:val="16"/>
          <w:color w:val="auto"/>
        </w:rPr>
        <w:t>) is as follows:</w:t>
      </w:r>
    </w:p>
    <w:p>
      <w:pPr>
        <w:spacing w:after="0" w:line="98" w:lineRule="exact"/>
        <w:rPr>
          <w:sz w:val="20"/>
          <w:szCs w:val="20"/>
          <w:color w:val="auto"/>
        </w:rPr>
      </w:pPr>
    </w:p>
    <w:p>
      <w:pPr>
        <w:ind w:left="8580"/>
        <w:spacing w:after="0"/>
        <w:tabs>
          <w:tab w:leader="none" w:pos="97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68580</wp:posOffset>
            </wp:positionV>
            <wp:extent cx="122618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w:t>
            </w:r>
          </w:p>
        </w:tc>
        <w:tc>
          <w:tcPr>
            <w:tcW w:w="3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$ 325,000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$ 150,000</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Start-up-costs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start-up activities including organization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were no research and development expenses for the six months ended June 30, 2006 &amp; 2005,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Investment securities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Company accounts for investments, per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Cash equivalents and restricted cash</w:t>
      </w:r>
    </w:p>
    <w:p>
      <w:pPr>
        <w:spacing w:after="0" w:line="7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purchase/investment, of three months or less to be cash equivalents.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20"/>
          </w:cols>
          <w:pgMar w:left="24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Income taxes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accordance with the provisions of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former holding company which merged with the Company on December 31,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Retirement benefits to employees</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Dividend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Dividends are recognized upon approval by the shareholders. For the six months ended June 30, 2006 and 2005, no dividends were declared.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Earnings per share</w:t>
      </w:r>
    </w:p>
    <w:p>
      <w:pPr>
        <w:spacing w:after="0" w:line="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In accordance with the provisions of SFAS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27" w:lineRule="exact"/>
        <w:rPr>
          <w:sz w:val="20"/>
          <w:szCs w:val="20"/>
          <w:color w:val="auto"/>
        </w:rPr>
      </w:pPr>
    </w:p>
    <w:p>
      <w:pPr>
        <w:ind w:left="240" w:right="7720" w:hanging="4"/>
        <w:spacing w:after="0" w:line="328" w:lineRule="auto"/>
        <w:tabs>
          <w:tab w:leader="none" w:pos="489"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i w:val="1"/>
          <w:iCs w:val="1"/>
          <w:color w:val="auto"/>
        </w:rPr>
        <w:t>Stock-Based Payments</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On December 16, 2004, the FASB issued SFAS 123R, </w:t>
      </w:r>
      <w:r>
        <w:rPr>
          <w:rFonts w:ascii="Arial" w:cs="Arial" w:eastAsia="Arial" w:hAnsi="Arial"/>
          <w:sz w:val="16"/>
          <w:szCs w:val="16"/>
          <w:i w:val="1"/>
          <w:iCs w:val="1"/>
          <w:color w:val="auto"/>
        </w:rPr>
        <w:t>Stock-Based Payment, an Amendment of FASB Statements No. 123 and 95</w:t>
      </w:r>
      <w:r>
        <w:rPr>
          <w:rFonts w:ascii="Arial" w:cs="Arial" w:eastAsia="Arial" w:hAnsi="Arial"/>
          <w:sz w:val="16"/>
          <w:szCs w:val="16"/>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requires that such transactions be accounted for using a fair-value-based method and recognized as expenses in our consolidated statement of income. The standard requires that the modified prospective method be used, which requires that the fair value of new awards granted from the beginning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Per revised SFAS 123R issued by FASB, an expense of $670,852 and $0 for the six months ended June 30, 2006 and 2005, respectively was booked.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Certain Hybrid Financial Instruments</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February 2006, the FASB issued SFAS No. 155, “</w:t>
      </w:r>
      <w:r>
        <w:rPr>
          <w:rFonts w:ascii="Arial" w:cs="Arial" w:eastAsia="Arial" w:hAnsi="Arial"/>
          <w:sz w:val="16"/>
          <w:szCs w:val="16"/>
          <w:i w:val="1"/>
          <w:iCs w:val="1"/>
          <w:color w:val="auto"/>
        </w:rPr>
        <w:t>Accounting for Certain Hybrid Financial Instruments—an Amendment of FASB Statements No. 133 and</w:t>
      </w:r>
      <w:r>
        <w:rPr>
          <w:rFonts w:ascii="Arial" w:cs="Arial" w:eastAsia="Arial" w:hAnsi="Arial"/>
          <w:sz w:val="16"/>
          <w:szCs w:val="16"/>
          <w:color w:val="auto"/>
        </w:rPr>
        <w:t xml:space="preserve"> </w:t>
      </w:r>
      <w:r>
        <w:rPr>
          <w:rFonts w:ascii="Arial" w:cs="Arial" w:eastAsia="Arial" w:hAnsi="Arial"/>
          <w:sz w:val="16"/>
          <w:szCs w:val="16"/>
          <w:i w:val="1"/>
          <w:iCs w:val="1"/>
          <w:color w:val="auto"/>
        </w:rPr>
        <w:t>140</w:t>
      </w:r>
      <w:r>
        <w:rPr>
          <w:rFonts w:ascii="Arial" w:cs="Arial" w:eastAsia="Arial" w:hAnsi="Arial"/>
          <w:sz w:val="16"/>
          <w:szCs w:val="16"/>
          <w:color w:val="auto"/>
        </w:rPr>
        <w:t>,” or SFAS No. 155. SFAS No. 155 permits fair value remeasurement for any hybrid financial instrument that contains an embedded derivative that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The Company has not completed evaluation of the SFAS No. 155 and its effect on consolidated financial statements.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Servicing of Financial Assets</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or SFAS No. 156, which clarifies the accounting for separately recognized servicing assets and liabilities. SFAS No. 156 is effective in fiscal years beginning after September 15, 2006. The Company does not believe the adoption of SFAS No. 156 will have a material impact on the consolidated financial position, results of operations or cash flows.</w:t>
      </w:r>
    </w:p>
    <w:p>
      <w:pPr>
        <w:spacing w:after="0" w:line="124" w:lineRule="exact"/>
        <w:rPr>
          <w:sz w:val="20"/>
          <w:szCs w:val="20"/>
          <w:color w:val="auto"/>
        </w:rPr>
      </w:pPr>
    </w:p>
    <w:p>
      <w:pPr>
        <w:ind w:left="240" w:right="6520" w:hanging="232"/>
        <w:spacing w:after="0" w:line="332" w:lineRule="auto"/>
        <w:tabs>
          <w:tab w:leader="none" w:pos="187"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CORPORATE RESTRUCTURE AND RECAPITALIZATION </w:t>
      </w:r>
      <w:r>
        <w:rPr>
          <w:rFonts w:ascii="Arial" w:cs="Arial" w:eastAsia="Arial" w:hAnsi="Arial"/>
          <w:sz w:val="18"/>
          <w:szCs w:val="18"/>
          <w:b w:val="1"/>
          <w:bCs w:val="1"/>
          <w:i w:val="1"/>
          <w:iCs w:val="1"/>
          <w:color w:val="auto"/>
        </w:rPr>
        <w:t>Merger with Holding Company</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The Members of the former holding company have been issued 8,937,235 Class C-1 Common Stock and 832,783 Class C-2 Common Stock in exchange of outstanding Class C-1 and Class C-2 membership units respectively of the former holding company. The excess of the cash paid for membership units of the former holding company over par value of Common Stock of the Company amounting to $988,884 has been reflected in Additional Paid-in Capital. The results of the operations of the acquired business are included in the Company’s Consolidated Financial Statements with effect from date the Company became the wholly owned subsidiary of the former holding company. Accordingly, the financial statements for the six months ended June 30, 2006 and 2005 represent the un-audited interim condensed consolidated financial statements of the Company and its former holding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MERGER WITH EXLSERVICE. MERGER SUB, INC.</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On July 1, 2006, the Company merged with ExlService Merger Sub, Inc., a wholly owned subsidiary of ExlService Holdings, Inc., a Delaware corporation (“Exl”), with Exl being the corporation that survived the merger. See Note 23(a) for details.</w:t>
      </w:r>
    </w:p>
    <w:p>
      <w:pPr>
        <w:spacing w:after="0" w:line="112"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AND CONCENTRATION OF RISK</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equivalents, trade receivables, and short-term loans. The cash resources of the Company are invested with banks. By their nature, all such financial instruments involve risk including the credit risk of non-performance by counterparties. It is the management’s opinion, as of June 30, 2006 and 2005, there was not any risk of loss in the event of non-performance of the counterparties to these financial instruments, other than the amounts already provided for in the financial statements.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1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the six months ended June 30, 2006 and 2005, a single customer accounted for approximately 59% and 54% of revenue, respectively. The same customer accounted for approximately 65% and 67% of the receivable balance as of June 30, 2006 and December 31, 2005, respectively.</w:t>
      </w:r>
    </w:p>
    <w:p>
      <w:pPr>
        <w:spacing w:after="0" w:line="66"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BASED COMPENSATION</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December 2004, the Financial Accounting Standards Board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SFAS 123R supersedes SFAS 123, </w:t>
      </w:r>
      <w:r>
        <w:rPr>
          <w:rFonts w:ascii="Arial" w:cs="Arial" w:eastAsia="Arial" w:hAnsi="Arial"/>
          <w:sz w:val="18"/>
          <w:szCs w:val="18"/>
          <w:i w:val="1"/>
          <w:iCs w:val="1"/>
          <w:color w:val="auto"/>
        </w:rPr>
        <w:t>Accounting for Stock Based Compensation</w:t>
      </w:r>
      <w:r>
        <w:rPr>
          <w:rFonts w:ascii="Arial" w:cs="Arial" w:eastAsia="Arial" w:hAnsi="Arial"/>
          <w:sz w:val="18"/>
          <w:szCs w:val="18"/>
          <w:color w:val="auto"/>
        </w:rPr>
        <w:t>, and Accounting Principles Board Opinion 25,</w:t>
      </w:r>
      <w:r>
        <w:rPr>
          <w:rFonts w:ascii="Arial" w:cs="Arial" w:eastAsia="Arial" w:hAnsi="Arial"/>
          <w:sz w:val="18"/>
          <w:szCs w:val="18"/>
          <w:i w:val="1"/>
          <w:iCs w:val="1"/>
          <w:color w:val="auto"/>
        </w:rPr>
        <w:t xml:space="preserve"> Accounting for Stock Issued to Employees </w:t>
      </w:r>
      <w:r>
        <w:rPr>
          <w:rFonts w:ascii="Arial" w:cs="Arial" w:eastAsia="Arial" w:hAnsi="Arial"/>
          <w:sz w:val="18"/>
          <w:szCs w:val="18"/>
          <w:color w:val="auto"/>
        </w:rPr>
        <w:t>(“APB 25”) and its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guidance. On January 1, 2006, the Company adopted the provisions of SFAS 123R using the modified prospective transition method. Under this method, the Company is required to record compensation expense for all stock based awards granted after the date of adoption and for the unvested portion of previously granted awards that remain outstanding as of the beginning of the adoption. The Company has not restated its financial statements for prior periods. Under SFAS 123R, compensation expense related to stock based payments are recorded over the requisite service period based on the grant date fair value of the awards.</w:t>
      </w:r>
    </w:p>
    <w:p>
      <w:pPr>
        <w:spacing w:after="0" w:line="13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Prior to the adoption of SFAS 123R, the Company accounted for employee stock options using the intrinsic value method in accordance with APB 25. Accordingly, no compensation expense was recognized for stock options issued to employees as long as the exercise price was greater than or equal to the market value of the common stock at the date of grant. In accordance with SFAS 123, the Company disclosed the summary of pro forma effects to reported net loss as if the Company had elected to recognize compensation costs based on the fair value of the awards at the grant date.</w:t>
      </w:r>
    </w:p>
    <w:p>
      <w:pPr>
        <w:spacing w:after="0" w:line="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the six months ended June 30, 2006, the Company charged compensation costs of $670,852 against income for options granted under the plan. The adoption of SFAS 123R did not have an impact on cash flows from operating or financing activities. A deduction is not allowed for income tax purposes until the options are exercised. The amount of this deduction will be the difference between the fair value of the Company’s common stock and the exercise price at the date of exercise. Accordingly, there is a deferred tax asset recorded for the tax effect of the financial statement expense recorded. The tax effect of the income tax deduction in excess of the financial statement expense will be recorded as an increase to additional paid-in capital.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Management has valued the options at their date of grant utilizing the Black Scholes Option Pricing Model. The following weighted-average assumptions were utilized in the fair value calculations for stock options at per unit exercise price of $0.55 (“$0.55 Stock Options”) granted during the quarter ended March 31, 2006 and for stock options at per unit exercise price of $1.00 (“$1.00 Stock Options”) granted during the quarter ended June 30, 2006:</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500" w:type="dxa"/>
            <w:vAlign w:val="bottom"/>
            <w:gridSpan w:val="2"/>
          </w:tcPr>
          <w:p>
            <w:pPr>
              <w:jc w:val="center"/>
              <w:ind w:left="2237"/>
              <w:spacing w:after="0"/>
              <w:rPr>
                <w:sz w:val="20"/>
                <w:szCs w:val="20"/>
                <w:color w:val="auto"/>
              </w:rPr>
            </w:pPr>
            <w:r>
              <w:rPr>
                <w:rFonts w:ascii="Arial" w:cs="Arial" w:eastAsia="Arial" w:hAnsi="Arial"/>
                <w:sz w:val="14"/>
                <w:szCs w:val="14"/>
                <w:b w:val="1"/>
                <w:bCs w:val="1"/>
                <w:color w:val="auto"/>
                <w:w w:val="85"/>
              </w:rPr>
              <w:t>$0.55 Stock Options</w:t>
            </w:r>
          </w:p>
        </w:tc>
        <w:tc>
          <w:tcPr>
            <w:tcW w:w="2300" w:type="dxa"/>
            <w:vAlign w:val="bottom"/>
            <w:gridSpan w:val="2"/>
          </w:tcPr>
          <w:p>
            <w:pPr>
              <w:jc w:val="center"/>
              <w:ind w:left="1017"/>
              <w:spacing w:after="0"/>
              <w:rPr>
                <w:sz w:val="20"/>
                <w:szCs w:val="20"/>
                <w:color w:val="auto"/>
              </w:rPr>
            </w:pPr>
            <w:r>
              <w:rPr>
                <w:rFonts w:ascii="Arial" w:cs="Arial" w:eastAsia="Arial" w:hAnsi="Arial"/>
                <w:sz w:val="14"/>
                <w:szCs w:val="14"/>
                <w:b w:val="1"/>
                <w:bCs w:val="1"/>
                <w:color w:val="auto"/>
                <w:w w:val="86"/>
              </w:rPr>
              <w:t>$1.00 Stock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gridSpan w:val="2"/>
            <w:shd w:val="clear" w:color="auto" w:fill="CCEEFF"/>
          </w:tcPr>
          <w:p>
            <w:pPr>
              <w:jc w:val="center"/>
              <w:ind w:left="2237"/>
              <w:spacing w:after="0"/>
              <w:rPr>
                <w:sz w:val="20"/>
                <w:szCs w:val="20"/>
                <w:color w:val="auto"/>
              </w:rPr>
            </w:pPr>
            <w:r>
              <w:rPr>
                <w:rFonts w:ascii="Arial" w:cs="Arial" w:eastAsia="Arial" w:hAnsi="Arial"/>
                <w:sz w:val="18"/>
                <w:szCs w:val="18"/>
                <w:color w:val="auto"/>
                <w:w w:val="90"/>
              </w:rPr>
              <w:t>0.00%</w:t>
            </w:r>
          </w:p>
        </w:tc>
        <w:tc>
          <w:tcPr>
            <w:tcW w:w="2300" w:type="dxa"/>
            <w:vAlign w:val="bottom"/>
            <w:gridSpan w:val="2"/>
            <w:shd w:val="clear" w:color="auto" w:fill="CCEEFF"/>
          </w:tcPr>
          <w:p>
            <w:pPr>
              <w:jc w:val="center"/>
              <w:ind w:left="1037"/>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500" w:type="dxa"/>
            <w:vAlign w:val="bottom"/>
            <w:gridSpan w:val="2"/>
          </w:tcPr>
          <w:p>
            <w:pPr>
              <w:jc w:val="center"/>
              <w:ind w:left="2237"/>
              <w:spacing w:after="0"/>
              <w:rPr>
                <w:sz w:val="20"/>
                <w:szCs w:val="20"/>
                <w:color w:val="auto"/>
              </w:rPr>
            </w:pPr>
            <w:r>
              <w:rPr>
                <w:rFonts w:ascii="Arial" w:cs="Arial" w:eastAsia="Arial" w:hAnsi="Arial"/>
                <w:sz w:val="18"/>
                <w:szCs w:val="18"/>
                <w:color w:val="auto"/>
                <w:w w:val="88"/>
              </w:rPr>
              <w:t>41.55%</w:t>
            </w:r>
          </w:p>
        </w:tc>
        <w:tc>
          <w:tcPr>
            <w:tcW w:w="2300" w:type="dxa"/>
            <w:vAlign w:val="bottom"/>
            <w:gridSpan w:val="2"/>
          </w:tcPr>
          <w:p>
            <w:pPr>
              <w:jc w:val="center"/>
              <w:ind w:left="1037"/>
              <w:spacing w:after="0"/>
              <w:rPr>
                <w:sz w:val="20"/>
                <w:szCs w:val="20"/>
                <w:color w:val="auto"/>
              </w:rPr>
            </w:pPr>
            <w:r>
              <w:rPr>
                <w:rFonts w:ascii="Arial" w:cs="Arial" w:eastAsia="Arial" w:hAnsi="Arial"/>
                <w:sz w:val="18"/>
                <w:szCs w:val="18"/>
                <w:color w:val="auto"/>
                <w:w w:val="88"/>
              </w:rPr>
              <w:t>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gridSpan w:val="2"/>
            <w:shd w:val="clear" w:color="auto" w:fill="CCEEFF"/>
          </w:tcPr>
          <w:p>
            <w:pPr>
              <w:jc w:val="center"/>
              <w:ind w:left="2237"/>
              <w:spacing w:after="0"/>
              <w:rPr>
                <w:sz w:val="20"/>
                <w:szCs w:val="20"/>
                <w:color w:val="auto"/>
              </w:rPr>
            </w:pPr>
            <w:r>
              <w:rPr>
                <w:rFonts w:ascii="Arial" w:cs="Arial" w:eastAsia="Arial" w:hAnsi="Arial"/>
                <w:sz w:val="18"/>
                <w:szCs w:val="18"/>
                <w:color w:val="auto"/>
                <w:w w:val="90"/>
              </w:rPr>
              <w:t>4.32%</w:t>
            </w:r>
          </w:p>
        </w:tc>
        <w:tc>
          <w:tcPr>
            <w:tcW w:w="2300" w:type="dxa"/>
            <w:vAlign w:val="bottom"/>
            <w:gridSpan w:val="2"/>
            <w:shd w:val="clear" w:color="auto" w:fill="CCEEFF"/>
          </w:tcPr>
          <w:p>
            <w:pPr>
              <w:jc w:val="center"/>
              <w:ind w:left="1037"/>
              <w:spacing w:after="0"/>
              <w:rPr>
                <w:sz w:val="20"/>
                <w:szCs w:val="20"/>
                <w:color w:val="auto"/>
              </w:rPr>
            </w:pPr>
            <w:r>
              <w:rPr>
                <w:rFonts w:ascii="Arial" w:cs="Arial" w:eastAsia="Arial" w:hAnsi="Arial"/>
                <w:sz w:val="18"/>
                <w:szCs w:val="18"/>
                <w:color w:val="auto"/>
                <w:w w:val="90"/>
              </w:rPr>
              <w:t>4.35%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23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0 years</w:t>
            </w: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0 years</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aggregate stock options granted under the $0.55 stock options plan:</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Shares</w:t>
            </w:r>
          </w:p>
        </w:tc>
        <w:tc>
          <w:tcPr>
            <w:tcW w:w="2080" w:type="dxa"/>
            <w:vAlign w:val="bottom"/>
            <w:gridSpan w:val="3"/>
          </w:tcPr>
          <w:p>
            <w:pPr>
              <w:ind w:left="10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Subject to Options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2005</w:t>
            </w: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Granted to employees—Three-month period ended March 31, 2006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2,309,752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 to employees—Three-month period ended June 30, 2006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Vested during the six months ended June 30, 2006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1,333,373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 &amp; cancelled for six-month period ended June 30, 2006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Un-vested at six-month period ended June 30, 2006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865,895</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&amp; Exercisable as of June 30, 2006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$0.55 options granted to employees was $0.44.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aggregate stock options granted under the $1 stock options plan:</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Shares</w:t>
            </w:r>
          </w:p>
        </w:tc>
        <w:tc>
          <w:tcPr>
            <w:tcW w:w="2140" w:type="dxa"/>
            <w:vAlign w:val="bottom"/>
            <w:gridSpan w:val="3"/>
          </w:tcPr>
          <w:p>
            <w:pPr>
              <w:ind w:left="108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Subject to Options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2005</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Granted to employees—Three-month period ended June 30, 2006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867,173</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 for the six months ended June 30, 2006</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216,795</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Forfeited &amp; cancelled for six-month period ended June 30, 2006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Un-vested at six-month period ended June 30, 2006</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594,128</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Outstanding &amp; Exercisable as of June 30, 2006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$1.00 options granted to employees was $0.38.</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granted on January 9, 2006 (the “$.55 Options”), which were 25% vested prior to the merger of Inductis, Inc. with ExlService Merger Sub, Inc. (the “Merger”), provided that the balance of any unvested $.55 Options would accelerate and become fully vested upon a “change in control” (i.e., the Merger). Stock options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granted on May 21, 2006 (the “$1.00 Options”), none of which were vested prior to the Merger, did not contain an acceleration provision and, as a result, none of the $1.00 Options would have accelerated upon a “change of control.” In connection with the Merger, a compromise was reached with the holders of $.55 and $1.00 stock options pursuant to which it was agreed that, in lieu of accelerated vesting of all of the $.55 Options held by such persons, only 50% of the $.55 Options became fully vested immediately prior to the Merger and, in lieu of termination of all of the $1.00 Options held by such persons, 25% of the $1.00 Options became fully vested immediately prior to the Merger. Those $.55 Options and $1.00 Options that did not vest prior to the Merger converted into the right to receive restricted shares of Series B Common Stock of ExlService Holdings, Inc., the parent of ExlService Merger Sub, Inc., the right to participate in a newly-created Management Incentive Plan and a cash payment payable at the closing of the Merger.</w:t>
      </w:r>
    </w:p>
    <w:p>
      <w:pPr>
        <w:spacing w:after="0" w:line="99" w:lineRule="exact"/>
        <w:rPr>
          <w:sz w:val="20"/>
          <w:szCs w:val="20"/>
          <w:color w:val="auto"/>
        </w:rPr>
      </w:pPr>
    </w:p>
    <w:p>
      <w:pPr>
        <w:ind w:left="180" w:hanging="172"/>
        <w:spacing w:after="0"/>
        <w:tabs>
          <w:tab w:leader="none" w:pos="1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and cash equivalents consists of $1,440,617 of which $182,725 and $27,516 is in India and Singapore, respectively, as of June 30, 2006 and $1,677,670 of which $694,410 is in India as of December 31, 2005.</w:t>
      </w:r>
    </w:p>
    <w:p>
      <w:pPr>
        <w:spacing w:after="0" w:line="112" w:lineRule="exact"/>
        <w:rPr>
          <w:sz w:val="20"/>
          <w:szCs w:val="20"/>
          <w:color w:val="auto"/>
        </w:rPr>
      </w:pPr>
    </w:p>
    <w:p>
      <w:pPr>
        <w:ind w:left="180" w:hanging="172"/>
        <w:spacing w:after="0"/>
        <w:tabs>
          <w:tab w:leader="none" w:pos="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CURRENT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comprise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75"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00" w:type="dxa"/>
            <w:vAlign w:val="bottom"/>
            <w:gridSpan w:val="5"/>
          </w:tcPr>
          <w:p>
            <w:pPr>
              <w:jc w:val="center"/>
              <w:ind w:left="2715"/>
              <w:spacing w:after="0" w:line="149"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175"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75"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(Audited)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4,001</w:t>
            </w:r>
          </w:p>
        </w:tc>
        <w:tc>
          <w:tcPr>
            <w:tcW w:w="70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Prepaid Taxes</w:t>
            </w:r>
          </w:p>
        </w:tc>
        <w:tc>
          <w:tcPr>
            <w:tcW w:w="3500" w:type="dxa"/>
            <w:vAlign w:val="bottom"/>
            <w:gridSpan w:val="5"/>
          </w:tcPr>
          <w:p>
            <w:pPr>
              <w:jc w:val="right"/>
              <w:spacing w:after="0"/>
              <w:rPr>
                <w:sz w:val="20"/>
                <w:szCs w:val="20"/>
                <w:color w:val="auto"/>
              </w:rPr>
            </w:pPr>
            <w:r>
              <w:rPr>
                <w:rFonts w:ascii="Arial" w:cs="Arial" w:eastAsia="Arial" w:hAnsi="Arial"/>
                <w:sz w:val="18"/>
                <w:szCs w:val="18"/>
                <w:color w:val="auto"/>
              </w:rPr>
              <w:t>241,747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75"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102,247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3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60,940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44,582</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3500" w:type="dxa"/>
            <w:vAlign w:val="bottom"/>
            <w:gridSpan w:val="5"/>
          </w:tcPr>
          <w:p>
            <w:pPr>
              <w:jc w:val="right"/>
              <w:spacing w:after="0"/>
              <w:rPr>
                <w:sz w:val="20"/>
                <w:szCs w:val="20"/>
                <w:color w:val="auto"/>
              </w:rPr>
            </w:pPr>
            <w:r>
              <w:rPr>
                <w:rFonts w:ascii="Arial" w:cs="Arial" w:eastAsia="Arial" w:hAnsi="Arial"/>
                <w:sz w:val="18"/>
                <w:szCs w:val="18"/>
                <w:color w:val="auto"/>
              </w:rPr>
              <w:t>363,463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140,603</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$ 670,151</w:t>
            </w:r>
          </w:p>
        </w:tc>
        <w:tc>
          <w:tcPr>
            <w:tcW w:w="70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317,412</w:t>
            </w:r>
          </w:p>
        </w:tc>
        <w:tc>
          <w:tcPr>
            <w:tcW w:w="0" w:type="dxa"/>
            <w:vAlign w:val="bottom"/>
          </w:tcPr>
          <w:p>
            <w:pPr>
              <w:spacing w:after="0"/>
              <w:rPr>
                <w:sz w:val="1"/>
                <w:szCs w:val="1"/>
                <w:color w:val="auto"/>
              </w:rPr>
            </w:pPr>
          </w:p>
        </w:tc>
      </w:tr>
      <w:tr>
        <w:trPr>
          <w:trHeight w:val="132"/>
        </w:trPr>
        <w:tc>
          <w:tcPr>
            <w:tcW w:w="5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8. PROPERTY AND EQUIPMENT</w:t>
            </w: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5" w:type="dxa"/>
            <w:vAlign w:val="bottom"/>
          </w:tcPr>
          <w:p>
            <w:pPr>
              <w:spacing w:after="0"/>
              <w:rPr>
                <w:sz w:val="11"/>
                <w:szCs w:val="11"/>
                <w:color w:val="auto"/>
              </w:rPr>
            </w:pPr>
          </w:p>
        </w:tc>
        <w:tc>
          <w:tcPr>
            <w:tcW w:w="175"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940" w:type="dxa"/>
            <w:vAlign w:val="bottom"/>
            <w:gridSpan w:val="4"/>
            <w:vMerge w:val="continue"/>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75"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5" w:type="dxa"/>
            <w:vAlign w:val="bottom"/>
          </w:tcPr>
          <w:p>
            <w:pPr>
              <w:spacing w:after="0" w:line="20" w:lineRule="exact"/>
              <w:rPr>
                <w:sz w:val="1"/>
                <w:szCs w:val="1"/>
                <w:color w:val="auto"/>
              </w:rPr>
            </w:pPr>
          </w:p>
        </w:tc>
        <w:tc>
          <w:tcPr>
            <w:tcW w:w="175"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940" w:type="dxa"/>
            <w:vAlign w:val="bottom"/>
            <w:gridSpan w:val="4"/>
          </w:tcPr>
          <w:p>
            <w:pPr>
              <w:ind w:left="20"/>
              <w:spacing w:after="0"/>
              <w:rPr>
                <w:sz w:val="20"/>
                <w:szCs w:val="20"/>
                <w:color w:val="auto"/>
              </w:rPr>
            </w:pPr>
            <w:r>
              <w:rPr>
                <w:rFonts w:ascii="Arial" w:cs="Arial" w:eastAsia="Arial" w:hAnsi="Arial"/>
                <w:sz w:val="18"/>
                <w:szCs w:val="18"/>
                <w:color w:val="auto"/>
              </w:rPr>
              <w:t>Property and equipment comprise the following:</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75"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5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June 30, 2006</w:t>
            </w:r>
          </w:p>
        </w:tc>
        <w:tc>
          <w:tcPr>
            <w:tcW w:w="20" w:type="dxa"/>
            <w:vAlign w:val="bottom"/>
          </w:tcPr>
          <w:p>
            <w:pPr>
              <w:spacing w:after="0"/>
              <w:rPr>
                <w:sz w:val="24"/>
                <w:szCs w:val="24"/>
                <w:color w:val="auto"/>
              </w:rPr>
            </w:pPr>
          </w:p>
        </w:tc>
        <w:tc>
          <w:tcPr>
            <w:tcW w:w="1400" w:type="dxa"/>
            <w:vAlign w:val="bottom"/>
            <w:gridSpan w:val="5"/>
          </w:tcPr>
          <w:p>
            <w:pPr>
              <w:ind w:left="30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75"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7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3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$1,641,601</w:t>
            </w:r>
          </w:p>
        </w:tc>
        <w:tc>
          <w:tcPr>
            <w:tcW w:w="400" w:type="dxa"/>
            <w:vAlign w:val="bottom"/>
            <w:shd w:val="clear" w:color="auto" w:fill="CCEEFF"/>
          </w:tcPr>
          <w:p>
            <w:pPr>
              <w:spacing w:after="0"/>
              <w:rPr>
                <w:sz w:val="18"/>
                <w:szCs w:val="18"/>
                <w:color w:val="auto"/>
              </w:rPr>
            </w:pPr>
          </w:p>
        </w:tc>
        <w:tc>
          <w:tcPr>
            <w:tcW w:w="445"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1,240,209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100" w:type="dxa"/>
            <w:vAlign w:val="bottom"/>
            <w:gridSpan w:val="4"/>
          </w:tcPr>
          <w:p>
            <w:pPr>
              <w:jc w:val="right"/>
              <w:spacing w:after="0"/>
              <w:rPr>
                <w:sz w:val="20"/>
                <w:szCs w:val="20"/>
                <w:color w:val="auto"/>
              </w:rPr>
            </w:pPr>
            <w:r>
              <w:rPr>
                <w:rFonts w:ascii="Arial" w:cs="Arial" w:eastAsia="Arial" w:hAnsi="Arial"/>
                <w:sz w:val="18"/>
                <w:szCs w:val="18"/>
                <w:color w:val="auto"/>
              </w:rPr>
              <w:t>302,840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75"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297,545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1,026,629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962,149</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Capital work-in-progress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7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$2,971,070</w:t>
            </w:r>
          </w:p>
        </w:tc>
        <w:tc>
          <w:tcPr>
            <w:tcW w:w="400" w:type="dxa"/>
            <w:vAlign w:val="bottom"/>
            <w:shd w:val="clear" w:color="auto" w:fill="CCEEFF"/>
          </w:tcPr>
          <w:p>
            <w:pPr>
              <w:spacing w:after="0"/>
              <w:rPr>
                <w:sz w:val="18"/>
                <w:szCs w:val="18"/>
                <w:color w:val="auto"/>
              </w:rPr>
            </w:pPr>
          </w:p>
        </w:tc>
        <w:tc>
          <w:tcPr>
            <w:tcW w:w="445"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2,504,576</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3100" w:type="dxa"/>
            <w:vAlign w:val="bottom"/>
            <w:gridSpan w:val="4"/>
          </w:tcPr>
          <w:p>
            <w:pPr>
              <w:jc w:val="right"/>
              <w:spacing w:after="0"/>
              <w:rPr>
                <w:sz w:val="20"/>
                <w:szCs w:val="20"/>
                <w:color w:val="auto"/>
              </w:rPr>
            </w:pPr>
            <w:r>
              <w:rPr>
                <w:rFonts w:ascii="Arial" w:cs="Arial" w:eastAsia="Arial" w:hAnsi="Arial"/>
                <w:sz w:val="18"/>
                <w:szCs w:val="18"/>
                <w:color w:val="auto"/>
              </w:rPr>
              <w:t>1,422,173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1,092,642</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7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3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$1,548,897</w:t>
            </w:r>
          </w:p>
        </w:tc>
        <w:tc>
          <w:tcPr>
            <w:tcW w:w="400" w:type="dxa"/>
            <w:vAlign w:val="bottom"/>
            <w:shd w:val="clear" w:color="auto" w:fill="CCEEFF"/>
          </w:tcPr>
          <w:p>
            <w:pPr>
              <w:spacing w:after="0"/>
              <w:rPr>
                <w:sz w:val="18"/>
                <w:szCs w:val="18"/>
                <w:color w:val="auto"/>
              </w:rPr>
            </w:pPr>
          </w:p>
        </w:tc>
        <w:tc>
          <w:tcPr>
            <w:tcW w:w="445"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1,411,934</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75"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-2284730</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-2284730</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-2284730</wp:posOffset>
            </wp:positionV>
            <wp:extent cx="2159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-2284730</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-2284730</wp:posOffset>
            </wp:positionV>
            <wp:extent cx="1270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-2284730</wp:posOffset>
            </wp:positionV>
            <wp:extent cx="2159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509905"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accumulated amortization of assets under capital leases at June 30, 2006 is $392,487 and $207,141 respectively, and at December 31, 2005 are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$392,487 and $141,726, respectively. Deletions of Fixed Assets for the period ended June 30, 2006 and December 31, 2005 are $94 and $30,413, respectively, of which accumulated depreciation was $40 and $26,633, respectively.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180" w:hanging="172"/>
        <w:spacing w:after="0"/>
        <w:tabs>
          <w:tab w:leader="none" w:pos="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available for sale consist of investment in units of mutual funds and the book value approximates the fair value of such units.</w:t>
      </w:r>
    </w:p>
    <w:p>
      <w:pPr>
        <w:spacing w:after="0" w:line="18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Proceeds from the sale of securities, available were $603,124 and $401,967 during the six months ended June 30, 2006 and 2005 respectively. Dividend income earned from these investments during the six months ended June 30, 2006 and 2005 was $2,042 and $1,702 respectively.</w:t>
      </w:r>
    </w:p>
    <w:p>
      <w:pPr>
        <w:spacing w:after="0" w:line="66" w:lineRule="exact"/>
        <w:rPr>
          <w:sz w:val="20"/>
          <w:szCs w:val="20"/>
          <w:color w:val="auto"/>
        </w:rPr>
      </w:pPr>
    </w:p>
    <w:p>
      <w:pPr>
        <w:ind w:left="240" w:right="9680" w:hanging="232"/>
        <w:spacing w:after="0" w:line="373" w:lineRule="auto"/>
        <w:tabs>
          <w:tab w:leader="none" w:pos="275"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OTHER ASSETS </w:t>
      </w:r>
      <w:r>
        <w:rPr>
          <w:rFonts w:ascii="Arial" w:cs="Arial" w:eastAsia="Arial" w:hAnsi="Arial"/>
          <w:sz w:val="16"/>
          <w:szCs w:val="16"/>
          <w:b w:val="1"/>
          <w:bCs w:val="1"/>
          <w:color w:val="auto"/>
        </w:rPr>
        <w:t>Impairment Charge</w:t>
      </w:r>
    </w:p>
    <w:p>
      <w:pPr>
        <w:spacing w:after="0" w:line="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Company has entered into an Asset Purchase agreement with iTouchpoint Technologies LLC, a Delaware limited liability company, whereby the Company through its newly formed wholly owned subsidiary, iTouchpoint Services LLC, will acquire certain assets and liabilities relating to the business of iTouchpoint Technologies LLC. The transaction is subject to iTouchpoint Technologies LLC., acquiring 100% of iTouchpoint Softech Pvt. Limited.</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year ended December 31, 2005, the Company was in the process of acquiring an equity interest in iTouchpoint Technologies LLC (“iTouchpoint”). As part of this process, the Company entered into a long-term bridge loan with iTouchpoint under which it promised to loan iTouchPoint up to $3,000,000 to assist with the funding of the business operations. After the extension of the long-term bridge loan, the principal owner of iTouchpoint also became a member of the Company’s Board of Directors. During the year ended December 31, 2005, the Company advanced $2,756,500 and during the six months ended June 30, 2006, the Company advanced $325,000 under this long-term bridge loan agreement to iTouchpoint pursuant to its funding commitment. The loan is senior to all existing indebtedness of the Company and is secured by all assets of the Company and can be called at any time in the event of default or after the expiration of the acquisition agreement with iTouchpoint.</w:t>
      </w:r>
    </w:p>
    <w:p>
      <w:pPr>
        <w:spacing w:after="0" w:line="10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acquisition agreement expired on June 1, 2006 and the Company has not renewed the agreement and the note receivable from iTouchpoint will be distributed as a dividend net off the impairments to its shareholders as part of the acquisition with ExlServices.com, Inc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Subsequently, iTouchpoint has not met the sales levels the Company originally anticipated at the time of the loan was made.</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Due to the significance of the continued operating losses, management performed an evaluation of the recoverability of the entire loan from iTouchPoint as described in Statement of Financial Accounting Standards No. 144 “</w:t>
      </w:r>
      <w:r>
        <w:rPr>
          <w:rFonts w:ascii="Arial" w:cs="Arial" w:eastAsia="Arial" w:hAnsi="Arial"/>
          <w:sz w:val="16"/>
          <w:szCs w:val="16"/>
          <w:i w:val="1"/>
          <w:iCs w:val="1"/>
          <w:color w:val="auto"/>
        </w:rPr>
        <w:t>Account for the Impairment or Disposal of Long Lived Assets</w:t>
      </w:r>
      <w:r>
        <w:rPr>
          <w:rFonts w:ascii="Arial" w:cs="Arial" w:eastAsia="Arial" w:hAnsi="Arial"/>
          <w:sz w:val="16"/>
          <w:szCs w:val="16"/>
          <w:color w:val="auto"/>
        </w:rPr>
        <w:t>.” Management concluded from the results of this evaluation that a significant impairment charge was required because estimated fair value was less than the carrying value of the asset. Considerable management judgment is necessary to estimate fair value. Accordingly, actual results could vary significantly from managements’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evaluation, the Company recognized an asset impairment loss as follows:</w:t>
      </w:r>
    </w:p>
    <w:p>
      <w:pPr>
        <w:spacing w:after="0" w:line="153" w:lineRule="exact"/>
        <w:rPr>
          <w:sz w:val="20"/>
          <w:szCs w:val="20"/>
          <w:color w:val="auto"/>
        </w:rPr>
      </w:pPr>
    </w:p>
    <w:p>
      <w:pPr>
        <w:ind w:left="8580"/>
        <w:spacing w:after="0"/>
        <w:tabs>
          <w:tab w:leader="none" w:pos="97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68580</wp:posOffset>
            </wp:positionV>
            <wp:extent cx="122618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w:t>
            </w:r>
          </w:p>
        </w:tc>
        <w:tc>
          <w:tcPr>
            <w:tcW w:w="3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$ 325,000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$ 150,000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ALLOWANCES FOR ACCOUNTS RECEIVABLE</w:t>
      </w:r>
    </w:p>
    <w:p>
      <w:pPr>
        <w:spacing w:after="0" w:line="8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40" w:type="dxa"/>
            <w:vAlign w:val="bottom"/>
            <w:gridSpan w:val="4"/>
          </w:tcPr>
          <w:p>
            <w:pPr>
              <w:spacing w:after="0"/>
              <w:rPr>
                <w:sz w:val="20"/>
                <w:szCs w:val="20"/>
                <w:color w:val="auto"/>
              </w:rPr>
            </w:pPr>
            <w:r>
              <w:rPr>
                <w:rFonts w:ascii="Arial" w:cs="Arial" w:eastAsia="Arial" w:hAnsi="Arial"/>
                <w:sz w:val="18"/>
                <w:szCs w:val="18"/>
                <w:color w:val="auto"/>
                <w:w w:val="92"/>
              </w:rPr>
              <w:t>Allowance for accounts receivable as of June 30, 2006 and December 31, 2005 was $470,000 and $150,000, respectively.</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12 (a) CAPITAL LEASES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040" w:type="dxa"/>
            <w:vAlign w:val="bottom"/>
            <w:gridSpan w:val="4"/>
          </w:tcPr>
          <w:p>
            <w:pPr>
              <w:ind w:left="20"/>
              <w:spacing w:after="0"/>
              <w:rPr>
                <w:sz w:val="20"/>
                <w:szCs w:val="20"/>
                <w:color w:val="auto"/>
              </w:rPr>
            </w:pPr>
            <w:r>
              <w:rPr>
                <w:rFonts w:ascii="Arial" w:cs="Arial" w:eastAsia="Arial" w:hAnsi="Arial"/>
                <w:sz w:val="18"/>
                <w:szCs w:val="18"/>
                <w:color w:val="auto"/>
              </w:rPr>
              <w:t>Future minimum lease payments under such capital lease as of June 30, 2006 are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8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Year ending June 30, 2007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138,046</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For the period ending November 30, 2007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57,482</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195,528</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Amount representing future interest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minimum payments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190,459</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133,482</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Long term capital lease obligation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56,977</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decided to close both the operating and capital lease in June 2006 and made an initial payment of $180,000, shown in other current assets towards closure. See Note 23(b) for further details.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(b) </w:t>
      </w:r>
      <w:r>
        <w:rPr>
          <w:rFonts w:ascii="Arial" w:cs="Arial" w:eastAsia="Arial" w:hAnsi="Arial"/>
          <w:sz w:val="18"/>
          <w:szCs w:val="18"/>
          <w:b w:val="1"/>
          <w:bCs w:val="1"/>
          <w:u w:val="single" w:color="auto"/>
          <w:color w:val="auto"/>
        </w:rPr>
        <w:t>OPERATING LEASES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obliged under non-cancelable operating leases for its offices in New Jersey, New York and India expiring in April 2008, September 2007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2008 respectively. Future minimum lease payments as of June 30, 2006 for such non-cancelable operating leases are as follows:</w:t>
      </w: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2007</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472,137</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 &amp; beyond</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351,466</w:t>
            </w: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minimum payments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823,603</w:t>
            </w: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is also obligated to pay certain real estate taxes and other expenses under the lease term. The New York office lease is personally guaranteed by the principal owner of the Company.</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Additionally, the Company leases guest house facilities under cancelable operating lease agreements that are renewable on a periodic basis at the option of both the lessor and the lessee.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under operating leases is $308,007 and $239,894 for the six months ended June 30, 2006 and 2005,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80" w:hanging="272"/>
        <w:spacing w:after="0"/>
        <w:tabs>
          <w:tab w:leader="none" w:pos="2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SHORT TERM DEBTS</w:t>
      </w:r>
    </w:p>
    <w:p>
      <w:pPr>
        <w:spacing w:after="0" w:line="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Further, the company has a ten percent (10%) interest bearing promissory note payable to ex-members.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comprises of:</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June 30, 2006</w:t>
            </w:r>
          </w:p>
        </w:tc>
        <w:tc>
          <w:tcPr>
            <w:tcW w:w="1820" w:type="dxa"/>
            <w:vAlign w:val="bottom"/>
            <w:gridSpan w:val="3"/>
          </w:tcPr>
          <w:p>
            <w:pPr>
              <w:ind w:left="72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2"/>
              </w:rPr>
              <w:t>(Unaudited)</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96"/>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Short term loan</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portion of the long term debt</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650,000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51,713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$3,201,713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4,085,084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69850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98500" cy="29845"/>
                    </a:xfrm>
                    <a:prstGeom prst="rect">
                      <a:avLst/>
                    </a:prstGeom>
                    <a:noFill/>
                  </pic:spPr>
                </pic:pic>
              </a:graphicData>
            </a:graphic>
          </wp:anchor>
        </w:drawing>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promissory note of $51,713 at June 30, 2006 and $49,289 at December 31, 2005 is payable to an ex-employee of the former holding company. The Company is contemplating litigation with the ex-employee, as the Company alleges that the ex-employee is in breech of some of the terms of the Repurchase Agreement with the Company. Currently the Company has notified the ex-employee that he has forfeited his rights to the balance due of $51,713.</w:t>
      </w:r>
    </w:p>
    <w:p>
      <w:pPr>
        <w:spacing w:after="0" w:line="87" w:lineRule="exact"/>
        <w:rPr>
          <w:sz w:val="20"/>
          <w:szCs w:val="20"/>
          <w:color w:val="auto"/>
        </w:rPr>
      </w:pPr>
    </w:p>
    <w:p>
      <w:pPr>
        <w:ind w:left="280" w:hanging="272"/>
        <w:spacing w:after="0"/>
        <w:tabs>
          <w:tab w:leader="none" w:pos="2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LONG TERM DEBTS</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2005, the Company obtained a term loan of $1,800,000 to finance the working capital relating to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comprises of:</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2006</w:t>
            </w:r>
          </w:p>
        </w:tc>
        <w:tc>
          <w:tcPr>
            <w:tcW w:w="3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410" w:type="dxa"/>
            <w:vAlign w:val="bottom"/>
            <w:gridSpan w:val="4"/>
          </w:tcPr>
          <w:p>
            <w:pPr>
              <w:ind w:left="31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Long term debt</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Less: current portion of long term debt</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650,000</w:t>
            </w:r>
          </w:p>
        </w:tc>
        <w:tc>
          <w:tcPr>
            <w:tcW w:w="3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3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$1,100,000</w:t>
            </w: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ind w:lef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1,400,000</w:t>
            </w:r>
          </w:p>
        </w:tc>
        <w:tc>
          <w:tcPr>
            <w:tcW w:w="0" w:type="dxa"/>
            <w:vAlign w:val="bottom"/>
          </w:tcPr>
          <w:p>
            <w:pPr>
              <w:spacing w:after="0"/>
              <w:rPr>
                <w:sz w:val="1"/>
                <w:szCs w:val="1"/>
                <w:color w:val="auto"/>
              </w:rPr>
            </w:pPr>
          </w:p>
        </w:tc>
      </w:tr>
      <w:tr>
        <w:trPr>
          <w:trHeight w:val="129"/>
        </w:trPr>
        <w:tc>
          <w:tcPr>
            <w:tcW w:w="6240" w:type="dxa"/>
            <w:vAlign w:val="bottom"/>
            <w:gridSpan w:val="3"/>
            <w:vMerge w:val="restart"/>
          </w:tcPr>
          <w:p>
            <w:pPr>
              <w:spacing w:after="0"/>
              <w:rPr>
                <w:sz w:val="20"/>
                <w:szCs w:val="20"/>
                <w:color w:val="auto"/>
              </w:rPr>
            </w:pPr>
            <w:r>
              <w:rPr>
                <w:rFonts w:ascii="Arial" w:cs="Arial" w:eastAsia="Arial" w:hAnsi="Arial"/>
                <w:sz w:val="18"/>
                <w:szCs w:val="18"/>
                <w:color w:val="auto"/>
              </w:rPr>
              <w:t>The maturity profile of term loan as of June 30 is as follows:</w:t>
            </w: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31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62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40" w:type="dxa"/>
            <w:vAlign w:val="bottom"/>
            <w:gridSpan w:val="2"/>
            <w:vMerge w:val="restart"/>
          </w:tcPr>
          <w:p>
            <w:pPr>
              <w:spacing w:after="0"/>
              <w:rPr>
                <w:sz w:val="13"/>
                <w:szCs w:val="13"/>
                <w:color w:val="auto"/>
              </w:rPr>
            </w:pPr>
          </w:p>
        </w:tc>
        <w:tc>
          <w:tcPr>
            <w:tcW w:w="5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83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2008</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gridSpan w:val="3"/>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gridSpan w:val="3"/>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1,750,000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31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-1212850</wp:posOffset>
            </wp:positionV>
            <wp:extent cx="509905"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-1212850</wp:posOffset>
            </wp:positionV>
            <wp:extent cx="6985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985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two classes of Common Stock; Class C-1 Common Stock and Class C-2 Common Stock. Par value of each Common Stock as of June 30, 2006 is $0.0001.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detail of Common Stock of the Company for the year ended December 31, 2005 is as below:</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5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83"/>
              </w:rPr>
              <w:t>Class C-1 Stock</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6"/>
              </w:rPr>
              <w:t>Class C-2 Stock</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6,557,062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478,806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7,035,868</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Restricted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2,380,173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353,977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2,734,150</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8,937,235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9,770,018</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Treasury Stock</w:t>
            </w:r>
          </w:p>
        </w:tc>
        <w:tc>
          <w:tcPr>
            <w:tcW w:w="920" w:type="dxa"/>
            <w:vAlign w:val="bottom"/>
          </w:tcPr>
          <w:p>
            <w:pPr>
              <w:jc w:val="right"/>
              <w:spacing w:after="0"/>
              <w:rPr>
                <w:sz w:val="20"/>
                <w:szCs w:val="20"/>
                <w:color w:val="auto"/>
              </w:rPr>
            </w:pPr>
            <w:r>
              <w:rPr>
                <w:rFonts w:ascii="Arial" w:cs="Arial" w:eastAsia="Arial" w:hAnsi="Arial"/>
                <w:sz w:val="18"/>
                <w:szCs w:val="18"/>
                <w:color w:val="auto"/>
              </w:rPr>
              <w:t>822,500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10,592,518</w:t>
            </w:r>
          </w:p>
        </w:tc>
        <w:tc>
          <w:tcPr>
            <w:tcW w:w="0" w:type="dxa"/>
            <w:vAlign w:val="bottom"/>
          </w:tcPr>
          <w:p>
            <w:pPr>
              <w:spacing w:after="0"/>
              <w:rPr>
                <w:sz w:val="1"/>
                <w:szCs w:val="1"/>
                <w:color w:val="auto"/>
              </w:rPr>
            </w:pPr>
          </w:p>
        </w:tc>
      </w:tr>
      <w:tr>
        <w:trPr>
          <w:trHeight w:val="132"/>
        </w:trPr>
        <w:tc>
          <w:tcPr>
            <w:tcW w:w="6920" w:type="dxa"/>
            <w:vAlign w:val="bottom"/>
            <w:gridSpan w:val="2"/>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20" w:type="dxa"/>
            <w:vAlign w:val="bottom"/>
            <w:gridSpan w:val="2"/>
          </w:tcPr>
          <w:p>
            <w:pPr>
              <w:spacing w:after="0"/>
              <w:rPr>
                <w:sz w:val="20"/>
                <w:szCs w:val="20"/>
                <w:color w:val="auto"/>
              </w:rPr>
            </w:pPr>
            <w:r>
              <w:rPr>
                <w:rFonts w:ascii="Arial" w:cs="Arial" w:eastAsia="Arial" w:hAnsi="Arial"/>
                <w:sz w:val="18"/>
                <w:szCs w:val="18"/>
                <w:color w:val="auto"/>
              </w:rPr>
              <w:t>Each holder of Class C-1 Common Stock in entitled to one vote per share.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20" w:type="dxa"/>
            <w:vAlign w:val="bottom"/>
            <w:gridSpan w:val="2"/>
          </w:tcPr>
          <w:p>
            <w:pPr>
              <w:spacing w:after="0"/>
              <w:rPr>
                <w:sz w:val="20"/>
                <w:szCs w:val="20"/>
                <w:color w:val="auto"/>
              </w:rPr>
            </w:pPr>
            <w:r>
              <w:rPr>
                <w:rFonts w:ascii="Arial" w:cs="Arial" w:eastAsia="Arial" w:hAnsi="Arial"/>
                <w:sz w:val="18"/>
                <w:szCs w:val="18"/>
                <w:color w:val="auto"/>
                <w:w w:val="92"/>
              </w:rPr>
              <w:t>The detail of Common Stock of the Company for the period ended June 30, 2006 is as below:</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5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2"/>
              </w:rPr>
              <w:t>Class C-1 Unit</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Class C-2 Unit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Unrestricted Shares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7,685,876</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1,077,417</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8,763,293</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Restricted Shares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1,870,832</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375,051</w:t>
            </w: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2,245,883</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9,556,708</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1,452,468</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11,009,176</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Treasury Stock</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1,127,839</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128,965</w:t>
            </w: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1,256,804</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12,265,980</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-1967230</wp:posOffset>
            </wp:positionV>
            <wp:extent cx="1270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-1967230</wp:posOffset>
            </wp:positionV>
            <wp:extent cx="12700"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-1967230</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-1967230</wp:posOffset>
            </wp:positionV>
            <wp:extent cx="1270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-1967230</wp:posOffset>
            </wp:positionV>
            <wp:extent cx="1270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-1967230</wp:posOffset>
            </wp:positionV>
            <wp:extent cx="1270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$0 and $141,399 on capital contributions for the six months ended June 30, 2006 and 2005, respectively, which has been recorded in net other expenses.</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2006, the Company awarded 123,294 shares of Class C-2 Common Stock to various individuals, 73,123 shares of which were restricted, and 50,171 shares of which were unrestricted. The Company’s Board of Directors, after considering such facts as it deemed reasonably necessary, determined that the fair market value of a share of the Company’s Class C-2 Common Stock was $1.46.</w:t>
      </w:r>
    </w:p>
    <w:p>
      <w:pPr>
        <w:spacing w:after="0" w:line="121" w:lineRule="exact"/>
        <w:rPr>
          <w:sz w:val="20"/>
          <w:szCs w:val="20"/>
          <w:color w:val="auto"/>
        </w:rPr>
      </w:pPr>
    </w:p>
    <w:p>
      <w:pPr>
        <w:ind w:left="280" w:hanging="272"/>
        <w:spacing w:after="0"/>
        <w:tabs>
          <w:tab w:leader="none" w:pos="2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EXPENSE,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comprise the following:</w:t>
      </w:r>
    </w:p>
    <w:p>
      <w:pPr>
        <w:spacing w:after="0" w:line="153"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60325</wp:posOffset>
            </wp:positionV>
            <wp:extent cx="123507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&amp; dividend income</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(27,120)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income</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(76,792)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and other finance costs</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170,017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 (Income), net</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167,476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458470"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F-82</w:t>
      </w:r>
    </w:p>
    <w:p>
      <w:pPr>
        <w:sectPr>
          <w:pgSz w:w="11900" w:h="16838" w:orient="portrait"/>
          <w:cols w:equalWidth="0" w:num="1">
            <w:col w:w="11420"/>
          </w:cols>
          <w:pgMar w:left="240" w:top="459" w:right="23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80" w:hanging="272"/>
        <w:spacing w:after="0"/>
        <w:tabs>
          <w:tab w:leader="none" w:pos="2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individual entities within the Group Company file individual tax returns as per regulations existing in their respective countries of domicile.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attributable to income from continuing operations for the six months ended June 30, 2006 and 2005 consists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U.S Taxes</w:t>
            </w:r>
          </w:p>
        </w:tc>
        <w:tc>
          <w:tcPr>
            <w:tcW w:w="3660" w:type="dxa"/>
            <w:vAlign w:val="bottom"/>
            <w:gridSpan w:val="3"/>
          </w:tcPr>
          <w:p>
            <w:pPr>
              <w:jc w:val="right"/>
              <w:spacing w:after="0"/>
              <w:rPr>
                <w:sz w:val="20"/>
                <w:szCs w:val="20"/>
                <w:color w:val="auto"/>
              </w:rPr>
            </w:pPr>
            <w:r>
              <w:rPr>
                <w:rFonts w:ascii="Arial" w:cs="Arial" w:eastAsia="Arial" w:hAnsi="Arial"/>
                <w:sz w:val="18"/>
                <w:szCs w:val="18"/>
                <w:color w:val="auto"/>
              </w:rPr>
              <w:t>586,990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3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$ 621,351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Taxes</w:t>
            </w:r>
          </w:p>
        </w:tc>
        <w:tc>
          <w:tcPr>
            <w:tcW w:w="3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(829,688)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(351,759)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Others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$(829,688)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(351,759)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ind w:left="420"/>
              <w:spacing w:after="0"/>
              <w:rPr>
                <w:sz w:val="20"/>
                <w:szCs w:val="20"/>
                <w:color w:val="auto"/>
              </w:rPr>
            </w:pPr>
            <w:r>
              <w:rPr>
                <w:rFonts w:ascii="Arial" w:cs="Arial" w:eastAsia="Arial" w:hAnsi="Arial"/>
                <w:sz w:val="18"/>
                <w:szCs w:val="18"/>
                <w:b w:val="1"/>
                <w:bCs w:val="1"/>
                <w:color w:val="auto"/>
              </w:rPr>
              <w:t>Total taxes</w:t>
            </w:r>
          </w:p>
        </w:tc>
        <w:tc>
          <w:tcPr>
            <w:tcW w:w="3940" w:type="dxa"/>
            <w:vAlign w:val="bottom"/>
            <w:gridSpan w:val="4"/>
          </w:tcPr>
          <w:p>
            <w:pPr>
              <w:jc w:val="right"/>
              <w:ind w:right="240"/>
              <w:spacing w:after="0"/>
              <w:rPr>
                <w:sz w:val="20"/>
                <w:szCs w:val="20"/>
                <w:color w:val="auto"/>
              </w:rPr>
            </w:pPr>
            <w:r>
              <w:rPr>
                <w:rFonts w:ascii="Arial" w:cs="Arial" w:eastAsia="Arial" w:hAnsi="Arial"/>
                <w:sz w:val="18"/>
                <w:szCs w:val="18"/>
                <w:color w:val="auto"/>
              </w:rPr>
              <w:t>$(208,337)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(336,967)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49276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income tax expense to the amount computed by applying the statutory income tax rate to income tax expense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2006 and 2005 is: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(775,074)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(334,838)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Add: foreign subsidiary (India) net income before taxes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28,075</w:t>
            </w:r>
          </w:p>
        </w:tc>
        <w:tc>
          <w:tcPr>
            <w:tcW w:w="4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(457,319)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Adjusted book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(746,999)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(792,157)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Enacted Tax rate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Computed tax expense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(253,980)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(269,333)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Foreign earnings permanently reinvested</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21,269</w:t>
            </w:r>
          </w:p>
        </w:tc>
        <w:tc>
          <w:tcPr>
            <w:tcW w:w="4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(37,841)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39,536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recognized in the statements of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(208,337)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(336,967)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-27305</wp:posOffset>
            </wp:positionV>
            <wp:extent cx="49276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-27305</wp:posOffset>
            </wp:positionV>
            <wp:extent cx="49276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tax balances as of June 30, 2006 and 2005 are as follows:</w:t>
      </w:r>
    </w:p>
    <w:p>
      <w:pPr>
        <w:spacing w:after="0" w:line="153"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68580</wp:posOffset>
            </wp:positionV>
            <wp:extent cx="5918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Accrued employee costs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Stock option expenses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Allowance for impairment of Loan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Others</w:t>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Deferred tax liabilities: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Excess of accrual basis over cash basis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Others temporary difference</w:t>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38"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360" w:hanging="353"/>
        <w:spacing w:after="0"/>
        <w:tabs>
          <w:tab w:leader="none" w:pos="3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153,321</w:t>
      </w:r>
    </w:p>
    <w:p>
      <w:pPr>
        <w:spacing w:after="0" w:line="248" w:lineRule="exact"/>
        <w:rPr>
          <w:sz w:val="20"/>
          <w:szCs w:val="20"/>
          <w:color w:val="auto"/>
        </w:rPr>
      </w:pPr>
    </w:p>
    <w:p>
      <w:pPr>
        <w:ind w:left="360" w:hanging="353"/>
        <w:spacing w:after="0"/>
        <w:tabs>
          <w:tab w:leader="none" w:pos="3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293,787</w:t>
      </w:r>
    </w:p>
    <w:p>
      <w:pPr>
        <w:spacing w:after="0" w:line="38" w:lineRule="exact"/>
        <w:rPr>
          <w:rFonts w:ascii="Arial" w:cs="Arial" w:eastAsia="Arial" w:hAnsi="Arial"/>
          <w:sz w:val="16"/>
          <w:szCs w:val="16"/>
          <w:color w:val="auto"/>
        </w:rPr>
      </w:pPr>
    </w:p>
    <w:p>
      <w:pPr>
        <w:ind w:left="240" w:hanging="233"/>
        <w:spacing w:after="0"/>
        <w:tabs>
          <w:tab w:leader="none" w:pos="2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1,611,837</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5"/>
          <w:szCs w:val="15"/>
          <w:color w:val="auto"/>
        </w:rPr>
        <w:t>20,086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97790</wp:posOffset>
            </wp:positionV>
            <wp:extent cx="59182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4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2,079,031</w:t>
      </w:r>
    </w:p>
    <w:p>
      <w:pPr>
        <w:spacing w:after="0" w:line="225" w:lineRule="exact"/>
        <w:rPr>
          <w:sz w:val="20"/>
          <w:szCs w:val="20"/>
          <w:color w:val="auto"/>
        </w:rPr>
      </w:pPr>
    </w:p>
    <w:p>
      <w:pPr>
        <w:ind w:left="360" w:hanging="353"/>
        <w:spacing w:after="0"/>
        <w:tabs>
          <w:tab w:leader="none" w:pos="3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850,463</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19,163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97790</wp:posOffset>
            </wp:positionV>
            <wp:extent cx="59182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47" w:lineRule="exact"/>
        <w:rPr>
          <w:sz w:val="20"/>
          <w:szCs w:val="20"/>
          <w:color w:val="auto"/>
        </w:rPr>
      </w:pPr>
    </w:p>
    <w:p>
      <w:pPr>
        <w:ind w:left="360" w:hanging="353"/>
        <w:spacing w:after="0"/>
        <w:tabs>
          <w:tab w:leader="none" w:pos="3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869,626</w:t>
      </w:r>
    </w:p>
    <w:p>
      <w:pPr>
        <w:sectPr>
          <w:pgSz w:w="11900" w:h="16838" w:orient="portrait"/>
          <w:cols w:equalWidth="0" w:num="2">
            <w:col w:w="8620" w:space="720"/>
            <w:col w:w="1880"/>
          </w:cols>
          <w:pgMar w:left="240" w:top="460" w:right="43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As at December 31, 2004, the Company had a U.S. State Net Operating loss carried forward of approximately $1,954,700 which gets fully utilized as of December 31, 2005. The company has state and local Net Operating Loss carry forwards that were suspended due to state and local restrictions.</w:t>
      </w:r>
    </w:p>
    <w:p>
      <w:pPr>
        <w:spacing w:after="0" w:line="72"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Under APB 23, a provision for tax has not been provided at June 30, 2006,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$1,137,985 and $1,409,946 as of June 30, 2006 and 2005, respectively.</w:t>
      </w:r>
    </w:p>
    <w:p>
      <w:pPr>
        <w:spacing w:after="0" w:line="9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2009. Deferred Tax in respect of timing differences which originate and reverse during the tax holiday period are not recognized.</w:t>
      </w:r>
    </w:p>
    <w:p>
      <w:pPr>
        <w:spacing w:after="0" w:line="93" w:lineRule="exact"/>
        <w:rPr>
          <w:sz w:val="20"/>
          <w:szCs w:val="20"/>
          <w:color w:val="auto"/>
        </w:rPr>
      </w:pPr>
    </w:p>
    <w:p>
      <w:pPr>
        <w:ind w:right="8720" w:firstLine="8"/>
        <w:spacing w:after="0" w:line="332" w:lineRule="auto"/>
        <w:tabs>
          <w:tab w:leader="none" w:pos="263"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i w:val="1"/>
          <w:iCs w:val="1"/>
          <w:color w:val="auto"/>
        </w:rPr>
        <w:t>US Operations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 made to the plan by the Company for six months ended June 30, 2006 and 2005 is $0 and $0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 Operations</w:t>
      </w:r>
    </w:p>
    <w:p>
      <w:pPr>
        <w:spacing w:after="0" w:line="77" w:lineRule="exact"/>
        <w:rPr>
          <w:sz w:val="20"/>
          <w:szCs w:val="20"/>
          <w:color w:val="auto"/>
        </w:rPr>
      </w:pPr>
    </w:p>
    <w:p>
      <w:pPr>
        <w:ind w:right="1720"/>
        <w:spacing w:after="0" w:line="375" w:lineRule="auto"/>
        <w:rPr>
          <w:sz w:val="20"/>
          <w:szCs w:val="20"/>
          <w:color w:val="auto"/>
        </w:rPr>
      </w:pPr>
      <w:r>
        <w:rPr>
          <w:rFonts w:ascii="Arial" w:cs="Arial" w:eastAsia="Arial" w:hAnsi="Arial"/>
          <w:sz w:val="18"/>
          <w:szCs w:val="18"/>
          <w:color w:val="auto"/>
        </w:rPr>
        <w:t xml:space="preserve">The Company has employee benefit plans in the form of certain statutory and welfare schemes covering substantially all of its employees. </w:t>
      </w:r>
      <w:r>
        <w:rPr>
          <w:rFonts w:ascii="Arial" w:cs="Arial" w:eastAsia="Arial" w:hAnsi="Arial"/>
          <w:sz w:val="18"/>
          <w:szCs w:val="18"/>
          <w:b w:val="1"/>
          <w:bCs w:val="1"/>
          <w:i w:val="1"/>
          <w:iCs w:val="1"/>
          <w:color w:val="auto"/>
        </w:rPr>
        <w:t>Gratuity</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at June 30, 2006 is $18,051 and $13,100 at December 31, 2005 and has not been funded.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Provident fund</w:t>
      </w:r>
    </w:p>
    <w:p>
      <w:pPr>
        <w:spacing w:after="0" w:line="77"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by the Company in respect of this plan for the six months ended June 30, 2006 and 2005 are $ 5,982 and $ 1,184, respectively.</w:t>
      </w:r>
    </w:p>
    <w:p>
      <w:pPr>
        <w:spacing w:after="0" w:line="175" w:lineRule="exact"/>
        <w:rPr>
          <w:sz w:val="20"/>
          <w:szCs w:val="20"/>
          <w:color w:val="auto"/>
        </w:rPr>
      </w:pPr>
    </w:p>
    <w:p>
      <w:pPr>
        <w:ind w:left="280" w:hanging="272"/>
        <w:spacing w:after="0"/>
        <w:tabs>
          <w:tab w:leader="none" w:pos="2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period ended June 30, 2006.</w:t>
      </w:r>
    </w:p>
    <w:p>
      <w:pPr>
        <w:spacing w:after="0" w:line="124"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has entered into transactions with the following related parties:</w:t>
      </w:r>
    </w:p>
    <w:p>
      <w:pPr>
        <w:spacing w:after="0" w:line="77" w:lineRule="exact"/>
        <w:rPr>
          <w:sz w:val="20"/>
          <w:szCs w:val="20"/>
          <w:color w:val="auto"/>
        </w:rPr>
      </w:pPr>
    </w:p>
    <w:p>
      <w:pPr>
        <w:ind w:left="460" w:right="340" w:firstLine="443"/>
        <w:spacing w:after="0" w:line="268" w:lineRule="auto"/>
        <w:tabs>
          <w:tab w:leader="none" w:pos="10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iTouchpoint Technologies LLC , in which a director of the Company has a significant ownership interest, controlling interest or over which he exercises significant influence.</w:t>
      </w:r>
    </w:p>
    <w:p>
      <w:pPr>
        <w:spacing w:after="0" w:line="37"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During the six months ended June 30, 2006 the Company advanced $325,000 to iTouchpoint Technologies, LLC, whose principal owner is a member of the Company’s Board of Directors. The Company’s management performed an evaluation of the recoverability of the entire loan and concluded from the results of this evaluation that a significant impairment charge was required because estimated fair value was less than the carrying value of the asset.</w:t>
      </w:r>
    </w:p>
    <w:p>
      <w:pPr>
        <w:spacing w:after="0" w:line="12"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Based upon the evaluation, the Company recognized an asset impairment loss of $325,000 and $150,000 during the six months ended June 30, 2006 and 2005, respectively (see Note 10)</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Employee advances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84"/>
              </w:rPr>
              <w:t>As of June 30,</w:t>
            </w:r>
          </w:p>
        </w:tc>
        <w:tc>
          <w:tcPr>
            <w:tcW w:w="1440" w:type="dxa"/>
            <w:vAlign w:val="bottom"/>
            <w:gridSpan w:val="5"/>
          </w:tcPr>
          <w:p>
            <w:pPr>
              <w:ind w:left="30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advances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159,112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49,146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Due from Employees in cash &amp;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791,952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951,064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49,146</w:t>
            </w:r>
          </w:p>
        </w:tc>
        <w:tc>
          <w:tcPr>
            <w:tcW w:w="0" w:type="dxa"/>
            <w:vAlign w:val="bottom"/>
          </w:tcPr>
          <w:p>
            <w:pPr>
              <w:spacing w:after="0"/>
              <w:rPr>
                <w:sz w:val="1"/>
                <w:szCs w:val="1"/>
                <w:color w:val="auto"/>
              </w:rPr>
            </w:pPr>
          </w:p>
        </w:tc>
      </w:tr>
      <w:tr>
        <w:trPr>
          <w:trHeight w:val="324"/>
        </w:trPr>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20. EARNINGS PER SHARE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960" w:type="dxa"/>
            <w:vAlign w:val="bottom"/>
            <w:gridSpan w:val="4"/>
          </w:tcPr>
          <w:p>
            <w:pPr>
              <w:spacing w:after="0"/>
              <w:rPr>
                <w:sz w:val="20"/>
                <w:szCs w:val="20"/>
                <w:color w:val="auto"/>
              </w:rPr>
            </w:pPr>
            <w:r>
              <w:rPr>
                <w:rFonts w:ascii="Arial" w:cs="Arial" w:eastAsia="Arial" w:hAnsi="Arial"/>
                <w:sz w:val="18"/>
                <w:szCs w:val="18"/>
                <w:color w:val="auto"/>
              </w:rPr>
              <w:t>The following table presents the computation of basic and diluted earnings per share: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As of June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As of June 30,</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(566,738)</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Basic and diluted earnings (loss) per share</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(.05)</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12,265,980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10,302,436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59563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earning per share is based upon the weighted average of shares of common stock outstanding. On December 31, 2005, the Company entered into an Agreement and Plan of Merger. Accordingly, all historical weighted average share and per share amounts have been restated to reflect the recapitalization of the Company as if the exchange of equity interests occurred on January 1,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right="7740" w:firstLine="8"/>
        <w:spacing w:after="0" w:line="332" w:lineRule="auto"/>
        <w:tabs>
          <w:tab w:leader="none" w:pos="263"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CONTINGENCIES AND COMMITMENTS </w:t>
      </w:r>
      <w:r>
        <w:rPr>
          <w:rFonts w:ascii="Arial" w:cs="Arial" w:eastAsia="Arial" w:hAnsi="Arial"/>
          <w:sz w:val="18"/>
          <w:szCs w:val="18"/>
          <w:b w:val="1"/>
          <w:bCs w:val="1"/>
          <w:i w:val="1"/>
          <w:iCs w:val="1"/>
          <w:color w:val="auto"/>
        </w:rPr>
        <w:t>a) Capital commitments</w:t>
      </w:r>
    </w:p>
    <w:p>
      <w:pPr>
        <w:spacing w:after="0"/>
        <w:rPr>
          <w:rFonts w:ascii="Arial" w:cs="Arial" w:eastAsia="Arial" w:hAnsi="Arial"/>
          <w:sz w:val="18"/>
          <w:szCs w:val="18"/>
          <w:b w:val="1"/>
          <w:bCs w:val="1"/>
          <w:color w:val="auto"/>
        </w:rPr>
      </w:pPr>
      <w:r>
        <w:rPr>
          <w:rFonts w:ascii="Arial" w:cs="Arial" w:eastAsia="Arial" w:hAnsi="Arial"/>
          <w:sz w:val="18"/>
          <w:szCs w:val="18"/>
          <w:color w:val="auto"/>
        </w:rPr>
        <w:t>As of June 30, 2006 and 2005, the Company had no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Other commitments</w:t>
      </w:r>
    </w:p>
    <w:p>
      <w:pPr>
        <w:spacing w:after="0" w:line="7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Guarantees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provided guarantees to the regulatory authorities as security for compliance with local regulations. The aggregate amount of such guarantees as of June 30, 2006 is $6,862.</w:t>
      </w:r>
    </w:p>
    <w:p>
      <w:pPr>
        <w:spacing w:after="0" w:line="112" w:lineRule="exact"/>
        <w:rPr>
          <w:sz w:val="20"/>
          <w:szCs w:val="20"/>
          <w:color w:val="auto"/>
        </w:rPr>
      </w:pPr>
    </w:p>
    <w:p>
      <w:pPr>
        <w:ind w:left="280" w:hanging="272"/>
        <w:spacing w:after="0"/>
        <w:tabs>
          <w:tab w:leader="none" w:pos="2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83"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21" w:lineRule="exact"/>
        <w:rPr>
          <w:sz w:val="20"/>
          <w:szCs w:val="20"/>
          <w:color w:val="auto"/>
        </w:rPr>
      </w:pPr>
    </w:p>
    <w:p>
      <w:pPr>
        <w:ind w:left="280" w:hanging="272"/>
        <w:spacing w:after="0"/>
        <w:tabs>
          <w:tab w:leader="none" w:pos="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Merger with ExlService Merger Sub, Inc.</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July 1, 2006, the Company merged (the “Merger”) with ExlService Merger Sub, Inc., a wholly owned subsidiary of ExlService Holdings, Inc., a Delaware corporation (“Exl”), with Exl being the corporation that survived the Merger. In connection with the Merger, holders of Company’s voting and non-voting common stock (collectively the “Common Stock”), initially received in the aggregate a combination of approximately $2.4 million in cash, approximately 535,918 shares of Series A voting common stock of Exl (“Exl Series A Common Stock”) (subject to certain adjustments as described below), $0.4 million bonus payable in January 2007. The merger has an additional clause where by the Company will also receive additional working capital adjustment and a contingent right to receive additional cash and Exl Series A Common Stock based upon the Company’s achievement on certain agreed upon financial performance goals. Unvested options to purchase Company’s Common Stock were cancelled, and upon such cancellation, the holders of the unvested received (i) restricted shares of Series B non-voting common stock of Exl (“Exl Series B Common Stock”) which will become vested and non-forfeitable based on the holder’s continued service with Exl, (ii) the right to receive an initial cash payment in an aggregate amount of approximately $180,000, and (iii) the right to participate in a management incentive plan providing each participant with (A) a contingent right to receive additional cash based on the Company’s achievement of certain financial performance milestones during 2007 and (B) additional restricted shares of Exl Series B Common Stock which will become vested and non-forfeitable based upon both (x) such holder’s continued service with Exl </w:t>
      </w:r>
      <w:r>
        <w:rPr>
          <w:rFonts w:ascii="Arial" w:cs="Arial" w:eastAsia="Arial" w:hAnsi="Arial"/>
          <w:sz w:val="16"/>
          <w:szCs w:val="16"/>
          <w:i w:val="1"/>
          <w:iCs w:val="1"/>
          <w:color w:val="auto"/>
        </w:rPr>
        <w:t>and</w:t>
      </w:r>
      <w:r>
        <w:rPr>
          <w:rFonts w:ascii="Arial" w:cs="Arial" w:eastAsia="Arial" w:hAnsi="Arial"/>
          <w:sz w:val="16"/>
          <w:szCs w:val="16"/>
          <w:color w:val="auto"/>
        </w:rPr>
        <w:t xml:space="preserve"> (y) the Company’s achievement on certain agreed upon financial performance goals.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maximum number of shares to be received from Exl in the earn out payment is 389,906 shares of Exl Series A common stock and the value of the contingent payment in a mix of cash and additional shares of Exl, the mix of which cannot be determined until the size of the contingent payment, if any, is determined, is expected to be in the range of $0.6 million to $6.5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Closure of operating and capital lease</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period ended June 30, 2006 the Company decided to terminate both its operating and capital lease agreement with CitiCapital Technology Finance Inc., (“Lessor”) which were scheduled to expire on November 2006 and December 2007 respectively. The company paid $180,000, disclosed as other current asset as an initial payment (</w:t>
      </w:r>
      <w:r>
        <w:rPr>
          <w:rFonts w:ascii="Arial" w:cs="Arial" w:eastAsia="Arial" w:hAnsi="Arial"/>
          <w:sz w:val="16"/>
          <w:szCs w:val="16"/>
          <w:i w:val="1"/>
          <w:iCs w:val="1"/>
          <w:color w:val="auto"/>
        </w:rPr>
        <w:t>see Note 12(a)</w:t>
      </w:r>
      <w:r>
        <w:rPr>
          <w:rFonts w:ascii="Arial" w:cs="Arial" w:eastAsia="Arial" w:hAnsi="Arial"/>
          <w:sz w:val="16"/>
          <w:szCs w:val="16"/>
          <w:color w:val="auto"/>
        </w:rPr>
        <w:t>). The final payment has been made subsequently in August 2006 towards the full and final settlement per the Lessor’s final settlement advice. The termination is pending the receipt of the release documents from the Lessor.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360"/>
          </w:cols>
          <w:pgMar w:left="240" w:top="459" w:right="29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220345</wp:posOffset>
            </wp:positionV>
            <wp:extent cx="7212330" cy="951039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12330" cy="951039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1130300</wp:posOffset>
            </wp:positionV>
            <wp:extent cx="110617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520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22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597"/>
        </w:trPr>
        <w:tc>
          <w:tcPr>
            <w:tcW w:w="5200" w:type="dxa"/>
            <w:vAlign w:val="bottom"/>
          </w:tcPr>
          <w:p>
            <w:pPr>
              <w:spacing w:after="0"/>
              <w:rPr>
                <w:sz w:val="20"/>
                <w:szCs w:val="20"/>
                <w:color w:val="auto"/>
              </w:rPr>
            </w:pPr>
            <w:r>
              <w:rPr>
                <w:rFonts w:ascii="Arial" w:cs="Arial" w:eastAsia="Arial" w:hAnsi="Arial"/>
                <w:sz w:val="24"/>
                <w:szCs w:val="24"/>
                <w:b w:val="1"/>
                <w:bCs w:val="1"/>
                <w:color w:val="auto"/>
              </w:rPr>
              <w:t>Merrill Lynch &amp; Co.</w:t>
            </w:r>
          </w:p>
        </w:tc>
        <w:tc>
          <w:tcPr>
            <w:tcW w:w="62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276"/>
        </w:trPr>
        <w:tc>
          <w:tcPr>
            <w:tcW w:w="520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sets forth the estimated expenses and costs (other than underwriting discounts and commissions) expected to be incurred in connection with the issuance and distribution of the common stock registered hereby:</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NASD fee</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Printing expenses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155,000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1,350,000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284,617</w:t>
            </w: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2,500,000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amended and restated certificate of incorporation will provide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reasonably incurred by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we shall be required to indemnify a person in connection with a proceeding (or part thereof) initiated by such person only if the commencement of such proceeding (or part thereof) was authorized by our board of directors.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amended and restated certificate of incorporation will limit the personal liability of our directors to the fullest extent permitted by section 102 of the DGCL.</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Underwriting Agreement for this offering will provide that each underwriter severally agrees to indemnify and hold harmless ExlService Holdings, Inc., each of our directors, each of our officers who signs the registration statement, and each person who controls ExlService Holdings, Inc. within the meaning of the Securities Act but only with respect to written information relating to such underwriter furnished to ExlService Holdings, Inc. by or on behalf of such underwriter specifically for inclusion in the documents referred to in the foregoing indemnity.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160" w:firstLine="464"/>
        <w:spacing w:after="0" w:line="298"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On June 25, 2003, we issued and sold an aggregate of 444,538 shares of Series B common stock and 2,524 shares of Series A preferred stock at a purchase price of $0.23 per share of Series B common stock and $100.00 per share of Series A preferred stock or an aggregate purchase price of $354,653.70 to certain employees pursuant to incentive agreements with such employees. These transactions were effected without registration under the Securities Act in reliance on the exemption from registration provided under Section 4(2) or Regulation S promulgated thereunder.</w:t>
      </w:r>
    </w:p>
    <w:p>
      <w:pPr>
        <w:spacing w:after="0" w:line="99" w:lineRule="exact"/>
        <w:rPr>
          <w:rFonts w:ascii="Arial" w:cs="Arial" w:eastAsia="Arial" w:hAnsi="Arial"/>
          <w:sz w:val="16"/>
          <w:szCs w:val="16"/>
          <w:color w:val="auto"/>
        </w:rPr>
      </w:pPr>
    </w:p>
    <w:p>
      <w:pPr>
        <w:ind w:right="20" w:firstLine="464"/>
        <w:spacing w:after="0" w:line="306" w:lineRule="auto"/>
        <w:tabs>
          <w:tab w:leader="none" w:pos="70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December, 2003, we issued and sold 20,000 shares of Series B common stock to an employee based in India pursuant to an incentive agreement with said employee at a purchase price of $5.00 per share or an aggregate purchase price of $100,000. This transaction was effected without registration under the Securities Act in reliance on the exemption from registration provided under Regulation S promulgated thereunder.</w:t>
      </w:r>
    </w:p>
    <w:p>
      <w:pPr>
        <w:spacing w:after="0" w:line="93"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July 1, 2004, we granted options to purchase an aggregate of 115,100 shares of Series A common stock to Prudential Financial Inc., at an exercise price of $12.50 per share. This transaction was effected without registration under the Securities Act in reliance on the exemption from registration provided under Section 4(2) thereof.</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On July 22, 2004, we issued and sold an aggregate of 526,316 shares of Series A common stock to NUI Investments Limited, at a purchase price of</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$23.75 per share or an aggregate purchase price of $12,500,000.00. This transaction was effected without registration under the Securities Act in reliance on the exemption from registration provided under Section 4(2)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64"/>
        <w:spacing w:after="0" w:line="332" w:lineRule="auto"/>
        <w:tabs>
          <w:tab w:leader="none" w:pos="69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April 20, 2006, we granted 5,000 restricted shares of our Series B common stock under our 2006 Plan. This transaction was effected without registration under the Securities Act in reliance on the exemption from registration provided under Rule 701 thereunder.</w:t>
      </w:r>
    </w:p>
    <w:p>
      <w:pPr>
        <w:spacing w:after="0" w:line="71" w:lineRule="exact"/>
        <w:rPr>
          <w:rFonts w:ascii="Arial" w:cs="Arial" w:eastAsia="Arial" w:hAnsi="Arial"/>
          <w:sz w:val="16"/>
          <w:szCs w:val="16"/>
          <w:color w:val="auto"/>
        </w:rPr>
      </w:pPr>
    </w:p>
    <w:p>
      <w:pPr>
        <w:ind w:firstLine="464"/>
        <w:spacing w:after="0" w:line="254" w:lineRule="auto"/>
        <w:tabs>
          <w:tab w:leader="none" w:pos="6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July 1, 2006, we issued an aggregate of 535,918 shares of Series A common stock, subject to reduction for any cashless withholding in respect of taxes, and granted 85,461 restricted shares of Series B common stock to the former holders of Inductis common stock, restricted common stock and unvested options in consideration for the Inductis Acquisition. The issuance of the shares of Series A common stock was effected without registration under the Securities Act in reliance on the exemption from registration provided under Section 4(2), Regulation D and Regulation S promulgated thereunder. The grants of the shares of Series B common stock were effected without registration under the Securities Act in reliance on the exemption from registration provided under Rule 701 and Regulation S thereunder.</w:t>
      </w:r>
    </w:p>
    <w:p>
      <w:pPr>
        <w:spacing w:after="0" w:line="130" w:lineRule="exact"/>
        <w:rPr>
          <w:rFonts w:ascii="Arial" w:cs="Arial" w:eastAsia="Arial" w:hAnsi="Arial"/>
          <w:sz w:val="18"/>
          <w:szCs w:val="18"/>
          <w:color w:val="auto"/>
        </w:rPr>
      </w:pPr>
    </w:p>
    <w:p>
      <w:pPr>
        <w:ind w:right="160" w:firstLine="464"/>
        <w:spacing w:after="0" w:line="332" w:lineRule="auto"/>
        <w:tabs>
          <w:tab w:leader="none" w:pos="70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On July 27, 2006, our compensation committee approved a grant of 54,605 restricted shares of our Series B common stock under our 2006 Plan. This transaction was effected without registration under the Securities Act in reliance on the exemption from registration provided under Rule 701 thereunder.</w:t>
      </w:r>
    </w:p>
    <w:p>
      <w:pPr>
        <w:spacing w:after="0" w:line="71" w:lineRule="exact"/>
        <w:rPr>
          <w:rFonts w:ascii="Arial" w:cs="Arial" w:eastAsia="Arial" w:hAnsi="Arial"/>
          <w:sz w:val="16"/>
          <w:szCs w:val="16"/>
          <w:color w:val="auto"/>
        </w:rPr>
      </w:pPr>
    </w:p>
    <w:p>
      <w:pPr>
        <w:ind w:right="200" w:firstLine="464"/>
        <w:spacing w:after="0" w:line="259"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September 29, 2006, our board of directors approved a grant of 14,000 restricted stock unit awards to our non-executive directors under our 2006 Plan. This transaction was effected without registration under the Securities Act in reliance on the exemption from registration provided under Rule 701 and Regulation S thereunder.</w:t>
      </w:r>
    </w:p>
    <w:p>
      <w:pPr>
        <w:spacing w:after="0" w:line="126" w:lineRule="exact"/>
        <w:rPr>
          <w:rFonts w:ascii="Arial" w:cs="Arial" w:eastAsia="Arial" w:hAnsi="Arial"/>
          <w:sz w:val="18"/>
          <w:szCs w:val="18"/>
          <w:color w:val="auto"/>
        </w:rPr>
      </w:pPr>
    </w:p>
    <w:p>
      <w:pPr>
        <w:ind w:firstLine="464"/>
        <w:spacing w:after="0" w:line="255" w:lineRule="auto"/>
        <w:tabs>
          <w:tab w:leader="none" w:pos="66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issued options to purchase a total of 404,600 shares of Series B common stock in 2003, 257,100 shares of Series B common stock in 2004, 277,750 shares of Series B common stock in 2005 and 473,000 shares of Series B common stock in 2006 to date to employees, executive officers, members of our advisory board and directors of EXL India and ExlService Holdings under our 2003 Plan, our 2003 India Plan and our 2006 Plan, as described below. All of these issuances were effected without registration under the Securities Act in reliance on the exemption from registration provided pursuant to Rule 701, Regulation S or Section 4(2) of the Securities Act.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option issuances within the past three years.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6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 options</w:t>
            </w:r>
          </w:p>
        </w:tc>
        <w:tc>
          <w:tcPr>
            <w:tcW w:w="2560" w:type="dxa"/>
            <w:vAlign w:val="bottom"/>
            <w:gridSpan w:val="4"/>
          </w:tcPr>
          <w:p>
            <w:pPr>
              <w:ind w:left="1000"/>
              <w:spacing w:after="0"/>
              <w:rPr>
                <w:sz w:val="20"/>
                <w:szCs w:val="20"/>
                <w:color w:val="auto"/>
              </w:rPr>
            </w:pPr>
            <w:r>
              <w:rPr>
                <w:rFonts w:ascii="Arial" w:cs="Arial" w:eastAsia="Arial" w:hAnsi="Arial"/>
                <w:sz w:val="14"/>
                <w:szCs w:val="14"/>
                <w:b w:val="1"/>
                <w:bCs w:val="1"/>
                <w:color w:val="auto"/>
              </w:rPr>
              <w:t>Exercise price(1)</w:t>
            </w:r>
          </w:p>
        </w:tc>
        <w:tc>
          <w:tcPr>
            <w:tcW w:w="0" w:type="dxa"/>
            <w:vAlign w:val="bottom"/>
          </w:tcPr>
          <w:p>
            <w:pPr>
              <w:spacing w:after="0"/>
              <w:rPr>
                <w:sz w:val="1"/>
                <w:szCs w:val="1"/>
                <w:color w:val="auto"/>
              </w:rPr>
            </w:pPr>
          </w:p>
        </w:tc>
      </w:tr>
      <w:tr>
        <w:trPr>
          <w:trHeight w:val="95"/>
        </w:trPr>
        <w:tc>
          <w:tcPr>
            <w:tcW w:w="50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00" w:type="dxa"/>
            <w:vAlign w:val="bottom"/>
            <w:gridSpan w:val="2"/>
          </w:tcPr>
          <w:p>
            <w:pPr>
              <w:spacing w:after="0"/>
              <w:rPr>
                <w:sz w:val="20"/>
                <w:szCs w:val="20"/>
                <w:color w:val="auto"/>
              </w:rPr>
            </w:pPr>
            <w:r>
              <w:rPr>
                <w:rFonts w:ascii="Arial" w:cs="Arial" w:eastAsia="Arial" w:hAnsi="Arial"/>
                <w:sz w:val="18"/>
                <w:szCs w:val="18"/>
                <w:color w:val="auto"/>
              </w:rPr>
              <w:t>2003</w:t>
            </w:r>
          </w:p>
        </w:tc>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December 9</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26,000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gridSpan w:val="2"/>
          </w:tcPr>
          <w:p>
            <w:pPr>
              <w:spacing w:after="0"/>
              <w:rPr>
                <w:sz w:val="20"/>
                <w:szCs w:val="20"/>
                <w:color w:val="auto"/>
              </w:rPr>
            </w:pPr>
            <w:r>
              <w:rPr>
                <w:rFonts w:ascii="Arial" w:cs="Arial" w:eastAsia="Arial" w:hAnsi="Arial"/>
                <w:sz w:val="18"/>
                <w:szCs w:val="18"/>
                <w:color w:val="auto"/>
              </w:rPr>
              <w:t>2004</w:t>
            </w:r>
          </w:p>
        </w:tc>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April 13</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34,100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7</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June 18</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51,500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w w:val="96"/>
              </w:rPr>
              <w:t>December 18</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00" w:type="dxa"/>
            <w:vAlign w:val="bottom"/>
            <w:gridSpan w:val="2"/>
          </w:tcPr>
          <w:p>
            <w:pPr>
              <w:spacing w:after="0"/>
              <w:rPr>
                <w:sz w:val="20"/>
                <w:szCs w:val="20"/>
                <w:color w:val="auto"/>
              </w:rPr>
            </w:pPr>
            <w:r>
              <w:rPr>
                <w:rFonts w:ascii="Arial" w:cs="Arial" w:eastAsia="Arial" w:hAnsi="Arial"/>
                <w:sz w:val="18"/>
                <w:szCs w:val="18"/>
                <w:color w:val="auto"/>
              </w:rPr>
              <w:t>2005</w:t>
            </w:r>
          </w:p>
        </w:tc>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March 15</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22,250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27</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May 31</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gridSpan w:val="4"/>
          </w:tcPr>
          <w:p>
            <w:pPr>
              <w:ind w:left="580"/>
              <w:spacing w:after="0"/>
              <w:rPr>
                <w:sz w:val="20"/>
                <w:szCs w:val="20"/>
                <w:color w:val="auto"/>
              </w:rPr>
            </w:pPr>
            <w:r>
              <w:rPr>
                <w:rFonts w:ascii="Arial" w:cs="Arial" w:eastAsia="Arial" w:hAnsi="Arial"/>
                <w:sz w:val="14"/>
                <w:szCs w:val="14"/>
                <w:b w:val="1"/>
                <w:bCs w:val="1"/>
                <w:color w:val="auto"/>
              </w:rPr>
              <w:t>Date of Grant</w:t>
            </w:r>
          </w:p>
        </w:tc>
        <w:tc>
          <w:tcPr>
            <w:tcW w:w="6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 options</w:t>
            </w:r>
          </w:p>
        </w:tc>
        <w:tc>
          <w:tcPr>
            <w:tcW w:w="1860" w:type="dxa"/>
            <w:vAlign w:val="bottom"/>
            <w:gridSpan w:val="2"/>
          </w:tcPr>
          <w:p>
            <w:pPr>
              <w:ind w:left="880"/>
              <w:spacing w:after="0"/>
              <w:rPr>
                <w:sz w:val="20"/>
                <w:szCs w:val="20"/>
                <w:color w:val="auto"/>
              </w:rPr>
            </w:pPr>
            <w:r>
              <w:rPr>
                <w:rFonts w:ascii="Arial" w:cs="Arial" w:eastAsia="Arial" w:hAnsi="Arial"/>
                <w:sz w:val="14"/>
                <w:szCs w:val="14"/>
                <w:b w:val="1"/>
                <w:bCs w:val="1"/>
                <w:color w:val="auto"/>
                <w:w w:val="85"/>
              </w:rPr>
              <w:t>Exercise price(1)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24</w:t>
            </w:r>
          </w:p>
        </w:tc>
        <w:tc>
          <w:tcPr>
            <w:tcW w:w="6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1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September 29</w:t>
            </w:r>
          </w:p>
        </w:tc>
        <w:tc>
          <w:tcPr>
            <w:tcW w:w="6840" w:type="dxa"/>
            <w:vAlign w:val="bottom"/>
            <w:gridSpan w:val="2"/>
          </w:tcPr>
          <w:p>
            <w:pPr>
              <w:jc w:val="right"/>
              <w:ind w:right="20"/>
              <w:spacing w:after="0"/>
              <w:rPr>
                <w:sz w:val="20"/>
                <w:szCs w:val="20"/>
                <w:color w:val="auto"/>
              </w:rPr>
            </w:pPr>
            <w:r>
              <w:rPr>
                <w:rFonts w:ascii="Arial" w:cs="Arial" w:eastAsia="Arial" w:hAnsi="Arial"/>
                <w:sz w:val="18"/>
                <w:szCs w:val="18"/>
                <w:color w:val="auto"/>
              </w:rPr>
              <w:t>32,000</w:t>
            </w:r>
          </w:p>
        </w:tc>
        <w:tc>
          <w:tcPr>
            <w:tcW w:w="18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31</w:t>
            </w:r>
          </w:p>
        </w:tc>
        <w:tc>
          <w:tcPr>
            <w:tcW w:w="6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1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November 8</w:t>
            </w:r>
          </w:p>
        </w:tc>
        <w:tc>
          <w:tcPr>
            <w:tcW w:w="68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8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316"/>
        </w:trPr>
        <w:tc>
          <w:tcPr>
            <w:tcW w:w="1120" w:type="dxa"/>
            <w:vAlign w:val="bottom"/>
            <w:gridSpan w:val="2"/>
          </w:tcPr>
          <w:p>
            <w:pPr>
              <w:ind w:left="58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20</w:t>
            </w:r>
          </w:p>
        </w:tc>
        <w:tc>
          <w:tcPr>
            <w:tcW w:w="6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89,775</w:t>
            </w:r>
          </w:p>
        </w:tc>
        <w:tc>
          <w:tcPr>
            <w:tcW w:w="1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July 6</w:t>
            </w:r>
          </w:p>
        </w:tc>
        <w:tc>
          <w:tcPr>
            <w:tcW w:w="68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8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27</w:t>
            </w:r>
          </w:p>
        </w:tc>
        <w:tc>
          <w:tcPr>
            <w:tcW w:w="6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368,225</w:t>
            </w:r>
          </w:p>
        </w:tc>
        <w:tc>
          <w:tcPr>
            <w:tcW w:w="1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68"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2003, the options to purchase shares under the 2003 India Plan were granted at an exercise price of $0.23 per share, while the options to purchase shares under the 2003 Plan were granted at $0.24 per share.</w:t>
      </w:r>
    </w:p>
    <w:p>
      <w:pPr>
        <w:spacing w:after="0" w:line="37"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These options were originally granted at an exercise price of $10.00 per share. On July 27, 2006, our compensation committee approved an increase in the exercise price of these options to $21.25 per share.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No options were exercised in 2003. Options to purchase 64,831 shares were exercised in 2004. Options to purchase 54,110 shares were exercised in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Options to purchase 91,865 shares were exercised to date in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4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240" w:type="dxa"/>
            <w:vAlign w:val="bottom"/>
          </w:tcPr>
          <w:p>
            <w:pPr>
              <w:spacing w:after="0"/>
              <w:rPr>
                <w:sz w:val="8"/>
                <w:szCs w:val="8"/>
                <w:color w:val="auto"/>
              </w:rPr>
            </w:pPr>
          </w:p>
        </w:tc>
      </w:tr>
      <w:tr>
        <w:trPr>
          <w:trHeight w:val="309"/>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Letter Agreement regarding the Reserved Share Program.</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Agreement and Plan of Merger amongst ExlService Holdings, Inc., ExlService Merger Sub Inc., Inductis, Inc., Sandeep Tyagi and certain major</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stockholders of Inductis, dated June 30, 2006.</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r>
      <w:tr>
        <w:trPr>
          <w:trHeight w:val="216"/>
        </w:trPr>
        <w:tc>
          <w:tcPr>
            <w:tcW w:w="700" w:type="dxa"/>
            <w:vAlign w:val="bottom"/>
            <w:gridSpan w:val="2"/>
          </w:tcPr>
          <w:p>
            <w:pPr>
              <w:jc w:val="right"/>
              <w:ind w:right="132"/>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Form of Registration Rights Agreement to be entered into by and among ExlService Holdings, Inc. and the stockholders named therein.</w:t>
            </w:r>
          </w:p>
        </w:tc>
      </w:tr>
      <w:tr>
        <w:trPr>
          <w:trHeight w:val="216"/>
        </w:trPr>
        <w:tc>
          <w:tcPr>
            <w:tcW w:w="700" w:type="dxa"/>
            <w:vAlign w:val="bottom"/>
            <w:gridSpan w:val="2"/>
          </w:tcPr>
          <w:p>
            <w:pPr>
              <w:jc w:val="right"/>
              <w:ind w:right="132"/>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w w:val="90"/>
              </w:rPr>
              <w:t>10.1*</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Umbrella Agreement, dated as of August 26, 2004, by and among Norwich Union Customer Services (Singapore) Private Limited, ExlService</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w w:val="90"/>
              </w:rPr>
              <w:t>10.2*</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Insurance Services Framework Agreement, dated as of July 29, 2004, by and between Norwich Union Customer Services (Singapore) Private</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Limited and ExlService Holdings, Inc.</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w w:val="90"/>
              </w:rPr>
              <w:t>10.3*</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Insurance Services Framework Agreement (ISFA), dated as of August 26, 2004, by and between Norwich Union Customer Services (Singapore)</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Private Limited and ExlService Holdings, Inc.</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w w:val="90"/>
              </w:rPr>
              <w:t>10.4*</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Data Protection Agreement, dated as of July 29, 2004 by and among Norwich Union Customer Services (Singapore) Private Limited, Norwich</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w w:val="90"/>
              </w:rPr>
              <w:t>10.5*</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Data Protection Agreement, dated as of August 26, 2004, by and among Norwich Union Customer Services (Singapore) Private Limited,</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Norwich Union Insurance Limited, Norwich Union Life Services Limited, ExlService Holdings, Inc., ExlService.com (India) Private Limited and</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Noida Customer Operations Private Limited.</w:t>
            </w:r>
          </w:p>
        </w:tc>
      </w:tr>
      <w:tr>
        <w:trPr>
          <w:trHeight w:val="216"/>
        </w:trPr>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w w:val="90"/>
              </w:rPr>
              <w:t>10.6*</w:t>
            </w:r>
          </w:p>
        </w:tc>
        <w:tc>
          <w:tcPr>
            <w:tcW w:w="46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Virtual Shareholders’ Agreement, dated as of August 26, 2004, by and among Norwich Union Customer Services (Singapore) Private Limited,</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80" w:type="dxa"/>
            <w:vAlign w:val="bottom"/>
          </w:tcPr>
          <w:p>
            <w:pPr>
              <w:spacing w:after="0"/>
              <w:rPr>
                <w:sz w:val="14"/>
                <w:szCs w:val="14"/>
                <w:color w:val="auto"/>
              </w:rPr>
            </w:pPr>
          </w:p>
        </w:tc>
      </w:tr>
      <w:tr>
        <w:trPr>
          <w:trHeight w:val="174"/>
        </w:trPr>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40" w:type="dxa"/>
            <w:vAlign w:val="bottom"/>
            <w:gridSpan w:val="3"/>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80" w:type="dxa"/>
            <w:vAlign w:val="bottom"/>
          </w:tcPr>
          <w:p>
            <w:pPr>
              <w:spacing w:after="0"/>
              <w:rPr>
                <w:sz w:val="8"/>
                <w:szCs w:val="8"/>
                <w:color w:val="auto"/>
              </w:rPr>
            </w:pPr>
          </w:p>
        </w:tc>
      </w:tr>
      <w:tr>
        <w:trPr>
          <w:trHeight w:val="309"/>
        </w:trPr>
        <w:tc>
          <w:tcPr>
            <w:tcW w:w="740" w:type="dxa"/>
            <w:vAlign w:val="bottom"/>
            <w:gridSpan w:val="2"/>
          </w:tcPr>
          <w:p>
            <w:pPr>
              <w:spacing w:after="0"/>
              <w:rPr>
                <w:sz w:val="20"/>
                <w:szCs w:val="20"/>
                <w:color w:val="auto"/>
              </w:rPr>
            </w:pPr>
            <w:r>
              <w:rPr>
                <w:rFonts w:ascii="Arial" w:cs="Arial" w:eastAsia="Arial" w:hAnsi="Arial"/>
                <w:sz w:val="18"/>
                <w:szCs w:val="18"/>
                <w:color w:val="auto"/>
              </w:rPr>
              <w:t>10.7*</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3"/>
              </w:rPr>
              <w:t>Confidentiality Agreement, dated as of August 26, 2004, by and among Norwich Union Customer Services (Singapore) Private Limited,</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and Noida Customer Operations Private Limited.</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10.8*</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2"/>
              </w:rPr>
              <w:t>Guarantee and Indemnity, dated as of August 26, 2004, by and between Norwich Union Insurance Limited and ExlService Holdings, Inc.</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10.9*</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0"/>
              </w:rPr>
              <w:t>Guarantee and Indemnity, dated as of August 26, 2004, by and between Norwich Union Life Holdings Limited and ExlService Holdings, Inc.</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88"/>
              </w:rPr>
              <w:t>Stock and Note Purchase Agreement, dated December 13, 2002, by and among ExlService Holdings, Inc., Oak Hill Capital Partners, L.P., Oak</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Employment Contract, as amended, effective October 3, 2006, by and between ExlService Inc. and Amit Shashank.</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Employment Contract, effective June 1, 2005, by and between ExlService Inc. and Katy Murray.</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1"/>
              </w:rPr>
              <w:t>Employment and Non-Competition Agreement entered into by and among ExlService Holdings, Inc., ExlService.com, Inc., ExlService.com</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(India) Private Limited and Vikram Talwar.</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1"/>
              </w:rPr>
              <w:t>Employment and Non-Competition Agreement entered into by and among ExlService Holdings, Inc., ExlService.com, Inc., ExlService.com</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(India) Private Limited and Rohit Kapoor.</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2003 India Stock Option Plan.</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Non-Qualified Stock Option Agreement between Shiv Kumar and the Company.</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2003 Stock Option Plan.</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Non-Qualified Stock Option Agreement between Katy Murray and the Company.</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2006 Omnibus Plan.</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2006 Omnibus India Subplan 1.</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Form of Stock Option Agreement under the 2006 Omnibus India Subplan 1.</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Management Incentive Plan.</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Member Fund, L.P.</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10.28*</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10.29*</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10.30*</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Form of Company Holder Agreement dated June 30, 2006.</w:t>
            </w:r>
          </w:p>
        </w:tc>
      </w:tr>
      <w:tr>
        <w:trPr>
          <w:trHeight w:val="222"/>
        </w:trPr>
        <w:tc>
          <w:tcPr>
            <w:tcW w:w="7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540" w:type="dxa"/>
            <w:vAlign w:val="bottom"/>
            <w:gridSpan w:val="3"/>
          </w:tcPr>
          <w:p>
            <w:pPr>
              <w:ind w:left="520"/>
              <w:spacing w:after="0"/>
              <w:rPr>
                <w:sz w:val="20"/>
                <w:szCs w:val="20"/>
                <w:color w:val="auto"/>
              </w:rPr>
            </w:pPr>
            <w:r>
              <w:rPr>
                <w:rFonts w:ascii="Arial" w:cs="Arial" w:eastAsia="Arial" w:hAnsi="Arial"/>
                <w:sz w:val="18"/>
                <w:szCs w:val="18"/>
                <w:color w:val="auto"/>
              </w:rPr>
              <w:t>Form of Restricted Stock Award Agreement under the 2006 Omnibus Award Plan.</w:t>
            </w:r>
          </w:p>
        </w:tc>
      </w:tr>
    </w:tbl>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80"/>
          </w:cols>
          <w:pgMar w:left="240" w:top="460" w:right="3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6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44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rPr>
              <w:t>10.32*</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the 2006 Omnibus Award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10.33*</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Award Agreement under the 2006 Omnibus India Subplan 1.</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Letter Agreement with the Company and an executive officer, dated July 27, 2006.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w w:val="93"/>
              </w:rPr>
              <w:t>Amended and Restated Nonqualified Stock Option Award Agreement between Amit Shashank and the Company dated June 1, 2005.</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10.36*</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w w:val="89"/>
              </w:rPr>
              <w:t>Agreement dated July 17, 2006 among Norwich Union Customer Services (Singapore) PTE Ltd., ExlService Holdings, Inc., ExlService.com</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10.37*</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w w:val="97"/>
              </w:rPr>
              <w:t>Amended and Restated Non-Qualified Stock Option Agreement between Amit Shashank and the Company dated June 7, 2004.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10.38**</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2006 Omnibus India Subplan 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the 2006 Omnibus India Subplan 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Award Agreement under the 2006 Omnibus India Subplan 2.</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10.41*</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Restricted Stock Award Agreement between Vikram Talwar and the Company dated July 27, 2006.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10.42*</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Non-Qualified Stock Option Agreement between Rohit Kapoor and the Company dated July 27, 2006.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10.43*</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Amendment to ExlService Holdings, Inc. 2006 Omnibus Award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10.44*</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Unit Agreement 1 under the 2006 Omnibus Award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10.45*</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Unit Agreement 2 under the 2006 Omnibus Award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10.46**</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Amendment No. 2 to ExlService Holdings, Inc. 2006 Omnibus Award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Consent of Russell Bedford Stefanou Mirchandani LLP.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23.3**</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Consent of Paul, Weiss, Rifkind, Wharton &amp; Garrison LLP (included in Exhibit 5.1 to this Registration Statement).</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23.4*</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Consent of Luthra &amp; Luthra.</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right="9800" w:firstLine="8"/>
        <w:spacing w:after="0" w:line="268"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77" w:lineRule="exact"/>
        <w:rPr>
          <w:sz w:val="20"/>
          <w:szCs w:val="20"/>
          <w:color w:val="auto"/>
        </w:rPr>
      </w:pPr>
    </w:p>
    <w:p>
      <w:pPr>
        <w:ind w:firstLine="464"/>
        <w:spacing w:after="0" w:line="306"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3" w:lineRule="exact"/>
        <w:rPr>
          <w:rFonts w:ascii="Arial" w:cs="Arial" w:eastAsia="Arial" w:hAnsi="Arial"/>
          <w:sz w:val="16"/>
          <w:szCs w:val="16"/>
          <w:color w:val="auto"/>
        </w:rPr>
      </w:pPr>
    </w:p>
    <w:p>
      <w:pPr>
        <w:jc w:val="both"/>
        <w:ind w:right="200" w:firstLine="464"/>
        <w:spacing w:after="0" w:line="259"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ind w:right="120" w:firstLine="464"/>
        <w:spacing w:after="0" w:line="259"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2" w:lineRule="exact"/>
        <w:rPr>
          <w:sz w:val="20"/>
          <w:szCs w:val="20"/>
          <w:color w:val="auto"/>
        </w:rPr>
      </w:pPr>
    </w:p>
    <w:p>
      <w:pPr>
        <w:ind w:right="200" w:firstLine="464"/>
        <w:spacing w:after="0" w:line="268"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duly caused this Amendment No. 6 to registration statement on Form S-1 to be signed on its behalf by the undersigned, thereunto duly authorized, in the City of New York, State of New York, on October 17, 2006.</w:t>
      </w:r>
    </w:p>
    <w:p>
      <w:pPr>
        <w:spacing w:after="0" w:line="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tabs>
          <w:tab w:leader="none" w:pos="834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6 to registration statement on Form S-1 has been signed on October 17, 2006, by the following persons in the capacities indicated.</w:t>
      </w:r>
    </w:p>
    <w:p>
      <w:pPr>
        <w:spacing w:after="0" w:line="114" w:lineRule="exact"/>
        <w:rPr>
          <w:sz w:val="20"/>
          <w:szCs w:val="20"/>
          <w:color w:val="auto"/>
        </w:rPr>
      </w:pPr>
    </w:p>
    <w:p>
      <w:pPr>
        <w:ind w:left="2640"/>
        <w:spacing w:after="0"/>
        <w:tabs>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68580</wp:posOffset>
            </wp:positionV>
            <wp:extent cx="44577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68580</wp:posOffset>
            </wp:positionV>
            <wp:extent cx="23177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w w:val="91"/>
              </w:rPr>
              <w:t>Chief Executive Officer and Director (Principal Executive Officer)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50"/>
              <w:spacing w:after="0"/>
              <w:rPr>
                <w:sz w:val="20"/>
                <w:szCs w:val="20"/>
                <w:color w:val="auto"/>
              </w:rPr>
            </w:pPr>
            <w:r>
              <w:rPr>
                <w:rFonts w:ascii="Arial" w:cs="Arial" w:eastAsia="Arial" w:hAnsi="Arial"/>
                <w:sz w:val="14"/>
                <w:szCs w:val="14"/>
                <w:b w:val="1"/>
                <w:bCs w:val="1"/>
                <w:color w:val="auto"/>
                <w:w w:val="92"/>
              </w:rPr>
              <w:t>Vikram Talwar</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w w:val="90"/>
              </w:rPr>
              <w:t>Chief Financial Officer, President and Director (Principal Financial</w:t>
            </w:r>
          </w:p>
        </w:tc>
        <w:tc>
          <w:tcPr>
            <w:tcW w:w="0" w:type="dxa"/>
            <w:vAlign w:val="bottom"/>
          </w:tcPr>
          <w:p>
            <w:pPr>
              <w:spacing w:after="0"/>
              <w:rPr>
                <w:sz w:val="1"/>
                <w:szCs w:val="1"/>
                <w:color w:val="auto"/>
              </w:rPr>
            </w:pPr>
          </w:p>
        </w:tc>
      </w:tr>
      <w:tr>
        <w:trPr>
          <w:trHeight w:val="116"/>
        </w:trPr>
        <w:tc>
          <w:tcPr>
            <w:tcW w:w="72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320" w:type="dxa"/>
            <w:vAlign w:val="bottom"/>
            <w:vMerge w:val="restart"/>
          </w:tcPr>
          <w:p>
            <w:pPr>
              <w:ind w:left="800"/>
              <w:spacing w:after="0"/>
              <w:rPr>
                <w:sz w:val="20"/>
                <w:szCs w:val="20"/>
                <w:color w:val="auto"/>
              </w:rPr>
            </w:pPr>
            <w:r>
              <w:rPr>
                <w:rFonts w:ascii="Arial" w:cs="Arial" w:eastAsia="Arial" w:hAnsi="Arial"/>
                <w:sz w:val="18"/>
                <w:szCs w:val="18"/>
                <w:color w:val="auto"/>
              </w:rPr>
              <w:t>and Accounting Officer)</w:t>
            </w:r>
          </w:p>
        </w:tc>
        <w:tc>
          <w:tcPr>
            <w:tcW w:w="0" w:type="dxa"/>
            <w:vAlign w:val="bottom"/>
          </w:tcPr>
          <w:p>
            <w:pPr>
              <w:spacing w:after="0"/>
              <w:rPr>
                <w:sz w:val="1"/>
                <w:szCs w:val="1"/>
                <w:color w:val="auto"/>
              </w:rPr>
            </w:pPr>
          </w:p>
        </w:tc>
      </w:tr>
      <w:tr>
        <w:trPr>
          <w:trHeight w:val="86"/>
        </w:trPr>
        <w:tc>
          <w:tcPr>
            <w:tcW w:w="720" w:type="dxa"/>
            <w:vAlign w:val="bottom"/>
          </w:tcPr>
          <w:p>
            <w:pPr>
              <w:spacing w:after="0"/>
              <w:rPr>
                <w:sz w:val="7"/>
                <w:szCs w:val="7"/>
                <w:color w:val="auto"/>
              </w:rPr>
            </w:pPr>
          </w:p>
        </w:tc>
        <w:tc>
          <w:tcPr>
            <w:tcW w:w="3980" w:type="dxa"/>
            <w:vAlign w:val="bottom"/>
            <w:vMerge w:val="restart"/>
          </w:tcPr>
          <w:p>
            <w:pPr>
              <w:jc w:val="center"/>
              <w:ind w:left="350"/>
              <w:spacing w:after="0"/>
              <w:rPr>
                <w:sz w:val="20"/>
                <w:szCs w:val="20"/>
                <w:color w:val="auto"/>
              </w:rPr>
            </w:pPr>
            <w:r>
              <w:rPr>
                <w:rFonts w:ascii="Arial" w:cs="Arial" w:eastAsia="Arial" w:hAnsi="Arial"/>
                <w:sz w:val="14"/>
                <w:szCs w:val="14"/>
                <w:b w:val="1"/>
                <w:bCs w:val="1"/>
                <w:color w:val="auto"/>
                <w:w w:val="90"/>
              </w:rPr>
              <w:t>Rohit Kapoor</w:t>
            </w: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7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50"/>
              <w:spacing w:after="0"/>
              <w:rPr>
                <w:sz w:val="20"/>
                <w:szCs w:val="20"/>
                <w:color w:val="auto"/>
              </w:rPr>
            </w:pPr>
            <w:r>
              <w:rPr>
                <w:rFonts w:ascii="Arial" w:cs="Arial" w:eastAsia="Arial" w:hAnsi="Arial"/>
                <w:sz w:val="14"/>
                <w:szCs w:val="14"/>
                <w:b w:val="1"/>
                <w:bCs w:val="1"/>
                <w:color w:val="auto"/>
                <w:w w:val="87"/>
              </w:rPr>
              <w:t>Steven B. Gruber</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50"/>
              <w:spacing w:after="0"/>
              <w:rPr>
                <w:sz w:val="20"/>
                <w:szCs w:val="20"/>
                <w:color w:val="auto"/>
              </w:rPr>
            </w:pPr>
            <w:r>
              <w:rPr>
                <w:rFonts w:ascii="Arial" w:cs="Arial" w:eastAsia="Arial" w:hAnsi="Arial"/>
                <w:sz w:val="14"/>
                <w:szCs w:val="14"/>
                <w:b w:val="1"/>
                <w:bCs w:val="1"/>
                <w:color w:val="auto"/>
                <w:w w:val="88"/>
              </w:rPr>
              <w:t>Bradford E. Bernstein</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50"/>
              <w:spacing w:after="0"/>
              <w:rPr>
                <w:sz w:val="20"/>
                <w:szCs w:val="20"/>
                <w:color w:val="auto"/>
              </w:rPr>
            </w:pPr>
            <w:r>
              <w:rPr>
                <w:rFonts w:ascii="Arial" w:cs="Arial" w:eastAsia="Arial" w:hAnsi="Arial"/>
                <w:sz w:val="14"/>
                <w:szCs w:val="14"/>
                <w:b w:val="1"/>
                <w:bCs w:val="1"/>
                <w:color w:val="auto"/>
                <w:w w:val="90"/>
              </w:rPr>
              <w:t>Edward V. Dardani</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50"/>
              <w:spacing w:after="0"/>
              <w:rPr>
                <w:sz w:val="20"/>
                <w:szCs w:val="20"/>
                <w:color w:val="auto"/>
              </w:rPr>
            </w:pPr>
            <w:r>
              <w:rPr>
                <w:rFonts w:ascii="Arial" w:cs="Arial" w:eastAsia="Arial" w:hAnsi="Arial"/>
                <w:sz w:val="14"/>
                <w:szCs w:val="14"/>
                <w:b w:val="1"/>
                <w:bCs w:val="1"/>
                <w:color w:val="auto"/>
                <w:w w:val="90"/>
              </w:rPr>
              <w:t>James C. Hale, III</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30"/>
              <w:spacing w:after="0"/>
              <w:rPr>
                <w:sz w:val="20"/>
                <w:szCs w:val="20"/>
                <w:color w:val="auto"/>
              </w:rPr>
            </w:pPr>
            <w:r>
              <w:rPr>
                <w:rFonts w:ascii="Arial" w:cs="Arial" w:eastAsia="Arial" w:hAnsi="Arial"/>
                <w:sz w:val="14"/>
                <w:szCs w:val="14"/>
                <w:b w:val="1"/>
                <w:bCs w:val="1"/>
                <w:color w:val="auto"/>
                <w:w w:val="87"/>
              </w:rPr>
              <w:t>David B. Kelso</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50"/>
              <w:spacing w:after="0"/>
              <w:rPr>
                <w:sz w:val="20"/>
                <w:szCs w:val="20"/>
                <w:color w:val="auto"/>
              </w:rPr>
            </w:pPr>
            <w:r>
              <w:rPr>
                <w:rFonts w:ascii="Arial" w:cs="Arial" w:eastAsia="Arial" w:hAnsi="Arial"/>
                <w:sz w:val="14"/>
                <w:szCs w:val="14"/>
                <w:b w:val="1"/>
                <w:bCs w:val="1"/>
                <w:color w:val="auto"/>
                <w:w w:val="90"/>
              </w:rPr>
              <w:t>Dr. Mohanbir Sawhney</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00" w:type="dxa"/>
            <w:vAlign w:val="bottom"/>
            <w:gridSpan w:val="2"/>
          </w:tcPr>
          <w:p>
            <w:pPr>
              <w:jc w:val="center"/>
              <w:ind w:left="105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980" w:type="dxa"/>
            <w:vAlign w:val="bottom"/>
          </w:tcPr>
          <w:p>
            <w:pPr>
              <w:jc w:val="center"/>
              <w:ind w:left="350"/>
              <w:spacing w:after="0"/>
              <w:rPr>
                <w:sz w:val="20"/>
                <w:szCs w:val="20"/>
                <w:color w:val="auto"/>
              </w:rPr>
            </w:pPr>
            <w:r>
              <w:rPr>
                <w:rFonts w:ascii="Arial" w:cs="Arial" w:eastAsia="Arial" w:hAnsi="Arial"/>
                <w:sz w:val="14"/>
                <w:szCs w:val="14"/>
                <w:b w:val="1"/>
                <w:bCs w:val="1"/>
                <w:color w:val="auto"/>
                <w:w w:val="88"/>
              </w:rPr>
              <w:t>Garen K. Staglin</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72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0" w:type="dxa"/>
            <w:vAlign w:val="bottom"/>
            <w:vMerge w:val="restart"/>
          </w:tcPr>
          <w:p>
            <w:pPr>
              <w:spacing w:after="0"/>
              <w:rPr>
                <w:sz w:val="20"/>
                <w:szCs w:val="20"/>
                <w:color w:val="auto"/>
              </w:rPr>
            </w:pPr>
            <w:r>
              <w:rPr>
                <w:rFonts w:ascii="Arial" w:cs="Arial" w:eastAsia="Arial" w:hAnsi="Arial"/>
                <w:sz w:val="18"/>
                <w:szCs w:val="18"/>
                <w:color w:val="auto"/>
              </w:rPr>
              <w:t>*  By:</w:t>
            </w:r>
          </w:p>
        </w:tc>
        <w:tc>
          <w:tcPr>
            <w:tcW w:w="39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320" w:type="dxa"/>
            <w:vAlign w:val="bottom"/>
            <w:vMerge w:val="restart"/>
          </w:tcPr>
          <w:p>
            <w:pPr>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100"/>
        </w:trPr>
        <w:tc>
          <w:tcPr>
            <w:tcW w:w="720" w:type="dxa"/>
            <w:vAlign w:val="bottom"/>
            <w:vMerge w:val="continue"/>
          </w:tcPr>
          <w:p>
            <w:pPr>
              <w:spacing w:after="0"/>
              <w:rPr>
                <w:sz w:val="8"/>
                <w:szCs w:val="8"/>
                <w:color w:val="auto"/>
              </w:rPr>
            </w:pPr>
          </w:p>
        </w:tc>
        <w:tc>
          <w:tcPr>
            <w:tcW w:w="3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440" w:type="dxa"/>
            <w:vAlign w:val="bottom"/>
            <w:gridSpan w:val="3"/>
          </w:tcPr>
          <w:p>
            <w:pPr>
              <w:ind w:left="880"/>
              <w:spacing w:after="0"/>
              <w:rPr>
                <w:sz w:val="20"/>
                <w:szCs w:val="20"/>
                <w:color w:val="auto"/>
              </w:rPr>
            </w:pPr>
            <w:r>
              <w:rPr>
                <w:rFonts w:ascii="Arial" w:cs="Arial" w:eastAsia="Arial" w:hAnsi="Arial"/>
                <w:sz w:val="18"/>
                <w:szCs w:val="18"/>
                <w:color w:val="auto"/>
              </w:rPr>
              <w:t>II-8</w:t>
            </w:r>
          </w:p>
        </w:tc>
        <w:tc>
          <w:tcPr>
            <w:tcW w:w="0" w:type="dxa"/>
            <w:vAlign w:val="bottom"/>
          </w:tcPr>
          <w:p>
            <w:pPr>
              <w:spacing w:after="0"/>
              <w:rPr>
                <w:sz w:val="1"/>
                <w:szCs w:val="1"/>
                <w:color w:val="auto"/>
              </w:rPr>
            </w:pPr>
          </w:p>
        </w:tc>
      </w:tr>
    </w:tbl>
    <w:p>
      <w:pPr>
        <w:sectPr>
          <w:pgSz w:w="11900" w:h="16838" w:orient="portrait"/>
          <w:cols w:equalWidth="0" w:num="1">
            <w:col w:w="11160"/>
          </w:cols>
          <w:pgMar w:left="240" w:top="460"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60" w:type="dxa"/>
            <w:vAlign w:val="bottom"/>
          </w:tcPr>
          <w:p>
            <w:pPr>
              <w:jc w:val="center"/>
              <w:ind w:right="1812"/>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tcPr>
          <w:p>
            <w:pPr>
              <w:spacing w:after="0"/>
              <w:rPr>
                <w:sz w:val="24"/>
                <w:szCs w:val="24"/>
                <w:color w:val="auto"/>
              </w:rPr>
            </w:pPr>
          </w:p>
        </w:tc>
      </w:tr>
      <w:tr>
        <w:trPr>
          <w:trHeight w:val="174"/>
        </w:trPr>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460" w:type="dxa"/>
            <w:vAlign w:val="bottom"/>
          </w:tcPr>
          <w:p>
            <w:pPr>
              <w:spacing w:after="0"/>
              <w:rPr>
                <w:sz w:val="8"/>
                <w:szCs w:val="8"/>
                <w:color w:val="auto"/>
              </w:rPr>
            </w:pPr>
          </w:p>
        </w:tc>
      </w:tr>
      <w:tr>
        <w:trPr>
          <w:trHeight w:val="3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Letter Agreement regarding the Reserved Share Program.</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Agreement and Plan of Merger amongst ExlService Holdings, Inc., ExlService Merger Sub Inc., Inductis, Inc., Sandeep Tyagi and certain major</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stockholders of Inductis, dated June 30, 2006.</w:t>
            </w:r>
          </w:p>
        </w:tc>
      </w:tr>
      <w:tr>
        <w:trPr>
          <w:trHeight w:val="28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8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w:t>
            </w:r>
          </w:p>
        </w:tc>
      </w:tr>
      <w:tr>
        <w:trPr>
          <w:trHeight w:val="28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r>
      <w:tr>
        <w:trPr>
          <w:trHeight w:val="28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Form of Registration Rights Agreement to be entered into by and among ExlService Holdings, Inc. and the stockholders named therein.</w:t>
            </w:r>
          </w:p>
        </w:tc>
      </w:tr>
      <w:tr>
        <w:trPr>
          <w:trHeight w:val="28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Umbrella Agreement, dated as of August 26, 2004, by and among Norwich Union Customer Services (Singapore) Private Limited, ExlService</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Insurance Services Framework Agreement, dated as of July 29, 2004, by and between Norwich Union Customer Services (Singapore) Private</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Limited and ExlService Holdings, Inc.</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Insurance Services Framework Agreement (ISFA), dated as of August 26, 2004, by and between Norwich Union Customer Services (Singapore)</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Private Limited and ExlService Holdings, Inc.</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10.4*</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Data Protection Agreement, dated as of July 29, 2004 by and among Norwich Union Customer Services (Singapore) Private Limited, Norwich</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10.5*</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Data Protection Agreement, dated as of August 26, 2004, by and among Norwich Union Customer Services (Singapore) Private Limited,</w:t>
            </w: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Norwich Union Insurance Limited, Norwich Union Life Services Limited, ExlService Holdings, Inc., ExlService.com (India) Private Limited and</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Noida Customer Operations Private Limited.</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10.6*</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Virtual Shareholders’ Agreement, dated as of August 26, 2004, by and among Norwich Union Customer Services (Singapore) Private Limited,</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77"/>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10.7*</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Confidentiality Agreement, dated as of August 26, 2004, by and among Norwich Union Customer Services (Singapore) Private Limited, Norwich</w:t>
            </w: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Union Insurance Limited, Norwich Union Life Services Limited, ExlService Holdings, Inc., ExlService.com (India) Private Limited and Noida</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Customer Operations Private Limited.</w:t>
            </w:r>
          </w:p>
        </w:tc>
      </w:tr>
      <w:tr>
        <w:trPr>
          <w:trHeight w:val="28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10.8*</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Guarantee and Indemnity, dated as of August 26, 2004, by and between Norwich Union Insurance Limited and ExlService Holdings, Inc.</w:t>
            </w:r>
          </w:p>
        </w:tc>
      </w:tr>
      <w:tr>
        <w:trPr>
          <w:trHeight w:val="28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10.9*</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Guarantee and Indemnity, dated as of August 26, 2004, by and between Norwich Union Life Holdings Limited and ExlService Holdings, Inc.</w:t>
            </w:r>
          </w:p>
        </w:tc>
      </w:tr>
      <w:tr>
        <w:trPr>
          <w:trHeight w:val="28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10.10*</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77"/>
        </w:trPr>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10.11*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Stock and Note Purchase Agreement, dated December 13, 2002, by and among ExlService Holdings, Inc., Oak Hill Capital Partners, L.P., Oak</w:t>
            </w:r>
          </w:p>
        </w:tc>
      </w:tr>
      <w:tr>
        <w:trPr>
          <w:trHeight w:val="222"/>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8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10.12*</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Employment Contract, as amended, effective October 3, 2006, by and between ExlService Inc. and Amit Shashank.</w:t>
            </w:r>
          </w:p>
        </w:tc>
      </w:tr>
      <w:tr>
        <w:trPr>
          <w:trHeight w:val="28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10.13*</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Employment Contract, effective June 1, 2005, by and between ExlService Inc. and Katy Murray.</w:t>
            </w:r>
          </w:p>
        </w:tc>
      </w:tr>
      <w:tr>
        <w:trPr>
          <w:trHeight w:val="365"/>
        </w:trPr>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tcPr>
          <w:p>
            <w:pPr>
              <w:jc w:val="center"/>
              <w:ind w:right="1832"/>
              <w:spacing w:after="0"/>
              <w:rPr>
                <w:sz w:val="20"/>
                <w:szCs w:val="20"/>
                <w:color w:val="auto"/>
              </w:rPr>
            </w:pPr>
            <w:r>
              <w:rPr>
                <w:rFonts w:ascii="Arial" w:cs="Arial" w:eastAsia="Arial" w:hAnsi="Arial"/>
                <w:sz w:val="18"/>
                <w:szCs w:val="18"/>
                <w:color w:val="auto"/>
                <w:w w:val="99"/>
              </w:rPr>
              <w:t>II-9</w:t>
            </w:r>
          </w:p>
        </w:tc>
      </w:tr>
    </w:tbl>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60" w:type="dxa"/>
            <w:vAlign w:val="bottom"/>
          </w:tcPr>
          <w:p>
            <w:pPr>
              <w:spacing w:after="0"/>
              <w:rPr>
                <w:sz w:val="14"/>
                <w:szCs w:val="14"/>
                <w:color w:val="auto"/>
              </w:rPr>
            </w:pPr>
          </w:p>
        </w:tc>
      </w:tr>
      <w:tr>
        <w:trPr>
          <w:trHeight w:val="174"/>
        </w:trPr>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20" w:type="dxa"/>
            <w:vAlign w:val="bottom"/>
            <w:gridSpan w:val="3"/>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r>
      <w:tr>
        <w:trPr>
          <w:trHeight w:val="309"/>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0"/>
              </w:rPr>
              <w:t>Employment and Non-Competition Agreement entered into by and among ExlService Holdings, Inc., ExlService.com, Inc., ExlService.com</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(India) Private Limited and Vikram Talwar.</w:t>
            </w: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0"/>
              </w:rPr>
              <w:t>Employment and Non-Competition Agreement entered into by and among ExlService Holdings, Inc., ExlService.com, Inc., ExlService.com</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(India) Private Limited and Rohit Kapoor.</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2003 India Stock Option Plan.</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Non-Qualified Stock Option Agreement between Shiv Kumar and the Company.</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2003 Stock Option Plan.</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Non-Qualified Stock Option Agreement between Katy Murray and the Company.</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2006 Omnibus Plan.</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2006 Omnibus India Subplan 1.</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Form of Stock Option Agreement under the 2006 Omnibus India Subplan 1.</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Management Incentive Plan.</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22"/>
        </w:trPr>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Member Fund, L.P.</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10.28*</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10.29*</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10.30*</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Form of Company Holder Agreement dated June 30, 2006.</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Form of Restricted Stock Award Agreement under the 2006 Omnibus Award Plan.</w:t>
            </w:r>
          </w:p>
        </w:tc>
      </w:tr>
      <w:tr>
        <w:trPr>
          <w:trHeight w:val="284"/>
        </w:trPr>
        <w:tc>
          <w:tcPr>
            <w:tcW w:w="740" w:type="dxa"/>
            <w:vAlign w:val="bottom"/>
            <w:gridSpan w:val="2"/>
          </w:tcPr>
          <w:p>
            <w:pPr>
              <w:spacing w:after="0"/>
              <w:rPr>
                <w:sz w:val="20"/>
                <w:szCs w:val="20"/>
                <w:color w:val="auto"/>
              </w:rPr>
            </w:pPr>
            <w:r>
              <w:rPr>
                <w:rFonts w:ascii="Arial" w:cs="Arial" w:eastAsia="Arial" w:hAnsi="Arial"/>
                <w:sz w:val="18"/>
                <w:szCs w:val="18"/>
                <w:color w:val="auto"/>
              </w:rPr>
              <w:t>10.32*</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Form of Stock Option Agreement under the 2006 Omnibus Award Plan.</w:t>
            </w: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10.33*</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Form of Restricted Stock Award Agreement under the 2006 Omnibus India Subplan 1.</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10.34*</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Letter Agreement with the Company and an executive officer, dated July 27, 2006.</w:t>
            </w:r>
          </w:p>
        </w:tc>
      </w:tr>
      <w:tr>
        <w:trPr>
          <w:trHeight w:val="222"/>
        </w:trPr>
        <w:tc>
          <w:tcPr>
            <w:tcW w:w="740" w:type="dxa"/>
            <w:vAlign w:val="bottom"/>
            <w:gridSpan w:val="2"/>
          </w:tcPr>
          <w:p>
            <w:pPr>
              <w:spacing w:after="0"/>
              <w:rPr>
                <w:sz w:val="20"/>
                <w:szCs w:val="20"/>
                <w:color w:val="auto"/>
              </w:rPr>
            </w:pPr>
            <w:r>
              <w:rPr>
                <w:rFonts w:ascii="Arial" w:cs="Arial" w:eastAsia="Arial" w:hAnsi="Arial"/>
                <w:sz w:val="18"/>
                <w:szCs w:val="18"/>
                <w:color w:val="auto"/>
              </w:rPr>
              <w:t>10.35*</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4"/>
              </w:rPr>
              <w:t>Amended and Restated Nonqualified Stock Option Award Agreement between Amit Shashank and the Company dated June 1, 2005.</w:t>
            </w:r>
          </w:p>
        </w:tc>
      </w:tr>
      <w:tr>
        <w:trPr>
          <w:trHeight w:val="318"/>
        </w:trPr>
        <w:tc>
          <w:tcPr>
            <w:tcW w:w="740" w:type="dxa"/>
            <w:vAlign w:val="bottom"/>
            <w:gridSpan w:val="2"/>
          </w:tcPr>
          <w:p>
            <w:pPr>
              <w:spacing w:after="0"/>
              <w:rPr>
                <w:sz w:val="20"/>
                <w:szCs w:val="20"/>
                <w:color w:val="auto"/>
              </w:rPr>
            </w:pPr>
            <w:r>
              <w:rPr>
                <w:rFonts w:ascii="Arial" w:cs="Arial" w:eastAsia="Arial" w:hAnsi="Arial"/>
                <w:sz w:val="18"/>
                <w:szCs w:val="18"/>
                <w:color w:val="auto"/>
              </w:rPr>
              <w:t>10.36*</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0"/>
              </w:rPr>
              <w:t>Agreement dated July 17, 2006 among Norwich Union Customer Services (Singapore) PTE Ltd., ExlService Holdings, Inc., ExlService.com</w:t>
            </w:r>
          </w:p>
        </w:tc>
      </w:tr>
      <w:tr>
        <w:trPr>
          <w:trHeight w:val="216"/>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10.37*</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w w:val="98"/>
              </w:rPr>
              <w:t>Amended and Restated Non-Qualified Stock Option Agreement between Amit Shashank and the Company dated June 7, 2004.</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10.38**</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ExlService Holdings, Inc. 2006 Omnibus India Subplan 2.</w:t>
            </w:r>
          </w:p>
        </w:tc>
      </w:tr>
      <w:tr>
        <w:trPr>
          <w:trHeight w:val="222"/>
        </w:trPr>
        <w:tc>
          <w:tcPr>
            <w:tcW w:w="740" w:type="dxa"/>
            <w:vAlign w:val="bottom"/>
            <w:gridSpan w:val="2"/>
          </w:tcPr>
          <w:p>
            <w:pPr>
              <w:spacing w:after="0"/>
              <w:rPr>
                <w:sz w:val="20"/>
                <w:szCs w:val="20"/>
                <w:color w:val="auto"/>
              </w:rPr>
            </w:pPr>
            <w:r>
              <w:rPr>
                <w:rFonts w:ascii="Arial" w:cs="Arial" w:eastAsia="Arial" w:hAnsi="Arial"/>
                <w:sz w:val="18"/>
                <w:szCs w:val="18"/>
                <w:color w:val="auto"/>
              </w:rPr>
              <w:t>10.39*</w:t>
            </w:r>
          </w:p>
        </w:tc>
        <w:tc>
          <w:tcPr>
            <w:tcW w:w="10520" w:type="dxa"/>
            <w:vAlign w:val="bottom"/>
            <w:gridSpan w:val="3"/>
          </w:tcPr>
          <w:p>
            <w:pPr>
              <w:ind w:left="520"/>
              <w:spacing w:after="0"/>
              <w:rPr>
                <w:sz w:val="20"/>
                <w:szCs w:val="20"/>
                <w:color w:val="auto"/>
              </w:rPr>
            </w:pPr>
            <w:r>
              <w:rPr>
                <w:rFonts w:ascii="Arial" w:cs="Arial" w:eastAsia="Arial" w:hAnsi="Arial"/>
                <w:sz w:val="18"/>
                <w:szCs w:val="18"/>
                <w:color w:val="auto"/>
              </w:rPr>
              <w:t>Form of Stock Option Agreement under the 2006 Omnibus India Subplan 2.</w:t>
            </w:r>
          </w:p>
        </w:tc>
      </w:tr>
      <w:tr>
        <w:trPr>
          <w:trHeight w:val="365"/>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60" w:type="dxa"/>
            <w:vAlign w:val="bottom"/>
          </w:tcPr>
          <w:p>
            <w:pPr>
              <w:ind w:left="3340"/>
              <w:spacing w:after="0"/>
              <w:rPr>
                <w:sz w:val="20"/>
                <w:szCs w:val="20"/>
                <w:color w:val="auto"/>
              </w:rPr>
            </w:pPr>
            <w:r>
              <w:rPr>
                <w:rFonts w:ascii="Arial" w:cs="Arial" w:eastAsia="Arial" w:hAnsi="Arial"/>
                <w:sz w:val="18"/>
                <w:szCs w:val="18"/>
                <w:color w:val="auto"/>
              </w:rPr>
              <w:t>II-10</w:t>
            </w:r>
          </w:p>
        </w:tc>
      </w:tr>
    </w:tbl>
    <w:p>
      <w:pPr>
        <w:sectPr>
          <w:pgSz w:w="11900" w:h="16838" w:orient="portrait"/>
          <w:cols w:equalWidth="0" w:num="1">
            <w:col w:w="11260"/>
          </w:cols>
          <w:pgMar w:left="240" w:top="460" w:right="3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6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64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r>
      <w:tr>
        <w:trPr>
          <w:trHeight w:val="383"/>
        </w:trPr>
        <w:tc>
          <w:tcPr>
            <w:tcW w:w="720" w:type="dxa"/>
            <w:vAlign w:val="bottom"/>
            <w:gridSpan w:val="2"/>
          </w:tcPr>
          <w:p>
            <w:pPr>
              <w:spacing w:after="0"/>
              <w:rPr>
                <w:sz w:val="20"/>
                <w:szCs w:val="20"/>
                <w:color w:val="auto"/>
              </w:rPr>
            </w:pPr>
            <w:r>
              <w:rPr>
                <w:rFonts w:ascii="Arial" w:cs="Arial" w:eastAsia="Arial" w:hAnsi="Arial"/>
                <w:sz w:val="18"/>
                <w:szCs w:val="18"/>
                <w:color w:val="auto"/>
              </w:rPr>
              <w:t>10.40*</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Award Agreement under the 2006 Omnibus India Subplan 2.</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10.41*</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Restricted Stock Award Agreement between Vikram Talwar and the Company dated July 27, 2006.</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10.42*</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w w:val="99"/>
              </w:rPr>
              <w:t>Non-Qualified Stock Option Agreement between Rohit Kapoor and the Company dated July 27, 2006.</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10.43*</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Amendment to ExlService Holdings, Inc. 2006 Omnibus Award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10.44*</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Unit Agreement 1 under the 2006 Omnibus Award Plan.</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10.45*</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Unit Agreement 2 under the 2006 Omnibus Award Plan.</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10.46**</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Amendment No. 2 to ExlService Holdings, Inc. 2006 Omnibus Award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Consent of Russell Bedford Stefanou Mirchandani LLP.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23.3**</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w w:val="90"/>
              </w:rPr>
              <w:t>Consent of Paul, Weiss, Rifkind, Wharton &amp; Garrison LLP (included in Exhibit 5.1 to this Registration Statement).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23.4*</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Consent of Luthra &amp; Luthra.</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864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right="8599" w:firstLine="8"/>
        <w:spacing w:after="0" w:line="268"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0219"/>
          </w:cols>
          <w:pgMar w:left="240" w:top="460"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4.2</w:t>
      </w:r>
    </w:p>
    <w:p>
      <w:pPr>
        <w:spacing w:after="0" w:line="17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REGISTRATION RIGHTS AGREEMENT</w:t>
      </w:r>
    </w:p>
    <w:p>
      <w:pPr>
        <w:spacing w:after="0" w:line="37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 the STOCKHOLDERS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351790</wp:posOffset>
            </wp:positionV>
            <wp:extent cx="319849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tabs>
          <w:tab w:leader="none" w:pos="4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131445</wp:posOffset>
            </wp:positionV>
            <wp:extent cx="319849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-13970</wp:posOffset>
            </wp:positionV>
            <wp:extent cx="55753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TABLE OF CONTENTS</w:t>
            </w:r>
          </w:p>
        </w:tc>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80" w:type="dxa"/>
            <w:vAlign w:val="bottom"/>
            <w:vMerge w:val="restart"/>
          </w:tcPr>
          <w:p>
            <w:pPr>
              <w:spacing w:after="0"/>
              <w:rPr>
                <w:sz w:val="20"/>
                <w:szCs w:val="20"/>
                <w:color w:val="auto"/>
              </w:rPr>
            </w:pPr>
            <w:r>
              <w:rPr>
                <w:rFonts w:ascii="Arial" w:cs="Arial" w:eastAsia="Arial" w:hAnsi="Arial"/>
                <w:sz w:val="18"/>
                <w:szCs w:val="18"/>
                <w:color w:val="auto"/>
                <w:w w:val="97"/>
              </w:rPr>
              <w:t>1.(a)</w:t>
            </w:r>
          </w:p>
        </w:tc>
        <w:tc>
          <w:tcPr>
            <w:tcW w:w="10760" w:type="dxa"/>
            <w:vAlign w:val="bottom"/>
            <w:gridSpan w:val="4"/>
            <w:vMerge w:val="restart"/>
          </w:tcPr>
          <w:p>
            <w:pPr>
              <w:ind w:left="6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380" w:type="dxa"/>
            <w:vAlign w:val="bottom"/>
            <w:vMerge w:val="continue"/>
          </w:tcPr>
          <w:p>
            <w:pPr>
              <w:spacing w:after="0"/>
              <w:rPr>
                <w:sz w:val="17"/>
                <w:szCs w:val="17"/>
                <w:color w:val="auto"/>
              </w:rPr>
            </w:pPr>
          </w:p>
        </w:tc>
        <w:tc>
          <w:tcPr>
            <w:tcW w:w="10760" w:type="dxa"/>
            <w:vAlign w:val="bottom"/>
            <w:gridSpan w:val="4"/>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Interpretation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General; Securities Subject to this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Grant of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Registrable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Holders of Registrable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Transfer of Registration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Request for 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Incidental or “Piggy-Back” Rights with Respect to a 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Effective 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(e)</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Underwriting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(f)</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Selection of Underwriters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(g)</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Incidental or “Piggy-Back”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Request for Incidental or “Piggy-Back”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Form S-3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Request for a Form S-3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Form S-3 Underwriting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Limitations on Form S-3 Registrations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(e)</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Automatic Shelf Registration 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Hedging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Holdback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Restrictions on Public Sale by Designated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Restrictions on Public Sale by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Registration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Obligations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Seller Requirements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Notice to Discontinue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Registration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10760" w:type="dxa"/>
            <w:vAlign w:val="bottom"/>
            <w:gridSpan w:val="4"/>
          </w:tcPr>
          <w:p>
            <w:pPr>
              <w:ind w:left="60"/>
              <w:spacing w:after="0"/>
              <w:rPr>
                <w:sz w:val="20"/>
                <w:szCs w:val="20"/>
                <w:color w:val="auto"/>
              </w:rPr>
            </w:pPr>
            <w:r>
              <w:rPr>
                <w:rFonts w:ascii="Arial" w:cs="Arial" w:eastAsia="Arial" w:hAnsi="Arial"/>
                <w:sz w:val="18"/>
                <w:szCs w:val="18"/>
                <w:color w:val="auto"/>
              </w:rPr>
              <w:t>Indemnification;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10440" w:type="dxa"/>
            <w:vAlign w:val="bottom"/>
            <w:gridSpan w:val="3"/>
          </w:tcPr>
          <w:p>
            <w:pPr>
              <w:ind w:left="60"/>
              <w:spacing w:after="0"/>
              <w:rPr>
                <w:sz w:val="20"/>
                <w:szCs w:val="20"/>
                <w:color w:val="auto"/>
              </w:rPr>
            </w:pPr>
            <w:r>
              <w:rPr>
                <w:rFonts w:ascii="Arial" w:cs="Arial" w:eastAsia="Arial" w:hAnsi="Arial"/>
                <w:sz w:val="18"/>
                <w:szCs w:val="18"/>
                <w:color w:val="auto"/>
              </w:rPr>
              <w:t>Indemnification by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6940" w:type="dxa"/>
            <w:vAlign w:val="bottom"/>
          </w:tcPr>
          <w:p>
            <w:pPr>
              <w:ind w:left="60"/>
              <w:spacing w:after="0"/>
              <w:rPr>
                <w:sz w:val="20"/>
                <w:szCs w:val="20"/>
                <w:color w:val="auto"/>
              </w:rPr>
            </w:pPr>
            <w:r>
              <w:rPr>
                <w:rFonts w:ascii="Arial" w:cs="Arial" w:eastAsia="Arial" w:hAnsi="Arial"/>
                <w:sz w:val="18"/>
                <w:szCs w:val="18"/>
                <w:color w:val="auto"/>
              </w:rPr>
              <w:t>Indemnification by Designated Stockholders</w:t>
            </w:r>
          </w:p>
        </w:tc>
        <w:tc>
          <w:tcPr>
            <w:tcW w:w="3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(c)</w:t>
            </w:r>
          </w:p>
        </w:tc>
        <w:tc>
          <w:tcPr>
            <w:tcW w:w="6940" w:type="dxa"/>
            <w:vAlign w:val="bottom"/>
          </w:tcPr>
          <w:p>
            <w:pPr>
              <w:ind w:left="60"/>
              <w:spacing w:after="0"/>
              <w:rPr>
                <w:sz w:val="20"/>
                <w:szCs w:val="20"/>
                <w:color w:val="auto"/>
              </w:rPr>
            </w:pPr>
            <w:r>
              <w:rPr>
                <w:rFonts w:ascii="Arial" w:cs="Arial" w:eastAsia="Arial" w:hAnsi="Arial"/>
                <w:sz w:val="18"/>
                <w:szCs w:val="18"/>
                <w:color w:val="auto"/>
              </w:rPr>
              <w:t>Conduct of Indemnification Proceedings</w:t>
            </w:r>
          </w:p>
        </w:tc>
        <w:tc>
          <w:tcPr>
            <w:tcW w:w="3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34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(d)</w:t>
            </w:r>
          </w:p>
        </w:tc>
        <w:tc>
          <w:tcPr>
            <w:tcW w:w="6940" w:type="dxa"/>
            <w:vAlign w:val="bottom"/>
          </w:tcPr>
          <w:p>
            <w:pPr>
              <w:ind w:left="60"/>
              <w:spacing w:after="0"/>
              <w:rPr>
                <w:sz w:val="20"/>
                <w:szCs w:val="20"/>
                <w:color w:val="auto"/>
              </w:rPr>
            </w:pPr>
            <w:r>
              <w:rPr>
                <w:rFonts w:ascii="Arial" w:cs="Arial" w:eastAsia="Arial" w:hAnsi="Arial"/>
                <w:sz w:val="18"/>
                <w:szCs w:val="18"/>
                <w:color w:val="auto"/>
              </w:rPr>
              <w:t>Contribution</w:t>
            </w:r>
          </w:p>
        </w:tc>
        <w:tc>
          <w:tcPr>
            <w:tcW w:w="3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10.</w:t>
            </w:r>
          </w:p>
        </w:tc>
        <w:tc>
          <w:tcPr>
            <w:tcW w:w="7340" w:type="dxa"/>
            <w:vAlign w:val="bottom"/>
            <w:gridSpan w:val="2"/>
          </w:tcPr>
          <w:p>
            <w:pPr>
              <w:ind w:left="100"/>
              <w:spacing w:after="0"/>
              <w:rPr>
                <w:sz w:val="20"/>
                <w:szCs w:val="20"/>
                <w:color w:val="auto"/>
              </w:rPr>
            </w:pPr>
            <w:r>
              <w:rPr>
                <w:rFonts w:ascii="Arial" w:cs="Arial" w:eastAsia="Arial" w:hAnsi="Arial"/>
                <w:sz w:val="18"/>
                <w:szCs w:val="18"/>
                <w:color w:val="auto"/>
              </w:rPr>
              <w:t>Rule 144</w:t>
            </w:r>
          </w:p>
        </w:tc>
        <w:tc>
          <w:tcPr>
            <w:tcW w:w="3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11.</w:t>
            </w:r>
          </w:p>
        </w:tc>
        <w:tc>
          <w:tcPr>
            <w:tcW w:w="734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3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(a)</w:t>
            </w:r>
          </w:p>
        </w:tc>
        <w:tc>
          <w:tcPr>
            <w:tcW w:w="6940" w:type="dxa"/>
            <w:vAlign w:val="bottom"/>
          </w:tcPr>
          <w:p>
            <w:pPr>
              <w:ind w:left="60"/>
              <w:spacing w:after="0"/>
              <w:rPr>
                <w:sz w:val="20"/>
                <w:szCs w:val="20"/>
                <w:color w:val="auto"/>
              </w:rPr>
            </w:pPr>
            <w:r>
              <w:rPr>
                <w:rFonts w:ascii="Arial" w:cs="Arial" w:eastAsia="Arial" w:hAnsi="Arial"/>
                <w:sz w:val="18"/>
                <w:szCs w:val="18"/>
                <w:color w:val="auto"/>
              </w:rPr>
              <w:t>Stock Splits, etc.</w:t>
            </w:r>
          </w:p>
        </w:tc>
        <w:tc>
          <w:tcPr>
            <w:tcW w:w="3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(b)</w:t>
            </w:r>
          </w:p>
        </w:tc>
        <w:tc>
          <w:tcPr>
            <w:tcW w:w="6940" w:type="dxa"/>
            <w:vAlign w:val="bottom"/>
          </w:tcPr>
          <w:p>
            <w:pPr>
              <w:ind w:left="60"/>
              <w:spacing w:after="0"/>
              <w:rPr>
                <w:sz w:val="20"/>
                <w:szCs w:val="20"/>
                <w:color w:val="auto"/>
              </w:rPr>
            </w:pPr>
            <w:r>
              <w:rPr>
                <w:rFonts w:ascii="Arial" w:cs="Arial" w:eastAsia="Arial" w:hAnsi="Arial"/>
                <w:sz w:val="18"/>
                <w:szCs w:val="18"/>
                <w:color w:val="auto"/>
              </w:rPr>
              <w:t>No Inconsistent Agreements</w:t>
            </w:r>
          </w:p>
        </w:tc>
        <w:tc>
          <w:tcPr>
            <w:tcW w:w="3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(c)</w:t>
            </w:r>
          </w:p>
        </w:tc>
        <w:tc>
          <w:tcPr>
            <w:tcW w:w="6940" w:type="dxa"/>
            <w:vAlign w:val="bottom"/>
          </w:tcPr>
          <w:p>
            <w:pPr>
              <w:ind w:left="60"/>
              <w:spacing w:after="0"/>
              <w:rPr>
                <w:sz w:val="20"/>
                <w:szCs w:val="20"/>
                <w:color w:val="auto"/>
              </w:rPr>
            </w:pPr>
            <w:r>
              <w:rPr>
                <w:rFonts w:ascii="Arial" w:cs="Arial" w:eastAsia="Arial" w:hAnsi="Arial"/>
                <w:sz w:val="18"/>
                <w:szCs w:val="18"/>
                <w:color w:val="auto"/>
              </w:rPr>
              <w:t>Remedies</w:t>
            </w:r>
          </w:p>
        </w:tc>
        <w:tc>
          <w:tcPr>
            <w:tcW w:w="3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(d)</w:t>
            </w:r>
          </w:p>
        </w:tc>
        <w:tc>
          <w:tcPr>
            <w:tcW w:w="694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3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(e)</w:t>
            </w:r>
          </w:p>
        </w:tc>
        <w:tc>
          <w:tcPr>
            <w:tcW w:w="6940" w:type="dxa"/>
            <w:vAlign w:val="bottom"/>
          </w:tcPr>
          <w:p>
            <w:pPr>
              <w:ind w:left="60"/>
              <w:spacing w:after="0"/>
              <w:rPr>
                <w:sz w:val="20"/>
                <w:szCs w:val="20"/>
                <w:color w:val="auto"/>
              </w:rPr>
            </w:pPr>
            <w:r>
              <w:rPr>
                <w:rFonts w:ascii="Arial" w:cs="Arial" w:eastAsia="Arial" w:hAnsi="Arial"/>
                <w:sz w:val="18"/>
                <w:szCs w:val="18"/>
                <w:color w:val="auto"/>
              </w:rPr>
              <w:t>Notices</w:t>
            </w:r>
          </w:p>
        </w:tc>
        <w:tc>
          <w:tcPr>
            <w:tcW w:w="3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(f)</w:t>
            </w:r>
          </w:p>
        </w:tc>
        <w:tc>
          <w:tcPr>
            <w:tcW w:w="6940" w:type="dxa"/>
            <w:vAlign w:val="bottom"/>
          </w:tcPr>
          <w:p>
            <w:pPr>
              <w:ind w:left="60"/>
              <w:spacing w:after="0"/>
              <w:rPr>
                <w:sz w:val="20"/>
                <w:szCs w:val="20"/>
                <w:color w:val="auto"/>
              </w:rPr>
            </w:pPr>
            <w:r>
              <w:rPr>
                <w:rFonts w:ascii="Arial" w:cs="Arial" w:eastAsia="Arial" w:hAnsi="Arial"/>
                <w:sz w:val="18"/>
                <w:szCs w:val="18"/>
                <w:color w:val="auto"/>
              </w:rPr>
              <w:t>Permitted Assignees; Third Party Beneficiaries</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(g)</w:t>
            </w:r>
          </w:p>
        </w:tc>
        <w:tc>
          <w:tcPr>
            <w:tcW w:w="694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(h)</w:t>
            </w:r>
          </w:p>
        </w:tc>
        <w:tc>
          <w:tcPr>
            <w:tcW w:w="6940" w:type="dxa"/>
            <w:vAlign w:val="bottom"/>
          </w:tcPr>
          <w:p>
            <w:pPr>
              <w:ind w:left="60"/>
              <w:spacing w:after="0"/>
              <w:rPr>
                <w:sz w:val="20"/>
                <w:szCs w:val="20"/>
                <w:color w:val="auto"/>
              </w:rPr>
            </w:pPr>
            <w:r>
              <w:rPr>
                <w:rFonts w:ascii="Arial" w:cs="Arial" w:eastAsia="Arial" w:hAnsi="Arial"/>
                <w:sz w:val="18"/>
                <w:szCs w:val="18"/>
                <w:color w:val="auto"/>
              </w:rPr>
              <w:t>Headings</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(i)</w:t>
            </w:r>
          </w:p>
        </w:tc>
        <w:tc>
          <w:tcPr>
            <w:tcW w:w="69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(j)</w:t>
            </w:r>
          </w:p>
        </w:tc>
        <w:tc>
          <w:tcPr>
            <w:tcW w:w="69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(k)</w:t>
            </w:r>
          </w:p>
        </w:tc>
        <w:tc>
          <w:tcPr>
            <w:tcW w:w="694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(l)</w:t>
            </w:r>
          </w:p>
        </w:tc>
        <w:tc>
          <w:tcPr>
            <w:tcW w:w="694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(m)</w:t>
            </w:r>
          </w:p>
        </w:tc>
        <w:tc>
          <w:tcPr>
            <w:tcW w:w="694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34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(n)</w:t>
            </w:r>
          </w:p>
        </w:tc>
        <w:tc>
          <w:tcPr>
            <w:tcW w:w="6940" w:type="dxa"/>
            <w:vAlign w:val="bottom"/>
          </w:tcPr>
          <w:p>
            <w:pPr>
              <w:ind w:left="60"/>
              <w:spacing w:after="0"/>
              <w:rPr>
                <w:sz w:val="20"/>
                <w:szCs w:val="20"/>
                <w:color w:val="auto"/>
              </w:rPr>
            </w:pPr>
            <w:r>
              <w:rPr>
                <w:rFonts w:ascii="Arial" w:cs="Arial" w:eastAsia="Arial" w:hAnsi="Arial"/>
                <w:sz w:val="18"/>
                <w:szCs w:val="18"/>
                <w:color w:val="auto"/>
              </w:rPr>
              <w:t>Other Agreements</w:t>
            </w:r>
          </w:p>
        </w:tc>
        <w:tc>
          <w:tcPr>
            <w:tcW w:w="37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71" w:lineRule="exact"/>
        <w:rPr>
          <w:sz w:val="20"/>
          <w:szCs w:val="20"/>
          <w:color w:val="auto"/>
        </w:rPr>
      </w:pPr>
    </w:p>
    <w:p>
      <w:pPr>
        <w:ind w:left="920"/>
        <w:spacing w:after="0"/>
        <w:tabs>
          <w:tab w:leader="none" w:pos="5720" w:val="left"/>
        </w:tabs>
        <w:rPr>
          <w:sz w:val="20"/>
          <w:szCs w:val="20"/>
          <w:color w:val="auto"/>
        </w:rPr>
      </w:pPr>
      <w:r>
        <w:rPr>
          <w:rFonts w:ascii="Arial" w:cs="Arial" w:eastAsia="Arial" w:hAnsi="Arial"/>
          <w:sz w:val="18"/>
          <w:szCs w:val="18"/>
          <w:color w:val="auto"/>
        </w:rPr>
        <w:t>REGISTRATION RIGHTS AGREEMENT, dated as of</w:t>
      </w:r>
      <w:r>
        <w:rPr>
          <w:sz w:val="20"/>
          <w:szCs w:val="20"/>
          <w:color w:val="auto"/>
        </w:rPr>
        <w:tab/>
      </w:r>
      <w:r>
        <w:rPr>
          <w:rFonts w:ascii="Arial" w:cs="Arial" w:eastAsia="Arial" w:hAnsi="Arial"/>
          <w:sz w:val="16"/>
          <w:szCs w:val="16"/>
          <w:color w:val="auto"/>
        </w:rPr>
        <w:t>, 2006, by and among ExlService Holdings, Inc., a Delaware corporation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-13970</wp:posOffset>
            </wp:positionV>
            <wp:extent cx="55753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jc w:val="center"/>
        <w:ind w:right="2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and the stockholders that are party to this Agreement from time to time, as set forth on the signature page hereto.</w:t>
      </w:r>
    </w:p>
    <w:p>
      <w:pPr>
        <w:spacing w:after="0" w:line="199" w:lineRule="exact"/>
        <w:rPr>
          <w:sz w:val="20"/>
          <w:szCs w:val="20"/>
          <w:color w:val="auto"/>
        </w:rPr>
      </w:pPr>
    </w:p>
    <w:p>
      <w:pPr>
        <w:jc w:val="center"/>
        <w:ind w:right="2500"/>
        <w:spacing w:after="0"/>
        <w:rPr>
          <w:sz w:val="20"/>
          <w:szCs w:val="20"/>
          <w:color w:val="auto"/>
        </w:rPr>
      </w:pPr>
      <w:r>
        <w:rPr>
          <w:rFonts w:ascii="Arial" w:cs="Arial" w:eastAsia="Arial" w:hAnsi="Arial"/>
          <w:sz w:val="18"/>
          <w:szCs w:val="18"/>
          <w:color w:val="auto"/>
        </w:rPr>
        <w:t>WHEREAS, the Company intends to consummate an Initial Public Offering (as hereinafter defined);</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the parties hereto desire to provide for, among other things, the grant of registration rights with respect to the Registrable Securities (as hereinafter defined) in contemplation of such Initial Public Offering.</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adequacy of which are hereby acknowledged, the parties hereto agree as follows: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 (a)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and unless the context requires a different meaning, the following terms have the meanings indicated:</w:t>
      </w:r>
    </w:p>
    <w:p>
      <w:pPr>
        <w:spacing w:after="0" w:line="113" w:lineRule="exact"/>
        <w:rPr>
          <w:sz w:val="20"/>
          <w:szCs w:val="20"/>
          <w:color w:val="auto"/>
        </w:rPr>
      </w:pPr>
    </w:p>
    <w:p>
      <w:pPr>
        <w:jc w:val="both"/>
        <w:ind w:right="1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Person,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 Person, shall mean the possession, directly or indirectly, of the power to direct or cause the direction of the management or policies of such Person, whether through the ownership of voting securities, by agreement or otherwise.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Registration Rights Agreement as the same may be amended, supplemented or modified in accordance with the terms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Underwriter</w:t>
      </w:r>
      <w:r>
        <w:rPr>
          <w:rFonts w:ascii="Arial" w:cs="Arial" w:eastAsia="Arial" w:hAnsi="Arial"/>
          <w:sz w:val="18"/>
          <w:szCs w:val="18"/>
          <w:color w:val="auto"/>
        </w:rPr>
        <w:t>” has the meaning set forth in Section 3(f)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means an “automatic shelf registration statement” as defined in Rule 405 promulgated under the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in the State of New York or Delaware are authorized or required by law or executive order to close.</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with respect to the Registrable Securities, as of the date of determination, (a) if the Registrable Securities are listed on a national securities exchange, the closing price per share of a Registrable Security on such date published in</w:t>
      </w:r>
    </w:p>
    <w:p>
      <w:pPr>
        <w:sectPr>
          <w:pgSz w:w="11900" w:h="16838" w:orient="portrait"/>
          <w:cols w:equalWidth="0" w:num="1">
            <w:col w:w="11420"/>
          </w:cols>
          <w:pgMar w:left="240" w:top="280" w:right="239" w:bottom="1440" w:gutter="0" w:footer="0" w:header="0"/>
        </w:sectPr>
      </w:pPr>
    </w:p>
    <w:bookmarkStart w:id="238" w:name="page239"/>
    <w:bookmarkEnd w:id="238"/>
    <w:p>
      <w:pPr>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Wall Street Journal (National Edition)</w:t>
      </w:r>
      <w:r>
        <w:rPr>
          <w:rFonts w:ascii="Arial" w:cs="Arial" w:eastAsia="Arial" w:hAnsi="Arial"/>
          <w:sz w:val="16"/>
          <w:szCs w:val="16"/>
          <w:color w:val="auto"/>
        </w:rPr>
        <w:t xml:space="preserve"> or, if no such closing price on such date is published in </w:t>
      </w:r>
      <w:r>
        <w:rPr>
          <w:rFonts w:ascii="Arial" w:cs="Arial" w:eastAsia="Arial" w:hAnsi="Arial"/>
          <w:sz w:val="16"/>
          <w:szCs w:val="16"/>
          <w:u w:val="single" w:color="auto"/>
          <w:color w:val="auto"/>
        </w:rPr>
        <w:t>The Wall Street Journal (National Edition)</w:t>
      </w:r>
      <w:r>
        <w:rPr>
          <w:rFonts w:ascii="Arial" w:cs="Arial" w:eastAsia="Arial" w:hAnsi="Arial"/>
          <w:sz w:val="16"/>
          <w:szCs w:val="16"/>
          <w:color w:val="auto"/>
        </w:rPr>
        <w:t>, the average of the closing bid and asked prices on such date, as officially reported on the principal national securities exchange on which the Registrable Securities are then listed or admitted to trading; or (b), if the Security is not listed or admitted to trading on any national securities exchange, the last sale price or, if such last sale price is not reported, the average of the high bid and low asked prices in the over-the-counter market, as reported by The Nasdaq Stock Market LLC or such other system then in use; or (c) if on any such date the Security is not quoted by any such organization, the average of the closing bid and asked prices as furnished by a professional market maker making a market in the Security selected by the Company; or (d) if none of (a), (b) or (c) is applicable, a market price per share determined in good faith by the Board of Directors. If trading is conducted on a continuous basis on any exchange, then the closing price shall be as set forth at 4:00 P.M. New York City time.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Securities and Exchange Commission or any similar agency then having jurisdiction to enforce the Securities Act.</w:t>
      </w:r>
    </w:p>
    <w:p>
      <w:pPr>
        <w:spacing w:after="0" w:line="194" w:lineRule="exact"/>
        <w:rPr>
          <w:sz w:val="20"/>
          <w:szCs w:val="20"/>
          <w:color w:val="auto"/>
        </w:rPr>
      </w:pPr>
    </w:p>
    <w:p>
      <w:pPr>
        <w:jc w:val="both"/>
        <w:ind w:right="40" w:firstLine="913"/>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(i) the Common Stock, par value $0.001 per share, of the Company, (ii) any other common stock of the Company, (iii) any securities of the Company or any successor or assign of the Company into which such stock described in clauses (i) and (ii) is reclassified or reconstituted or into which such stock is converted or otherwise exchanged in connection with a combination of shares, recapitalization, merger, sale of assets, consolidation or other reorganization or otherwise or (iv) any securities received as a dividend or distribution in respect of the securities described in clauses (i), (ii), and (iii) above.</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Free Writing Prospectus</w:t>
      </w:r>
      <w:r>
        <w:rPr>
          <w:rFonts w:ascii="Arial" w:cs="Arial" w:eastAsia="Arial" w:hAnsi="Arial"/>
          <w:sz w:val="18"/>
          <w:szCs w:val="18"/>
          <w:color w:val="auto"/>
        </w:rPr>
        <w:t>” means each Free Writing Prospectus prepared by or on behalf of the Company or used or referred to by the Company in connection with the offering of Registrable Securities.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Underwriter</w:t>
      </w:r>
      <w:r>
        <w:rPr>
          <w:rFonts w:ascii="Arial" w:cs="Arial" w:eastAsia="Arial" w:hAnsi="Arial"/>
          <w:sz w:val="18"/>
          <w:szCs w:val="18"/>
          <w:color w:val="auto"/>
        </w:rPr>
        <w:t>” has the meaning set forth in Section 4(a)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set forth in Section 3(a) of this Agreement.</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Stockholder</w:t>
      </w:r>
      <w:r>
        <w:rPr>
          <w:rFonts w:ascii="Arial" w:cs="Arial" w:eastAsia="Arial" w:hAnsi="Arial"/>
          <w:sz w:val="16"/>
          <w:szCs w:val="16"/>
          <w:color w:val="auto"/>
        </w:rPr>
        <w:t>” means collectively Financial Technology Ventures (Q), L.P., Financial Technology Ventures, L.P., Financial Technology Ventures II (Q), L.P., Financial Technology Ventures II, L.P., Oak Hill Capital Management Partners, L.P., Oak Hill Capital Partners, L.P., Vikram Talwar, the Vikram Talwar 2004 Spousal Lifetime Access Trust, the Vikram Talwar 2004 Grantor Retained Annuity Trust, the Urvashi Talwar 2004 Spousal Lifetime Access Trust, Rohit Kapoor, the Rohit Kapoor 2005 Spousal Lifetime Access Trust, the Shikha Kapoor 2005 Family Trust, the Rohit Kapoor 2005 Grantor Retained Annuity Trust and the assignees of each of the foregoing as permitted by Section 2(d) of this Agreement.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39" w:name="page240"/>
    <w:bookmarkEnd w:id="2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Designated Stockholders’ Counsel</w:t>
      </w:r>
      <w:r>
        <w:rPr>
          <w:rFonts w:ascii="Arial" w:cs="Arial" w:eastAsia="Arial" w:hAnsi="Arial"/>
          <w:sz w:val="18"/>
          <w:szCs w:val="18"/>
          <w:color w:val="auto"/>
        </w:rPr>
        <w:t>” has the meaning set forth in Section 8(a)(i) of this Agreement.</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Package</w:t>
      </w:r>
      <w:r>
        <w:rPr>
          <w:rFonts w:ascii="Arial" w:cs="Arial" w:eastAsia="Arial" w:hAnsi="Arial"/>
          <w:sz w:val="18"/>
          <w:szCs w:val="18"/>
          <w:color w:val="auto"/>
        </w:rPr>
        <w:t>” means, with respect to any offering of securities, (i) the preliminary Prospectus, (ii) each Free Writing Prospectus and (iii) all other information, in each case, that is deemed, under Rule 159 promulgated under the Securities Act, to have been conveyed to purchasers of securities at the time of sale of such securities (including, without limitation, a contract of sale).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thereunder.</w:t>
      </w:r>
    </w:p>
    <w:p>
      <w:pPr>
        <w:spacing w:after="0" w:line="19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Agreements</w:t>
      </w:r>
      <w:r>
        <w:rPr>
          <w:rFonts w:ascii="Arial" w:cs="Arial" w:eastAsia="Arial" w:hAnsi="Arial"/>
          <w:sz w:val="16"/>
          <w:szCs w:val="16"/>
          <w:color w:val="auto"/>
        </w:rPr>
        <w:t>” means, collectively, the (i) Stock Purchase Agreement, dated July 22, 2004, by and between the Company and NUI Investments Limited, (ii) Supplemental Stockholders Agreement, dated December 3, 2004, by and among the Company, TCV V, L.P. and TCV V Member Fund, L.P. and (iii) Option Agreement, dated as of July 1, 2004, by and between the Company and The Prudential Insurance Company of America Corporation.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promulgated under the Securities Act.</w:t>
      </w:r>
    </w:p>
    <w:p>
      <w:pPr>
        <w:spacing w:after="0" w:line="171"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FTV</w:t>
      </w:r>
      <w:r>
        <w:rPr>
          <w:rFonts w:ascii="Arial" w:cs="Arial" w:eastAsia="Arial" w:hAnsi="Arial"/>
          <w:sz w:val="18"/>
          <w:szCs w:val="18"/>
          <w:color w:val="auto"/>
        </w:rPr>
        <w:t>” means Financial Technology Ventures (Q), L.P., Financial Technology Ventures, L.P., Financial Technology Ventures II (Q), L.P. and Financial Technology Ventures II, L.P., acting collectively.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Counterparty</w:t>
      </w:r>
      <w:r>
        <w:rPr>
          <w:rFonts w:ascii="Arial" w:cs="Arial" w:eastAsia="Arial" w:hAnsi="Arial"/>
          <w:sz w:val="18"/>
          <w:szCs w:val="18"/>
          <w:color w:val="auto"/>
        </w:rPr>
        <w:t>” means a broker-dealer registered under Section 15(b) of the Exchange Act or an Affiliate thereof.</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Transaction</w:t>
      </w:r>
      <w:r>
        <w:rPr>
          <w:rFonts w:ascii="Arial" w:cs="Arial" w:eastAsia="Arial" w:hAnsi="Arial"/>
          <w:sz w:val="16"/>
          <w:szCs w:val="16"/>
          <w:color w:val="auto"/>
        </w:rPr>
        <w:t>” means any transaction involving a security linked to the Registrable Securities or any security that would be deemed to be a “derivative security” (as defined in Rule 16a-1(c) promulgated under the Exchange Act) with respect to the Registrable Securities or transaction (even if not a security) which would (were it a security) be considered such a derivative security, or which transfers some or all of the economic risk of ownership of the Registrable Securities, including, without limitation, any forward contract, equity swap, put or call, put or call equivalent position, collar, non-recourse loan, sale of exchangeable security or similar transaction. For the avoidance of doubt, the following transactions shall be deemed to be Hedging Transactions:</w:t>
      </w:r>
    </w:p>
    <w:p>
      <w:pPr>
        <w:spacing w:after="0" w:line="35" w:lineRule="exact"/>
        <w:rPr>
          <w:sz w:val="20"/>
          <w:szCs w:val="20"/>
          <w:color w:val="auto"/>
        </w:rPr>
      </w:pPr>
    </w:p>
    <w:p>
      <w:pPr>
        <w:ind w:right="560" w:firstLine="921"/>
        <w:spacing w:after="0" w:line="268" w:lineRule="auto"/>
        <w:tabs>
          <w:tab w:leader="none" w:pos="11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transactions by a Designated Stockholder in which a Hedging Counterparty engages in short sales of Registrable Securities pursuant to a Prospectus and may use Registrable Securities to close out its short position;</w:t>
      </w:r>
    </w:p>
    <w:p>
      <w:pPr>
        <w:spacing w:after="0" w:line="131" w:lineRule="exact"/>
        <w:rPr>
          <w:rFonts w:ascii="Arial" w:cs="Arial" w:eastAsia="Arial" w:hAnsi="Arial"/>
          <w:sz w:val="18"/>
          <w:szCs w:val="18"/>
          <w:color w:val="auto"/>
        </w:rPr>
      </w:pPr>
    </w:p>
    <w:p>
      <w:pPr>
        <w:ind w:right="340" w:firstLine="921"/>
        <w:spacing w:after="0" w:line="268" w:lineRule="auto"/>
        <w:tabs>
          <w:tab w:leader="none" w:pos="11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transactions pursuant to which a Designated Stockholder sells short Registrable Securities pursuant to a Prospectus and delivers Registrable Securities to close out its short position;</w:t>
      </w:r>
    </w:p>
    <w:p>
      <w:pPr>
        <w:spacing w:after="0" w:line="131" w:lineRule="exact"/>
        <w:rPr>
          <w:rFonts w:ascii="Arial" w:cs="Arial" w:eastAsia="Arial" w:hAnsi="Arial"/>
          <w:sz w:val="18"/>
          <w:szCs w:val="18"/>
          <w:color w:val="auto"/>
        </w:rPr>
      </w:pPr>
    </w:p>
    <w:p>
      <w:pPr>
        <w:ind w:right="200" w:firstLine="921"/>
        <w:spacing w:after="0" w:line="259" w:lineRule="auto"/>
        <w:tabs>
          <w:tab w:leader="none" w:pos="11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transactions by a Designated Stockholder in which the Designated Stockholder delivers, in a transaction exempt from registration under the Securities Act, Registrable Securities to the Hedging Counterparty who will then publicly resell or otherwise transfer such Registrable Securities pursuant to a Prospectus or an exemption from registration under the Securities Act; and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240" w:name="page241"/>
    <w:bookmarkEnd w:id="240"/>
    <w:p>
      <w:pPr>
        <w:ind w:firstLine="921"/>
        <w:spacing w:after="0" w:line="332" w:lineRule="auto"/>
        <w:tabs>
          <w:tab w:leader="none" w:pos="1162"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loan or pledge of Registrable Securities to a Hedging Counterparty who may then become a selling stockholder and sell the loaned securities or, in an event of default in the case of a pledge, sell the pledged securities, in each case, in a public transaction pursuant to a Prospectus.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Incidental Registration</w:t>
      </w:r>
      <w:r>
        <w:rPr>
          <w:rFonts w:ascii="Arial" w:cs="Arial" w:eastAsia="Arial" w:hAnsi="Arial"/>
          <w:sz w:val="18"/>
          <w:szCs w:val="18"/>
          <w:color w:val="auto"/>
        </w:rPr>
        <w:t>” has the meaning set forth in Section 4(a)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9(c)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9(c) of this Agreement.</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means the initial public offering of the shares of Common Stock of the Company pursuant to an effective Registration Statement filed under the Securities Act.</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Holders</w:t>
      </w:r>
      <w:r>
        <w:rPr>
          <w:rFonts w:ascii="Arial" w:cs="Arial" w:eastAsia="Arial" w:hAnsi="Arial"/>
          <w:sz w:val="18"/>
          <w:szCs w:val="18"/>
          <w:color w:val="auto"/>
        </w:rPr>
        <w:t>” (a) means, at any time, the Majority Designated Stockholders and (b) upon the earlier of (A) 18 months after the consummation of the Initial Public Offering and (B) 12 months after the consummation of the Initial Public Offering if a Demand Registration has been completed, also means (i) FTV and (ii) the Management Stockholders.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has the meaning set forth in Section 8(a)(viii)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Pricing Date</w:t>
      </w:r>
      <w:r>
        <w:rPr>
          <w:rFonts w:ascii="Arial" w:cs="Arial" w:eastAsia="Arial" w:hAnsi="Arial"/>
          <w:sz w:val="18"/>
          <w:szCs w:val="18"/>
          <w:color w:val="auto"/>
        </w:rPr>
        <w:t>” means the date upon which the Company prices the Initial Public Offering.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has the meaning set forth in Section 9(a) of this Agreement.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w:t>
      </w:r>
      <w:r>
        <w:rPr>
          <w:rFonts w:ascii="Arial" w:cs="Arial" w:eastAsia="Arial" w:hAnsi="Arial"/>
          <w:sz w:val="18"/>
          <w:szCs w:val="18"/>
          <w:color w:val="auto"/>
        </w:rPr>
        <w:t>” means, with respect to each Designated Stockholder, the lock-up agreement entered into by such Designated Stockholder with the underwriters of the Initial Public Offering.</w:t>
      </w:r>
    </w:p>
    <w:p>
      <w:pPr>
        <w:spacing w:after="0" w:line="132"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Designated Stockholders</w:t>
      </w:r>
      <w:r>
        <w:rPr>
          <w:rFonts w:ascii="Arial" w:cs="Arial" w:eastAsia="Arial" w:hAnsi="Arial"/>
          <w:sz w:val="18"/>
          <w:szCs w:val="18"/>
          <w:color w:val="auto"/>
        </w:rPr>
        <w:t>” means beneficial owners of Registrable Securities representing more than 50% of the total number of outstanding Registrable Securities (on an as-converted basis).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Initiating Holders</w:t>
      </w:r>
      <w:r>
        <w:rPr>
          <w:rFonts w:ascii="Arial" w:cs="Arial" w:eastAsia="Arial" w:hAnsi="Arial"/>
          <w:sz w:val="16"/>
          <w:szCs w:val="16"/>
          <w:color w:val="auto"/>
        </w:rPr>
        <w:t>” means Initiating Holders holding a majority of the Registrable Securities held by all of the Initiating Holders.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S-3 Initiating Holders</w:t>
      </w:r>
      <w:r>
        <w:rPr>
          <w:rFonts w:ascii="Arial" w:cs="Arial" w:eastAsia="Arial" w:hAnsi="Arial"/>
          <w:sz w:val="16"/>
          <w:szCs w:val="16"/>
          <w:color w:val="auto"/>
        </w:rPr>
        <w:t>” means S-3 Initiating Holders holding a majority of the Registrable Securities held by all of the S-3 Initiating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165" w:lineRule="exact"/>
        <w:rPr>
          <w:sz w:val="20"/>
          <w:szCs w:val="20"/>
          <w:color w:val="auto"/>
        </w:rPr>
      </w:pPr>
    </w:p>
    <w:p>
      <w:pPr>
        <w:jc w:val="both"/>
        <w:ind w:right="4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Stockholders</w:t>
      </w:r>
      <w:r>
        <w:rPr>
          <w:rFonts w:ascii="Arial" w:cs="Arial" w:eastAsia="Arial" w:hAnsi="Arial"/>
          <w:sz w:val="16"/>
          <w:szCs w:val="16"/>
          <w:color w:val="auto"/>
        </w:rPr>
        <w:t>” means Vikram Talwar, the Vikram Talwar 2004 Spousal Lifetime Access Trust, the Vikram Talwar 2004 Grantor Retained Annuity Trust, the Urvashi Talwar 2004 Spousal Lifetime Access Trust, Rohit Kapoor, the Rohit Kapoor 2005 Spousal Lifetime Access Trust, the Shikha Kapoor 2005 Family Trust and the Rohit Kapoor 2005 Grantor Retained Annuity Trust, acting collectively.</w:t>
      </w:r>
    </w:p>
    <w:p>
      <w:pPr>
        <w:spacing w:after="0" w:line="107"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Price</w:t>
      </w:r>
      <w:r>
        <w:rPr>
          <w:rFonts w:ascii="Arial" w:cs="Arial" w:eastAsia="Arial" w:hAnsi="Arial"/>
          <w:sz w:val="18"/>
          <w:szCs w:val="18"/>
          <w:color w:val="auto"/>
        </w:rPr>
        <w:t>” means, on any date of determination, the average of the daily Closing Price of the Registrable Securities for the immediately preceding thirty (30)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41" w:name="page242"/>
    <w:bookmarkEnd w:id="241"/>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days on which the national securities exchanges are open for trading;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Closing Price is determined pursuant to clause (c) of the definition of Closing Price, the “Market Price” means such Closing Price on the date of determination.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means the National Association of Securities Dealers, Inc.</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Assignee</w:t>
      </w:r>
      <w:r>
        <w:rPr>
          <w:rFonts w:ascii="Arial" w:cs="Arial" w:eastAsia="Arial" w:hAnsi="Arial"/>
          <w:sz w:val="16"/>
          <w:szCs w:val="16"/>
          <w:color w:val="auto"/>
        </w:rPr>
        <w:t>” means, with respect to any Person, to the extent applicable, (i) such Person’s parents, spouse, siblings, children (including stepchildren and adopted children), children’s spouses, grandchildren or grandchildren’s spouses thereof (“</w:t>
      </w:r>
      <w:r>
        <w:rPr>
          <w:rFonts w:ascii="Arial" w:cs="Arial" w:eastAsia="Arial" w:hAnsi="Arial"/>
          <w:sz w:val="16"/>
          <w:szCs w:val="16"/>
          <w:u w:val="single" w:color="auto"/>
          <w:color w:val="auto"/>
        </w:rPr>
        <w:t>Family Members</w:t>
      </w:r>
      <w:r>
        <w:rPr>
          <w:rFonts w:ascii="Arial" w:cs="Arial" w:eastAsia="Arial" w:hAnsi="Arial"/>
          <w:sz w:val="16"/>
          <w:szCs w:val="16"/>
          <w:color w:val="auto"/>
        </w:rPr>
        <w:t>”), (ii) a corporation, partnership or limited liability company, a majority of the beneficial interests of which shall be held by such Person, such Person’s Affiliates and/or such Person’s Family Members, (iii) a trust, the beneficiaries of which are such Person and/or such Person’s Family Members, (iv) such Person’s heirs, executors, administrators, estate or a trust under such Person’s will, (v) an entity described in Section 501(c)(3) of the United States Internal Revenue Code of 1986, as amended, that is established by such Person, (vi) any Affiliate of such Person and (vii) any Person to whom such Person transfers Registrable Securities representing at least 0.5% of the outstanding Common Stock as of the date of such transfer.</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Withdrawal</w:t>
      </w:r>
      <w:r>
        <w:rPr>
          <w:rFonts w:ascii="Arial" w:cs="Arial" w:eastAsia="Arial" w:hAnsi="Arial"/>
          <w:sz w:val="18"/>
          <w:szCs w:val="18"/>
          <w:color w:val="auto"/>
        </w:rPr>
        <w:t>” has the meaning set forth in Section 3(g) of this Agreement.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trust, incorporated or unincorporated association, joint venture, joint stock company, limited liability company, government (or an agency or political subdivision thereof) or other entity of any kind, and shall include any successor (by merger or otherwise) of such entity.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Pledgee</w:t>
      </w:r>
      <w:r>
        <w:rPr>
          <w:rFonts w:ascii="Arial" w:cs="Arial" w:eastAsia="Arial" w:hAnsi="Arial"/>
          <w:sz w:val="18"/>
          <w:szCs w:val="18"/>
          <w:color w:val="auto"/>
        </w:rPr>
        <w:t>” has the meaning set forth in Section 2(d)(i).</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related to any Registration Statement (including, without limitation, a prospectus or prospectus supplement that discloses information previously omitted from a prospectus filed as part of an effective registration statement in reliance on Rule 415, 430A or 430B (or any successor rules or regulations) under the Securities Act), as amended or supplemented by any amendment or prospectus supplement, including post-effective amendments, and all materials incorporated by reference in such prospectus.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has the meaning set forth in Section 8(a)(viii) of this Agreement.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subject to Section 2(b) and Section 2(d)(i), any and all shares of Common Stock now or hereafter owned by the Designated Stockholders or issued or issuable upon conversion of any convertible securities or exercise of any warrants or options now or hereafter held by any of the Designated Stockholders.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242" w:name="page243"/>
    <w:bookmarkEnd w:id="24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has the meaning set forth in Section 8(d)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filed pursuant to the Securities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Initiating Holders</w:t>
      </w:r>
      <w:r>
        <w:rPr>
          <w:rFonts w:ascii="Arial" w:cs="Arial" w:eastAsia="Arial" w:hAnsi="Arial"/>
          <w:sz w:val="18"/>
          <w:szCs w:val="18"/>
          <w:color w:val="auto"/>
        </w:rPr>
        <w:t>” has the meaning set forth in Section 5(a)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Participating Stockholders</w:t>
      </w:r>
      <w:r>
        <w:rPr>
          <w:rFonts w:ascii="Arial" w:cs="Arial" w:eastAsia="Arial" w:hAnsi="Arial"/>
          <w:sz w:val="18"/>
          <w:szCs w:val="18"/>
          <w:color w:val="auto"/>
        </w:rPr>
        <w:t>” has the meaning set forth in Section 5(a)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Registration</w:t>
      </w:r>
      <w:r>
        <w:rPr>
          <w:rFonts w:ascii="Arial" w:cs="Arial" w:eastAsia="Arial" w:hAnsi="Arial"/>
          <w:sz w:val="18"/>
          <w:szCs w:val="18"/>
          <w:color w:val="auto"/>
        </w:rPr>
        <w:t>” has the meaning set forth in Section 5(a)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Seasoned Issuer</w:t>
      </w:r>
      <w:r>
        <w:rPr>
          <w:rFonts w:ascii="Arial" w:cs="Arial" w:eastAsia="Arial" w:hAnsi="Arial"/>
          <w:sz w:val="16"/>
          <w:szCs w:val="16"/>
          <w:color w:val="auto"/>
        </w:rPr>
        <w:t>” means an issuer eligible to use Form S-3 or F-3 for a primary offering in reliance on General Instruction I.B.1 to those Forms.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w:t>
      </w:r>
    </w:p>
    <w:p>
      <w:pPr>
        <w:spacing w:after="0" w:line="19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public offering</w:t>
      </w:r>
      <w:r>
        <w:rPr>
          <w:rFonts w:ascii="Arial" w:cs="Arial" w:eastAsia="Arial" w:hAnsi="Arial"/>
          <w:sz w:val="18"/>
          <w:szCs w:val="18"/>
          <w:color w:val="auto"/>
        </w:rPr>
        <w:t>” of securities means a public offering of such securities registered under the Securities Act in which an underwriter, placement agent or other intermediary participates in the distribution of such securities, including, without limitation, a Hedging Transaction in which a Hedging Counterparty participates.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Valid Business Reason</w:t>
      </w:r>
      <w:r>
        <w:rPr>
          <w:rFonts w:ascii="Arial" w:cs="Arial" w:eastAsia="Arial" w:hAnsi="Arial"/>
          <w:sz w:val="18"/>
          <w:szCs w:val="18"/>
          <w:color w:val="auto"/>
        </w:rPr>
        <w:t>” has the meaning set forth in Section 3(a) of this Agreement.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Well-Known Seasoned Issuer</w:t>
      </w:r>
      <w:r>
        <w:rPr>
          <w:rFonts w:ascii="Arial" w:cs="Arial" w:eastAsia="Arial" w:hAnsi="Arial"/>
          <w:sz w:val="18"/>
          <w:szCs w:val="18"/>
          <w:color w:val="auto"/>
        </w:rPr>
        <w:t>” means a “well-known seasoned issuer” as defined in Rule 405 of the General Rules and Regulations promulgated under the Securities Act and which (a) is a “well-known seasoned issuer” under paragraph (1)(i)(A) of such definition or (b) is a “well-known seasoned issuer” under paragraph (1)(i)(B) of such definition and is also eligible to register a primary offering of its securities relying on General Instruction I.B.1 of Form S-3 or Form F-3 under the Securities Act.</w:t>
      </w:r>
    </w:p>
    <w:p>
      <w:pPr>
        <w:spacing w:after="0" w:line="143" w:lineRule="exact"/>
        <w:rPr>
          <w:sz w:val="20"/>
          <w:szCs w:val="20"/>
          <w:color w:val="auto"/>
        </w:rPr>
      </w:pPr>
    </w:p>
    <w:p>
      <w:pPr>
        <w:ind w:left="1740" w:hanging="248"/>
        <w:spacing w:after="0"/>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Unless otherwise noted:</w:t>
      </w:r>
    </w:p>
    <w:p>
      <w:pPr>
        <w:spacing w:after="0" w:line="90" w:lineRule="exact"/>
        <w:rPr>
          <w:rFonts w:ascii="Arial" w:cs="Arial" w:eastAsia="Arial" w:hAnsi="Arial"/>
          <w:sz w:val="18"/>
          <w:szCs w:val="18"/>
          <w:color w:val="auto"/>
        </w:rPr>
      </w:pPr>
    </w:p>
    <w:p>
      <w:pPr>
        <w:ind w:right="540" w:firstLine="1948"/>
        <w:spacing w:after="0" w:line="332" w:lineRule="auto"/>
        <w:tabs>
          <w:tab w:leader="none" w:pos="215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references to laws, rules, regulations and forms in this Agreement shall be deemed to be references to such laws, rules, regulations and forms, as amended from time to time or, to the extent replaced, the comparable successor thereto in effect at the time.</w:t>
      </w:r>
    </w:p>
    <w:p>
      <w:pPr>
        <w:spacing w:after="0" w:line="85" w:lineRule="exact"/>
        <w:rPr>
          <w:rFonts w:ascii="Arial" w:cs="Arial" w:eastAsia="Arial" w:hAnsi="Arial"/>
          <w:sz w:val="16"/>
          <w:szCs w:val="16"/>
          <w:color w:val="auto"/>
        </w:rPr>
      </w:pPr>
    </w:p>
    <w:p>
      <w:pPr>
        <w:ind w:right="540" w:firstLine="1948"/>
        <w:spacing w:after="0" w:line="268" w:lineRule="auto"/>
        <w:tabs>
          <w:tab w:leader="none" w:pos="219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references to agencies, self-regulatory organizations or governmental entities in this Agreement shall be deemed to be references to the comparable successor thereto.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243" w:name="page244"/>
    <w:bookmarkEnd w:id="243"/>
    <w:p>
      <w:pPr>
        <w:ind w:right="440" w:firstLine="1948"/>
        <w:spacing w:after="0" w:line="268" w:lineRule="auto"/>
        <w:tabs>
          <w:tab w:leader="none" w:pos="2247" w:val="left"/>
        </w:tabs>
        <w:numPr>
          <w:ilvl w:val="2"/>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references to agreements and other contractual instruments shall be deemed to be references to such agreements or other instruments as they may be amended from time to time.</w:t>
      </w:r>
    </w:p>
    <w:p>
      <w:pPr>
        <w:spacing w:after="0" w:line="212" w:lineRule="exact"/>
        <w:rPr>
          <w:rFonts w:ascii="Arial" w:cs="Arial" w:eastAsia="Arial" w:hAnsi="Arial"/>
          <w:sz w:val="18"/>
          <w:szCs w:val="18"/>
          <w:color w:val="auto"/>
        </w:rPr>
      </w:pPr>
    </w:p>
    <w:p>
      <w:pPr>
        <w:ind w:left="1100" w:hanging="179"/>
        <w:spacing w:after="0"/>
        <w:tabs>
          <w:tab w:leader="none" w:pos="11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General; Securities Subject to this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1"/>
          <w:numId w:val="153"/>
        </w:numPr>
        <w:rPr>
          <w:rFonts w:ascii="Arial" w:cs="Arial" w:eastAsia="Arial" w:hAnsi="Arial"/>
          <w:sz w:val="15"/>
          <w:szCs w:val="15"/>
          <w:color w:val="auto"/>
        </w:rPr>
      </w:pPr>
      <w:r>
        <w:rPr>
          <w:rFonts w:ascii="Arial" w:cs="Arial" w:eastAsia="Arial" w:hAnsi="Arial"/>
          <w:sz w:val="15"/>
          <w:szCs w:val="15"/>
          <w:u w:val="single" w:color="auto"/>
          <w:color w:val="auto"/>
        </w:rPr>
        <w:t>Grant of Rights</w:t>
      </w:r>
      <w:r>
        <w:rPr>
          <w:rFonts w:ascii="Arial" w:cs="Arial" w:eastAsia="Arial" w:hAnsi="Arial"/>
          <w:sz w:val="15"/>
          <w:szCs w:val="15"/>
          <w:color w:val="auto"/>
        </w:rPr>
        <w:t>. The Company hereby grants registration rights to the Designated Stockholders upon the terms and conditions set forth in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5"/>
          <w:szCs w:val="15"/>
          <w:color w:val="auto"/>
        </w:rPr>
      </w:pPr>
    </w:p>
    <w:p>
      <w:pPr>
        <w:ind w:right="20" w:firstLine="1492"/>
        <w:spacing w:after="0" w:line="291" w:lineRule="auto"/>
        <w:tabs>
          <w:tab w:leader="none" w:pos="1732"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Registrable Securities</w:t>
      </w:r>
      <w:r>
        <w:rPr>
          <w:rFonts w:ascii="Arial" w:cs="Arial" w:eastAsia="Arial" w:hAnsi="Arial"/>
          <w:sz w:val="16"/>
          <w:szCs w:val="16"/>
          <w:color w:val="auto"/>
        </w:rPr>
        <w:t>. For the purposes of this Agreement, Registrable Securities held by any Designated Stockholder will cease to be Registrable Securities, when (i) a Registration Statement covering such Registrable Securities has been declared effective under the Securities Act by the Commission and such Registrable Securities have been disposed of pursuant to such effective Registration Statement (except as provided by Section 2(d)), (ii) the entire amount of the Registrable Securities held by any Designated Stockholder (x) represents less than 0.5% of the outstanding Common Stock and (y) may be sold in a single sale, in the opinion of counsel reasonably satisfactory to the Company, without any limitation as to volume pursuant to Rule 144 (or any successor rule or regulation) under the Securities Act or (iii) they have ceased to be outstanding.</w:t>
      </w:r>
    </w:p>
    <w:p>
      <w:pPr>
        <w:spacing w:after="0" w:line="120" w:lineRule="exact"/>
        <w:rPr>
          <w:rFonts w:ascii="Arial" w:cs="Arial" w:eastAsia="Arial" w:hAnsi="Arial"/>
          <w:sz w:val="16"/>
          <w:szCs w:val="16"/>
          <w:color w:val="auto"/>
        </w:rPr>
      </w:pPr>
    </w:p>
    <w:p>
      <w:pPr>
        <w:ind w:firstLine="1492"/>
        <w:spacing w:after="0" w:line="291" w:lineRule="auto"/>
        <w:tabs>
          <w:tab w:leader="none" w:pos="1722"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Holders of Registrable Securities</w:t>
      </w:r>
      <w:r>
        <w:rPr>
          <w:rFonts w:ascii="Arial" w:cs="Arial" w:eastAsia="Arial" w:hAnsi="Arial"/>
          <w:sz w:val="16"/>
          <w:szCs w:val="16"/>
          <w:color w:val="auto"/>
        </w:rPr>
        <w:t>. A Person is deemed to be a holder of Registrable Securities whenever such Person owns of record Registrable Securities, or holds an option to purchase, or a security convertible into or exercisable or exchangeable for, Registrable Securities whether or not such purchase, conversion, exercise or exchange has actually been effected. If the Company receives conflicting instructions, notices or elections from two or more Persons with respect to the same Registrable Securities, the Company may act upon the basis of the instructions, notice or election received from the registered owner of such Registrable Securities. Registrable Securities issuable upon exercise of an option or upon conversion, exercise or exchange of another security shall be deemed outstanding for the purposes of this Agreement.</w:t>
      </w:r>
    </w:p>
    <w:p>
      <w:pPr>
        <w:spacing w:after="0" w:line="201" w:lineRule="exact"/>
        <w:rPr>
          <w:rFonts w:ascii="Arial" w:cs="Arial" w:eastAsia="Arial" w:hAnsi="Arial"/>
          <w:sz w:val="16"/>
          <w:szCs w:val="16"/>
          <w:color w:val="auto"/>
        </w:rPr>
      </w:pPr>
    </w:p>
    <w:p>
      <w:pPr>
        <w:ind w:left="1740" w:hanging="248"/>
        <w:spacing w:after="0"/>
        <w:tabs>
          <w:tab w:leader="none" w:pos="174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Transfer of Registration Rights</w:t>
      </w:r>
      <w:r>
        <w:rPr>
          <w:rFonts w:ascii="Arial" w:cs="Arial" w:eastAsia="Arial" w:hAnsi="Arial"/>
          <w:sz w:val="18"/>
          <w:szCs w:val="18"/>
          <w:color w:val="auto"/>
        </w:rPr>
        <w:t>.</w:t>
      </w:r>
    </w:p>
    <w:p>
      <w:pPr>
        <w:spacing w:after="0" w:line="90" w:lineRule="exact"/>
        <w:rPr>
          <w:sz w:val="20"/>
          <w:szCs w:val="20"/>
          <w:color w:val="auto"/>
        </w:rPr>
      </w:pPr>
    </w:p>
    <w:p>
      <w:pPr>
        <w:ind w:right="20" w:firstLine="1492"/>
        <w:spacing w:after="0" w:line="291" w:lineRule="auto"/>
        <w:tabs>
          <w:tab w:leader="none" w:pos="169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Designated Stockholder may transfer or pledge Registrable Securities with the associated registration rights under this Agreement (including transfers occurring by operation of law or by reason of intestacy) to a Permitted Assignee, an Affiliate of such Permitted Assignee or a pledgee (“</w:t>
      </w:r>
      <w:r>
        <w:rPr>
          <w:rFonts w:ascii="Arial" w:cs="Arial" w:eastAsia="Arial" w:hAnsi="Arial"/>
          <w:sz w:val="16"/>
          <w:szCs w:val="16"/>
          <w:u w:val="single" w:color="auto"/>
          <w:color w:val="auto"/>
        </w:rPr>
        <w:t>Pledgee</w:t>
      </w:r>
      <w:r>
        <w:rPr>
          <w:rFonts w:ascii="Arial" w:cs="Arial" w:eastAsia="Arial" w:hAnsi="Arial"/>
          <w:sz w:val="16"/>
          <w:szCs w:val="16"/>
          <w:color w:val="auto"/>
        </w:rPr>
        <w:t xml:space="preserve">”) only if (1) such Permitted Assignee, Affiliate or Pledgee agrees in writing to be bound as an Designated Stockholder by the provisions of this Agreement, with such agreement substantially in the form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and (2)(A) immediately following such transfer or pledge, the further disposition of such Registrable Securities by such Permitted Assignee, Affiliate or Pledgee would be restricted under the Securities Act and the entire amount of all such Registrable Securities could not be sold in a single sale, in the opinion of counsel reasonably satisfactory to the Company, without any limitation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44" w:name="page245"/>
    <w:bookmarkEnd w:id="244"/>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volume pursuant to Rule 144 (or any successor rule or regulation) under the Securities Act or (B) such Permitted Assignee, Affiliate or Pledgee, together with its Affiliates, beneficially owns Registrable Securities representing more than 5% of the outstanding shares of Common Stock as of the date of such transfer or pledge; provided, that, FTV and the Management Stockholders may not pursuant to this Section 2(d)(i) transfer any of their rights to act as the Initiating Holders pursuant to clause (b) of the definition thereof. Upon any transfer of Registrable Securities other than as set forth in this Section 2(d), such securities shall no longer constitute Registrable Securities, except that any Registrable Securities that are pledged or made the subject of a Hedging Transaction, which Registrable Securities are not ultimately disposed of by the Designated Stockholder pursuant to such pledge or Hedging Transaction shall, to the extent such Registrable Securities remain “restricted securities” under the Securities Act, be deemed to remain “Registrable Securities” notwithstanding the release of such pledge or the completion of such Hedging Transaction.</w:t>
      </w:r>
    </w:p>
    <w:p>
      <w:pPr>
        <w:spacing w:after="0" w:line="118" w:lineRule="exact"/>
        <w:rPr>
          <w:sz w:val="20"/>
          <w:szCs w:val="20"/>
          <w:color w:val="auto"/>
        </w:rPr>
      </w:pPr>
    </w:p>
    <w:p>
      <w:pPr>
        <w:ind w:right="60" w:firstLine="1492"/>
        <w:spacing w:after="0" w:line="298" w:lineRule="auto"/>
        <w:tabs>
          <w:tab w:leader="none" w:pos="174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a Designated Stockholder assigns its rights under this Agreement in connection with the transfer of less than all of its Registrable Securities, the Designated Stockholder shall retain its rights under this Agreement with respect to its remaining Registrable Securities. If a Designated Stockholder assigns its rights under this Agreement in connection with the transfer of all of its Registrable Securities, such Designated Stockholder shall have no further rights or obligations under this Agreement, except under Section 8 hereof in respect of offerings in which it participated.</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5" w:lineRule="auto"/>
        <w:tabs>
          <w:tab w:leader="none" w:pos="1722"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Request for Demand Registration</w:t>
      </w:r>
      <w:r>
        <w:rPr>
          <w:rFonts w:ascii="Arial" w:cs="Arial" w:eastAsia="Arial" w:hAnsi="Arial"/>
          <w:sz w:val="16"/>
          <w:szCs w:val="16"/>
          <w:color w:val="auto"/>
        </w:rPr>
        <w:t xml:space="preserve">. At any time, and from time to time,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xml:space="preserve"> may make a written request to the Company to register, and the Company shall register, under the Securities Act (other than pursuant to a Registration Statement on Form S-4 or S-8 or any successor form thereto), in accordance with the terms of this Agreement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the number of Registrable Securities stated in such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effect (i) more than three such Demand Registrations, (ii) a Demand Registration if the Initiating Holders propose to sell Registrable Securities in such Demand Registration at an anticipated aggregate offering price (calculated based upon the Market Price of the Registrable Securities on the date on which the Company receives the written request for such Demand Registration) to the public of less than $20,000,000 unless such Demand Registration includes all of the then-outstanding Registrable Securities, (iii) any such Demand Registration commencing prior to the time permitted under any applicable Lock-up Agreement of the Designated Stockholders, as such Lock-up Agreement may be amended or waived, or (iv) any such Demand Registration within ninety (90) days after the effective date of any other Registration Statement of the Company (other than a Registration Statement on Form S-4 or S-8 or any successor form thereto); provided, further, however, that notwithstanding the foregoing, each of FTV and the Management Stockholders may not exercise its right to act an Initiating Holder pursuant to clause (b) of the definition thereof (i) more than once or (ii) if such holder does not own at least 7.5% of the Company’s outstanding Common Stock as of the date such holder seeks to exercise such right. In addition, if the Board of Directors, in its good faith judgment, determines that any registration of Registrable Securities should not be made or continued because it would materially interfere with any material financing, acquisition, corporate reorganization or merger or other material transaction involving the Company (a “</w:t>
      </w:r>
      <w:r>
        <w:rPr>
          <w:rFonts w:ascii="Arial" w:cs="Arial" w:eastAsia="Arial" w:hAnsi="Arial"/>
          <w:sz w:val="16"/>
          <w:szCs w:val="16"/>
          <w:u w:val="single" w:color="auto"/>
          <w:color w:val="auto"/>
        </w:rPr>
        <w:t>Valid Business Reason</w:t>
      </w:r>
      <w:r>
        <w:rPr>
          <w:rFonts w:ascii="Arial" w:cs="Arial" w:eastAsia="Arial" w:hAnsi="Arial"/>
          <w:sz w:val="16"/>
          <w:szCs w:val="16"/>
          <w:color w:val="auto"/>
        </w:rPr>
        <w:t>”), (x) the Company may postpone filing a Registration Statement (but not the preparation of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45" w:name="page246"/>
    <w:bookmarkEnd w:id="245"/>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relating to a Demand Registration until such Valid Business Reason no longer exists, but in no event for more than forty-five (45) days after the date when the Demand Registration was requested or, if later, after the occurrence of the Valid Business Reason and (y) in case a Registration Statement has been filed relating to a Demand Registration, the Company, upon the approval of a majority of the Board of Directors, may postpone amending or supplementing such Registration Statement (in which case, if the Valid Business Reason no longer exists or if more than forty-five (45) days have passed since such postponement, the Initiating Holders may request the prompt amendment or supplement of such Registration Statement or request a new Demand Registration (which request shall not be counted as an additional Demand Registration for purposes of clause (i) above)). The Company shall give written notice to all Designated Stockholders of its determination to postpone a Registration Statement and of the fact that the Valid Business Reason for such postponement no longer exists, in each case, promptly after the occurrence thereof. Notwithstanding anything to the contrary contained herein, the Company may not postpone a filing under this Section 3(a) due to a Valid Business Reason more than once in any six (6) month period. Each request for a Demand Registration by the Initiating Holders shall state the amount of the Registrable Securities proposed to be sold and the intended method of disposition thereof.</w:t>
      </w:r>
    </w:p>
    <w:p>
      <w:pPr>
        <w:spacing w:after="0" w:line="123" w:lineRule="exact"/>
        <w:rPr>
          <w:sz w:val="20"/>
          <w:szCs w:val="20"/>
          <w:color w:val="auto"/>
        </w:rPr>
      </w:pPr>
    </w:p>
    <w:p>
      <w:pPr>
        <w:ind w:firstLine="1492"/>
        <w:spacing w:after="0" w:line="286" w:lineRule="auto"/>
        <w:tabs>
          <w:tab w:leader="none" w:pos="1732"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Incidental or “Piggy-Back” Rights with Respect to a Demand Registration</w:t>
      </w:r>
      <w:r>
        <w:rPr>
          <w:rFonts w:ascii="Arial" w:cs="Arial" w:eastAsia="Arial" w:hAnsi="Arial"/>
          <w:sz w:val="16"/>
          <w:szCs w:val="16"/>
          <w:color w:val="auto"/>
        </w:rPr>
        <w:t>. Any Designated Stockholder which has not requested a registration under Section 3(a) may, pursuant to this Section 3(b), offer its Registrable Securities under any Demand Registration. The Company shall (i) as promptly as practicable, but in no event later than five (5) days after the receipt of a request for a Demand Registration from an Initiating Holder, give written notice thereof to all of the Designated Stockholders (other than Initiating Holders which have requested a registration under Section 3(a)), which notice shall specify the number of Registrable Securities subject to the request for Demand Registration, the names and notice information of the Initiating Holders and the intended method of disposition of such Registrable Securities, and (ii) subject to Section 3(e), include in the Registration Statement filed pursuant to the Demand Registration all of the Registrable Securities held by such Designated Stockholders from whom the Company has received a written request for inclusion therein within ten (10) days of the date on which the Company sent the written notice referred to in clause (i) above. Each such request by such Designated Stockholders shall specify the number of Registrable Securities proposed to be registered. The failure of any Designated Stockholder to respond within such 10-day period referred to in clause (ii) above shall be deemed to be a waiver of such Designated Stockholder’s rights under this Section 3(b) with respect to such Demand Registration. Any Designated Stockholder may waive its rights under this Section 3(b) prior to the expiration of such 10-day period by giving written notice to the Company.</w:t>
      </w:r>
    </w:p>
    <w:p>
      <w:pPr>
        <w:spacing w:after="0" w:line="124" w:lineRule="exact"/>
        <w:rPr>
          <w:rFonts w:ascii="Arial" w:cs="Arial" w:eastAsia="Arial" w:hAnsi="Arial"/>
          <w:sz w:val="16"/>
          <w:szCs w:val="16"/>
          <w:color w:val="auto"/>
        </w:rPr>
      </w:pPr>
    </w:p>
    <w:p>
      <w:pPr>
        <w:ind w:right="180" w:firstLine="1492"/>
        <w:spacing w:after="0" w:line="306" w:lineRule="auto"/>
        <w:tabs>
          <w:tab w:leader="none" w:pos="1722"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Effective Demand Registration</w:t>
      </w:r>
      <w:r>
        <w:rPr>
          <w:rFonts w:ascii="Arial" w:cs="Arial" w:eastAsia="Arial" w:hAnsi="Arial"/>
          <w:sz w:val="16"/>
          <w:szCs w:val="16"/>
          <w:color w:val="auto"/>
        </w:rPr>
        <w:t>. The Company shall use its commercially reasonable efforts to cause any such Demand Registration to become effective as promptly as practicable but in no event later than the later of (i) one hundred and twenty (120) days after it receives a request under Section 3(a) hereof and (ii) ninety (90) days after the effective date of any other Registration Statement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46" w:name="page247"/>
    <w:bookmarkEnd w:id="24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a Registration Statement on Form S-4 or S-8 or any successor form thereto) that had been filed but not yet declared effective at the time such Demand Registration was made, and to remain continuously effective for the lesser of (i) the period during which all Registrable Securities registered in the Demand Registration are sold or (ii) 120 days.</w:t>
      </w:r>
    </w:p>
    <w:p>
      <w:pPr>
        <w:spacing w:after="0" w:line="140" w:lineRule="exact"/>
        <w:rPr>
          <w:sz w:val="20"/>
          <w:szCs w:val="20"/>
          <w:color w:val="auto"/>
        </w:rPr>
      </w:pPr>
    </w:p>
    <w:p>
      <w:pPr>
        <w:ind w:right="260" w:firstLine="1492"/>
        <w:spacing w:after="0" w:line="268" w:lineRule="auto"/>
        <w:tabs>
          <w:tab w:leader="none" w:pos="173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Section 3(g) or 8(d), the Company shall pay all Registration Expenses in connection with a Demand Registration, whether or not such Demand Registration becomes effective.</w:t>
      </w:r>
    </w:p>
    <w:p>
      <w:pPr>
        <w:spacing w:after="0" w:line="131" w:lineRule="exact"/>
        <w:rPr>
          <w:rFonts w:ascii="Arial" w:cs="Arial" w:eastAsia="Arial" w:hAnsi="Arial"/>
          <w:sz w:val="18"/>
          <w:szCs w:val="18"/>
          <w:color w:val="auto"/>
        </w:rPr>
      </w:pPr>
    </w:p>
    <w:p>
      <w:pPr>
        <w:ind w:firstLine="1492"/>
        <w:spacing w:after="0" w:line="285" w:lineRule="auto"/>
        <w:tabs>
          <w:tab w:leader="none" w:pos="1722"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Underwriting Procedures</w:t>
      </w:r>
      <w:r>
        <w:rPr>
          <w:rFonts w:ascii="Arial" w:cs="Arial" w:eastAsia="Arial" w:hAnsi="Arial"/>
          <w:sz w:val="16"/>
          <w:szCs w:val="16"/>
          <w:color w:val="auto"/>
        </w:rPr>
        <w:t xml:space="preserve">. If the Company or the Majority Initiating Holders so elect, the Company shall use its commercially reasonable efforts to cause the offering made pursuant to such Demand Registration to be in the form of a firm commitment underwritten offering and the managing underwriter or underwriters selected for such offering shall be the Approved Underwriter selected in accordance with Section 3(f). In connection with any Demand Registration under this Section 3 involving an underwritten offering, none of the Registrable Securities held by any Designated Stockholder making a request for inclusion of such Registrable Securities pursuant to Section 3(a) or 3(b) hereof shall be included in such underwritten offering unless such Designated Stockholder accepts the terms of the offering as agreed upon by the Company, the Majority Initiating Holders and the Approved Underwriter, and then only in such quantity as set forth below. If the Approved Underwriter advises the Company that the aggregate amount of such Registrable Securities requested to be included in such offering is sufficiently large to have a material adverse effect on the distribution of sales price of the Registrable Securities in such offering, then the Company shall include in such Demand Registration, to the extent of the amount that the Approved Underwriter believes may be sold without causing such material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such number of Registrable Securities of the Designated Stockholders participating in the offering under Section 3(a) or 3(b), which Registrable Securities shall be allocated pro rata among such Designated Stockholders participating in the offering (on an as converted basis), based on the number of Registrable Securities held by each such Designated Stockholder,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any other securities of the Company requested by holders thereof to be included in such registration, pro rata among such other holders on the basis of the number of securities that each such holder requested to be included in such registration, except to the extent any such holders have agreed under the Existing Agreements to grant priority with regard to participation in such registration to any of the other holders, and </w:t>
      </w:r>
      <w:r>
        <w:rPr>
          <w:rFonts w:ascii="Arial" w:cs="Arial" w:eastAsia="Arial" w:hAnsi="Arial"/>
          <w:sz w:val="16"/>
          <w:szCs w:val="16"/>
          <w:u w:val="single" w:color="auto"/>
          <w:color w:val="auto"/>
        </w:rPr>
        <w:t>third</w:t>
      </w:r>
      <w:r>
        <w:rPr>
          <w:rFonts w:ascii="Arial" w:cs="Arial" w:eastAsia="Arial" w:hAnsi="Arial"/>
          <w:sz w:val="16"/>
          <w:szCs w:val="16"/>
          <w:color w:val="auto"/>
        </w:rPr>
        <w:t>, securities offered by the Company for its own account.</w:t>
      </w:r>
    </w:p>
    <w:p>
      <w:pPr>
        <w:spacing w:after="0" w:line="126" w:lineRule="exact"/>
        <w:rPr>
          <w:rFonts w:ascii="Arial" w:cs="Arial" w:eastAsia="Arial" w:hAnsi="Arial"/>
          <w:sz w:val="16"/>
          <w:szCs w:val="16"/>
          <w:color w:val="auto"/>
        </w:rPr>
      </w:pPr>
    </w:p>
    <w:p>
      <w:pPr>
        <w:ind w:right="20" w:firstLine="1492"/>
        <w:spacing w:after="0" w:line="255" w:lineRule="auto"/>
        <w:tabs>
          <w:tab w:leader="none" w:pos="170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xml:space="preserve">. If any Demand Registration or S-3 Registration, as the case may be, of Registrable Securities is in the form of an underwritten offering, the Company shall select and obtain one or more investment banking firms of national reputation to act as the managing underwriter or underwriters of the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firm shall, in any case, also be approved by the Majority Initiating Holders or Majority S-3 Initiating Holders, as the case may be, such approval not to be unreasonably delayed or withheld. Notwithstanding the foregoing, if any S-3 Registration of Registrable Securities is in the form of a Hedging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247" w:name="page248"/>
    <w:bookmarkEnd w:id="24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Transaction, the Majority S-3 Initiating Holders shall select and obtain an investment banking firm of national reputation to act as the managing underwriter (or the equivalent position) of the Hedging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firm shall, in any case, also be approved by the Company, such approval not to be unreasonably delayed or withheld. An investment banking firm or firms selected pursuant to this Section 3(f) shall be referred to as the “</w:t>
      </w:r>
      <w:r>
        <w:rPr>
          <w:rFonts w:ascii="Arial" w:cs="Arial" w:eastAsia="Arial" w:hAnsi="Arial"/>
          <w:sz w:val="18"/>
          <w:szCs w:val="18"/>
          <w:u w:val="single" w:color="auto"/>
          <w:color w:val="auto"/>
        </w:rPr>
        <w:t>Approved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Underwriter</w:t>
      </w:r>
      <w:r>
        <w:rPr>
          <w:rFonts w:ascii="Arial" w:cs="Arial" w:eastAsia="Arial" w:hAnsi="Arial"/>
          <w:sz w:val="18"/>
          <w:szCs w:val="18"/>
          <w:color w:val="auto"/>
        </w:rPr>
        <w:t>” in this Agreement.</w:t>
      </w:r>
    </w:p>
    <w:p>
      <w:pPr>
        <w:spacing w:after="0" w:line="143" w:lineRule="exact"/>
        <w:rPr>
          <w:sz w:val="20"/>
          <w:szCs w:val="20"/>
          <w:color w:val="auto"/>
        </w:rPr>
      </w:pPr>
    </w:p>
    <w:p>
      <w:pPr>
        <w:ind w:firstLine="1492"/>
        <w:spacing w:after="0" w:line="286" w:lineRule="auto"/>
        <w:tabs>
          <w:tab w:leader="none" w:pos="1732"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The Majority Initiating Holders shall be entitled to withdraw or revoke a request for a Demand Registration without the prior written consent of the Company if (i) such withdrawal or revocation is as a result of facts or circumstances arising after the date on which a request for a Demand Registration was made and the Initiating Holders reasonably determine that participation in such registration would have a material adverse effect on the Initiating Holders, (ii) the Closing Price declines by more than ten percent (10%) from the date the Initiating Holders requested such Demand Registration or (iii) the Initiating Holders agree to pay all fees and expenses incurred by the Company in connection with such withdrawn registration (each,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Withdrawal</w:t>
      </w:r>
      <w:r>
        <w:rPr>
          <w:rFonts w:ascii="Arial" w:cs="Arial" w:eastAsia="Arial" w:hAnsi="Arial"/>
          <w:sz w:val="16"/>
          <w:szCs w:val="16"/>
          <w:color w:val="auto"/>
        </w:rPr>
        <w:t>”). If a Permitted Withdrawal occurs under clauses (i) or (ii) above, the related Demand Registration shall be counted as a Demand Registration for purposes of Section 3(a), and if a Permitted Withdrawal occurs under clause (iii) above, the related Demand Registration shall not be counted as a Demand Registration for purposes of Section 3(a). Any Permitted Withdrawal shall constitute and effect an automatic withdrawal by all other Initiating Holders and any other Designated Stockholder participating in such Demand Registration pursuant to the provisions of Section 3(b). In addition, immediately upon determination of the price at which such Registrable Securities are to be sold in the offering, if such price is below the price which any Designated Stockholder participating in the Demand Registration finds acceptable, such Designated Stockholder shall then have the right, by written notice to the Company, to withdraw its Registrable Securities from being included in such Registration Statement.</w:t>
      </w:r>
    </w:p>
    <w:p>
      <w:pPr>
        <w:spacing w:after="0" w:line="205" w:lineRule="exact"/>
        <w:rPr>
          <w:rFonts w:ascii="Arial" w:cs="Arial" w:eastAsia="Arial" w:hAnsi="Arial"/>
          <w:sz w:val="16"/>
          <w:szCs w:val="16"/>
          <w:color w:val="auto"/>
        </w:rPr>
      </w:pPr>
    </w:p>
    <w:p>
      <w:pPr>
        <w:ind w:left="1100" w:hanging="179"/>
        <w:spacing w:after="0"/>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Incidental or “Piggy-Back” Registration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1492"/>
        <w:spacing w:after="0" w:line="289" w:lineRule="auto"/>
        <w:tabs>
          <w:tab w:leader="none" w:pos="1722"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Request for Incidental or “Piggy-Back” Registration</w:t>
      </w:r>
      <w:r>
        <w:rPr>
          <w:rFonts w:ascii="Arial" w:cs="Arial" w:eastAsia="Arial" w:hAnsi="Arial"/>
          <w:sz w:val="16"/>
          <w:szCs w:val="16"/>
          <w:color w:val="auto"/>
        </w:rPr>
        <w:t>. At any time after the IPO Pricing Date, if the Company proposes to file a Registration Statement with respect to an offering of Common Stock by the Company for its own account (other than a Registration Statement on Form S-4 or S-8 or any successor form thereto) or for the account of any stockholder of the Company other than Designated Stockholders pursuant to Sections 3 and 5 hereof, then the Company shall give written notice of such proposed filing to each of the Designated Stockholders at least twenty (20) days before the anticipated filing date, which notice shall describe the proposed registration and distribution and offer such Designated Stockholders the opportunity to register the number of Registrable Securities that each such Designated Stockholder may request (an “</w:t>
      </w:r>
      <w:r>
        <w:rPr>
          <w:rFonts w:ascii="Arial" w:cs="Arial" w:eastAsia="Arial" w:hAnsi="Arial"/>
          <w:sz w:val="16"/>
          <w:szCs w:val="16"/>
          <w:u w:val="single" w:color="auto"/>
          <w:color w:val="auto"/>
        </w:rPr>
        <w:t>Incidental Registration</w:t>
      </w:r>
      <w:r>
        <w:rPr>
          <w:rFonts w:ascii="Arial" w:cs="Arial" w:eastAsia="Arial" w:hAnsi="Arial"/>
          <w:sz w:val="16"/>
          <w:szCs w:val="16"/>
          <w:color w:val="auto"/>
        </w:rPr>
        <w:t>”). The Company shall use its commercially reasonable efforts (within twenty (20) days after the notice provided for in the preceding sentence) to cause the managing underwriter or underwriters in the case of a proposed underwritten offering (the “</w:t>
      </w:r>
      <w:r>
        <w:rPr>
          <w:rFonts w:ascii="Arial" w:cs="Arial" w:eastAsia="Arial" w:hAnsi="Arial"/>
          <w:sz w:val="16"/>
          <w:szCs w:val="16"/>
          <w:u w:val="single" w:color="auto"/>
          <w:color w:val="auto"/>
        </w:rPr>
        <w:t>Company Underwriter</w:t>
      </w:r>
      <w:r>
        <w:rPr>
          <w:rFonts w:ascii="Arial" w:cs="Arial" w:eastAsia="Arial" w:hAnsi="Arial"/>
          <w:sz w:val="16"/>
          <w:szCs w:val="16"/>
          <w:color w:val="auto"/>
        </w:rPr>
        <w:t>”) to permit each Designated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48" w:name="page249"/>
    <w:bookmarkEnd w:id="24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Stockholder who has requested in writing to participate in the Incidental Registration pursuant to this Section 4(a) to include the number of such Designated Stockholder’s Registrable Securities indicated by such Designated Stockholder in such offering on the same terms and conditions as the Common Stock of the Company or the account of such other stockholder, as the case may be, included therein. Prior to the effective date of the Registration Statement with respect to which such Incidental Registration has been requested, immediately upon determination of the price at which such Registrable Securities are to be sold, if such price is below the price which any Designated Stockholder who requested to participate in the Incidental Registration finds acceptable, such Designated Stockholder shall then have the right, by written notice to the Company, to withdraw its request to have its Registrable Securities included in such Registration Statement. Any withdrawal of the Registration Statement by the Company for any reason shall constitute and effect an automatic withdrawal of any Incidental Registration related thereto. In connection with any Incidental Registration under this Section 4(a) involving an underwritten offering, the Company shall not be required to include any Registrable Securities in such underwritten offering unless the Designated Stockholders thereof accept the terms of the underwritten offering as agreed upon between the Company, such other stockholders, if any, and the Company Underwriter, and then only in such quantity as set forth below. If the Company Underwriter determines that the registration of all or part of the securities that have been requested to be included would materially adversely affect the distribution or sales price of the securities in such offering, then the Company shall be required to include in such Incidental Registration, to the extent of the amount that the Company Underwriter believes may be sold without causing such material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all of the shares of Common Stock to be offered for the account of the Company, in the case of a Company initiated Incidental Registration, or the stockholders who have requested such Incidental Registration, in the case of a stockholder initiated Incidental Registration,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any Registrable Securities and any other shares of Common Stock requested by holders thereof (including the Designated Stockholders) to be included in such registration, pro rata among the Designated Stockholders and such other holders on the basis of the number of securities that each such holder requested to be included in such registration, except to the extent any such other holders have agreed under the Existing Agreements to grant priority with regard to participation in such registration to any of the other holders, and </w:t>
      </w:r>
      <w:r>
        <w:rPr>
          <w:rFonts w:ascii="Arial" w:cs="Arial" w:eastAsia="Arial" w:hAnsi="Arial"/>
          <w:sz w:val="16"/>
          <w:szCs w:val="16"/>
          <w:u w:val="single" w:color="auto"/>
          <w:color w:val="auto"/>
        </w:rPr>
        <w:t>third</w:t>
      </w:r>
      <w:r>
        <w:rPr>
          <w:rFonts w:ascii="Arial" w:cs="Arial" w:eastAsia="Arial" w:hAnsi="Arial"/>
          <w:sz w:val="16"/>
          <w:szCs w:val="16"/>
          <w:color w:val="auto"/>
        </w:rPr>
        <w:t>, all of the shares of Common Stock to be offered for the account of the Company, in the case of a stockholder initiated Incidental Registration.</w:t>
      </w:r>
    </w:p>
    <w:p>
      <w:pPr>
        <w:spacing w:after="0" w:line="131" w:lineRule="exact"/>
        <w:rPr>
          <w:sz w:val="20"/>
          <w:szCs w:val="20"/>
          <w:color w:val="auto"/>
        </w:rPr>
      </w:pPr>
    </w:p>
    <w:p>
      <w:pPr>
        <w:ind w:right="500" w:firstLine="1492"/>
        <w:spacing w:after="0" w:line="268" w:lineRule="auto"/>
        <w:tabs>
          <w:tab w:leader="none" w:pos="1732"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Section 8(d), the Company shall bear all Registration Expenses in connection with any Incidental Registration pursuant to this Section 4, whether or not such Incidental Registration becomes effective.</w:t>
      </w:r>
    </w:p>
    <w:p>
      <w:pPr>
        <w:spacing w:after="0" w:line="212" w:lineRule="exact"/>
        <w:rPr>
          <w:rFonts w:ascii="Arial" w:cs="Arial" w:eastAsia="Arial" w:hAnsi="Arial"/>
          <w:sz w:val="18"/>
          <w:szCs w:val="18"/>
          <w:color w:val="auto"/>
        </w:rPr>
      </w:pPr>
    </w:p>
    <w:p>
      <w:pPr>
        <w:ind w:left="1100" w:hanging="179"/>
        <w:spacing w:after="0"/>
        <w:tabs>
          <w:tab w:leader="none" w:pos="11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Form S-3 Registration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1492"/>
        <w:spacing w:after="0" w:line="268" w:lineRule="auto"/>
        <w:tabs>
          <w:tab w:leader="none" w:pos="1722"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Request for a Form S-3 Registration</w:t>
      </w:r>
      <w:r>
        <w:rPr>
          <w:rFonts w:ascii="Arial" w:cs="Arial" w:eastAsia="Arial" w:hAnsi="Arial"/>
          <w:sz w:val="18"/>
          <w:szCs w:val="18"/>
          <w:color w:val="auto"/>
        </w:rPr>
        <w:t>. Upon the Company becoming eligible for use of Form S-3 or any successor form thereto under the Securities Act in connection with a secondary public offering of its equity securities, in the event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49" w:name="page250"/>
    <w:bookmarkEnd w:id="24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the Company shall receive from the Majority Designated Stockholders (collectively, the “</w:t>
      </w:r>
      <w:r>
        <w:rPr>
          <w:rFonts w:ascii="Arial" w:cs="Arial" w:eastAsia="Arial" w:hAnsi="Arial"/>
          <w:sz w:val="16"/>
          <w:szCs w:val="16"/>
          <w:u w:val="single" w:color="auto"/>
          <w:color w:val="auto"/>
        </w:rPr>
        <w:t>S-3 Initiating Holders</w:t>
      </w:r>
      <w:r>
        <w:rPr>
          <w:rFonts w:ascii="Arial" w:cs="Arial" w:eastAsia="Arial" w:hAnsi="Arial"/>
          <w:sz w:val="16"/>
          <w:szCs w:val="16"/>
          <w:color w:val="auto"/>
        </w:rPr>
        <w:t>”) a written request that the Company register under the Securities Act on Form S-3 or any successor form then in effect (an “</w:t>
      </w:r>
      <w:r>
        <w:rPr>
          <w:rFonts w:ascii="Arial" w:cs="Arial" w:eastAsia="Arial" w:hAnsi="Arial"/>
          <w:sz w:val="16"/>
          <w:szCs w:val="16"/>
          <w:u w:val="single" w:color="auto"/>
          <w:color w:val="auto"/>
        </w:rPr>
        <w:t>S-3 Registration</w:t>
      </w:r>
      <w:r>
        <w:rPr>
          <w:rFonts w:ascii="Arial" w:cs="Arial" w:eastAsia="Arial" w:hAnsi="Arial"/>
          <w:sz w:val="16"/>
          <w:szCs w:val="16"/>
          <w:color w:val="auto"/>
        </w:rPr>
        <w:t>”) the sale of all or a portion of the Registrable Securities owned by such S-3 Initiating Holders (which S-3 Registration may be a shelf registration pursuant to Rule 415 promulgated under the Securities Act (or any successor rule or regulation)), the Company shall give written notice of such request to all of the other Designated Stockholders (other than S-3 Initiating Holders which have requested an S-3 Registration under this Section 5(a)) as promptly as practicable but in no event later than ten (10) days before the anticipated filing date of such Form S-3, which notice shall describe the proposed registration, the intended method of disposition of such Registrable Securities and any other information that at the time would be appropriate to include in such notice, and offer such other Designated Stockholders the opportunity to register the number of Registrable Securities as each such Designated Stockholder may request in writing to the Company, given within ten (10) days of the date on which the Company sent the written notice of such registration. Each request for an S-3 Registration by the S-3 Initiating Holders shall state the amount of the Registrable Securities proposed to be sold and the intended method of disposition thereof. With respect to each S-3 Registration, the Company shall, subject to Section 5(b), (i) include in such offering the Registrable Securities of the S-3 Initiating Holders and the Designated Stockholders who have requested in writing to participate in such registration on the same terms and conditions as the Registrable Securities of the S-3 Initiating Holders included therein (collectively, the “</w:t>
      </w:r>
      <w:r>
        <w:rPr>
          <w:rFonts w:ascii="Arial" w:cs="Arial" w:eastAsia="Arial" w:hAnsi="Arial"/>
          <w:sz w:val="16"/>
          <w:szCs w:val="16"/>
          <w:u w:val="single" w:color="auto"/>
          <w:color w:val="auto"/>
        </w:rPr>
        <w:t>S-3 Participating Stockholders</w:t>
      </w:r>
      <w:r>
        <w:rPr>
          <w:rFonts w:ascii="Arial" w:cs="Arial" w:eastAsia="Arial" w:hAnsi="Arial"/>
          <w:sz w:val="16"/>
          <w:szCs w:val="16"/>
          <w:color w:val="auto"/>
        </w:rPr>
        <w:t>”) and (ii) use its commercially reasonable efforts to cause such registration pursuant to this Section 5(a) to become and remain effective as soon as practicable but in no event earlier than 90 days after the effective date of any other Registration Statement of the Company (other than a Registration Statement on Form S-4 or S-8 or any successor form thereto) that had been filed with the Commission but not yet declared effective at the time such registration was requested. Notwithstanding the foregoing, immediately upon determination of the price at which such Registrable Securities are to be sold in a S-3 Registration that is a firm commitment underwritten offering, if such price is below the price which any Participating S-3 Stockholder finds acceptable, such Participating S-3 Stockholder shall then have the right, by written notice to the Company, to withdraw its Registrable Securities from being included in such offering; provided, that such a withdrawal by any one of the S-3 Initiating Holders shall constitute and effect an automatic withdrawal by all other Participating S-3 Stockholders. If the S-3 Initiating Holders request, and if the Company is a Well-Known Seasoned Issuer, the Company shall cause such S-3 Registration to be made pursuant to an Automatic Shelf Registration Statement and may omit the names of the Participating S-3 Stockholders and the amount of the Registrable Securities to be offered thereunder.</w:t>
      </w:r>
    </w:p>
    <w:p>
      <w:pPr>
        <w:spacing w:after="0" w:line="126" w:lineRule="exact"/>
        <w:rPr>
          <w:sz w:val="20"/>
          <w:szCs w:val="20"/>
          <w:color w:val="auto"/>
        </w:rPr>
      </w:pPr>
    </w:p>
    <w:p>
      <w:pPr>
        <w:jc w:val="both"/>
        <w:ind w:right="180" w:firstLine="1492"/>
        <w:spacing w:after="0" w:line="306" w:lineRule="auto"/>
        <w:tabs>
          <w:tab w:leader="none" w:pos="1732"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Form S-3 Underwriting Procedures</w:t>
      </w:r>
      <w:r>
        <w:rPr>
          <w:rFonts w:ascii="Arial" w:cs="Arial" w:eastAsia="Arial" w:hAnsi="Arial"/>
          <w:sz w:val="16"/>
          <w:szCs w:val="16"/>
          <w:color w:val="auto"/>
        </w:rPr>
        <w:t>. If the Majority S-3 Initiating Holders so elect, the Company shall use its commercially reasonable efforts to cause such S-3 Registration pursuant to this Section 5 to be in the form of a firm commitment underwritten offering and the managing underwriter or underwriters selected for such offering shall be the Approved Underwriter selected in accordance with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50" w:name="page251"/>
    <w:bookmarkEnd w:id="250"/>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3(f). In connection with any S-3 Registration under Section 5(a) involving an underwritten offering, the Company shall not be required to include any Registrable Securities in such underwritten offering unless the Designated Stockholders thereof accept the terms of the underwritten offering as agreed upon between the Company, the Approved Underwriter and the Majority S-3 Initiating Holders, and then only in such quantity as set forth below. If the Approved Underwriter advises the Company that the registration of all or part of the Registrable Securities which the S-3 Initiating Holders and the other Designated Stockholders have requested to be included would materially adversely affect the distribution or sales price of the Registrable Securities in such public offering, then the Company shall include in such underwritten offering, to the extent of the amount that the Approved Underwriter believes may be sold without causing such material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such number of Registrable Securities of the Designated Stockholders participating in the offering under Section 3(a), which Registrable Securities shall be allocated pro rata among such Designated Stockholders participating in the offering (on an as converted basis), based on the number of Registrable Securities held by each such Designated Stockholder,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any other securities of the Company requested by holders thereof to be included in such registration, pro rata among such other holders on the basis of the number of securities that each such holder requested to be included in such registration, except to the extent any such holders have agreed under the Existing Agreement to grant priority with regard to participation in such registration to any of the other holders, and </w:t>
      </w:r>
      <w:r>
        <w:rPr>
          <w:rFonts w:ascii="Arial" w:cs="Arial" w:eastAsia="Arial" w:hAnsi="Arial"/>
          <w:sz w:val="16"/>
          <w:szCs w:val="16"/>
          <w:u w:val="single" w:color="auto"/>
          <w:color w:val="auto"/>
        </w:rPr>
        <w:t>third</w:t>
      </w:r>
      <w:r>
        <w:rPr>
          <w:rFonts w:ascii="Arial" w:cs="Arial" w:eastAsia="Arial" w:hAnsi="Arial"/>
          <w:sz w:val="16"/>
          <w:szCs w:val="16"/>
          <w:color w:val="auto"/>
        </w:rPr>
        <w:t>, securities offered by the Company for its own account.</w:t>
      </w:r>
    </w:p>
    <w:p>
      <w:pPr>
        <w:spacing w:after="0" w:line="124" w:lineRule="exact"/>
        <w:rPr>
          <w:sz w:val="20"/>
          <w:szCs w:val="20"/>
          <w:color w:val="auto"/>
        </w:rPr>
      </w:pPr>
    </w:p>
    <w:p>
      <w:pPr>
        <w:ind w:firstLine="1492"/>
        <w:spacing w:after="0" w:line="286" w:lineRule="auto"/>
        <w:tabs>
          <w:tab w:leader="none" w:pos="1722"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Limitations on Form S-3 Registrations</w:t>
      </w:r>
      <w:r>
        <w:rPr>
          <w:rFonts w:ascii="Arial" w:cs="Arial" w:eastAsia="Arial" w:hAnsi="Arial"/>
          <w:sz w:val="16"/>
          <w:szCs w:val="16"/>
          <w:color w:val="auto"/>
        </w:rPr>
        <w:t>. If the Board of Directors has a Valid Business Reason, (x) the Company may postpone filing a Registration Statement relating to an S-3 Registration (but not the preparation of the Registration Statement) until such Valid Business Reason no longer exists, but in no event for more than forty-five (45) days after the date when the S-3 Registration was requested or, if later, after the occurrence of the Valid Business Reason and (y) in case a Registration Statement has been filed relating to a S-3 Registration, the Company, upon the approval of a majority of the Board of Directors or may postpone amending or supplementing such Registration Statement (in which case, if the Valid Business Reason no longer exists or if more than forty-five (45) days have passed since such postponement, the S-3 Initiating Holders may request the prompt amendment or supplement of such Registration Statement or a new S-3 Registration). The Company shall give written notice to all Designated Stockholders of its determination to postpone or delay amending or supplementing a Registration Statement and of the fact that the Valid Business Reason for such postponement or delay no longer exists, in each case, promptly after the occurrence thereof. Notwithstanding anything to the contrary contained herein, the Company may not postpone a filing or delay amending or supplementing a filing, under this Section 5(c), due to a Valid Business Reason more than once in any six (6) month period. In addition, the Company shall not be required to effect any registration pursuant to Section 5(a), (i) within ninety (90) days after the effective date of any other Registration Statement of the Company (other than a Registration Statement on Form S-4 or S-8 or any successor form thereto), (ii) if Form S-3 is not available for such offering by the S-3 Initiating Holders or (iii) if the S-3</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51" w:name="page252"/>
    <w:bookmarkEnd w:id="251"/>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Initiating Holders, together with the Designated Stockholders (other than S-3 Initiating Holders which have requested an S-3 Registration under Section 5(a)) registering Registrable Securities in such registration, propose to sell their Registrable Securities at an aggregate price (calculated based upon the Market Price of the Registrable Securities on the last date on which the Company could receive requests for inclusion in such S-3 Registration under Section 5(a)) to the public of less than $20,000,000.</w:t>
      </w:r>
    </w:p>
    <w:p>
      <w:pPr>
        <w:spacing w:after="0" w:line="143" w:lineRule="exact"/>
        <w:rPr>
          <w:sz w:val="20"/>
          <w:szCs w:val="20"/>
          <w:color w:val="auto"/>
        </w:rPr>
      </w:pPr>
    </w:p>
    <w:p>
      <w:pPr>
        <w:ind w:right="60" w:firstLine="1492"/>
        <w:spacing w:after="0" w:line="268" w:lineRule="auto"/>
        <w:tabs>
          <w:tab w:leader="none" w:pos="1732"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provided in Section 8(d), the Company shall bear all Registration Expenses in connection with any S-3 Registration pursuant to this Section 5, whether or not such S-3 Registration becomes effective.</w:t>
      </w:r>
    </w:p>
    <w:p>
      <w:pPr>
        <w:spacing w:after="0" w:line="131" w:lineRule="exact"/>
        <w:rPr>
          <w:rFonts w:ascii="Arial" w:cs="Arial" w:eastAsia="Arial" w:hAnsi="Arial"/>
          <w:sz w:val="18"/>
          <w:szCs w:val="18"/>
          <w:color w:val="auto"/>
        </w:rPr>
      </w:pPr>
    </w:p>
    <w:p>
      <w:pPr>
        <w:ind w:right="140" w:firstLine="1492"/>
        <w:spacing w:after="0" w:line="291" w:lineRule="auto"/>
        <w:tabs>
          <w:tab w:leader="none" w:pos="1722"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After the Registration Statement with respect to a S-3 Registration that is an Automatic Shelf Registration Statement becomes effective, upon written request by the S-3 Initiating Holders, the Company shall, as promptly as practicable after receiving such request, (i) file with the Commission a prospectus supplement naming the S-3 Participating Stockholders as selling stockholders and the amount of Registrable Securities to be offered and to include, to the extent not included or incorporated by reference in the Registration Statement, any other information omitted from the Prospectus used in connection with such Registration Statement as permitted by Rule 430B promulgated under the Securities Act (including the plan of distribution) and (ii) to pay any necessary filing fees within the time period required.</w:t>
      </w:r>
    </w:p>
    <w:p>
      <w:pPr>
        <w:spacing w:after="0" w:line="201" w:lineRule="exact"/>
        <w:rPr>
          <w:rFonts w:ascii="Arial" w:cs="Arial" w:eastAsia="Arial" w:hAnsi="Arial"/>
          <w:sz w:val="16"/>
          <w:szCs w:val="16"/>
          <w:color w:val="auto"/>
        </w:rPr>
      </w:pPr>
    </w:p>
    <w:p>
      <w:pPr>
        <w:ind w:left="1100" w:hanging="179"/>
        <w:spacing w:after="0"/>
        <w:tabs>
          <w:tab w:leader="none" w:pos="11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Hedging Transactions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6" w:lineRule="auto"/>
        <w:tabs>
          <w:tab w:leader="none" w:pos="172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In any S-3 Registration, the S-3 Initiating Holders may elect to engage in a Hedging Transaction. The Company agrees that, in connection with any proposed Hedging Transaction, if, in the reasonable judgment of Designated Stockholders’ Counsel (after good-faith consultation with counsel to the Company), it is necessary or desirable to register under the Securities Act such Hedging Transaction or sales or transfers (whether short or long) of Registrable Securities in connection therewith, then the Company shall use commercially reasonable efforts to take such actions (which may include, among other things, the filing of a prospectus supplement or post-effective amendment to a Registration Statement to include additional or changed information that is material or is otherwise required to be disclosed, including, without limitation, a description of such Hedging Transaction, the name of the Hedging Counterparty, identification of the Hedging Counterparty or its Affiliates as underwriters or potential underwriters, if applicable, or any change to the plan of distribution) as may reasonably be required to register such Hedging Transaction or sales or transfers of Registrable Securities in connection therewith under the Securities Act in a manner consistent with the rights and obligations of the Company hereunder with respect to the registration of Registrable Securities. Any information regarding the Hedging Transaction included in a Registration Statement, Prospectus or Free Writing Prospectus pursuant to this Section 6(a) shall, for purposes of Section 9, be deemed to be information provided by the Designated Stockholder that is party to such Hedging Transaction and is selling Registrable Securities pursuant to such Registration Statement for purposes of Section 9.</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52" w:name="page253"/>
    <w:bookmarkEnd w:id="252"/>
    <w:p>
      <w:pPr>
        <w:ind w:right="40" w:firstLine="1492"/>
        <w:spacing w:after="0" w:line="259" w:lineRule="auto"/>
        <w:tabs>
          <w:tab w:leader="none" w:pos="1732" w:val="left"/>
        </w:tabs>
        <w:numPr>
          <w:ilvl w:val="2"/>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selection of any Hedging Counterparty shall not be subject to Section 3(f), but the Hedging Counterparty shall be selected by the Designated Stockholders holding a majority of the Registrable Securities subject to the Hedging Transaction that are proposed to be included in such Registration Statement.</w:t>
      </w:r>
    </w:p>
    <w:p>
      <w:pPr>
        <w:spacing w:after="0" w:line="140" w:lineRule="exact"/>
        <w:rPr>
          <w:rFonts w:ascii="Arial" w:cs="Arial" w:eastAsia="Arial" w:hAnsi="Arial"/>
          <w:sz w:val="18"/>
          <w:szCs w:val="18"/>
          <w:color w:val="auto"/>
        </w:rPr>
      </w:pPr>
    </w:p>
    <w:p>
      <w:pPr>
        <w:ind w:right="20" w:firstLine="1492"/>
        <w:spacing w:after="0" w:line="332" w:lineRule="auto"/>
        <w:tabs>
          <w:tab w:leader="none" w:pos="1722" w:val="left"/>
        </w:tabs>
        <w:numPr>
          <w:ilvl w:val="2"/>
          <w:numId w:val="167"/>
        </w:numPr>
        <w:rPr>
          <w:rFonts w:ascii="Arial" w:cs="Arial" w:eastAsia="Arial" w:hAnsi="Arial"/>
          <w:sz w:val="16"/>
          <w:szCs w:val="16"/>
          <w:color w:val="auto"/>
        </w:rPr>
      </w:pPr>
      <w:r>
        <w:rPr>
          <w:rFonts w:ascii="Arial" w:cs="Arial" w:eastAsia="Arial" w:hAnsi="Arial"/>
          <w:sz w:val="16"/>
          <w:szCs w:val="16"/>
          <w:color w:val="auto"/>
        </w:rPr>
        <w:t>If in connection with a Hedging Transaction, a Hedging Counterparty or any Affiliate thereof is (or may be considered) an underwriter or selling stockholder, then it shall be required to provide customary indemnities to the Company regarding the plan of distribution and like matters.</w:t>
      </w:r>
    </w:p>
    <w:p>
      <w:pPr>
        <w:spacing w:after="0" w:line="85" w:lineRule="exact"/>
        <w:rPr>
          <w:rFonts w:ascii="Arial" w:cs="Arial" w:eastAsia="Arial" w:hAnsi="Arial"/>
          <w:sz w:val="16"/>
          <w:szCs w:val="16"/>
          <w:color w:val="auto"/>
        </w:rPr>
      </w:pPr>
    </w:p>
    <w:p>
      <w:pPr>
        <w:ind w:right="100" w:firstLine="1492"/>
        <w:spacing w:after="0" w:line="294" w:lineRule="auto"/>
        <w:tabs>
          <w:tab w:leader="none" w:pos="1732" w:val="left"/>
        </w:tabs>
        <w:numPr>
          <w:ilvl w:val="2"/>
          <w:numId w:val="167"/>
        </w:numPr>
        <w:rPr>
          <w:rFonts w:ascii="Arial" w:cs="Arial" w:eastAsia="Arial" w:hAnsi="Arial"/>
          <w:sz w:val="16"/>
          <w:szCs w:val="16"/>
          <w:color w:val="auto"/>
        </w:rPr>
      </w:pPr>
      <w:r>
        <w:rPr>
          <w:rFonts w:ascii="Arial" w:cs="Arial" w:eastAsia="Arial" w:hAnsi="Arial"/>
          <w:sz w:val="16"/>
          <w:szCs w:val="16"/>
          <w:color w:val="auto"/>
        </w:rPr>
        <w:t xml:space="preserve">The Company further agrees to include, under the caption “Plan of Distribution” (or the equivalent caption), in each Registration Statement and any related Prospectus (to the extent such inclusion is permitted under applicable Commission regulations and is consistent with comments received from the Commission during any Commission review of the Registration Statement), language substantially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and to include in each Prospectus supplement filed in connection with any proposed Hedging Transaction language mutually agreed upon by the Company, the relevant Designated Stockholder and the Hedging Counterparty describing such Hedging Transaction.</w:t>
      </w:r>
    </w:p>
    <w:p>
      <w:pPr>
        <w:spacing w:after="0" w:line="196" w:lineRule="exact"/>
        <w:rPr>
          <w:rFonts w:ascii="Arial" w:cs="Arial" w:eastAsia="Arial" w:hAnsi="Arial"/>
          <w:sz w:val="16"/>
          <w:szCs w:val="16"/>
          <w:color w:val="auto"/>
        </w:rPr>
      </w:pPr>
    </w:p>
    <w:p>
      <w:pPr>
        <w:ind w:left="1100" w:hanging="179"/>
        <w:spacing w:after="0"/>
        <w:tabs>
          <w:tab w:leader="none" w:pos="1100"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Holdback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2"/>
          <w:numId w:val="168"/>
        </w:numPr>
        <w:rPr>
          <w:rFonts w:ascii="Arial" w:cs="Arial" w:eastAsia="Arial" w:hAnsi="Arial"/>
          <w:sz w:val="18"/>
          <w:szCs w:val="18"/>
          <w:color w:val="auto"/>
        </w:rPr>
      </w:pPr>
      <w:r>
        <w:rPr>
          <w:rFonts w:ascii="Arial" w:cs="Arial" w:eastAsia="Arial" w:hAnsi="Arial"/>
          <w:sz w:val="18"/>
          <w:szCs w:val="18"/>
          <w:u w:val="single" w:color="auto"/>
          <w:color w:val="auto"/>
        </w:rPr>
        <w:t>Restrictions on Public Sale by Designated Stockholders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948"/>
        <w:spacing w:after="0" w:line="302" w:lineRule="auto"/>
        <w:tabs>
          <w:tab w:leader="none" w:pos="2150" w:val="left"/>
        </w:tabs>
        <w:numPr>
          <w:ilvl w:val="3"/>
          <w:numId w:val="168"/>
        </w:numPr>
        <w:rPr>
          <w:rFonts w:ascii="Arial" w:cs="Arial" w:eastAsia="Arial" w:hAnsi="Arial"/>
          <w:sz w:val="15"/>
          <w:szCs w:val="15"/>
          <w:color w:val="auto"/>
        </w:rPr>
      </w:pPr>
      <w:r>
        <w:rPr>
          <w:rFonts w:ascii="Arial" w:cs="Arial" w:eastAsia="Arial" w:hAnsi="Arial"/>
          <w:sz w:val="15"/>
          <w:szCs w:val="15"/>
          <w:color w:val="auto"/>
        </w:rPr>
        <w:t>To the extent requested by the Approved Underwriter or the Company Underwriter, as the case may be, in the case of an underwritten public offering, each Designated Stockholder (other than any Pledgee or Hedging Counterparty), agrees (x) not to effect any public sale or distribution of any Registrable Securities or of any securities convertible into or exchangeable or exercisable for such Registrable Securities, including a sale pursuant to Rule 144 (or any successor rule or regulation) promulgated under the Securities Act, or offer to sell, contract to sell (including, without limitation, any short sale), grant any option to purchase or enter into any hedging or similar transaction with the same economic effect as a sale of any Registrable Securities and</w:t>
      </w:r>
    </w:p>
    <w:p>
      <w:pPr>
        <w:spacing w:after="0" w:line="1" w:lineRule="exact"/>
        <w:rPr>
          <w:rFonts w:ascii="Arial" w:cs="Arial" w:eastAsia="Arial" w:hAnsi="Arial"/>
          <w:sz w:val="15"/>
          <w:szCs w:val="15"/>
          <w:color w:val="auto"/>
        </w:rPr>
      </w:pPr>
    </w:p>
    <w:p>
      <w:pPr>
        <w:ind w:right="40" w:firstLine="8"/>
        <w:spacing w:after="0" w:line="276" w:lineRule="auto"/>
        <w:tabs>
          <w:tab w:leader="none" w:pos="24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except as otherwise consented to by the Company, not to make any request for a Demand Registration or S-3 Registration under this Agreement, in each case, during the period beginning on the effective date of any Registration Statement relating to a registration in which Designated Stockholders of Registrable Securities are participating and ending on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actual effective date of such Registration Statement (except as part of such registration); provided, however, that any waiver or exception from these provisions with respect to a Designated Stockholder by the Company, any Approved Underwriter or any Company Underwriter shall automatically apply to all Designated Stockholders. In connection with the Initial Public Offering, in lieu of the foregoing provisions of this Section 7(a), each Designated Stockholder shall comply with the terms of its applicable Lock-up Agreement.</w:t>
      </w:r>
    </w:p>
    <w:p>
      <w:pPr>
        <w:spacing w:after="0" w:line="129" w:lineRule="exact"/>
        <w:rPr>
          <w:rFonts w:ascii="Arial" w:cs="Arial" w:eastAsia="Arial" w:hAnsi="Arial"/>
          <w:sz w:val="16"/>
          <w:szCs w:val="16"/>
          <w:color w:val="auto"/>
        </w:rPr>
      </w:pPr>
    </w:p>
    <w:p>
      <w:pPr>
        <w:ind w:left="2200" w:hanging="252"/>
        <w:spacing w:after="0"/>
        <w:tabs>
          <w:tab w:leader="none" w:pos="2200" w:val="left"/>
        </w:tabs>
        <w:numPr>
          <w:ilvl w:val="3"/>
          <w:numId w:val="169"/>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Pledgee or Hedging Counterparty shall be required to agree to any restriction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its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53" w:name="page254"/>
    <w:bookmarkEnd w:id="25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ability to trade in any securities, including the restrictions set forth in this Section 7(a). The Designated Stockholders hereby agree that they shall act in good faith with respect to the restrictions set forth in Section 7(a) and shall take no action or omit to take any action with the intention of circumventing or evading the restrictions applicable to them under this 7(a).</w:t>
      </w:r>
    </w:p>
    <w:p>
      <w:pPr>
        <w:spacing w:after="0" w:line="140" w:lineRule="exact"/>
        <w:rPr>
          <w:sz w:val="20"/>
          <w:szCs w:val="20"/>
          <w:color w:val="auto"/>
        </w:rPr>
      </w:pPr>
    </w:p>
    <w:p>
      <w:pPr>
        <w:ind w:firstLine="1492"/>
        <w:spacing w:after="0" w:line="289" w:lineRule="auto"/>
        <w:tabs>
          <w:tab w:leader="none" w:pos="1732"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Restrictions on Public Sale by the Company</w:t>
      </w:r>
      <w:r>
        <w:rPr>
          <w:rFonts w:ascii="Arial" w:cs="Arial" w:eastAsia="Arial" w:hAnsi="Arial"/>
          <w:sz w:val="16"/>
          <w:szCs w:val="16"/>
          <w:color w:val="auto"/>
        </w:rPr>
        <w:t>. Unless the Company shall have received the prior written consent of the Majority Designated Stockholders, the Company agrees not to (i) effect any public sale or distribution of any of its securities, or any securities convertible into or exchangeable or exercisable for such securities (except pursuant to registrations on Form S-4 or S-8 or any successor form thereto), (ii) file any Registration Statements relating to the registration of securities for the Company’s account (except pursuant to registrations on Form S-4 or S-8 or any successor form thereto), or (iii) make any public announcements related to clause (i) or (ii), in each case, during the period beginning on the effective date of any Registration Statement relating to a registration in which the Designated Stockholders of Registrable Securities are participating and ending on the earlier of (X) the date on which all Registrable Securities registered on such Registration Statement are sold and (Y) 90 days after the actual effective date of such Registration Statement (except as part of such registration).</w:t>
      </w:r>
    </w:p>
    <w:p>
      <w:pPr>
        <w:spacing w:after="0" w:line="199" w:lineRule="exact"/>
        <w:rPr>
          <w:rFonts w:ascii="Arial" w:cs="Arial" w:eastAsia="Arial" w:hAnsi="Arial"/>
          <w:sz w:val="16"/>
          <w:szCs w:val="16"/>
          <w:color w:val="auto"/>
        </w:rPr>
      </w:pPr>
    </w:p>
    <w:p>
      <w:pPr>
        <w:ind w:left="1100" w:hanging="179"/>
        <w:spacing w:after="0"/>
        <w:tabs>
          <w:tab w:leader="none" w:pos="11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1492"/>
        <w:spacing w:after="0" w:line="306" w:lineRule="auto"/>
        <w:tabs>
          <w:tab w:leader="none" w:pos="1722"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registration of Registrable Securities has been requested or required pursuant to Section 3, Section 4 or Section 5, the Company shall use its commercially reasonable efforts to effect the registration and sale of such Registrable Securities in accordance with the intended method of distribution thereof as quickly as practicable, and in connection with any such request, the Company shall:</w:t>
      </w:r>
    </w:p>
    <w:p>
      <w:pPr>
        <w:spacing w:after="0" w:line="25" w:lineRule="exact"/>
        <w:rPr>
          <w:rFonts w:ascii="Arial" w:cs="Arial" w:eastAsia="Arial" w:hAnsi="Arial"/>
          <w:sz w:val="16"/>
          <w:szCs w:val="16"/>
          <w:color w:val="auto"/>
        </w:rPr>
      </w:pPr>
    </w:p>
    <w:p>
      <w:pPr>
        <w:ind w:right="20" w:firstLine="1948"/>
        <w:spacing w:after="0" w:line="287" w:lineRule="auto"/>
        <w:tabs>
          <w:tab w:leader="none" w:pos="2150" w:val="left"/>
        </w:tabs>
        <w:numPr>
          <w:ilvl w:val="2"/>
          <w:numId w:val="171"/>
        </w:numPr>
        <w:rPr>
          <w:rFonts w:ascii="Arial" w:cs="Arial" w:eastAsia="Arial" w:hAnsi="Arial"/>
          <w:sz w:val="16"/>
          <w:szCs w:val="16"/>
          <w:color w:val="auto"/>
        </w:rPr>
      </w:pPr>
      <w:r>
        <w:rPr>
          <w:rFonts w:ascii="Arial" w:cs="Arial" w:eastAsia="Arial" w:hAnsi="Arial"/>
          <w:sz w:val="16"/>
          <w:szCs w:val="16"/>
          <w:color w:val="auto"/>
        </w:rPr>
        <w:t xml:space="preserve">as expeditiously as possible, prepare and file with the Commission a Registration Statement on any form for which the Company then qualifies or which counsel for the Company shall deem appropriate and which form shall be available for the sale of such Registrable Securities in accordance with the intended method of distribution thereof, and cause such Registration Statement to become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before filing a Registration Statement or Prospectus or any amendments or supplements thereto (including, without limitation, any documents incorporated by reference therein), or before using any Free Writing Prospectus, the Company shall provide one firm of legal counsel selected by the Designated Stockholders holding a majority of the Registrable Securities being registered in such registration (“</w:t>
      </w:r>
      <w:r>
        <w:rPr>
          <w:rFonts w:ascii="Arial" w:cs="Arial" w:eastAsia="Arial" w:hAnsi="Arial"/>
          <w:sz w:val="16"/>
          <w:szCs w:val="16"/>
          <w:u w:val="single" w:color="auto"/>
          <w:color w:val="auto"/>
        </w:rPr>
        <w:t>Designated Stockholders’ Counsel</w:t>
      </w:r>
      <w:r>
        <w:rPr>
          <w:rFonts w:ascii="Arial" w:cs="Arial" w:eastAsia="Arial" w:hAnsi="Arial"/>
          <w:sz w:val="16"/>
          <w:szCs w:val="16"/>
          <w:color w:val="auto"/>
        </w:rPr>
        <w:t>”) and any other Inspector with an opportunity to review and comment on such Registration Statement and each Prospectus included therein (and each amendment or supplement thereto) and each Free Writing Prospectus to be filed with the Commission, subject to such documents being under the Company’s control, and (y) the Company shall notify the Designated Stockholders’ Counsel and each seller of Registrable Securities pursuant to such Registration Statement of any stop order issued or threatened by the Commission and take all reasonable actions required to prevent the entry of such stop order or to remove it if entered;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54" w:name="page255"/>
    <w:bookmarkEnd w:id="254"/>
    <w:p>
      <w:pPr>
        <w:ind w:left="-20" w:right="40" w:firstLine="1948"/>
        <w:spacing w:after="0" w:line="289" w:lineRule="auto"/>
        <w:tabs>
          <w:tab w:leader="none" w:pos="2178"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expeditiously as possible, prepare and file with the Commission such amendments and supplements to such Registration Statement and the Prospectus used in connection therewith as may be necessary to keep such Registration Statement effective for the lesser of (x) 120 days (or, in the case of an S-3 Registration, three years from the effective date of the Registration Statement if such Registration Statement is filed pursuant to Rule 415 promulgated under the Securities Act (or any successor rule or regulation)) and (y) such shorter period which will terminate when all Registrable Securities covered by such Registration Statement have been sold (or, if such Registration Statement is an Automatic Shelf Registration Statement, on the third anniversary of the date of filing of such Automatic Shelf Registration Statement);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18" w:lineRule="exact"/>
        <w:rPr>
          <w:rFonts w:ascii="Arial" w:cs="Arial" w:eastAsia="Arial" w:hAnsi="Arial"/>
          <w:sz w:val="16"/>
          <w:szCs w:val="16"/>
          <w:color w:val="auto"/>
        </w:rPr>
      </w:pPr>
    </w:p>
    <w:p>
      <w:pPr>
        <w:ind w:left="-20" w:firstLine="1948"/>
        <w:spacing w:after="0" w:line="298" w:lineRule="auto"/>
        <w:tabs>
          <w:tab w:leader="none" w:pos="222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as expeditiously as possible, furnish to each seller of Registrable Securities such number of copies of such Registration Statement, each amendment and supplement thereto (in each case including all exhibits thereto), the Prospectus included in such Registration Statement (including each preliminary Prospectus), any Prospectus filed under Rule 424 under the Securities Act and any Free Writing Prospectus as each such seller may reasonably request in order to facilitate the disposition of the Registrable Securities owned by such seller;</w:t>
      </w:r>
    </w:p>
    <w:p>
      <w:pPr>
        <w:spacing w:after="0" w:line="112" w:lineRule="exact"/>
        <w:rPr>
          <w:rFonts w:ascii="Arial" w:cs="Arial" w:eastAsia="Arial" w:hAnsi="Arial"/>
          <w:sz w:val="16"/>
          <w:szCs w:val="16"/>
          <w:color w:val="auto"/>
        </w:rPr>
      </w:pPr>
    </w:p>
    <w:p>
      <w:pPr>
        <w:ind w:left="-20" w:right="100" w:firstLine="1948"/>
        <w:spacing w:after="0" w:line="290" w:lineRule="auto"/>
        <w:tabs>
          <w:tab w:leader="none" w:pos="221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as expeditiously as possible, register or qualify such Registrable Securities under such other securities or “blue sky” laws of such jurisdictions as any seller of Registrable Securities may reasonably request, and to continue such registration or qualification in effect in such jurisdiction for as long as permissible pursuant to the laws of such jurisdiction, or for as long as any such seller requests or until all of such Registrable Securities are sold, whichever is shortest, and do any and all other acts and things which may be reasonably necessary or advisable to enable any such seller to consummate the disposition in such jurisdictions of the Registrable Securities owned by such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(x) qualify generally to do business in any jurisdiction where it would not otherwise be required to qualify but for this Section 8(a)(iv), (y) subject itself to taxation in any such jurisdiction or (z) consent to general service of process in any such jurisdiction;</w:t>
      </w:r>
    </w:p>
    <w:p>
      <w:pPr>
        <w:spacing w:after="0" w:line="118" w:lineRule="exact"/>
        <w:rPr>
          <w:rFonts w:ascii="Arial" w:cs="Arial" w:eastAsia="Arial" w:hAnsi="Arial"/>
          <w:sz w:val="16"/>
          <w:szCs w:val="16"/>
          <w:color w:val="auto"/>
        </w:rPr>
      </w:pPr>
    </w:p>
    <w:p>
      <w:pPr>
        <w:ind w:left="-20" w:firstLine="1948"/>
        <w:spacing w:after="0" w:line="255" w:lineRule="auto"/>
        <w:tabs>
          <w:tab w:leader="none" w:pos="216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expeditiously as possible following its actual knowledge thereof, notify each seller of Registrable Securities: (A) when a Prospectus, any Prospectus supplement, any Free Writing Prospectus, a Registration Statement or a post-effective amendment to a Registration Statement has been filed with the Commission, and, with respect to a Registration Statement or any post-effective amendment, when the same has become effective; (B) of any request by the Commission or any other federal or state governmental authority for amendments or supplements to a Registration Statement, related Prospectus or Free Writing Prospectus or for additional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255" w:name="page256"/>
    <w:bookmarkEnd w:id="25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(C) of the receipt by the Company of any notification with respect to the suspension of the qualification or exemption from qualification of any of the Registrable Securities for sale in any jurisdiction or the initiation or threatening of any proceedings for such purpose; and (D) of the existence of any fact or happening of any event of which the Company has knowledge which makes any statement of a material fact in such Registration Statement, related Prospectus or Free Writing Prospectus or any document incorporated or deemed to be incorporated therein by reference untrue or which would require the making of any changes in the Registration Statement, Prospectus or Free Writing Prospectus in order that, in the case of the Registration Statement, it will not contain any untrue statement of a material fact or omit to state any material fact required to be stated therein or necessary to make the statements therein not misleading, and that in the case of such Prospectus or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18" w:lineRule="exact"/>
        <w:rPr>
          <w:sz w:val="20"/>
          <w:szCs w:val="20"/>
          <w:color w:val="auto"/>
        </w:rPr>
      </w:pPr>
    </w:p>
    <w:p>
      <w:pPr>
        <w:ind w:right="20" w:firstLine="1948"/>
        <w:spacing w:after="0" w:line="289" w:lineRule="auto"/>
        <w:tabs>
          <w:tab w:leader="none" w:pos="223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as expeditiously as possible, upon the occurrence of any event contemplated by Section 8(a)(v)(D) or, subject to Sections 3(a) and 5(c), the existence of a Valid Business Reason, as promptly as practicable, prepare a supplement or amendment to such Registration Statement, related Prospectus or Free Writing Prospectus and furnish to each seller of Registrable Securities a reasonable number of copies of such supplement to or an amendment of such Registration Statement, Prospectus or Free Writing Prospectus as may be necessary so that, after delivery to the purchasers of such Registrable Securities, in the case of the Registration Statement, it will not contain any untrue statement of a material fact or omit to state any material fact required to be stated therein or necessary to make the statements therein not misleading, and that in the case of such Prospectus or Free Writing Prospectus, it will not contain any untrue statement of a material fact or omit to state any material fact required to be stated therein or necessary to make the statements therein, in light of the circumstances under which they were made, not misleading;</w:t>
      </w:r>
    </w:p>
    <w:p>
      <w:pPr>
        <w:spacing w:after="0" w:line="118" w:lineRule="exact"/>
        <w:rPr>
          <w:rFonts w:ascii="Arial" w:cs="Arial" w:eastAsia="Arial" w:hAnsi="Arial"/>
          <w:sz w:val="16"/>
          <w:szCs w:val="16"/>
          <w:color w:val="auto"/>
        </w:rPr>
      </w:pPr>
    </w:p>
    <w:p>
      <w:pPr>
        <w:ind w:right="340" w:firstLine="1948"/>
        <w:spacing w:after="0" w:line="254" w:lineRule="auto"/>
        <w:tabs>
          <w:tab w:leader="none" w:pos="228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enter into and perform customary agreements (including an underwriting agreement in customary form with the Approved Underwriter or Company Underwriter, if any, selected as provided in Section 3, Section 4 or Section 5, as the case may be) and take such other commercially reasonable actions as are reasonably required in order to expedite or facilitate the disposition of such Registrable Securities and shall provide all reasonable cooperation, including causing its appropriate officers to attend and participate in “road shows” and other information meetings organized by the Approved Underwriter or Company Underwriter, if applicable, and causing counsel to the Company to deliver customary legal opinions in connection with any such underwriting agreements;</w:t>
      </w:r>
    </w:p>
    <w:p>
      <w:pPr>
        <w:spacing w:after="0" w:line="144" w:lineRule="exact"/>
        <w:rPr>
          <w:rFonts w:ascii="Arial" w:cs="Arial" w:eastAsia="Arial" w:hAnsi="Arial"/>
          <w:sz w:val="18"/>
          <w:szCs w:val="18"/>
          <w:color w:val="auto"/>
        </w:rPr>
      </w:pPr>
    </w:p>
    <w:p>
      <w:pPr>
        <w:ind w:right="80" w:firstLine="1948"/>
        <w:spacing w:after="0" w:line="259" w:lineRule="auto"/>
        <w:tabs>
          <w:tab w:leader="none" w:pos="233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make available at reasonable times for inspection by any managing underwriter or broker/dealer participating in any disposition of such Registrable Securities pursuant to a Registration Statement, any attorney retained by any such managing underwriter or broker/dealer and Designated Stockholders’ Counsel (each, an “</w:t>
      </w:r>
      <w:r>
        <w:rPr>
          <w:rFonts w:ascii="Arial" w:cs="Arial" w:eastAsia="Arial" w:hAnsi="Arial"/>
          <w:sz w:val="18"/>
          <w:szCs w:val="18"/>
          <w:u w:val="single" w:color="auto"/>
          <w:color w:val="auto"/>
        </w:rPr>
        <w:t>Inspector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Inspectors</w:t>
      </w:r>
      <w:r>
        <w:rPr>
          <w:rFonts w:ascii="Arial" w:cs="Arial" w:eastAsia="Arial" w:hAnsi="Arial"/>
          <w:sz w:val="18"/>
          <w:szCs w:val="18"/>
          <w:color w:val="auto"/>
        </w:rPr>
        <w:t>”), all financial and other records,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56" w:name="page257"/>
    <w:bookmarkEnd w:id="256"/>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pertinent corporate documents and properties of the Company and its subsidiaries (collectively, the “</w:t>
      </w:r>
      <w:r>
        <w:rPr>
          <w:rFonts w:ascii="Arial" w:cs="Arial" w:eastAsia="Arial" w:hAnsi="Arial"/>
          <w:sz w:val="15"/>
          <w:szCs w:val="15"/>
          <w:u w:val="single" w:color="auto"/>
          <w:color w:val="auto"/>
        </w:rPr>
        <w:t>Records</w:t>
      </w:r>
      <w:r>
        <w:rPr>
          <w:rFonts w:ascii="Arial" w:cs="Arial" w:eastAsia="Arial" w:hAnsi="Arial"/>
          <w:sz w:val="15"/>
          <w:szCs w:val="15"/>
          <w:color w:val="auto"/>
        </w:rPr>
        <w:t>”) as shall be reasonably necessary to enable them to exercise their due diligence responsibility, and cause the Company’s and its subsidiaries’ officers, directors and employees, and the Company’s independent registered public accounting firm, to supply all information reasonably requested by any such Inspector in connection with such Registration Statement. Records that the Company determines, in good faith, to be confidential and which it notifies the Inspectors are confidential shall not be disclosed by the Inspectors (and the Inspectors shall confirm their agreement in writing in advance to the Company if the Company shall so request) unless (x) the disclosure of such Records is necessary, in the Company’s judgment, to avoid or correct a misstatement or omission in the Registration Statement, (y) the release of such Records is ordered pursuant to a subpoena or other order from a court of competent jurisdiction after exhaustion of all appeals therefrom or (z) the information in such Records was known to the Inspectors on a non-confidential basis prior to its disclosure by the Company or has been made generally available to the public. Each seller of Registrable Securities agrees that it shall, upon learning that disclosure of such Records is sought in a court of competent jurisdiction, give notice to the Company and allow the Company, at the Company’s expense, to undertake appropriate action to prevent disclosure of the Records deemed confidential. In the event that the Company is unsuccessful in preventing the disclosure of such Records, such seller agrees that it shall furnish only portion of those Records which it is advised by counsel is legally required and shall exercise all reasonable efforts to obtain reliable assurance that confidential treatment will be accorded to those Records;</w:t>
      </w:r>
    </w:p>
    <w:p>
      <w:pPr>
        <w:spacing w:after="0" w:line="116" w:lineRule="exact"/>
        <w:rPr>
          <w:sz w:val="20"/>
          <w:szCs w:val="20"/>
          <w:color w:val="auto"/>
        </w:rPr>
      </w:pPr>
    </w:p>
    <w:p>
      <w:pPr>
        <w:ind w:right="260" w:firstLine="1948"/>
        <w:spacing w:after="0" w:line="306" w:lineRule="auto"/>
        <w:tabs>
          <w:tab w:leader="none" w:pos="223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such sale is pursuant to an underwritten offering, obtain a “cold comfort” letter dated the effective date of the Registration Statement and the date of the closing under the underwriting agreement from the Company’s independent registered public accounting firm in customary form and covering such matters of the type customarily covered by “cold comfort” letters as the managing underwriter reasonably requests;</w:t>
      </w:r>
    </w:p>
    <w:p>
      <w:pPr>
        <w:spacing w:after="0" w:line="106" w:lineRule="exact"/>
        <w:rPr>
          <w:rFonts w:ascii="Arial" w:cs="Arial" w:eastAsia="Arial" w:hAnsi="Arial"/>
          <w:sz w:val="16"/>
          <w:szCs w:val="16"/>
          <w:color w:val="auto"/>
        </w:rPr>
      </w:pPr>
    </w:p>
    <w:p>
      <w:pPr>
        <w:ind w:right="160" w:firstLine="1948"/>
        <w:spacing w:after="0" w:line="294" w:lineRule="auto"/>
        <w:tabs>
          <w:tab w:leader="none" w:pos="218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furnish, at the request of any seller of Registrable Securities on the date such securities are delivered to the underwriters for sale pursuant to such registration or, if such securities are not being sold through underwriters, on the date the Registration Statement with respect to such securities becomes effective, an opinion, dated such date, of counsel representing the Company for the purposes of such registration, addressed to the underwriters, if any, and to the seller making such request, covering such legal matters with respect to the registration in respect of which such opinion is being given as the underwriters, if any, and such seller may reasonably request and are customarily included in such opinions;</w:t>
      </w:r>
    </w:p>
    <w:p>
      <w:pPr>
        <w:spacing w:after="0" w:line="115" w:lineRule="exact"/>
        <w:rPr>
          <w:rFonts w:ascii="Arial" w:cs="Arial" w:eastAsia="Arial" w:hAnsi="Arial"/>
          <w:sz w:val="16"/>
          <w:szCs w:val="16"/>
          <w:color w:val="auto"/>
        </w:rPr>
      </w:pPr>
    </w:p>
    <w:p>
      <w:pPr>
        <w:ind w:right="180" w:firstLine="1948"/>
        <w:spacing w:after="0" w:line="256" w:lineRule="auto"/>
        <w:tabs>
          <w:tab w:leader="none" w:pos="223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comply with all applicable rules and regulations of the Commission, and make available to its security holders, as soon as reasonably practicable but no later than fifteen (15) months after the effective date of the Registration Statement, an earnings statement covering a period of twelve (12) months beginning after the effective date of the Registration Statement, in a manner which satisfies the provisions of Section 11(a) of the Securities Act and Rule 158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57" w:name="page258"/>
    <w:bookmarkEnd w:id="257"/>
    <w:p>
      <w:pPr>
        <w:ind w:left="-40" w:right="120" w:firstLine="1948"/>
        <w:spacing w:after="0" w:line="268" w:lineRule="auto"/>
        <w:tabs>
          <w:tab w:leader="none" w:pos="2246" w:val="left"/>
        </w:tabs>
        <w:numPr>
          <w:ilvl w:val="1"/>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cause all such Registrable Securities to be listed on each securities exchange on which similar securities issued by the Company are then listed,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listing requirements are satisfied;</w:t>
      </w:r>
    </w:p>
    <w:p>
      <w:pPr>
        <w:spacing w:after="0" w:line="131" w:lineRule="exact"/>
        <w:rPr>
          <w:rFonts w:ascii="Arial" w:cs="Arial" w:eastAsia="Arial" w:hAnsi="Arial"/>
          <w:sz w:val="18"/>
          <w:szCs w:val="18"/>
          <w:color w:val="auto"/>
        </w:rPr>
      </w:pPr>
    </w:p>
    <w:p>
      <w:pPr>
        <w:ind w:left="-40" w:right="340" w:firstLine="1948"/>
        <w:spacing w:after="0" w:line="268" w:lineRule="auto"/>
        <w:tabs>
          <w:tab w:leader="none" w:pos="229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cooperate with each seller of Registrable Securities and each underwriter participating in the disposition of such Registrable Securities and their respective counsel in connection with any filings required to be made with the NASD;</w:t>
      </w:r>
    </w:p>
    <w:p>
      <w:pPr>
        <w:spacing w:after="0" w:line="131" w:lineRule="exact"/>
        <w:rPr>
          <w:rFonts w:ascii="Arial" w:cs="Arial" w:eastAsia="Arial" w:hAnsi="Arial"/>
          <w:sz w:val="18"/>
          <w:szCs w:val="18"/>
          <w:color w:val="auto"/>
        </w:rPr>
      </w:pPr>
    </w:p>
    <w:p>
      <w:pPr>
        <w:ind w:left="-40" w:right="240" w:firstLine="1948"/>
        <w:spacing w:after="0" w:line="306" w:lineRule="auto"/>
        <w:tabs>
          <w:tab w:leader="none" w:pos="228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use its commercially reasonable efforts to cause the Registrable Securities covered by such Registration Statement to be registered with or approved by such other governmental agencies or authorities, as may be reasonably necessary by virtue of the business and operations of the Company to enable the seller or sellers of Registrable Securities to consummate the disposition of such Registrable Securities; and</w:t>
      </w:r>
    </w:p>
    <w:p>
      <w:pPr>
        <w:spacing w:after="0" w:line="106" w:lineRule="exact"/>
        <w:rPr>
          <w:rFonts w:ascii="Arial" w:cs="Arial" w:eastAsia="Arial" w:hAnsi="Arial"/>
          <w:sz w:val="16"/>
          <w:szCs w:val="16"/>
          <w:color w:val="auto"/>
        </w:rPr>
      </w:pPr>
    </w:p>
    <w:p>
      <w:pPr>
        <w:ind w:left="-40" w:right="720" w:firstLine="1948"/>
        <w:spacing w:after="0" w:line="332" w:lineRule="auto"/>
        <w:tabs>
          <w:tab w:leader="none" w:pos="2236"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take all other steps reasonably necessary to effect the registration of the Registrable Securities contemplated hereby and reasonably cooperate with the holders of such Registrable Securities to facilitate the disposition of such Registrable Securities pursuant thereto;</w:t>
      </w:r>
    </w:p>
    <w:p>
      <w:pPr>
        <w:spacing w:after="0" w:line="85" w:lineRule="exact"/>
        <w:rPr>
          <w:rFonts w:ascii="Arial" w:cs="Arial" w:eastAsia="Arial" w:hAnsi="Arial"/>
          <w:sz w:val="16"/>
          <w:szCs w:val="16"/>
          <w:color w:val="auto"/>
        </w:rPr>
      </w:pPr>
    </w:p>
    <w:p>
      <w:pPr>
        <w:ind w:left="-40" w:firstLine="1948"/>
        <w:spacing w:after="0" w:line="268" w:lineRule="auto"/>
        <w:tabs>
          <w:tab w:leader="none" w:pos="228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expeditiously as possible and within the deadlines specified by the Securities Act, make all required filings of all Prospectuses and Free Writing Prospectuses with the Commission; and</w:t>
      </w:r>
    </w:p>
    <w:p>
      <w:pPr>
        <w:spacing w:after="0" w:line="131" w:lineRule="exact"/>
        <w:rPr>
          <w:rFonts w:ascii="Arial" w:cs="Arial" w:eastAsia="Arial" w:hAnsi="Arial"/>
          <w:sz w:val="18"/>
          <w:szCs w:val="18"/>
          <w:color w:val="auto"/>
        </w:rPr>
      </w:pPr>
    </w:p>
    <w:p>
      <w:pPr>
        <w:ind w:left="-40" w:right="240" w:firstLine="1948"/>
        <w:spacing w:after="0" w:line="268" w:lineRule="auto"/>
        <w:tabs>
          <w:tab w:leader="none" w:pos="233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expeditiously as possible and within the deadlines specified by the Securities Act, make all required filing fee payments in respect of any Registration Statement or Prospectus used under this Agreement (and any offering covered thereby).</w:t>
      </w:r>
    </w:p>
    <w:p>
      <w:pPr>
        <w:spacing w:after="0" w:line="131" w:lineRule="exact"/>
        <w:rPr>
          <w:rFonts w:ascii="Arial" w:cs="Arial" w:eastAsia="Arial" w:hAnsi="Arial"/>
          <w:sz w:val="18"/>
          <w:szCs w:val="18"/>
          <w:color w:val="auto"/>
        </w:rPr>
      </w:pPr>
    </w:p>
    <w:p>
      <w:pPr>
        <w:ind w:left="-40" w:right="20" w:firstLine="1492"/>
        <w:spacing w:after="0" w:line="287" w:lineRule="auto"/>
        <w:tabs>
          <w:tab w:leader="none" w:pos="169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Seller Requirements</w:t>
      </w:r>
      <w:r>
        <w:rPr>
          <w:rFonts w:ascii="Arial" w:cs="Arial" w:eastAsia="Arial" w:hAnsi="Arial"/>
          <w:sz w:val="16"/>
          <w:szCs w:val="16"/>
          <w:color w:val="auto"/>
        </w:rPr>
        <w:t>. In connection with any offering under any Registration Statement under this Agreement, each Designated Stockholder (i) shall promptly furnish to the Company in writing such information with respect to such Designated Stockholder and the intended method of disposition of its Registrable Securities as the Company may reasonably request or as may be required by law for use in connection with any related Registration Statement or Prospectus (or amendment or supplement thereto) and all information required to be disclosed in order to make the information previously furnished to the Company by such Designated Stockholder not contain a material misstatement of fact or necessary to cause such Registration Statement or Prospectus (or amendment or supplement thereto) not to omit a material fact with respect to such Designated Stockholder necessary in order to make the statements therein not misleading; (ii) shall comply with the Securities Act and the Exchange Act and all applicable state securities laws and comply with all applicable regulations in connection with the registration and the disposition of the Registrable Securities; and (iii) shall not use any Free Writing Prospectus without the prior written consent of the Company. If any seller of Registrable Securities fails to provide such information required to be included in such Registration Statement by applicable securities laws or otherwise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80" w:top="280" w:right="259" w:bottom="1440" w:gutter="0" w:footer="0" w:header="0"/>
        </w:sectPr>
      </w:pPr>
    </w:p>
    <w:bookmarkStart w:id="258" w:name="page259"/>
    <w:bookmarkEnd w:id="258"/>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or desirable in connection with the disposition of such Registrable Securities in a timely manner after written request therefor, the Company may exclude such seller’s Registrable Securities from a registration under Sections 3, 4 or 5 hereof.</w:t>
      </w:r>
    </w:p>
    <w:p>
      <w:pPr>
        <w:spacing w:after="0" w:line="132" w:lineRule="exact"/>
        <w:rPr>
          <w:sz w:val="20"/>
          <w:szCs w:val="20"/>
          <w:color w:val="auto"/>
        </w:rPr>
      </w:pPr>
    </w:p>
    <w:p>
      <w:pPr>
        <w:ind w:firstLine="1492"/>
        <w:spacing w:after="0" w:line="286" w:lineRule="auto"/>
        <w:tabs>
          <w:tab w:leader="none" w:pos="1722"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Notice to Discontinue</w:t>
      </w:r>
      <w:r>
        <w:rPr>
          <w:rFonts w:ascii="Arial" w:cs="Arial" w:eastAsia="Arial" w:hAnsi="Arial"/>
          <w:sz w:val="16"/>
          <w:szCs w:val="16"/>
          <w:color w:val="auto"/>
        </w:rPr>
        <w:t>. Each Designated Stockholder agrees that, upon receipt of any notice from the Company of the happening of any event of the kind described in Section 8(a)(v)(D) or, subject to Section 3(a) and 5(c), the existence of Valid Business Reason, such Designated Stockholder shall forthwith discontinue disposition of Registrable Securities pursuant to the Registration Statement covering such Registrable Securities until such Designated Stockholder’s receipt of the copies of the supplemented or amended Prospectus or Free Writing Prospectus contemplated by Section 8(a)(vi) (or if no supplemental or amended prospectus or Free Writing Prospectus is required, upon confirmation from the Company that use of the Prospectus or Free Writing Prospectus is once again permitted) and, if so directed by the Company, such Designated Stockholder shall deliver to the Company (at the Company’s expense) all copies, other than permanent file copies then in such Designated Stockholder’s possession, of the Prospectus or Free Writing Prospectus covering such Registrable Securities which is current at the time of receipt of such notice. If the Company shall give any such notice, the Company shall extend the period during which such Registration Statement shall be maintained effective pursuant to this Agreement (including, without limitation, the period referred to in Section 8(a)(ii)) by the number of days during the period from and including the date of the giving of such notice pursuant to Section 8(a)(v)(D) to and including the date when sellers of such Registrable Securities under such Registration Statement shall have received the copies of the supplemented or amended Prospectus or Free Writing Prospectus contemplated by and meeting the requirements of Section 8(a)(v).</w:t>
      </w:r>
    </w:p>
    <w:p>
      <w:pPr>
        <w:spacing w:after="0" w:line="124" w:lineRule="exact"/>
        <w:rPr>
          <w:rFonts w:ascii="Arial" w:cs="Arial" w:eastAsia="Arial" w:hAnsi="Arial"/>
          <w:sz w:val="16"/>
          <w:szCs w:val="16"/>
          <w:color w:val="auto"/>
        </w:rPr>
      </w:pPr>
    </w:p>
    <w:p>
      <w:pPr>
        <w:ind w:right="40" w:firstLine="1492"/>
        <w:spacing w:after="0" w:line="286" w:lineRule="auto"/>
        <w:tabs>
          <w:tab w:leader="none" w:pos="1732"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pay all expenses arising from or incident to its performance of, or compliance with, this Agreement, including, without limitation, (i) Commission, stock exchange and NASD registration and filing fees, (ii) all fees and expenses incurred in complying with state securities or “blue sky” laws (including reasonable fees, charges and disbursements of counsel to any underwriter incurred in connection with “blue sky” qualifications of the Registrable Securities as may be set forth in any underwriting agreement), (iii) all printing, messenger and delivery expenses, (iv) the fees, charges and expenses of counsel to the Company and of its independent registered public accounting firm and any other accounting fees, charges and expenses incurred by the Company (including, without limitation, any expenses arising from any “cold comfort” letters or any special audits incident to or required by any registration or qualification) and, the reasonable and documented legal fees, charges and expenses of one law firm designated by the holders of a majority of the Registrable Securities participating in any registration incurred by the Designated Stockholders in any such registration and (v) any liability insurance or other premiums for insurance obtained in connection with any Demand Registration or piggy-back registration thereon, Incidental Registration or S-3 Registration pursuant to the terms of this Agreement, regardless of whether such Registration Statement is declared effective. All of the expenses described in the preceding sentence of this Section 8(d)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9" w:name="page260"/>
    <w:bookmarkEnd w:id="259"/>
    <w:p>
      <w:pPr>
        <w:jc w:val="both"/>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referred to herein as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Designated Stockholders of Registrable Securities sold pursuant to a Registration Statement shall bear the expense of any broker’s commission or underwriter’s discount or commission relating to registration and sale of such Designated Stockholders’ Registrable Securities and shall, other than as set forth in clause (iv) above, bear the fees and expenses of their own counsel.</w:t>
      </w:r>
    </w:p>
    <w:p>
      <w:pPr>
        <w:spacing w:after="0" w:line="188" w:lineRule="exact"/>
        <w:rPr>
          <w:sz w:val="20"/>
          <w:szCs w:val="20"/>
          <w:color w:val="auto"/>
        </w:rPr>
      </w:pPr>
    </w:p>
    <w:p>
      <w:pPr>
        <w:ind w:left="1100" w:hanging="179"/>
        <w:spacing w:after="0"/>
        <w:tabs>
          <w:tab w:leader="none" w:pos="11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Indemnification; Contribution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5" w:lineRule="auto"/>
        <w:tabs>
          <w:tab w:leader="none" w:pos="1722"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Designated Stockholder, its partners, directors, officers, Affiliates, stockholders, members, employees, trustees and each Person who controls (within the meaning of Section 15 of the Securities Act) such Designated Stockholder from and against any and all losses, claims, damages, liabilities and expenses, or any action or proceeding in respect thereof (including reasonable costs of investigation and reasonable attorneys’ fees and expenses) (each, a “</w:t>
      </w:r>
      <w:r>
        <w:rPr>
          <w:rFonts w:ascii="Arial" w:cs="Arial" w:eastAsia="Arial" w:hAnsi="Arial"/>
          <w:sz w:val="16"/>
          <w:szCs w:val="16"/>
          <w:u w:val="single" w:color="auto"/>
          <w:color w:val="auto"/>
        </w:rPr>
        <w:t>Liability</w:t>
      </w:r>
      <w:r>
        <w:rPr>
          <w:rFonts w:ascii="Arial" w:cs="Arial" w:eastAsia="Arial" w:hAnsi="Arial"/>
          <w:sz w:val="16"/>
          <w:szCs w:val="16"/>
          <w:color w:val="auto"/>
        </w:rPr>
        <w:t>” and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arising out of or based upon (a) any untrue, or allegedly untrue, statement of a material fact contained in the Disclosure Package, the Registration Statement, the Prospectus, any Free Writing Prospectus or in any amendment or supplement thereto; and (b) the omission or alleged omission to state in the Disclosure Package, the Registration Statement, the Prospectus, any Free Writing Prospectus or in any amendment or supplement thereto any material fact required to be stated therein or necessary to make the statements therein not misleading under the circumstances such statements were made; provided, however, that the Company shall not be held liable in any such case to the extent that any such Liability arises out of or is based upon an untrue statement or alleged untrue statement or omission or alleged omission contained in such Disclosure Package, Registration Statement, Prospectus, Free Writing Prospectus or such amendment or supplement thereto in reliance upon and in conformity with information concerning such Designated Stockholder furnished in writing to the Company by or on behalf of such Designated Stockholder expressly for use therein, including, without limitation, the information furnished to the Company pursuant to Sections 8(b) and 9(b). The Company shall also provide customary indemnities to any underwriters of the Registrable Securities, their officers, directors and employees and each Person who controls such underwriters (within the meaning of Section 15 of the Securities Act) to the same extent as provided above with respect to the indemnification of the Designated Stockholders of Registrable Securities.</w:t>
      </w:r>
    </w:p>
    <w:p>
      <w:pPr>
        <w:spacing w:after="0" w:line="126" w:lineRule="exact"/>
        <w:rPr>
          <w:rFonts w:ascii="Arial" w:cs="Arial" w:eastAsia="Arial" w:hAnsi="Arial"/>
          <w:sz w:val="16"/>
          <w:szCs w:val="16"/>
          <w:color w:val="auto"/>
        </w:rPr>
      </w:pPr>
    </w:p>
    <w:p>
      <w:pPr>
        <w:ind w:right="20" w:firstLine="1492"/>
        <w:spacing w:after="0" w:line="291" w:lineRule="auto"/>
        <w:tabs>
          <w:tab w:leader="none" w:pos="1732"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Indemnification by Designated Stockholders</w:t>
      </w:r>
      <w:r>
        <w:rPr>
          <w:rFonts w:ascii="Arial" w:cs="Arial" w:eastAsia="Arial" w:hAnsi="Arial"/>
          <w:sz w:val="16"/>
          <w:szCs w:val="16"/>
          <w:color w:val="auto"/>
        </w:rPr>
        <w:t>. In connection with any offering in which a Designated Stockholder is participating pursuant to Section 3, 4 or 5, such Designated Stockholder agrees severally to indemnify and hold harmless the Company, the other Designated Stockholders, any underwriter retained by the Company and each Person who controls the Company, the other Designated Stockholders or such underwriter (within the meaning of Section 15 of the Securities Act) to the same extent as the foregoing indemnity from the Company to the Designated Stockholders (including indemnification of their respective partners, directors, officers, members, employees and trustees), but only to the extent that Liabilities arise out of or are based upon a statement or alleged statement or an omission or alleged omission that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0" w:name="page261"/>
    <w:bookmarkEnd w:id="26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was made in reliance upon and in conformity with information with respect to such Designated Stockholder furnished in writing to the Company by or on behalf of such Designated Stockholder expressly for use in such Disclosure Package, Registration Statement, Prospectus, Free Writing Prospectus or such amendment or supplement thereto, including, without limitation, the information furnished to the Company pursuant to Section 8(b);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total amount to be indemnified by such Designated Stockholder pursuant to this Section 9(b) shall be limited to the net proceeds received by such Designated Stockholder in the offering to which such Disclosure Package, Registration Statement, Prospectus, Free Writing Prospectus or such amendment or supplement thereto relates.</w:t>
      </w:r>
    </w:p>
    <w:p>
      <w:pPr>
        <w:spacing w:after="0" w:line="116" w:lineRule="exact"/>
        <w:rPr>
          <w:sz w:val="20"/>
          <w:szCs w:val="20"/>
          <w:color w:val="auto"/>
        </w:rPr>
      </w:pPr>
    </w:p>
    <w:p>
      <w:pPr>
        <w:ind w:firstLine="1492"/>
        <w:spacing w:after="0" w:line="304" w:lineRule="auto"/>
        <w:tabs>
          <w:tab w:leader="none" w:pos="1722" w:val="left"/>
        </w:tabs>
        <w:numPr>
          <w:ilvl w:val="0"/>
          <w:numId w:val="179"/>
        </w:numPr>
        <w:rPr>
          <w:rFonts w:ascii="Arial" w:cs="Arial" w:eastAsia="Arial" w:hAnsi="Arial"/>
          <w:sz w:val="15"/>
          <w:szCs w:val="15"/>
          <w:color w:val="auto"/>
        </w:rPr>
      </w:pPr>
      <w:r>
        <w:rPr>
          <w:rFonts w:ascii="Arial" w:cs="Arial" w:eastAsia="Arial" w:hAnsi="Arial"/>
          <w:sz w:val="15"/>
          <w:szCs w:val="15"/>
          <w:u w:val="single" w:color="auto"/>
          <w:color w:val="auto"/>
        </w:rPr>
        <w:t>Conduct of Indemnification Proceedings</w:t>
      </w:r>
      <w:r>
        <w:rPr>
          <w:rFonts w:ascii="Arial" w:cs="Arial" w:eastAsia="Arial" w:hAnsi="Arial"/>
          <w:sz w:val="15"/>
          <w:szCs w:val="15"/>
          <w:color w:val="auto"/>
        </w:rPr>
        <w:t>. Any Person entitled to indemnification or contribution hereunder (the “</w:t>
      </w:r>
      <w:r>
        <w:rPr>
          <w:rFonts w:ascii="Arial" w:cs="Arial" w:eastAsia="Arial" w:hAnsi="Arial"/>
          <w:sz w:val="15"/>
          <w:szCs w:val="15"/>
          <w:u w:val="single" w:color="auto"/>
          <w:color w:val="auto"/>
        </w:rPr>
        <w:t>Indemnified Party</w:t>
      </w:r>
      <w:r>
        <w:rPr>
          <w:rFonts w:ascii="Arial" w:cs="Arial" w:eastAsia="Arial" w:hAnsi="Arial"/>
          <w:sz w:val="15"/>
          <w:szCs w:val="15"/>
          <w:color w:val="auto"/>
        </w:rPr>
        <w:t>”) agrees to give prompt written notice to the indemnifying party (the “</w:t>
      </w:r>
      <w:r>
        <w:rPr>
          <w:rFonts w:ascii="Arial" w:cs="Arial" w:eastAsia="Arial" w:hAnsi="Arial"/>
          <w:sz w:val="15"/>
          <w:szCs w:val="15"/>
          <w:u w:val="single" w:color="auto"/>
          <w:color w:val="auto"/>
        </w:rPr>
        <w:t>Indemnifying Party</w:t>
      </w:r>
      <w:r>
        <w:rPr>
          <w:rFonts w:ascii="Arial" w:cs="Arial" w:eastAsia="Arial" w:hAnsi="Arial"/>
          <w:sz w:val="15"/>
          <w:szCs w:val="15"/>
          <w:color w:val="auto"/>
        </w:rPr>
        <w:t xml:space="preserve">”) after the receipt by the Indemnified Party of any written notice of the commencement of any action, suit, proceeding or investigation or threat thereof made in writing for which the Indemnified Party intends to claim indemnification or contribution pursuant to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failure to so notify the Indemnifying Party shall not relieve the Indemnifying Party of any Liability that it may have to the Indemnified Party hereunder (except to the extent that the Indemnifying Party is materially prejudiced or otherwise forfeits substantive rights or defenses by reason of such failure). If notice of commencement of any such action is given to the Indemnifying Party as above provided, the Indemnifying Party shall be entitled to participate in and, to the extent it may wish, jointly with any other Indemnifying Party similarly notified, to assume the defense of such action at its own expense, with counsel chosen by it and reasonably satisfactory to such Indemnified Party. Each Indemnified Party shall have the right to employ separate counsel in any such action and participate in the defense thereof, but the fees and expenses of such counsel shall be paid by the Indemnified Party unless (i) the Indemnifying Party agrees to pay the same, (ii) the Indemnifying Party fails to assume the defense of such action with counsel reasonably satisfactory to the Indemnified Party or (iii) the named parties to any such action (including any impleaded parties) include both the Indemnifying Party and the Indemnified Party and such parties have been advised by such counsel that either (x) representation of such Indemnified Party and the Indemnifying Party by the same counsel would be inappropriate under applicable standards of professional conduct or (y) there may be one or more legal defenses available to the Indemnified Party which are different from or additional to those available to the Indemnifying Party. In any of such cases, the Indemnifying Party shall not have the right to assume the defense of such action on behalf of such Indemnified Party, it being understood, however, that the Indemnifying Party shall not be liable for the reasonable fees and expenses of more than one separate firm of attorneys (in addition to any local counsel) for all Indemnified Parties and all such expenses shall be reimbursed as incurred. No Indemnifying Party shall be liable for any settlement entered into without its written consent, which consent shall not be unreasonably withheld. No Indemnifying Party shall, without the consent of such Indemnified Party, effect any settlement of any pending or threatened proceeding in respect of which such Indemnified Party is a party and indemnity has been sought hereunder by such Indemnified Party,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61" w:name="page262"/>
    <w:bookmarkEnd w:id="26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such settlement includes an unconditional release of such Indemnified Party from all liability for claims that are the subject matter of such proceeding. Notwithstanding the foregoing, if at any time an Indemnified Party shall have requested the Indemnifying Party to reimburse the Indemnified Party for fees and expenses of counsel as contemplated by this Section 9, the Indemnifying Party agrees that it shall be liable for any settlement of any proceeding effected without the Indemnifying Party’s written consent if (i) such settlement is entered into more than thirty (30) business days after receipt by the Indemnifying Party of the aforesaid request and (ii) the Indemnifying Party shall not have reimbursed the Indemnified Party in accordance with such request or contested the reasonableness of such fees and expenses prior to the date of such settlement.</w:t>
      </w:r>
    </w:p>
    <w:p>
      <w:pPr>
        <w:spacing w:after="0" w:line="120" w:lineRule="exact"/>
        <w:rPr>
          <w:sz w:val="20"/>
          <w:szCs w:val="20"/>
          <w:color w:val="auto"/>
        </w:rPr>
      </w:pPr>
    </w:p>
    <w:p>
      <w:pPr>
        <w:ind w:firstLine="1492"/>
        <w:spacing w:after="0" w:line="286" w:lineRule="auto"/>
        <w:tabs>
          <w:tab w:leader="none" w:pos="1732"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Section 9 from the Indemnifying Party is unavailable to an Indemnified Party hereunder or insufficient to hold harmless an Indemnified Party in respect of any Liabilities referred to herein, then each Indemnifying Party, in lieu of indemnifying such Indemnified Party, shall contribute to the amount paid or payable by such Indemnified Party as a result of such Liabilities in such proportion as is appropriate to reflect the relative fault of the Indemnifying Party and Indemnified Party in connection with the actions which resulted in such Liabilities, as well as any other relevant equitable considerations. The relative faults of such Indemnifying Party and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 relative intent, knowledge, access to information and opportunity to correct or prevent such action. The amount paid or payable by a party as a result of the Liabilities referred to above shall be deemed to include, subject to the limitations set forth in Sections 9(a), 9(b) and 9(c), any legal or other fees, charges or expenses reasonably incurred by such party in connection with any investigation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total amount to be contributed by any Designated Stockholder shall be limited to the net proceeds (after deducting the underwriters’ discounts and commissions) received by such Designated Stockholder in the offering.</w:t>
      </w:r>
    </w:p>
    <w:p>
      <w:pPr>
        <w:spacing w:after="0" w:line="12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9(d) were determined by pro rata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43" w:lineRule="exact"/>
        <w:rPr>
          <w:sz w:val="20"/>
          <w:szCs w:val="20"/>
          <w:color w:val="auto"/>
        </w:rPr>
      </w:pPr>
    </w:p>
    <w:p>
      <w:pPr>
        <w:ind w:right="200" w:firstLine="921"/>
        <w:spacing w:after="0" w:line="306" w:lineRule="auto"/>
        <w:tabs>
          <w:tab w:leader="none" w:pos="1176"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from and after the IPO Pricing Date it shall take such action as may be required from time to time to enable such Designated Stockholder to sell Registrable Securities without registration under the Securities Act within the limitation of the exemptions provided by (i) Rule 144 under the Securities Act, as such rule may be amended from time to time, or (ii) any similar rules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2" w:name="page263"/>
    <w:bookmarkEnd w:id="26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hereafter adopted by the Commission. The Company shall, upon the request of any Designated Stockholder, deliver to such Designated Stockholder a written statement as to whether it has complied with such requirements.</w:t>
      </w:r>
    </w:p>
    <w:p>
      <w:pPr>
        <w:spacing w:after="0" w:line="213" w:lineRule="exact"/>
        <w:rPr>
          <w:sz w:val="20"/>
          <w:szCs w:val="20"/>
          <w:color w:val="auto"/>
        </w:rPr>
      </w:pPr>
    </w:p>
    <w:p>
      <w:pPr>
        <w:ind w:left="1180" w:hanging="259"/>
        <w:spacing w:after="0"/>
        <w:tabs>
          <w:tab w:leader="none" w:pos="118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60" w:firstLine="1492"/>
        <w:spacing w:after="0" w:line="268" w:lineRule="auto"/>
        <w:tabs>
          <w:tab w:leader="none" w:pos="1722"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Stock Splits, etc</w:t>
      </w:r>
      <w:r>
        <w:rPr>
          <w:rFonts w:ascii="Arial" w:cs="Arial" w:eastAsia="Arial" w:hAnsi="Arial"/>
          <w:sz w:val="18"/>
          <w:szCs w:val="18"/>
          <w:color w:val="auto"/>
        </w:rPr>
        <w:t>. The provisions of this Agreement shall be appropriately adjusted for any stock dividends, splits, reverse splits, combinations recapitalizations and the like occurring after the date hereof.</w:t>
      </w:r>
    </w:p>
    <w:p>
      <w:pPr>
        <w:spacing w:after="0" w:line="131" w:lineRule="exact"/>
        <w:rPr>
          <w:rFonts w:ascii="Arial" w:cs="Arial" w:eastAsia="Arial" w:hAnsi="Arial"/>
          <w:sz w:val="18"/>
          <w:szCs w:val="18"/>
          <w:color w:val="auto"/>
        </w:rPr>
      </w:pPr>
    </w:p>
    <w:p>
      <w:pPr>
        <w:ind w:right="60" w:firstLine="1492"/>
        <w:spacing w:after="0" w:line="255" w:lineRule="auto"/>
        <w:tabs>
          <w:tab w:leader="none" w:pos="1732"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hereby represents and warrants that, except for the Existing Agreements, it has not previously entered into any agreement granting registration rights to any Person with respect to any securities of the Company. The Company shall not enter into any agreement with respect to its securities that is inconsistent with the rights granted to the Designated Stockholders in this Agreement or grant any additional registration rights to any Person or with respect to any securities that are not Registrable Securities which rights are inconsistent with the rights granted in this Agreement.</w:t>
      </w:r>
    </w:p>
    <w:p>
      <w:pPr>
        <w:spacing w:after="0" w:line="142" w:lineRule="exact"/>
        <w:rPr>
          <w:rFonts w:ascii="Arial" w:cs="Arial" w:eastAsia="Arial" w:hAnsi="Arial"/>
          <w:sz w:val="18"/>
          <w:szCs w:val="18"/>
          <w:color w:val="auto"/>
        </w:rPr>
      </w:pPr>
    </w:p>
    <w:p>
      <w:pPr>
        <w:ind w:right="400" w:firstLine="1492"/>
        <w:spacing w:after="0" w:line="256" w:lineRule="auto"/>
        <w:tabs>
          <w:tab w:leader="none" w:pos="1722"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Designated Stockholders, in addition to being entitled to exercise all rights granted by law, including recovery of damages, shall be entitled to specific performance of their rights under this Agreement. The Company agrees that monetary damages would not be adequate compensation for any loss incurred by reason of a breach by it of the provisions of this Agreement and hereby agrees to waive in any action for specific performance the defense that a remedy at law would be adequate.</w:t>
      </w:r>
    </w:p>
    <w:p>
      <w:pPr>
        <w:spacing w:after="0" w:line="143" w:lineRule="exact"/>
        <w:rPr>
          <w:rFonts w:ascii="Arial" w:cs="Arial" w:eastAsia="Arial" w:hAnsi="Arial"/>
          <w:sz w:val="18"/>
          <w:szCs w:val="18"/>
          <w:color w:val="auto"/>
        </w:rPr>
      </w:pPr>
    </w:p>
    <w:p>
      <w:pPr>
        <w:ind w:right="100" w:firstLine="1492"/>
        <w:spacing w:after="0" w:line="291" w:lineRule="auto"/>
        <w:tabs>
          <w:tab w:leader="none" w:pos="1732"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the provisions of this Agreement may not be amended, modified or supplemented, and waivers or consents to departures from the provisions hereof may not be given unless consented to in writing by the Company and Majority Designated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amendment, modification, supplement, waiver or consent to depart from the provisions hereof shall be effective if such amendment, modification, supplement, waiver or consent to depart from the provisions hereof materially and adversely affects the substantive rights or obligations of one Designated Stockholder, or group of Designated Stockholders, without a similar and proportionate effect on the substantive rights or obligations of all Designated Stockholders, unless each such disproportionately affected Designated Stockholder consents in writing thereto.</w:t>
      </w:r>
    </w:p>
    <w:p>
      <w:pPr>
        <w:spacing w:after="0" w:line="120" w:lineRule="exact"/>
        <w:rPr>
          <w:rFonts w:ascii="Arial" w:cs="Arial" w:eastAsia="Arial" w:hAnsi="Arial"/>
          <w:sz w:val="16"/>
          <w:szCs w:val="16"/>
          <w:color w:val="auto"/>
        </w:rPr>
      </w:pPr>
    </w:p>
    <w:p>
      <w:pPr>
        <w:ind w:firstLine="1492"/>
        <w:spacing w:after="0" w:line="332" w:lineRule="auto"/>
        <w:tabs>
          <w:tab w:leader="none" w:pos="1722"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and other communications provided for or permitted hereunder shall be made in writing and shall be made by registered or certified first-class mail, return receipt requested, telecopy, electronic transmission, courier service or personal delivery:</w:t>
      </w:r>
    </w:p>
    <w:p>
      <w:pPr>
        <w:spacing w:after="0" w:line="4" w:lineRule="exact"/>
        <w:rPr>
          <w:rFonts w:ascii="Arial" w:cs="Arial" w:eastAsia="Arial" w:hAnsi="Arial"/>
          <w:sz w:val="16"/>
          <w:szCs w:val="16"/>
          <w:color w:val="auto"/>
        </w:rPr>
      </w:pPr>
    </w:p>
    <w:p>
      <w:pPr>
        <w:ind w:left="2380" w:hanging="441"/>
        <w:spacing w:after="0"/>
        <w:tabs>
          <w:tab w:leader="none" w:pos="2380" w:val="left"/>
        </w:tabs>
        <w:numPr>
          <w:ilvl w:val="2"/>
          <w:numId w:val="182"/>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90" w:lineRule="exact"/>
        <w:rPr>
          <w:rFonts w:ascii="Arial" w:cs="Arial" w:eastAsia="Arial" w:hAnsi="Arial"/>
          <w:sz w:val="18"/>
          <w:szCs w:val="18"/>
          <w:color w:val="auto"/>
        </w:rPr>
      </w:pPr>
    </w:p>
    <w:p>
      <w:pPr>
        <w:ind w:left="2380" w:right="7160"/>
        <w:spacing w:after="0" w:line="254" w:lineRule="auto"/>
        <w:rPr>
          <w:rFonts w:ascii="Arial" w:cs="Arial" w:eastAsia="Arial" w:hAnsi="Arial"/>
          <w:sz w:val="18"/>
          <w:szCs w:val="18"/>
          <w:color w:val="auto"/>
        </w:rPr>
      </w:pPr>
      <w:r>
        <w:rPr>
          <w:rFonts w:ascii="Arial" w:cs="Arial" w:eastAsia="Arial" w:hAnsi="Arial"/>
          <w:sz w:val="18"/>
          <w:szCs w:val="18"/>
          <w:color w:val="auto"/>
        </w:rPr>
        <w:t>ExlService Holdings, Inc. 350 Park Avenue</w:t>
      </w:r>
    </w:p>
    <w:p>
      <w:pPr>
        <w:ind w:left="2380" w:right="6960"/>
        <w:spacing w:after="0" w:line="302" w:lineRule="auto"/>
        <w:rPr>
          <w:rFonts w:ascii="Arial" w:cs="Arial" w:eastAsia="Arial" w:hAnsi="Arial"/>
          <w:sz w:val="18"/>
          <w:szCs w:val="18"/>
          <w:color w:val="auto"/>
        </w:rPr>
      </w:pPr>
      <w:r>
        <w:rPr>
          <w:rFonts w:ascii="Arial" w:cs="Arial" w:eastAsia="Arial" w:hAnsi="Arial"/>
          <w:sz w:val="16"/>
          <w:szCs w:val="16"/>
          <w:color w:val="auto"/>
        </w:rPr>
        <w:t>New York, New York 10022 Telecopy: (212) 277-7111 Attention: General Counsel</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263" w:name="page264"/>
    <w:bookmarkEnd w:id="263"/>
    <w:p>
      <w:pPr>
        <w:ind w:left="2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9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Telecopy: (212) 757-3990</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Attention: John C. Kennedy, Esq.</w:t>
      </w:r>
    </w:p>
    <w:p>
      <w:pPr>
        <w:spacing w:after="0" w:line="84" w:lineRule="exact"/>
        <w:rPr>
          <w:sz w:val="20"/>
          <w:szCs w:val="20"/>
          <w:color w:val="auto"/>
        </w:rPr>
      </w:pPr>
    </w:p>
    <w:p>
      <w:pPr>
        <w:ind w:left="2380" w:hanging="441"/>
        <w:spacing w:after="0"/>
        <w:tabs>
          <w:tab w:leader="none" w:pos="2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to any Designated Stockholder, at its address as it appears in the books and records of the Company.</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(5) Business Days after being deposited in the mail, postage prepaid, if mailed; and when receipt is acknowledged, if telecopied, or electronically transmitted. Any party may by notice given in accordance with this Section 11(e) designate another address or Person for receipt of notices hereunder.</w:t>
      </w:r>
    </w:p>
    <w:p>
      <w:pPr>
        <w:spacing w:after="0" w:line="143" w:lineRule="exact"/>
        <w:rPr>
          <w:sz w:val="20"/>
          <w:szCs w:val="20"/>
          <w:color w:val="auto"/>
        </w:rPr>
      </w:pPr>
    </w:p>
    <w:p>
      <w:pPr>
        <w:jc w:val="both"/>
        <w:ind w:firstLine="1492"/>
        <w:spacing w:after="0" w:line="259" w:lineRule="auto"/>
        <w:tabs>
          <w:tab w:leader="none" w:pos="1703"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Permitted Assignees; Third Party Beneficiaries</w:t>
      </w:r>
      <w:r>
        <w:rPr>
          <w:rFonts w:ascii="Arial" w:cs="Arial" w:eastAsia="Arial" w:hAnsi="Arial"/>
          <w:sz w:val="18"/>
          <w:szCs w:val="18"/>
          <w:color w:val="auto"/>
        </w:rPr>
        <w:t>. This Agreement shall inure to the benefit of and be binding upon the permitted assignees of the parties hereto as provided in Section 2(d). Except as provided in Section 9, no Person other than the parties hereto and their permitted assignees is intended to be a beneficiary of this Agreement.</w:t>
      </w:r>
    </w:p>
    <w:p>
      <w:pPr>
        <w:spacing w:after="0" w:line="140" w:lineRule="exact"/>
        <w:rPr>
          <w:rFonts w:ascii="Arial" w:cs="Arial" w:eastAsia="Arial" w:hAnsi="Arial"/>
          <w:sz w:val="18"/>
          <w:szCs w:val="18"/>
          <w:color w:val="auto"/>
        </w:rPr>
      </w:pPr>
    </w:p>
    <w:p>
      <w:pPr>
        <w:ind w:right="20" w:firstLine="1492"/>
        <w:spacing w:after="0" w:line="332" w:lineRule="auto"/>
        <w:tabs>
          <w:tab w:leader="none" w:pos="1732"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58" w:lineRule="exact"/>
        <w:rPr>
          <w:rFonts w:ascii="Arial" w:cs="Arial" w:eastAsia="Arial" w:hAnsi="Arial"/>
          <w:sz w:val="16"/>
          <w:szCs w:val="16"/>
          <w:color w:val="auto"/>
        </w:rPr>
      </w:pPr>
    </w:p>
    <w:p>
      <w:pPr>
        <w:ind w:left="1700" w:hanging="208"/>
        <w:spacing w:after="0"/>
        <w:tabs>
          <w:tab w:leader="none" w:pos="170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w:t>
      </w:r>
      <w:r>
        <w:rPr>
          <w:rFonts w:ascii="Arial" w:cs="Arial" w:eastAsia="Arial" w:hAnsi="Arial"/>
          <w:sz w:val="16"/>
          <w:szCs w:val="16"/>
          <w:b w:val="1"/>
          <w:bCs w:val="1"/>
          <w:color w:val="auto"/>
        </w:rPr>
        <w:t>THIS AGREEMENT SHALL BE GOVERNED BY AND CONSTRUED IN ACCORDANCE WITH THE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LAWS OF THE STATE OF NEW YORK, WITHOUT REGARD TO THE PRINCIPLES OF CONFLICTS OF LAW THEREOF.</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264" w:name="page265"/>
    <w:bookmarkEnd w:id="264"/>
    <w:p>
      <w:pPr>
        <w:ind w:left="-80" w:right="40" w:firstLine="1492"/>
        <w:spacing w:after="0" w:line="259" w:lineRule="auto"/>
        <w:tabs>
          <w:tab w:leader="none" w:pos="1613"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w:t>
      </w:r>
    </w:p>
    <w:p>
      <w:pPr>
        <w:spacing w:after="0" w:line="140" w:lineRule="exact"/>
        <w:rPr>
          <w:rFonts w:ascii="Arial" w:cs="Arial" w:eastAsia="Arial" w:hAnsi="Arial"/>
          <w:sz w:val="18"/>
          <w:szCs w:val="18"/>
          <w:color w:val="auto"/>
        </w:rPr>
      </w:pPr>
    </w:p>
    <w:p>
      <w:pPr>
        <w:ind w:left="-80" w:firstLine="1492"/>
        <w:spacing w:after="0" w:line="268" w:lineRule="auto"/>
        <w:tabs>
          <w:tab w:leader="none" w:pos="165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the context otherwise requires, references to sections or subsections refer to sections or subsections of this Agreement. Terms defined in the singular have a comparable meaning when used in the plural, and vice versa.</w:t>
      </w:r>
    </w:p>
    <w:p>
      <w:pPr>
        <w:spacing w:after="0" w:line="131" w:lineRule="exact"/>
        <w:rPr>
          <w:rFonts w:ascii="Arial" w:cs="Arial" w:eastAsia="Arial" w:hAnsi="Arial"/>
          <w:sz w:val="18"/>
          <w:szCs w:val="18"/>
          <w:color w:val="auto"/>
        </w:rPr>
      </w:pPr>
    </w:p>
    <w:p>
      <w:pPr>
        <w:ind w:left="-80" w:right="120" w:firstLine="1492"/>
        <w:spacing w:after="0" w:line="298" w:lineRule="auto"/>
        <w:tabs>
          <w:tab w:leader="none" w:pos="1613"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intended by the parties as a final expression of their agreement and intended to be a complete and exclusive statement of the agreement and understanding of the parties hereto with respect to the subject matter contained herein. There are no restrictions, promises, representations, warranties or undertakings with respect to the subject matter contained herein, other than those set forth or referred to herein. This Agreement supersedes all prior agreements and understandings among the parties with respect to such subject matter.</w:t>
      </w:r>
    </w:p>
    <w:p>
      <w:pPr>
        <w:spacing w:after="0" w:line="112" w:lineRule="exact"/>
        <w:rPr>
          <w:rFonts w:ascii="Arial" w:cs="Arial" w:eastAsia="Arial" w:hAnsi="Arial"/>
          <w:sz w:val="16"/>
          <w:szCs w:val="16"/>
          <w:color w:val="auto"/>
        </w:rPr>
      </w:pPr>
    </w:p>
    <w:p>
      <w:pPr>
        <w:ind w:left="-80" w:right="180" w:firstLine="1492"/>
        <w:spacing w:after="0" w:line="268" w:lineRule="auto"/>
        <w:tabs>
          <w:tab w:leader="none" w:pos="1701"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shall execute such documents and perform such further acts as may be reasonably required or desirable to carry out or to perform the provisions of this Agreement.</w:t>
      </w:r>
    </w:p>
    <w:p>
      <w:pPr>
        <w:spacing w:after="0" w:line="131" w:lineRule="exact"/>
        <w:rPr>
          <w:rFonts w:ascii="Arial" w:cs="Arial" w:eastAsia="Arial" w:hAnsi="Arial"/>
          <w:sz w:val="18"/>
          <w:szCs w:val="18"/>
          <w:color w:val="auto"/>
        </w:rPr>
      </w:pPr>
    </w:p>
    <w:p>
      <w:pPr>
        <w:ind w:left="-80" w:right="200" w:firstLine="1492"/>
        <w:spacing w:after="0" w:line="370" w:lineRule="auto"/>
        <w:tabs>
          <w:tab w:leader="none" w:pos="1652"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Other Agreements</w:t>
      </w:r>
      <w:r>
        <w:rPr>
          <w:rFonts w:ascii="Arial" w:cs="Arial" w:eastAsia="Arial" w:hAnsi="Arial"/>
          <w:sz w:val="15"/>
          <w:szCs w:val="15"/>
          <w:color w:val="auto"/>
        </w:rPr>
        <w:t>. Nothing contained in this Agreement shall be deemed to be a waiver of, or release from, any obligations any party hereto may have under, or any restrictions on the transfer of Registrable Securities or other securities of the Company imposed by, any other agreement.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320" w:top="280" w:right="319" w:bottom="1440" w:gutter="0" w:footer="0" w:header="0"/>
        </w:sectPr>
      </w:pPr>
    </w:p>
    <w:bookmarkStart w:id="265" w:name="page266"/>
    <w:bookmarkEnd w:id="265"/>
    <w:p>
      <w:pPr>
        <w:ind w:right="1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executed, or have caused to be executed, this Registration Rights Agreement on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OAK HILL CAPITAL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OAK HILL CAPITAL MANAGEMENT PARTNERS, L.P.</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TECHNOLOGY VENTURES,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TECHNOLOGY VENTURES (Q),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40"/>
          </w:cols>
          <w:pgMar w:left="240" w:top="280" w:right="619" w:bottom="1440" w:gutter="0" w:footer="0" w:header="0"/>
        </w:sectPr>
      </w:pPr>
    </w:p>
    <w:bookmarkStart w:id="266" w:name="page267"/>
    <w:bookmarkEnd w:id="26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TECHNOLOGY VENTURES II (Q),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FINANCIAL TECHNOLOGY VENTURES II,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Vikram Talwar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VIKRAM TALWAR 2004 SPOUSAL LIFETIME ACCESS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Urvashi Talwar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URVASHI TALWAR 2004 SPOUSAL LIFETIME ACCESS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Vikram Talwar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9920"/>
          </w:cols>
          <w:pgMar w:left="1440" w:top="280" w:right="539" w:bottom="1440" w:gutter="0" w:footer="0" w:header="0"/>
        </w:sectPr>
      </w:pPr>
    </w:p>
    <w:bookmarkStart w:id="267" w:name="page268"/>
    <w:bookmarkEnd w:id="26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VIKRAM TALWAR 2004 GRANTOR RETAINED ANNUITY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Vikram Talwar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Rohit Kapoor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ROHIT KAPOOR 2005 SPOUSAL LIFETIME ACCESS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Shikha Kapoor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Tulika Kapoor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SHIKHA KAPOOR 2005 FAMILY TRUST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Tulika Kapoor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10160"/>
          </w:cols>
          <w:pgMar w:left="1440" w:top="280" w:right="299" w:bottom="1440" w:gutter="0" w:footer="0" w:header="0"/>
        </w:sectPr>
      </w:pPr>
    </w:p>
    <w:bookmarkStart w:id="268" w:name="page269"/>
    <w:bookmarkEnd w:id="26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ROHIT KAPOOR 2005 GRANTOR RETAINED ANNUITY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2540</wp:posOffset>
            </wp:positionV>
            <wp:extent cx="25730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Vikram Talwar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10000"/>
          </w:cols>
          <w:pgMar w:left="1440" w:top="280" w:right="45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and Address of Transferee]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Address of Transferor]</w:t>
      </w:r>
    </w:p>
    <w:p>
      <w:pPr>
        <w:spacing w:after="0" w:line="177" w:lineRule="exact"/>
        <w:rPr>
          <w:sz w:val="20"/>
          <w:szCs w:val="20"/>
          <w:color w:val="auto"/>
        </w:rPr>
      </w:pPr>
    </w:p>
    <w:p>
      <w:pPr>
        <w:ind w:left="10900"/>
        <w:spacing w:after="0"/>
        <w:rPr>
          <w:sz w:val="20"/>
          <w:szCs w:val="20"/>
          <w:color w:val="auto"/>
        </w:rPr>
      </w:pPr>
      <w:r>
        <w:rPr>
          <w:rFonts w:ascii="Arial" w:cs="Arial" w:eastAsia="Arial" w:hAnsi="Arial"/>
          <w:sz w:val="15"/>
          <w:szCs w:val="15"/>
          <w:color w:val="auto"/>
        </w:rPr>
        <w:t>, 200__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6985</wp:posOffset>
            </wp:positionV>
            <wp:extent cx="55753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Registration Rights Agreement, dated as of ____________, 2006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by and among</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ExlService Holdings, Inc., a Delaware corporation, and the certain stockholders named therein. All capitalized terms used herein but not otherwise defined shall have the meanings given to them in the Registration Rights Agreement.</w:t>
      </w:r>
    </w:p>
    <w:p>
      <w:pPr>
        <w:spacing w:after="0" w:line="132" w:lineRule="exact"/>
        <w:rPr>
          <w:sz w:val="20"/>
          <w:szCs w:val="20"/>
          <w:color w:val="auto"/>
        </w:rPr>
      </w:pPr>
    </w:p>
    <w:p>
      <w:pPr>
        <w:jc w:val="both"/>
        <w:ind w:right="120" w:firstLine="913"/>
        <w:spacing w:after="0" w:line="262" w:lineRule="auto"/>
        <w:rPr>
          <w:sz w:val="20"/>
          <w:szCs w:val="20"/>
          <w:color w:val="auto"/>
        </w:rPr>
      </w:pPr>
      <w:r>
        <w:rPr>
          <w:rFonts w:ascii="Arial" w:cs="Arial" w:eastAsia="Arial" w:hAnsi="Arial"/>
          <w:sz w:val="18"/>
          <w:szCs w:val="18"/>
          <w:color w:val="auto"/>
        </w:rPr>
        <w:t xml:space="preserve">In connection with the transfer by </w:t>
      </w:r>
      <w:r>
        <w:rPr>
          <w:rFonts w:ascii="Arial" w:cs="Arial" w:eastAsia="Arial" w:hAnsi="Arial"/>
          <w:sz w:val="18"/>
          <w:szCs w:val="18"/>
          <w:b w:val="1"/>
          <w:bCs w:val="1"/>
          <w:color w:val="auto"/>
        </w:rPr>
        <w:t>[Name of Transferor]</w:t>
      </w:r>
      <w:r>
        <w:rPr>
          <w:rFonts w:ascii="Arial" w:cs="Arial" w:eastAsia="Arial" w:hAnsi="Arial"/>
          <w:sz w:val="18"/>
          <w:szCs w:val="18"/>
          <w:color w:val="auto"/>
        </w:rPr>
        <w:t xml:space="preserve"> of Registrable Securities with associated registration rights under the Registration Rights Agreement to </w:t>
      </w:r>
      <w:r>
        <w:rPr>
          <w:rFonts w:ascii="Arial" w:cs="Arial" w:eastAsia="Arial" w:hAnsi="Arial"/>
          <w:sz w:val="18"/>
          <w:szCs w:val="18"/>
          <w:b w:val="1"/>
          <w:bCs w:val="1"/>
          <w:color w:val="auto"/>
        </w:rPr>
        <w:t>[Name of Transferee]</w:t>
      </w:r>
      <w:r>
        <w:rPr>
          <w:rFonts w:ascii="Arial" w:cs="Arial" w:eastAsia="Arial" w:hAnsi="Arial"/>
          <w:sz w:val="18"/>
          <w:szCs w:val="18"/>
          <w:color w:val="auto"/>
        </w:rPr>
        <w:t xml:space="preserve"> as transferee (the “</w:t>
      </w:r>
      <w:r>
        <w:rPr>
          <w:rFonts w:ascii="Arial" w:cs="Arial" w:eastAsia="Arial" w:hAnsi="Arial"/>
          <w:sz w:val="18"/>
          <w:szCs w:val="18"/>
          <w:u w:val="single" w:color="auto"/>
          <w:color w:val="auto"/>
        </w:rPr>
        <w:t>Transferee</w:t>
      </w:r>
      <w:r>
        <w:rPr>
          <w:rFonts w:ascii="Arial" w:cs="Arial" w:eastAsia="Arial" w:hAnsi="Arial"/>
          <w:sz w:val="18"/>
          <w:szCs w:val="18"/>
          <w:color w:val="auto"/>
        </w:rPr>
        <w:t>”), the Transferee hereby agrees to be bound as a Designated Stockholder by the provisions of the Registration Rights Agreement as provided under Section 2(d)(i) thereto.</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consent shall be governed by New York law.</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Transferee]</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27940</wp:posOffset>
            </wp:positionV>
            <wp:extent cx="254698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Plan of Distribution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selling stockholder may also enter into hedging and/or monetization transactions. For example, a selling stockholder may:</w:t>
      </w:r>
    </w:p>
    <w:p>
      <w:pPr>
        <w:spacing w:after="0" w:line="90" w:lineRule="exact"/>
        <w:rPr>
          <w:sz w:val="20"/>
          <w:szCs w:val="20"/>
          <w:color w:val="auto"/>
        </w:rPr>
      </w:pPr>
    </w:p>
    <w:p>
      <w:pPr>
        <w:ind w:left="340" w:right="140" w:hanging="332"/>
        <w:spacing w:after="0" w:line="259"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of a broker-dealer or other third party in connection with which that other party will become a selling stockholder and engage in short sales of our common stock under this prospectus, in which case the other party may use shares of our common stock received from the selling stockholder to close out any short position;</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sell short our common stock under this prospectus and use shares of our common stock held by the selling stockholder to close out any short position;</w:t>
      </w:r>
    </w:p>
    <w:p>
      <w:pPr>
        <w:spacing w:after="0" w:line="113" w:lineRule="exact"/>
        <w:rPr>
          <w:rFonts w:ascii="Arial" w:cs="Arial" w:eastAsia="Arial" w:hAnsi="Arial"/>
          <w:sz w:val="16"/>
          <w:szCs w:val="16"/>
          <w:color w:val="auto"/>
        </w:rPr>
      </w:pPr>
    </w:p>
    <w:p>
      <w:pPr>
        <w:ind w:left="340" w:right="100" w:hanging="332"/>
        <w:spacing w:after="0" w:line="259"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enter into options, forwards or other transactions that require the selling stockholder to deliver, in a transaction exempt from registration under the Securities Act, shares of our common stock to a broker-dealer or an affiliate of a broker-dealer or other third party who may then become a selling stockholder and publicly resell or otherwise transfer shares of our common stock under this prospectus;</w:t>
      </w:r>
    </w:p>
    <w:p>
      <w:pPr>
        <w:spacing w:after="0" w:line="59" w:lineRule="exact"/>
        <w:rPr>
          <w:rFonts w:ascii="Arial" w:cs="Arial" w:eastAsia="Arial" w:hAnsi="Arial"/>
          <w:sz w:val="18"/>
          <w:szCs w:val="18"/>
          <w:color w:val="auto"/>
        </w:rPr>
      </w:pPr>
    </w:p>
    <w:p>
      <w:pPr>
        <w:ind w:left="340" w:right="40" w:hanging="332"/>
        <w:spacing w:after="0" w:line="357" w:lineRule="auto"/>
        <w:tabs>
          <w:tab w:leader="none" w:pos="34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loan or pledge shares of our common stock to a broker-dealer or affiliate of a broker-dealer or other third party who may then become a selling stockholder and sell the loaned shares or, in an event of default in the case of a pledge, become a selling stockholder and sell the pledged shares, under this prospectus; or</w:t>
      </w:r>
    </w:p>
    <w:p>
      <w:pPr>
        <w:ind w:left="340" w:right="20" w:hanging="332"/>
        <w:spacing w:after="0" w:line="291" w:lineRule="auto"/>
        <w:tabs>
          <w:tab w:leader="none" w:pos="3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 or borrowed from the selling stockholder or others to settle those sales or to close out any related open borrowings of stock, and may use securities received from the selling stockholder in settlement of those derivatives to close out any related open borrowings of stock. The third party in such sale transactions will be an underwriter and will be identified in the applicable prospectus supplement (or a post effective amendment).</w:t>
      </w:r>
    </w:p>
    <w:p>
      <w:pPr>
        <w:sectPr>
          <w:pgSz w:w="11900" w:h="16838" w:orient="portrait"/>
          <w:cols w:equalWidth="0" w:num="1">
            <w:col w:w="11420"/>
          </w:cols>
          <w:pgMar w:left="240" w:top="280"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16,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No. 333-121001)</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In connection with the Registration Statement on Form S-1, as amended (the “Registration Statement”), of ExlService Holdings, Inc., a Delaware corporation (the “Company”), filed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up to 5,750,000 shares (the “Shares”) of the Company’s common stock, par value $0.001 per share (the “Common Stock”), that may be offered by the Company (including shares issuable by the Company upon exercise of the underwriters’ over-allotment option).</w:t>
      </w:r>
    </w:p>
    <w:p>
      <w:pPr>
        <w:spacing w:after="0" w:line="14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 (collectively, the “Documents”):</w:t>
      </w:r>
    </w:p>
    <w:p>
      <w:pPr>
        <w:spacing w:after="0" w:line="51" w:lineRule="exact"/>
        <w:rPr>
          <w:sz w:val="20"/>
          <w:szCs w:val="20"/>
          <w:color w:val="auto"/>
        </w:rPr>
      </w:pPr>
    </w:p>
    <w:p>
      <w:pPr>
        <w:ind w:left="1100" w:hanging="179"/>
        <w:spacing w:after="0"/>
        <w:tabs>
          <w:tab w:leader="none" w:pos="11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form of the Underwriting Agreement (the “Underwriting Agreement”), included as Exhibit 1.1 to the Registration Statement.</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In addition, we have examined (i) such corporate records of the Company that we have considered appropriate, including a copy of the amended and restated certificate of incorporation and by-laws, as amended, of the Company, certified by the Company as in effect on the date of this letter, and copies of resolutions of the board of directors of the Company relating to the issuance of the Shares, certified by the Company and (ii) such other certificates, agreements and documents that we deemed relevant and necessary as a basis for our opinion expressed below. We have also relied upon the factual matters contained in the representations and warranties of the Company made in the Documents and upon certificates of public officials and the officers of the Company.</w:t>
      </w:r>
    </w:p>
    <w:p>
      <w:pPr>
        <w:spacing w:after="0" w:line="116"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w:t>
      </w:r>
    </w:p>
    <w:p>
      <w:pPr>
        <w:sectPr>
          <w:pgSz w:w="11900" w:h="16838" w:orient="portrait"/>
          <w:cols w:equalWidth="0" w:num="1">
            <w:col w:w="11420"/>
          </w:cols>
          <w:pgMar w:left="240" w:top="125" w:right="2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ExlService Holdings, Inc.</w:t>
            </w:r>
          </w:p>
        </w:tc>
        <w:tc>
          <w:tcPr>
            <w:tcW w:w="48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spacing w:after="0" w:line="298" w:lineRule="auto"/>
        <w:rPr>
          <w:sz w:val="20"/>
          <w:szCs w:val="20"/>
          <w:color w:val="auto"/>
        </w:rPr>
      </w:pPr>
      <w:r>
        <w:rPr>
          <w:rFonts w:ascii="Arial" w:cs="Arial" w:eastAsia="Arial" w:hAnsi="Arial"/>
          <w:sz w:val="16"/>
          <w:szCs w:val="16"/>
          <w:color w:val="auto"/>
        </w:rPr>
        <w:t>valid existing agreements or other documents, the authenticity of all the latter documents and that the statements regarding matters of fact in the certificates, records, agreements, instruments and documents that we have examined are accurate and complete. We have also assumed that the amended and restated certificate of incorporation and by-laws of the Company will be validly adopted in the form attached as Exhibits 3.1 and 3.2 to the Registration Statement and that the amended and restated certificate of incorporation will be duly filed with the Secretary of State of the State of Delaware.</w:t>
      </w:r>
    </w:p>
    <w:p>
      <w:pPr>
        <w:spacing w:after="0" w:line="113"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Based upon the above, and subject to the stated assumptions, exceptions and qualifications, we are of the opinion that the Shares have been duly authorized by all necessary corporate action on the part of the Company and, when issued, delivered and paid for as contemplated in the Registration Statement and in accordance with the terms of the Underwriting Agreement, the Shares will be validly issued, fully paid and non-assessable.</w:t>
      </w:r>
    </w:p>
    <w:p>
      <w:pPr>
        <w:spacing w:after="0" w:line="107"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opinion expressed above is limited to the General Corporation Law of the State of Delaware. Our opinion is rendered only with respect to the laws, and the rules, regulations, orders and applicable judicial and regulatory determinations under those laws, that are currently in effect.</w:t>
      </w:r>
    </w:p>
    <w:p>
      <w:pPr>
        <w:spacing w:after="0" w:line="85"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Very truly yours,</w:t>
      </w:r>
    </w:p>
    <w:p>
      <w:pPr>
        <w:spacing w:after="0" w:line="37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Paul, Weiss, Rifkind, Wharton &amp; Garrison LLP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PAUL, WEISS, RIFKIND, WHARTON &amp; GARRISON LLP</w:t>
      </w:r>
    </w:p>
    <w:p>
      <w:pPr>
        <w:sectPr>
          <w:pgSz w:w="11900" w:h="16838" w:orient="portrait"/>
          <w:cols w:equalWidth="0" w:num="1">
            <w:col w:w="11420"/>
          </w:cols>
          <w:pgMar w:left="240" w:top="280"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INDIA SUB PLAN 1</w:t>
      </w:r>
    </w:p>
    <w:p>
      <w:pPr>
        <w:spacing w:after="0" w:line="240" w:lineRule="exact"/>
        <w:rPr>
          <w:sz w:val="20"/>
          <w:szCs w:val="20"/>
          <w:color w:val="auto"/>
        </w:rPr>
      </w:pPr>
    </w:p>
    <w:p>
      <w:pPr>
        <w:ind w:left="1100" w:hanging="179"/>
        <w:spacing w:after="0"/>
        <w:tabs>
          <w:tab w:leader="none" w:pos="11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rFonts w:ascii="Arial" w:cs="Arial" w:eastAsia="Arial" w:hAnsi="Arial"/>
          <w:sz w:val="18"/>
          <w:szCs w:val="18"/>
          <w:b w:val="1"/>
          <w:bCs w:val="1"/>
          <w:color w:val="auto"/>
        </w:rPr>
      </w:pPr>
    </w:p>
    <w:p>
      <w:pPr>
        <w:ind w:right="180" w:firstLine="1492"/>
        <w:spacing w:after="0" w:line="298" w:lineRule="auto"/>
        <w:tabs>
          <w:tab w:leader="none" w:pos="172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This Sub Plan is established as a sub plan of the ExlService Holdings, Inc. 2006 Omnibus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as of the Effective Date, subject to the shareholder and Indian Subsidiary approval requirements set forth in Section 3. This Sub Plan is established and shall be maintained in accordance with all terms and conditions of the Plan, except to the extent specifically provided otherwise herein. Capitalized terms used in the Sub Plan and not otherwise defined shall have the same meanings as such terms are given in the Plan.</w:t>
      </w:r>
    </w:p>
    <w:p>
      <w:pPr>
        <w:spacing w:after="0" w:line="112" w:lineRule="exact"/>
        <w:rPr>
          <w:rFonts w:ascii="Arial" w:cs="Arial" w:eastAsia="Arial" w:hAnsi="Arial"/>
          <w:sz w:val="16"/>
          <w:szCs w:val="16"/>
          <w:color w:val="auto"/>
        </w:rPr>
      </w:pPr>
    </w:p>
    <w:p>
      <w:pPr>
        <w:ind w:right="100" w:firstLine="1492"/>
        <w:spacing w:after="0" w:line="298" w:lineRule="auto"/>
        <w:tabs>
          <w:tab w:leader="none" w:pos="173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purpose of the Sub Plan is to provide a means through which the Indian Subsidiaries may attract able persons to enter and remain in the employ of the Indian Subsidiaries and to provide a means whereby employees and directors of the Indian Subsidiaries can acquire and maintain Common Stock ownership, or be paid incentive compensation measured by reference to the value of Common Stock, thereby strengthening their commitment to the welfare of the Indian Subsidiaries and promoting an identity of interest between stockholders and these persons.</w:t>
      </w:r>
    </w:p>
    <w:p>
      <w:pPr>
        <w:spacing w:after="0" w:line="112" w:lineRule="exact"/>
        <w:rPr>
          <w:rFonts w:ascii="Arial" w:cs="Arial" w:eastAsia="Arial" w:hAnsi="Arial"/>
          <w:sz w:val="16"/>
          <w:szCs w:val="16"/>
          <w:color w:val="auto"/>
        </w:rPr>
      </w:pPr>
    </w:p>
    <w:p>
      <w:pPr>
        <w:ind w:right="300" w:firstLine="1492"/>
        <w:spacing w:after="0" w:line="259" w:lineRule="auto"/>
        <w:tabs>
          <w:tab w:leader="none" w:pos="172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This is a sub plan of the Plan (“</w:t>
      </w:r>
      <w:r>
        <w:rPr>
          <w:rFonts w:ascii="Arial" w:cs="Arial" w:eastAsia="Arial" w:hAnsi="Arial"/>
          <w:sz w:val="18"/>
          <w:szCs w:val="18"/>
          <w:u w:val="single" w:color="auto"/>
          <w:color w:val="auto"/>
        </w:rPr>
        <w:t>Sub Plan</w:t>
      </w:r>
      <w:r>
        <w:rPr>
          <w:rFonts w:ascii="Arial" w:cs="Arial" w:eastAsia="Arial" w:hAnsi="Arial"/>
          <w:sz w:val="18"/>
          <w:szCs w:val="18"/>
          <w:color w:val="auto"/>
        </w:rPr>
        <w:t>”) that permits offerings of grants to employees and directors of Indian Subsidiaries. The Sub Plan shall be a separate and independent plan from the Plan, but the total number of shares of Stock authorized to be issued under the Plan applies in the aggregate to both the Plan and the Sub Plans.</w:t>
      </w:r>
    </w:p>
    <w:p>
      <w:pPr>
        <w:spacing w:after="0" w:line="140" w:lineRule="exact"/>
        <w:rPr>
          <w:rFonts w:ascii="Arial" w:cs="Arial" w:eastAsia="Arial" w:hAnsi="Arial"/>
          <w:sz w:val="18"/>
          <w:szCs w:val="18"/>
          <w:color w:val="auto"/>
        </w:rPr>
      </w:pPr>
    </w:p>
    <w:p>
      <w:pPr>
        <w:ind w:right="40" w:firstLine="1492"/>
        <w:spacing w:after="0" w:line="259" w:lineRule="auto"/>
        <w:tabs>
          <w:tab w:leader="none" w:pos="17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So that the appropriate incentive can be provided, the Sub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215" w:lineRule="exact"/>
        <w:rPr>
          <w:rFonts w:ascii="Arial" w:cs="Arial" w:eastAsia="Arial" w:hAnsi="Arial"/>
          <w:sz w:val="18"/>
          <w:szCs w:val="18"/>
          <w:color w:val="auto"/>
        </w:rPr>
      </w:pPr>
    </w:p>
    <w:p>
      <w:pPr>
        <w:ind w:left="1100" w:hanging="179"/>
        <w:spacing w:after="0"/>
        <w:tabs>
          <w:tab w:leader="none" w:pos="11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definitions shall be applicable throughout the Sub Plan.</w:t>
      </w:r>
    </w:p>
    <w:p>
      <w:pPr>
        <w:spacing w:after="0" w:line="90" w:lineRule="exact"/>
        <w:rPr>
          <w:sz w:val="20"/>
          <w:szCs w:val="20"/>
          <w:color w:val="auto"/>
        </w:rPr>
      </w:pPr>
    </w:p>
    <w:p>
      <w:pPr>
        <w:ind w:left="1740" w:hanging="248"/>
        <w:spacing w:after="0"/>
        <w:tabs>
          <w:tab w:leader="none" w:pos="17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means the Indian Income Tax Act, 1961 as amended, and any applicable regulations or notifications promulgated thereunder.</w:t>
      </w:r>
    </w:p>
    <w:p>
      <w:pPr>
        <w:spacing w:after="0" w:line="194" w:lineRule="exact"/>
        <w:rPr>
          <w:rFonts w:ascii="Arial" w:cs="Arial" w:eastAsia="Arial" w:hAnsi="Arial"/>
          <w:sz w:val="16"/>
          <w:szCs w:val="16"/>
          <w:color w:val="auto"/>
        </w:rPr>
      </w:pPr>
    </w:p>
    <w:p>
      <w:pPr>
        <w:ind w:right="660" w:firstLine="1492"/>
        <w:spacing w:after="0" w:line="332" w:lineRule="auto"/>
        <w:tabs>
          <w:tab w:leader="none" w:pos="173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any Incentive Stock Option, Nonqualified Stock Option, Stock Appreciation Right, Restricted Stock, Restricted Stock Unit, Phantom Stock Award, Stock Bonus or Performance Compensation Award granted under the Sub Plan.</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420"/>
          </w:cols>
          <w:pgMar w:left="240" w:top="125" w:right="239" w:bottom="1440" w:gutter="0" w:footer="0" w:header="0"/>
        </w:sectPr>
      </w:pPr>
    </w:p>
    <w:bookmarkStart w:id="274" w:name="page275"/>
    <w:bookmarkEnd w:id="274"/>
    <w:p>
      <w:pPr>
        <w:ind w:left="-80" w:right="340" w:firstLine="1492"/>
        <w:spacing w:after="0" w:line="268" w:lineRule="auto"/>
        <w:tabs>
          <w:tab w:leader="none" w:pos="16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in the Plan to any section of the Code shall be deemed to include any amendments or successor provisions to such section and any regulations under such section.</w:t>
      </w:r>
    </w:p>
    <w:p>
      <w:pPr>
        <w:spacing w:after="0" w:line="131" w:lineRule="exact"/>
        <w:rPr>
          <w:rFonts w:ascii="Arial" w:cs="Arial" w:eastAsia="Arial" w:hAnsi="Arial"/>
          <w:sz w:val="18"/>
          <w:szCs w:val="18"/>
          <w:color w:val="auto"/>
        </w:rPr>
      </w:pPr>
    </w:p>
    <w:p>
      <w:pPr>
        <w:ind w:left="-80" w:right="220" w:firstLine="1492"/>
        <w:spacing w:after="0" w:line="323" w:lineRule="auto"/>
        <w:tabs>
          <w:tab w:leader="none" w:pos="1642"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 committee of at least two people as the Board may appoint to administer the Plan or, if no such committee has been appointed by the Board, the Board. Unless the Board is acting as the Committee or the Board specifically determines otherwise, each member of the Committee shall, at the time he takes any action with respect to an Award under the Plan, be an Eligible Director. However, the fact that a Committee member shall fail to qualify as an Eligible Director shall not invalidate any Award granted by the Committee which Award is otherwise validly granted under the Plan.</w:t>
      </w:r>
    </w:p>
    <w:p>
      <w:pPr>
        <w:spacing w:after="0" w:line="97" w:lineRule="exact"/>
        <w:rPr>
          <w:rFonts w:ascii="Arial" w:cs="Arial" w:eastAsia="Arial" w:hAnsi="Arial"/>
          <w:sz w:val="15"/>
          <w:szCs w:val="15"/>
          <w:color w:val="auto"/>
        </w:rPr>
      </w:pPr>
    </w:p>
    <w:p>
      <w:pPr>
        <w:ind w:left="1640" w:hanging="228"/>
        <w:spacing w:after="0"/>
        <w:tabs>
          <w:tab w:leader="none" w:pos="16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ExlService Holdings, Inc. and any successor thereto.</w:t>
      </w:r>
    </w:p>
    <w:p>
      <w:pPr>
        <w:spacing w:after="0" w:line="171" w:lineRule="exact"/>
        <w:rPr>
          <w:rFonts w:ascii="Arial" w:cs="Arial" w:eastAsia="Arial" w:hAnsi="Arial"/>
          <w:sz w:val="18"/>
          <w:szCs w:val="18"/>
          <w:color w:val="auto"/>
        </w:rPr>
      </w:pPr>
    </w:p>
    <w:p>
      <w:pPr>
        <w:ind w:left="1660" w:hanging="248"/>
        <w:spacing w:after="0"/>
        <w:tabs>
          <w:tab w:leader="none" w:pos="1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June 24, 2006.</w:t>
      </w:r>
    </w:p>
    <w:p>
      <w:pPr>
        <w:spacing w:after="0" w:line="171" w:lineRule="exact"/>
        <w:rPr>
          <w:rFonts w:ascii="Arial" w:cs="Arial" w:eastAsia="Arial" w:hAnsi="Arial"/>
          <w:sz w:val="18"/>
          <w:szCs w:val="18"/>
          <w:color w:val="auto"/>
        </w:rPr>
      </w:pPr>
    </w:p>
    <w:p>
      <w:pPr>
        <w:ind w:left="-80" w:right="100" w:firstLine="1492"/>
        <w:spacing w:after="0" w:line="289" w:lineRule="auto"/>
        <w:tabs>
          <w:tab w:leader="none" w:pos="165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on a given date, means (i) if the Stock is listed on a national securities exchange, the average of the highest and lowest sale prices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with reference to the annual accounts of the Company for the immediately preceding three years and the price at which shares of the Company’s outstanding capital stock have been previously issued by the Company.</w:t>
      </w:r>
    </w:p>
    <w:p>
      <w:pPr>
        <w:spacing w:after="0" w:line="118" w:lineRule="exact"/>
        <w:rPr>
          <w:rFonts w:ascii="Arial" w:cs="Arial" w:eastAsia="Arial" w:hAnsi="Arial"/>
          <w:sz w:val="16"/>
          <w:szCs w:val="16"/>
          <w:color w:val="auto"/>
        </w:rPr>
      </w:pPr>
    </w:p>
    <w:p>
      <w:pPr>
        <w:ind w:left="1620" w:hanging="208"/>
        <w:spacing w:after="0"/>
        <w:tabs>
          <w:tab w:leader="none" w:pos="16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FEMA</w:t>
      </w:r>
      <w:r>
        <w:rPr>
          <w:rFonts w:ascii="Arial" w:cs="Arial" w:eastAsia="Arial" w:hAnsi="Arial"/>
          <w:sz w:val="15"/>
          <w:szCs w:val="15"/>
          <w:color w:val="auto"/>
        </w:rPr>
        <w:t>” means the Indian Foreign Exchange Management Act, 1999 as amended, and the rules and regulations promulgated thereunder.</w:t>
      </w:r>
    </w:p>
    <w:p>
      <w:pPr>
        <w:spacing w:after="0" w:line="205" w:lineRule="exact"/>
        <w:rPr>
          <w:rFonts w:ascii="Arial" w:cs="Arial" w:eastAsia="Arial" w:hAnsi="Arial"/>
          <w:sz w:val="15"/>
          <w:szCs w:val="15"/>
          <w:color w:val="auto"/>
        </w:rPr>
      </w:pPr>
    </w:p>
    <w:p>
      <w:pPr>
        <w:ind w:left="1620" w:hanging="208"/>
        <w:spacing w:after="0"/>
        <w:tabs>
          <w:tab w:leader="none" w:pos="1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Guidelines</w:t>
      </w:r>
      <w:r>
        <w:rPr>
          <w:rFonts w:ascii="Arial" w:cs="Arial" w:eastAsia="Arial" w:hAnsi="Arial"/>
          <w:sz w:val="18"/>
          <w:szCs w:val="18"/>
          <w:color w:val="auto"/>
        </w:rPr>
        <w:t>” means the Employee Stock Option Guidelines issued by the Ministry of Finance of the Government of India.</w:t>
      </w:r>
    </w:p>
    <w:p>
      <w:pPr>
        <w:spacing w:after="0" w:line="171" w:lineRule="exact"/>
        <w:rPr>
          <w:rFonts w:ascii="Arial" w:cs="Arial" w:eastAsia="Arial" w:hAnsi="Arial"/>
          <w:sz w:val="18"/>
          <w:szCs w:val="18"/>
          <w:color w:val="auto"/>
        </w:rPr>
      </w:pPr>
    </w:p>
    <w:p>
      <w:pPr>
        <w:ind w:left="-80" w:right="640" w:firstLine="1492"/>
        <w:spacing w:after="0" w:line="332" w:lineRule="auto"/>
        <w:tabs>
          <w:tab w:leader="none" w:pos="165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granted by the Committee to a Participant under the Plan which is designated by the Committee as an incentive stock option as described in Section 422 of the Code and otherwise meets the requirements set forth herein.</w:t>
      </w:r>
    </w:p>
    <w:p>
      <w:pPr>
        <w:spacing w:after="0" w:line="85" w:lineRule="exact"/>
        <w:rPr>
          <w:rFonts w:ascii="Arial" w:cs="Arial" w:eastAsia="Arial" w:hAnsi="Arial"/>
          <w:sz w:val="16"/>
          <w:szCs w:val="16"/>
          <w:color w:val="auto"/>
        </w:rPr>
      </w:pPr>
    </w:p>
    <w:p>
      <w:pPr>
        <w:ind w:left="-80" w:right="240" w:firstLine="1492"/>
        <w:spacing w:after="0" w:line="332" w:lineRule="auto"/>
        <w:tabs>
          <w:tab w:leader="none" w:pos="161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Indian Subsidiary</w:t>
      </w:r>
      <w:r>
        <w:rPr>
          <w:rFonts w:ascii="Arial" w:cs="Arial" w:eastAsia="Arial" w:hAnsi="Arial"/>
          <w:sz w:val="16"/>
          <w:szCs w:val="16"/>
          <w:color w:val="auto"/>
        </w:rPr>
        <w:t>” means, each Subsidiary that is either (i) headquartered in the Republic of India or (ii) employs or retains a person who is “resident” in India, in accordance with the Act. All such Subsidiaries are collectively referred to as the “</w:t>
      </w:r>
      <w:r>
        <w:rPr>
          <w:rFonts w:ascii="Arial" w:cs="Arial" w:eastAsia="Arial" w:hAnsi="Arial"/>
          <w:sz w:val="16"/>
          <w:szCs w:val="16"/>
          <w:u w:val="single" w:color="auto"/>
          <w:color w:val="auto"/>
        </w:rPr>
        <w:t>Indian Subsidiaries</w:t>
      </w:r>
      <w:r>
        <w:rPr>
          <w:rFonts w:ascii="Arial" w:cs="Arial" w:eastAsia="Arial" w:hAnsi="Arial"/>
          <w:sz w:val="16"/>
          <w:szCs w:val="16"/>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280" w:right="319" w:bottom="1440" w:gutter="0" w:footer="0" w:header="0"/>
        </w:sectPr>
      </w:pPr>
    </w:p>
    <w:bookmarkStart w:id="275" w:name="page276"/>
    <w:bookmarkEnd w:id="275"/>
    <w:p>
      <w:pPr>
        <w:ind w:left="-40" w:right="80" w:firstLine="1492"/>
        <w:spacing w:after="0" w:line="268" w:lineRule="auto"/>
        <w:tabs>
          <w:tab w:leader="none" w:pos="1741" w:val="left"/>
        </w:tabs>
        <w:numPr>
          <w:ilvl w:val="1"/>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granted by the Committee to a Participant under the Plan which is not designated by the Committee as an Incentive Stock Option.</w:t>
      </w:r>
    </w:p>
    <w:p>
      <w:pPr>
        <w:spacing w:after="0" w:line="131" w:lineRule="exact"/>
        <w:rPr>
          <w:rFonts w:ascii="Arial" w:cs="Arial" w:eastAsia="Arial" w:hAnsi="Arial"/>
          <w:sz w:val="18"/>
          <w:szCs w:val="18"/>
          <w:color w:val="auto"/>
        </w:rPr>
      </w:pPr>
    </w:p>
    <w:p>
      <w:pPr>
        <w:ind w:left="1700" w:hanging="248"/>
        <w:spacing w:after="0"/>
        <w:tabs>
          <w:tab w:leader="none" w:pos="17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Sub Plan.</w:t>
      </w:r>
    </w:p>
    <w:p>
      <w:pPr>
        <w:spacing w:after="0" w:line="171" w:lineRule="exact"/>
        <w:rPr>
          <w:rFonts w:ascii="Arial" w:cs="Arial" w:eastAsia="Arial" w:hAnsi="Arial"/>
          <w:sz w:val="18"/>
          <w:szCs w:val="18"/>
          <w:color w:val="auto"/>
        </w:rPr>
      </w:pPr>
    </w:p>
    <w:p>
      <w:pPr>
        <w:ind w:left="1700" w:hanging="248"/>
        <w:spacing w:after="0"/>
        <w:tabs>
          <w:tab w:leader="none" w:pos="17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means the period described in Section 7(c) of the Sub Plan.</w:t>
      </w:r>
    </w:p>
    <w:p>
      <w:pPr>
        <w:spacing w:after="0" w:line="171" w:lineRule="exact"/>
        <w:rPr>
          <w:rFonts w:ascii="Arial" w:cs="Arial" w:eastAsia="Arial" w:hAnsi="Arial"/>
          <w:sz w:val="18"/>
          <w:szCs w:val="18"/>
          <w:color w:val="auto"/>
        </w:rPr>
      </w:pPr>
    </w:p>
    <w:p>
      <w:pPr>
        <w:ind w:left="1700" w:hanging="248"/>
        <w:spacing w:after="0"/>
        <w:tabs>
          <w:tab w:leader="none" w:pos="17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exercise price for an Option as described in Section 7(a) of the Sub Plan.</w:t>
      </w:r>
    </w:p>
    <w:p>
      <w:pPr>
        <w:spacing w:after="0" w:line="171" w:lineRule="exact"/>
        <w:rPr>
          <w:rFonts w:ascii="Arial" w:cs="Arial" w:eastAsia="Arial" w:hAnsi="Arial"/>
          <w:sz w:val="18"/>
          <w:szCs w:val="18"/>
          <w:color w:val="auto"/>
        </w:rPr>
      </w:pPr>
    </w:p>
    <w:p>
      <w:pPr>
        <w:ind w:left="-40" w:right="80" w:firstLine="1492"/>
        <w:spacing w:after="0" w:line="268" w:lineRule="auto"/>
        <w:tabs>
          <w:tab w:leader="none" w:pos="16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Sub Plan Eligible Person who has been selected by the Committee to participate in the Sub Plan and to receive an Award pursuant to Section 6 of the Sub Plan.</w:t>
      </w:r>
    </w:p>
    <w:p>
      <w:pPr>
        <w:spacing w:after="0" w:line="131" w:lineRule="exact"/>
        <w:rPr>
          <w:rFonts w:ascii="Arial" w:cs="Arial" w:eastAsia="Arial" w:hAnsi="Arial"/>
          <w:sz w:val="18"/>
          <w:szCs w:val="18"/>
          <w:color w:val="auto"/>
        </w:rPr>
      </w:pPr>
    </w:p>
    <w:p>
      <w:pPr>
        <w:ind w:left="-40" w:right="540" w:firstLine="1492"/>
        <w:spacing w:after="0" w:line="268" w:lineRule="auto"/>
        <w:tabs>
          <w:tab w:leader="none" w:pos="166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Compensation Award</w:t>
      </w:r>
      <w:r>
        <w:rPr>
          <w:rFonts w:ascii="Arial" w:cs="Arial" w:eastAsia="Arial" w:hAnsi="Arial"/>
          <w:sz w:val="18"/>
          <w:szCs w:val="18"/>
          <w:color w:val="auto"/>
        </w:rPr>
        <w:t>” shall mean any Award designated by the Committee as a Performance Compensation Award pursuant to Section 11 of the Plan.</w:t>
      </w:r>
    </w:p>
    <w:p>
      <w:pPr>
        <w:spacing w:after="0" w:line="131" w:lineRule="exact"/>
        <w:rPr>
          <w:rFonts w:ascii="Arial" w:cs="Arial" w:eastAsia="Arial" w:hAnsi="Arial"/>
          <w:sz w:val="18"/>
          <w:szCs w:val="18"/>
          <w:color w:val="auto"/>
        </w:rPr>
      </w:pPr>
    </w:p>
    <w:p>
      <w:pPr>
        <w:jc w:val="both"/>
        <w:ind w:left="-40" w:firstLine="1492"/>
        <w:spacing w:after="0" w:line="256" w:lineRule="auto"/>
        <w:tabs>
          <w:tab w:leader="none" w:pos="167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Indian Subsidiaries, division or operational unit of the Company) and shall be limited to the following:</w:t>
      </w:r>
    </w:p>
    <w:p>
      <w:pPr>
        <w:spacing w:after="0" w:line="62"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276" w:name="page277"/>
    <w:bookmarkEnd w:id="276"/>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or operating margins;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71"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color w:val="auto"/>
        </w:rPr>
        <w:t>Any one or more of the Performance Criteria may be used on an absolute or relative basis to measure the performance of the Company and/or an Indian Subsidiary as a whole or any business unit of the Company and/or an Indian Subsidiary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(xi) above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123" w:lineRule="exact"/>
        <w:rPr>
          <w:sz w:val="20"/>
          <w:szCs w:val="20"/>
          <w:color w:val="auto"/>
        </w:rPr>
      </w:pPr>
    </w:p>
    <w:p>
      <w:pPr>
        <w:ind w:right="240" w:firstLine="1492"/>
        <w:spacing w:after="0" w:line="259" w:lineRule="auto"/>
        <w:tabs>
          <w:tab w:leader="none" w:pos="169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Formula</w:t>
      </w:r>
      <w:r>
        <w:rPr>
          <w:rFonts w:ascii="Arial" w:cs="Arial" w:eastAsia="Arial" w:hAnsi="Arial"/>
          <w:sz w:val="18"/>
          <w:szCs w:val="18"/>
          <w:color w:val="auto"/>
        </w:rPr>
        <w:t>”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40" w:lineRule="exact"/>
        <w:rPr>
          <w:rFonts w:ascii="Arial" w:cs="Arial" w:eastAsia="Arial" w:hAnsi="Arial"/>
          <w:sz w:val="18"/>
          <w:szCs w:val="18"/>
          <w:color w:val="auto"/>
        </w:rPr>
      </w:pPr>
    </w:p>
    <w:p>
      <w:pPr>
        <w:ind w:right="220" w:firstLine="1492"/>
        <w:spacing w:after="0" w:line="306" w:lineRule="auto"/>
        <w:tabs>
          <w:tab w:leader="none" w:pos="173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the one or more goals established by the Committee for the Performance Period based upon the Performance Criteria. The Committee is authorized at any time during the first 90 days of a Performance Period (or, if longer or shorter, within the maximum period allowed under Section 162(m) of the Code), or at any time thereafter (but only to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77" w:name="page278"/>
    <w:bookmarkEnd w:id="277"/>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62" w:lineRule="exact"/>
        <w:rPr>
          <w:sz w:val="20"/>
          <w:szCs w:val="20"/>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1480" w:right="80" w:hanging="797"/>
        <w:spacing w:after="0" w:line="259" w:lineRule="auto"/>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71" w:lineRule="exact"/>
        <w:rPr>
          <w:rFonts w:ascii="Arial" w:cs="Arial" w:eastAsia="Arial" w:hAnsi="Arial"/>
          <w:sz w:val="18"/>
          <w:szCs w:val="18"/>
          <w:color w:val="auto"/>
        </w:rPr>
      </w:pPr>
    </w:p>
    <w:p>
      <w:pPr>
        <w:ind w:right="300" w:firstLine="1492"/>
        <w:spacing w:after="0" w:line="259" w:lineRule="auto"/>
        <w:tabs>
          <w:tab w:leader="none" w:pos="173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140" w:lineRule="exact"/>
        <w:rPr>
          <w:rFonts w:ascii="Arial" w:cs="Arial" w:eastAsia="Arial" w:hAnsi="Arial"/>
          <w:sz w:val="18"/>
          <w:szCs w:val="18"/>
          <w:color w:val="auto"/>
        </w:rPr>
      </w:pPr>
    </w:p>
    <w:p>
      <w:pPr>
        <w:ind w:right="60" w:firstLine="1492"/>
        <w:spacing w:after="0" w:line="268" w:lineRule="auto"/>
        <w:tabs>
          <w:tab w:leader="none" w:pos="177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 Award</w:t>
      </w:r>
      <w:r>
        <w:rPr>
          <w:rFonts w:ascii="Arial" w:cs="Arial" w:eastAsia="Arial" w:hAnsi="Arial"/>
          <w:sz w:val="18"/>
          <w:szCs w:val="18"/>
          <w:color w:val="auto"/>
        </w:rPr>
        <w:t>” shall mean a cash award whose value is determined based on the change in the value of the Company Common Stock from the Effective Date.</w:t>
      </w:r>
    </w:p>
    <w:p>
      <w:pPr>
        <w:spacing w:after="0" w:line="131" w:lineRule="exact"/>
        <w:rPr>
          <w:rFonts w:ascii="Arial" w:cs="Arial" w:eastAsia="Arial" w:hAnsi="Arial"/>
          <w:sz w:val="18"/>
          <w:szCs w:val="18"/>
          <w:color w:val="auto"/>
        </w:rPr>
      </w:pPr>
    </w:p>
    <w:p>
      <w:pPr>
        <w:jc w:val="both"/>
        <w:ind w:firstLine="1492"/>
        <w:spacing w:after="0" w:line="323" w:lineRule="auto"/>
        <w:tabs>
          <w:tab w:leader="none" w:pos="1732" w:val="left"/>
        </w:tabs>
        <w:numPr>
          <w:ilvl w:val="1"/>
          <w:numId w:val="1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Promoter</w:t>
      </w:r>
      <w:r>
        <w:rPr>
          <w:rFonts w:ascii="Arial" w:cs="Arial" w:eastAsia="Arial" w:hAnsi="Arial"/>
          <w:sz w:val="15"/>
          <w:szCs w:val="15"/>
          <w:color w:val="auto"/>
        </w:rPr>
        <w:t xml:space="preserve">” means the person or persons who are in overall control of the Company, who are instrumental in the formation of the Company or program pursuant to which shares of Stock were offered to the public, or the person or persons named in the offer document as promoter(s);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director or officer of the Company or an Indian Subsidiary, if he is acting as such only in his professional capacity will not be deemed to be a promoter. Where a promoter of the Company is a body corporate, the promoters of that body corporate shall also be deemed to be promoters of the Company.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78" w:name="page279"/>
    <w:bookmarkEnd w:id="278"/>
    <w:p>
      <w:pPr>
        <w:ind w:right="200" w:firstLine="1492"/>
        <w:spacing w:after="0" w:line="370" w:lineRule="auto"/>
        <w:tabs>
          <w:tab w:leader="none" w:pos="1732" w:val="left"/>
        </w:tabs>
        <w:numPr>
          <w:ilvl w:val="0"/>
          <w:numId w:val="1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u w:val="single" w:color="auto"/>
          <w:color w:val="auto"/>
        </w:rPr>
        <w:t>Promoter Group</w:t>
      </w:r>
      <w:r>
        <w:rPr>
          <w:rFonts w:ascii="Arial" w:cs="Arial" w:eastAsia="Arial" w:hAnsi="Arial"/>
          <w:sz w:val="15"/>
          <w:szCs w:val="15"/>
          <w:color w:val="auto"/>
        </w:rPr>
        <w:t>” means an immediate relative of the Promoter (i.e. spouse of that person, or any parent, brother, sister or child of the person or of the spouse); persons whose shareholding is aggregated for the purpose of disclosing in the offer document “shareholding of the promoter group”.</w:t>
      </w:r>
    </w:p>
    <w:p>
      <w:pPr>
        <w:spacing w:after="0" w:line="62" w:lineRule="exact"/>
        <w:rPr>
          <w:rFonts w:ascii="Arial" w:cs="Arial" w:eastAsia="Arial" w:hAnsi="Arial"/>
          <w:sz w:val="15"/>
          <w:szCs w:val="15"/>
          <w:color w:val="auto"/>
        </w:rPr>
      </w:pPr>
    </w:p>
    <w:p>
      <w:pPr>
        <w:ind w:right="40" w:firstLine="1492"/>
        <w:spacing w:after="0" w:line="259" w:lineRule="auto"/>
        <w:tabs>
          <w:tab w:leader="none" w:pos="172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140" w:lineRule="exact"/>
        <w:rPr>
          <w:sz w:val="20"/>
          <w:szCs w:val="20"/>
          <w:color w:val="auto"/>
        </w:rPr>
      </w:pPr>
    </w:p>
    <w:p>
      <w:pPr>
        <w:ind w:right="40" w:firstLine="1492"/>
        <w:spacing w:after="0" w:line="332" w:lineRule="auto"/>
        <w:tabs>
          <w:tab w:leader="none" w:pos="18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of Stock issued or transferred to a Participant subject to forfeiture and the other restrictions set forth in Section 9 of the Sub Plan.</w:t>
      </w:r>
    </w:p>
    <w:p>
      <w:pPr>
        <w:spacing w:after="0" w:line="85" w:lineRule="exact"/>
        <w:rPr>
          <w:rFonts w:ascii="Arial" w:cs="Arial" w:eastAsia="Arial" w:hAnsi="Arial"/>
          <w:sz w:val="16"/>
          <w:szCs w:val="16"/>
          <w:color w:val="auto"/>
        </w:rPr>
      </w:pPr>
    </w:p>
    <w:p>
      <w:pPr>
        <w:ind w:left="1820" w:hanging="328"/>
        <w:spacing w:after="0"/>
        <w:tabs>
          <w:tab w:leader="none" w:pos="18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hypothetical investment equivalent to one share of Stock granted in connection with an Award made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Section 9.</w:t>
      </w:r>
    </w:p>
    <w:p>
      <w:pPr>
        <w:spacing w:after="0" w:line="164" w:lineRule="exact"/>
        <w:rPr>
          <w:rFonts w:ascii="Arial" w:cs="Arial" w:eastAsia="Arial" w:hAnsi="Arial"/>
          <w:sz w:val="16"/>
          <w:szCs w:val="16"/>
          <w:color w:val="auto"/>
        </w:rPr>
      </w:pPr>
    </w:p>
    <w:p>
      <w:pPr>
        <w:ind w:right="220" w:firstLine="1492"/>
        <w:spacing w:after="0" w:line="268" w:lineRule="auto"/>
        <w:tabs>
          <w:tab w:leader="none" w:pos="1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Common Stock or such other authorized shares of stock of the Company as the Committee may from time to time authorize for use under the Plan.</w:t>
      </w:r>
    </w:p>
    <w:p>
      <w:pPr>
        <w:spacing w:after="0" w:line="131" w:lineRule="exact"/>
        <w:rPr>
          <w:rFonts w:ascii="Arial" w:cs="Arial" w:eastAsia="Arial" w:hAnsi="Arial"/>
          <w:sz w:val="18"/>
          <w:szCs w:val="18"/>
          <w:color w:val="auto"/>
        </w:rPr>
      </w:pPr>
    </w:p>
    <w:p>
      <w:pPr>
        <w:ind w:left="1820" w:hanging="328"/>
        <w:spacing w:after="0"/>
        <w:tabs>
          <w:tab w:leader="none" w:pos="18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“SAR” means an Award granted under Section 8 of the Sub Plan.</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Bonus</w:t>
      </w:r>
      <w:r>
        <w:rPr>
          <w:rFonts w:ascii="Arial" w:cs="Arial" w:eastAsia="Arial" w:hAnsi="Arial"/>
          <w:sz w:val="16"/>
          <w:szCs w:val="16"/>
          <w:color w:val="auto"/>
        </w:rPr>
        <w:t>” means an Award granted under Section 10 of the Sub Plan.</w:t>
      </w:r>
    </w:p>
    <w:p>
      <w:pPr>
        <w:spacing w:after="0" w:line="194" w:lineRule="exact"/>
        <w:rPr>
          <w:rFonts w:ascii="Arial" w:cs="Arial" w:eastAsia="Arial" w:hAnsi="Arial"/>
          <w:sz w:val="16"/>
          <w:szCs w:val="16"/>
          <w:color w:val="auto"/>
        </w:rPr>
      </w:pPr>
    </w:p>
    <w:p>
      <w:pPr>
        <w:ind w:right="160" w:firstLine="1492"/>
        <w:spacing w:after="0" w:line="268" w:lineRule="auto"/>
        <w:tabs>
          <w:tab w:leader="none" w:pos="175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means any agreement between the Company and a Participant who has been granted an Option pursuant to Section 7 which defines the rights and obligations of the parties thereto.</w:t>
      </w:r>
    </w:p>
    <w:p>
      <w:pPr>
        <w:spacing w:after="0" w:line="131" w:lineRule="exact"/>
        <w:rPr>
          <w:rFonts w:ascii="Arial" w:cs="Arial" w:eastAsia="Arial" w:hAnsi="Arial"/>
          <w:sz w:val="18"/>
          <w:szCs w:val="18"/>
          <w:color w:val="auto"/>
        </w:rPr>
      </w:pPr>
    </w:p>
    <w:p>
      <w:pPr>
        <w:ind w:left="1820" w:hanging="328"/>
        <w:spacing w:after="0"/>
        <w:tabs>
          <w:tab w:leader="none" w:pos="18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 Plan</w:t>
      </w:r>
      <w:r>
        <w:rPr>
          <w:rFonts w:ascii="Arial" w:cs="Arial" w:eastAsia="Arial" w:hAnsi="Arial"/>
          <w:sz w:val="18"/>
          <w:szCs w:val="18"/>
          <w:color w:val="auto"/>
        </w:rPr>
        <w:t>” means this ExlService Holdings, Inc. 2006 Omnibus India Sub Plan 1.</w:t>
      </w:r>
    </w:p>
    <w:p>
      <w:pPr>
        <w:spacing w:after="0" w:line="171" w:lineRule="exact"/>
        <w:rPr>
          <w:rFonts w:ascii="Arial" w:cs="Arial" w:eastAsia="Arial" w:hAnsi="Arial"/>
          <w:sz w:val="18"/>
          <w:szCs w:val="18"/>
          <w:color w:val="auto"/>
        </w:rPr>
      </w:pPr>
    </w:p>
    <w:p>
      <w:pPr>
        <w:ind w:right="140" w:firstLine="1492"/>
        <w:spacing w:after="0" w:line="306" w:lineRule="auto"/>
        <w:tabs>
          <w:tab w:leader="none" w:pos="18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 Plan Eligible Person</w:t>
      </w:r>
      <w:r>
        <w:rPr>
          <w:rFonts w:ascii="Arial" w:cs="Arial" w:eastAsia="Arial" w:hAnsi="Arial"/>
          <w:sz w:val="16"/>
          <w:szCs w:val="16"/>
          <w:color w:val="auto"/>
        </w:rPr>
        <w:t>” means any employee or director of an Indian Subsidiary who is “resident” in India, in accordance with the provisions of FEMA, other than (i) a Promoter, (ii) a member of the Promoter Group, or (iii) a director who either by himself or through his relative or through any body corporate, directly or indirectly holds more than ten percent (10%) of the issued share capital of the Company.</w:t>
      </w:r>
    </w:p>
    <w:p>
      <w:pPr>
        <w:spacing w:after="0" w:line="106" w:lineRule="exact"/>
        <w:rPr>
          <w:rFonts w:ascii="Arial" w:cs="Arial" w:eastAsia="Arial" w:hAnsi="Arial"/>
          <w:sz w:val="16"/>
          <w:szCs w:val="16"/>
          <w:color w:val="auto"/>
        </w:rPr>
      </w:pPr>
    </w:p>
    <w:p>
      <w:pPr>
        <w:ind w:left="1760" w:hanging="268"/>
        <w:spacing w:after="0"/>
        <w:tabs>
          <w:tab w:leader="none" w:pos="17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 Plan Participant</w:t>
      </w:r>
      <w:r>
        <w:rPr>
          <w:rFonts w:ascii="Arial" w:cs="Arial" w:eastAsia="Arial" w:hAnsi="Arial"/>
          <w:sz w:val="15"/>
          <w:szCs w:val="15"/>
          <w:color w:val="auto"/>
        </w:rPr>
        <w:t>” means a Sub Plan Eligible Person who has been selected by the Committee pursuant to subsection 3(b) of the Sub</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64" w:lineRule="exact"/>
        <w:rPr>
          <w:rFonts w:ascii="Arial" w:cs="Arial" w:eastAsia="Arial" w:hAnsi="Arial"/>
          <w:sz w:val="15"/>
          <w:szCs w:val="15"/>
          <w:color w:val="auto"/>
        </w:rPr>
      </w:pPr>
    </w:p>
    <w:p>
      <w:pPr>
        <w:ind w:left="1760" w:hanging="268"/>
        <w:spacing w:after="0"/>
        <w:tabs>
          <w:tab w:leader="none" w:pos="17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at the time of reference, a “subsidiary” of the Company as that term is then defined under the Indian Companies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1956.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79" w:name="page280"/>
    <w:bookmarkEnd w:id="279"/>
    <w:p>
      <w:pPr>
        <w:ind w:left="1820" w:hanging="328"/>
        <w:spacing w:after="0"/>
        <w:tabs>
          <w:tab w:leader="none" w:pos="18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Vested Unit</w:t>
      </w:r>
      <w:r>
        <w:rPr>
          <w:rFonts w:ascii="Arial" w:cs="Arial" w:eastAsia="Arial" w:hAnsi="Arial"/>
          <w:sz w:val="18"/>
          <w:szCs w:val="18"/>
          <w:color w:val="auto"/>
        </w:rPr>
        <w:t>” shall have the meaning ascribed thereto in Section 9(d).</w:t>
      </w:r>
    </w:p>
    <w:p>
      <w:pPr>
        <w:spacing w:after="0" w:line="246" w:lineRule="exact"/>
        <w:rPr>
          <w:rFonts w:ascii="Arial" w:cs="Arial" w:eastAsia="Arial" w:hAnsi="Arial"/>
          <w:sz w:val="18"/>
          <w:szCs w:val="18"/>
          <w:color w:val="auto"/>
        </w:rPr>
      </w:pPr>
    </w:p>
    <w:p>
      <w:pPr>
        <w:ind w:left="1100" w:hanging="179"/>
        <w:spacing w:after="0"/>
        <w:tabs>
          <w:tab w:leader="none" w:pos="110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Effective Date, Duration and Shareholder Approval</w:t>
      </w:r>
    </w:p>
    <w:p>
      <w:pPr>
        <w:spacing w:after="0" w:line="96" w:lineRule="exact"/>
        <w:rPr>
          <w:rFonts w:ascii="Arial" w:cs="Arial" w:eastAsia="Arial" w:hAnsi="Arial"/>
          <w:sz w:val="18"/>
          <w:szCs w:val="18"/>
          <w:color w:val="auto"/>
        </w:rPr>
      </w:pPr>
    </w:p>
    <w:p>
      <w:pPr>
        <w:ind w:firstLine="1492"/>
        <w:spacing w:after="0" w:line="256" w:lineRule="auto"/>
        <w:tabs>
          <w:tab w:leader="none" w:pos="172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No Award granted under the Sub Plan will be vested or exercisable until (i) a majority of the shareholders of the Company approve the Plan and (ii) the board of directors of each Indian Subsidiary accepts and adopts the Plan and the Sub Plan, whereupon all grants made under the Sub Plan shall be deemed to have been made at the behest and on behalf of such Indian Subsidiary and such Indian Subsidiary, in so far as the terms and conditions of the Plan apply to it, shall be bound by the terms and conditions thereof.</w:t>
      </w:r>
    </w:p>
    <w:p>
      <w:pPr>
        <w:spacing w:after="0" w:line="143" w:lineRule="exact"/>
        <w:rPr>
          <w:rFonts w:ascii="Arial" w:cs="Arial" w:eastAsia="Arial" w:hAnsi="Arial"/>
          <w:sz w:val="18"/>
          <w:szCs w:val="18"/>
          <w:color w:val="auto"/>
        </w:rPr>
      </w:pPr>
    </w:p>
    <w:p>
      <w:pPr>
        <w:ind w:right="560" w:firstLine="1492"/>
        <w:spacing w:after="0" w:line="268" w:lineRule="auto"/>
        <w:tabs>
          <w:tab w:leader="none" w:pos="17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Sub Plan and any Awards granted under it will terminate, if the approvals described in the foregoing subparagraph (a) are not received for the Plan and the Sub Plan within twelve months following the Effective Date.</w:t>
      </w:r>
    </w:p>
    <w:p>
      <w:pPr>
        <w:spacing w:after="0" w:line="206" w:lineRule="exact"/>
        <w:rPr>
          <w:rFonts w:ascii="Arial" w:cs="Arial" w:eastAsia="Arial" w:hAnsi="Arial"/>
          <w:sz w:val="18"/>
          <w:szCs w:val="18"/>
          <w:color w:val="auto"/>
        </w:rPr>
      </w:pPr>
    </w:p>
    <w:p>
      <w:pPr>
        <w:ind w:left="1100" w:hanging="179"/>
        <w:spacing w:after="0"/>
        <w:tabs>
          <w:tab w:leader="none" w:pos="110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color w:val="auto"/>
        </w:rPr>
      </w:pPr>
    </w:p>
    <w:p>
      <w:pPr>
        <w:ind w:right="40" w:firstLine="1492"/>
        <w:spacing w:after="0" w:line="259" w:lineRule="auto"/>
        <w:tabs>
          <w:tab w:leader="none" w:pos="172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Committee shall administer the Sub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140" w:lineRule="exact"/>
        <w:rPr>
          <w:rFonts w:ascii="Arial" w:cs="Arial" w:eastAsia="Arial" w:hAnsi="Arial"/>
          <w:sz w:val="18"/>
          <w:szCs w:val="18"/>
          <w:color w:val="auto"/>
        </w:rPr>
      </w:pPr>
    </w:p>
    <w:p>
      <w:pPr>
        <w:ind w:firstLine="1492"/>
        <w:spacing w:after="0" w:line="286" w:lineRule="auto"/>
        <w:tabs>
          <w:tab w:leader="none" w:pos="173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Subject to the provisions of the Sub Plan and applicable law, the Committee shall have the power, and in addition to other express powers and authorizations conferred on the Committee by the Sub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Sub Plan and any instrument or agreement relating to, or Award granted under, the Sub Plan; (viii) establish, amend, suspend, or waive such rules and regulations; (ix) appoint such agents as it shall deem appropriate for the proper administration of the Sub Plan; and (x) make any other determination and take any other action that the Committee deems necessary or desirable for the administration of the Sub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80" w:name="page281"/>
    <w:bookmarkEnd w:id="280"/>
    <w:p>
      <w:pPr>
        <w:jc w:val="both"/>
        <w:ind w:right="120" w:firstLine="1492"/>
        <w:spacing w:after="0" w:line="298" w:lineRule="auto"/>
        <w:tabs>
          <w:tab w:leader="none" w:pos="1722" w:val="left"/>
        </w:tabs>
        <w:numPr>
          <w:ilvl w:val="1"/>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Committee may delegate to any officer or officers of the Company or the Indian Subsidiaries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112" w:lineRule="exact"/>
        <w:rPr>
          <w:rFonts w:ascii="Arial" w:cs="Arial" w:eastAsia="Arial" w:hAnsi="Arial"/>
          <w:sz w:val="16"/>
          <w:szCs w:val="16"/>
          <w:color w:val="auto"/>
        </w:rPr>
      </w:pPr>
    </w:p>
    <w:p>
      <w:pPr>
        <w:jc w:val="both"/>
        <w:ind w:right="40" w:firstLine="1492"/>
        <w:spacing w:after="0" w:line="256" w:lineRule="auto"/>
        <w:tabs>
          <w:tab w:leader="none" w:pos="17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Unless otherwise expressly provided in the Sub Plan, all designations, determinations, interpretations, and other decisions under or with respect to the Sub Plan or any Award or any documents evidencing Awards granted pursuant to the Sub Plan shall be within the sole discretion of the Committee, may be made at any time and shall be final, conclusive and binding upon all parties, including, without limitation, the Company, any Indian Subsidiary, any Participant, any holder or beneficiary of any Award, and any shareholder.</w:t>
      </w:r>
    </w:p>
    <w:p>
      <w:pPr>
        <w:spacing w:after="0" w:line="143" w:lineRule="exact"/>
        <w:rPr>
          <w:rFonts w:ascii="Arial" w:cs="Arial" w:eastAsia="Arial" w:hAnsi="Arial"/>
          <w:sz w:val="18"/>
          <w:szCs w:val="18"/>
          <w:color w:val="auto"/>
        </w:rPr>
      </w:pPr>
    </w:p>
    <w:p>
      <w:pPr>
        <w:ind w:right="880" w:firstLine="1492"/>
        <w:spacing w:after="0" w:line="268" w:lineRule="auto"/>
        <w:tabs>
          <w:tab w:leader="none" w:pos="172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No member of the Committee or any person authorized by the Committee to act on its behalf shall be liable for any action or determination made in good faith with respect to the Sub Plan or any Award hereunder.</w:t>
      </w:r>
    </w:p>
    <w:p>
      <w:pPr>
        <w:spacing w:after="0" w:line="206" w:lineRule="exact"/>
        <w:rPr>
          <w:rFonts w:ascii="Arial" w:cs="Arial" w:eastAsia="Arial" w:hAnsi="Arial"/>
          <w:sz w:val="18"/>
          <w:szCs w:val="18"/>
          <w:color w:val="auto"/>
        </w:rPr>
      </w:pPr>
    </w:p>
    <w:p>
      <w:pPr>
        <w:ind w:left="1100" w:hanging="179"/>
        <w:spacing w:after="0"/>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Sub Plan</w:t>
      </w:r>
    </w:p>
    <w:p>
      <w:pPr>
        <w:spacing w:after="0" w:line="96"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 xml:space="preserve">The Committee may, from time to time, grant Awards of Options, Stock Appreciation Rights, Restricted Stock, Restricted Stock Units, Phantom Stock Awards, Stock Bonuses and/or Performance Compensation Awards to one or more Sub Plan Eligible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Subject to Section 13, the aggregate number of shares of Stock in respect of which Awards may be granted under the Sub Plan is 250,000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65" w:lineRule="exact"/>
        <w:rPr>
          <w:sz w:val="20"/>
          <w:szCs w:val="20"/>
          <w:color w:val="auto"/>
        </w:rPr>
      </w:pPr>
    </w:p>
    <w:p>
      <w:pPr>
        <w:ind w:right="40" w:firstLine="1492"/>
        <w:spacing w:after="0" w:line="288" w:lineRule="auto"/>
        <w:tabs>
          <w:tab w:leader="none" w:pos="173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Shares of Stock shall be deemed to have been used in settlement of Awards whether or not they are actually delivered or the Fair Market Value equivalent of such shares is paid in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shares of Stock delivered (either directly or by means of attestation) in full or partial payment of the Option Price in accordance with Section 7(b) shall be deducted from the number of shares of Stock delivered to the Participant pursuant to such Option for purposes of determining the number of shares of Stock acquired pursuant to the Sub Plan. In accordance with (and without limitation upon) the preceding sentence, if and to the extent an Award under the Sub Plan expires, terminates or is canceled for any reason whatsoever without the Participant having received any benefit therefrom, the shares covered by such Award shall again become available for future Awards under the Sub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81" w:name="page282"/>
    <w:bookmarkEnd w:id="281"/>
    <w:p>
      <w:pPr>
        <w:ind w:right="580" w:firstLine="1492"/>
        <w:spacing w:after="0" w:line="268" w:lineRule="auto"/>
        <w:tabs>
          <w:tab w:leader="none" w:pos="1722"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delivered by the Company in settlement of Awards may be authorized and unissued Stock, Stock held in the treasury of the Company, Stock purchased on the open market or by private purchase, or a combination of the foregoing;</w:t>
      </w:r>
    </w:p>
    <w:p>
      <w:pPr>
        <w:spacing w:after="0" w:line="131" w:lineRule="exact"/>
        <w:rPr>
          <w:rFonts w:ascii="Arial" w:cs="Arial" w:eastAsia="Arial" w:hAnsi="Arial"/>
          <w:sz w:val="18"/>
          <w:szCs w:val="18"/>
          <w:color w:val="auto"/>
        </w:rPr>
      </w:pPr>
    </w:p>
    <w:p>
      <w:pPr>
        <w:ind w:right="20" w:firstLine="1492"/>
        <w:spacing w:after="0" w:line="268" w:lineRule="auto"/>
        <w:tabs>
          <w:tab w:leader="none" w:pos="17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Sub Plan during any calendar year with respect to more than 250,000 shares of Stock;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Committee may, from time to time grant Awards to one or more Sub Plan Eligible Persons, subject to the provisos of Section 5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64" w:lineRule="exact"/>
        <w:rPr>
          <w:rFonts w:ascii="Arial" w:cs="Arial" w:eastAsia="Arial" w:hAnsi="Arial"/>
          <w:sz w:val="15"/>
          <w:szCs w:val="15"/>
          <w:color w:val="auto"/>
        </w:rPr>
      </w:pPr>
    </w:p>
    <w:p>
      <w:pPr>
        <w:ind w:right="40" w:firstLine="1492"/>
        <w:spacing w:after="0" w:line="256" w:lineRule="auto"/>
        <w:tabs>
          <w:tab w:leader="none" w:pos="170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Committee is authorized to grant one or more Awards to any Sub Plan Eligible Person. Each Award so granted shall be subject to the terms and conditions set forth in the Plan, the additional conditions set forth in this Sub Plan, and to any other conditions as may be reflected in the applicable Award Agreement. The minimum number of shares of Stock which may be subject to an Award granted to a Sub Plan Eligible Person is one and the maximum number of shares of Stock which may be subject to such an Award is 250,000.</w:t>
      </w:r>
    </w:p>
    <w:p>
      <w:pPr>
        <w:spacing w:after="0" w:line="143" w:lineRule="exact"/>
        <w:rPr>
          <w:rFonts w:ascii="Arial" w:cs="Arial" w:eastAsia="Arial" w:hAnsi="Arial"/>
          <w:sz w:val="18"/>
          <w:szCs w:val="18"/>
          <w:color w:val="auto"/>
        </w:rPr>
      </w:pPr>
    </w:p>
    <w:p>
      <w:pPr>
        <w:ind w:firstLine="1492"/>
        <w:spacing w:after="0" w:line="259" w:lineRule="auto"/>
        <w:tabs>
          <w:tab w:leader="none" w:pos="17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provisions in the applicable Award Agreement shall control the terms of the Award issued pursuant thereto However, if there shall be a conflict between the provisions of the Plan or the Sub Plan and such Award Agreement, the provisions of this Sub Plan shall control. If there shall be a conflict between the provisions of the Plan and the Sub Plan, the provisions of this Sub Plan shall control.</w:t>
      </w:r>
    </w:p>
    <w:p>
      <w:pPr>
        <w:spacing w:after="0" w:line="215" w:lineRule="exact"/>
        <w:rPr>
          <w:sz w:val="20"/>
          <w:szCs w:val="20"/>
          <w:color w:val="auto"/>
        </w:rPr>
      </w:pPr>
    </w:p>
    <w:p>
      <w:pPr>
        <w:ind w:left="1100" w:hanging="179"/>
        <w:spacing w:after="0"/>
        <w:tabs>
          <w:tab w:leader="none" w:pos="110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Participation shall be limited to Sub Plan Eligible Persons who have entered into an Award agreement or who have received written notification from the Committee, or from a person designated by the Committee, that they have been selected to participate in the Sub Plan.</w:t>
      </w:r>
    </w:p>
    <w:p>
      <w:pPr>
        <w:spacing w:after="0" w:line="207" w:lineRule="exact"/>
        <w:rPr>
          <w:sz w:val="20"/>
          <w:szCs w:val="20"/>
          <w:color w:val="auto"/>
        </w:rPr>
      </w:pPr>
    </w:p>
    <w:p>
      <w:pPr>
        <w:ind w:left="1100" w:hanging="179"/>
        <w:spacing w:after="0"/>
        <w:tabs>
          <w:tab w:leader="none" w:pos="110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The Committee is authorized to grant one or more Incentive Stock Options or Nonqualified Stock Options to any Sub Plan Eligible Person. Each Option so granted shall be subject to the conditions set forth in this Section 7, or to such other conditions as may be reflected in the applicable Stock Option Agreement.</w:t>
      </w:r>
    </w:p>
    <w:p>
      <w:pPr>
        <w:spacing w:after="0" w:line="53" w:lineRule="exact"/>
        <w:rPr>
          <w:sz w:val="20"/>
          <w:szCs w:val="20"/>
          <w:color w:val="auto"/>
        </w:rPr>
      </w:pPr>
    </w:p>
    <w:p>
      <w:pPr>
        <w:ind w:right="160" w:firstLine="1492"/>
        <w:spacing w:after="0" w:line="275" w:lineRule="auto"/>
        <w:tabs>
          <w:tab w:leader="none" w:pos="1722"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Option Price. </w:t>
      </w:r>
      <w:r>
        <w:rPr>
          <w:rFonts w:ascii="Arial" w:cs="Arial" w:eastAsia="Arial" w:hAnsi="Arial"/>
          <w:sz w:val="18"/>
          <w:szCs w:val="18"/>
          <w:color w:val="auto"/>
        </w:rPr>
        <w:t>The exercise price (“</w:t>
      </w:r>
      <w:r>
        <w:rPr>
          <w:rFonts w:ascii="Arial" w:cs="Arial" w:eastAsia="Arial" w:hAnsi="Arial"/>
          <w:sz w:val="18"/>
          <w:szCs w:val="18"/>
          <w:u w:val="single" w:color="auto"/>
          <w:color w:val="auto"/>
        </w:rPr>
        <w:t>Option Price</w:t>
      </w:r>
      <w:r>
        <w:rPr>
          <w:rFonts w:ascii="Arial" w:cs="Arial" w:eastAsia="Arial" w:hAnsi="Arial"/>
          <w:sz w:val="18"/>
          <w:szCs w:val="18"/>
          <w:color w:val="auto"/>
        </w:rPr>
        <w:t>”) per share of Stock for each Option shall be set by the Committee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but shall not be less than the Fair Market Value of a share of Stock on the Date of Grant.</w:t>
      </w:r>
    </w:p>
    <w:p>
      <w:pPr>
        <w:spacing w:after="0" w:line="119" w:lineRule="exact"/>
        <w:rPr>
          <w:rFonts w:ascii="Arial" w:cs="Arial" w:eastAsia="Arial" w:hAnsi="Arial"/>
          <w:sz w:val="18"/>
          <w:szCs w:val="18"/>
          <w:color w:val="auto"/>
        </w:rPr>
      </w:pPr>
    </w:p>
    <w:p>
      <w:pPr>
        <w:ind w:right="120" w:firstLine="1492"/>
        <w:spacing w:after="0" w:line="310" w:lineRule="auto"/>
        <w:tabs>
          <w:tab w:leader="none" w:pos="1732"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 xml:space="preserve">Manner of Exercise and Form of Payment. </w:t>
      </w:r>
      <w:r>
        <w:rPr>
          <w:rFonts w:ascii="Arial" w:cs="Arial" w:eastAsia="Arial" w:hAnsi="Arial"/>
          <w:sz w:val="16"/>
          <w:szCs w:val="16"/>
          <w:color w:val="auto"/>
        </w:rPr>
        <w:t>No shares of Stock shall be delivered pursuant to any exercise of an Option until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of the Option Price therefor is received by the Company. Options which have become exercisable may be exercised by delivery of written notice of exercise to the Committee accompanied by payment of the Option Price. The Option Price shall be payable (i) 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82" w:name="page283"/>
    <w:bookmarkEnd w:id="282"/>
    <w:p>
      <w:pPr>
        <w:ind w:right="2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check, or cash equivalent, (ii) in the discretion of the Committee, by delivering to the Committee a copy of irrevocable instructions to a stockbroker to deliver promptly to the Company an amount of loan proceeds, or proceeds from the sale of the Stock subject to the Option, sufficient to pay the Option Price or</w:t>
      </w:r>
    </w:p>
    <w:p>
      <w:pPr>
        <w:ind w:right="100" w:firstLine="8"/>
        <w:spacing w:after="0" w:line="295" w:lineRule="auto"/>
        <w:tabs>
          <w:tab w:leader="none" w:pos="30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are listed or traded.</w:t>
      </w:r>
    </w:p>
    <w:p>
      <w:pPr>
        <w:spacing w:after="0" w:line="109" w:lineRule="exact"/>
        <w:rPr>
          <w:rFonts w:ascii="Arial" w:cs="Arial" w:eastAsia="Arial" w:hAnsi="Arial"/>
          <w:sz w:val="16"/>
          <w:szCs w:val="16"/>
          <w:color w:val="auto"/>
        </w:rPr>
      </w:pPr>
    </w:p>
    <w:p>
      <w:pPr>
        <w:ind w:firstLine="1492"/>
        <w:spacing w:after="0" w:line="255" w:lineRule="auto"/>
        <w:tabs>
          <w:tab w:leader="none" w:pos="1722" w:val="left"/>
        </w:tabs>
        <w:numPr>
          <w:ilvl w:val="2"/>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Vesting, Option Period and Expiration. </w:t>
      </w:r>
      <w:r>
        <w:rPr>
          <w:rFonts w:ascii="Arial" w:cs="Arial" w:eastAsia="Arial" w:hAnsi="Arial"/>
          <w:sz w:val="18"/>
          <w:szCs w:val="18"/>
          <w:color w:val="auto"/>
        </w:rPr>
        <w:t>Options shall vest and become exercisable in such manner and on such date or dates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and as specified in the Stock Option Agreement and shall expire after such period, not to exceed ten years, as may be determined by the Committee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139" w:lineRule="exact"/>
        <w:rPr>
          <w:rFonts w:ascii="Arial" w:cs="Arial" w:eastAsia="Arial" w:hAnsi="Arial"/>
          <w:sz w:val="18"/>
          <w:szCs w:val="18"/>
          <w:color w:val="auto"/>
        </w:rPr>
      </w:pPr>
    </w:p>
    <w:p>
      <w:pPr>
        <w:ind w:right="260" w:firstLine="1492"/>
        <w:spacing w:after="0" w:line="262" w:lineRule="auto"/>
        <w:tabs>
          <w:tab w:leader="none" w:pos="1732" w:val="left"/>
        </w:tabs>
        <w:numPr>
          <w:ilvl w:val="2"/>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Agreement - Other Terms and Conditions. </w:t>
      </w:r>
      <w:r>
        <w:rPr>
          <w:rFonts w:ascii="Arial" w:cs="Arial" w:eastAsia="Arial" w:hAnsi="Arial"/>
          <w:sz w:val="18"/>
          <w:szCs w:val="18"/>
          <w:color w:val="auto"/>
        </w:rPr>
        <w:t>Each Option granted under the Sub Plan shall be evidenced by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Agreement. Except as specifically provided otherwise in such Stock Option Agreement, each Option granted under the Sub Plan shall be subject to the following terms and conditions:</w:t>
      </w:r>
    </w:p>
    <w:p>
      <w:pPr>
        <w:spacing w:after="0" w:line="57" w:lineRule="exact"/>
        <w:rPr>
          <w:rFonts w:ascii="Arial" w:cs="Arial" w:eastAsia="Arial" w:hAnsi="Arial"/>
          <w:sz w:val="18"/>
          <w:szCs w:val="18"/>
          <w:color w:val="auto"/>
        </w:rPr>
      </w:pPr>
    </w:p>
    <w:p>
      <w:pPr>
        <w:ind w:left="1480" w:hanging="79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90" w:lineRule="exact"/>
        <w:rPr>
          <w:rFonts w:ascii="Arial" w:cs="Arial" w:eastAsia="Arial" w:hAnsi="Arial"/>
          <w:sz w:val="18"/>
          <w:szCs w:val="18"/>
          <w:color w:val="auto"/>
        </w:rPr>
      </w:pPr>
    </w:p>
    <w:p>
      <w:pPr>
        <w:jc w:val="both"/>
        <w:ind w:left="1480" w:right="100" w:hanging="797"/>
        <w:spacing w:after="0" w:line="357" w:lineRule="auto"/>
        <w:tabs>
          <w:tab w:leader="none" w:pos="148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ind w:left="1480" w:right="120" w:hanging="797"/>
        <w:spacing w:after="0" w:line="268"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Subject to Section 17, Options shall not be transferable by the Participant except by will or the laws of descent and distribution and shall be exercisable during the Participant’s lifetime only by him.</w:t>
      </w:r>
    </w:p>
    <w:p>
      <w:pPr>
        <w:spacing w:after="0" w:line="50" w:lineRule="exact"/>
        <w:rPr>
          <w:rFonts w:ascii="Arial" w:cs="Arial" w:eastAsia="Arial" w:hAnsi="Arial"/>
          <w:sz w:val="18"/>
          <w:szCs w:val="18"/>
          <w:color w:val="auto"/>
        </w:rPr>
      </w:pPr>
    </w:p>
    <w:p>
      <w:pPr>
        <w:ind w:left="1480" w:right="80" w:hanging="797"/>
        <w:spacing w:after="0" w:line="268"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50" w:lineRule="exact"/>
        <w:rPr>
          <w:rFonts w:ascii="Arial" w:cs="Arial" w:eastAsia="Arial" w:hAnsi="Arial"/>
          <w:sz w:val="18"/>
          <w:szCs w:val="18"/>
          <w:color w:val="auto"/>
        </w:rPr>
      </w:pPr>
    </w:p>
    <w:p>
      <w:pPr>
        <w:ind w:left="1480" w:hanging="797"/>
        <w:spacing w:after="0"/>
        <w:tabs>
          <w:tab w:leader="none" w:pos="14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83" w:name="page284"/>
    <w:bookmarkEnd w:id="283"/>
    <w:p>
      <w:pPr>
        <w:ind w:left="14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laws, including US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Sub Plan with respect to which such investment representation has been obtained, the Committee may cause a legend or legends to be placed on such certificates to make appropriate reference to such representation and to restrict transfer in the absence of compliance with applicable laws, including US federal or state securities laws.</w:t>
      </w:r>
    </w:p>
    <w:p>
      <w:pPr>
        <w:spacing w:after="0" w:line="24" w:lineRule="exact"/>
        <w:rPr>
          <w:sz w:val="20"/>
          <w:szCs w:val="20"/>
          <w:color w:val="auto"/>
        </w:rPr>
      </w:pPr>
    </w:p>
    <w:p>
      <w:pPr>
        <w:ind w:left="1480" w:right="60" w:hanging="797"/>
        <w:spacing w:after="0" w:line="290" w:lineRule="auto"/>
        <w:tabs>
          <w:tab w:leader="none" w:pos="14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Sub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37" w:lineRule="exact"/>
        <w:rPr>
          <w:rFonts w:ascii="Arial" w:cs="Arial" w:eastAsia="Arial" w:hAnsi="Arial"/>
          <w:sz w:val="16"/>
          <w:szCs w:val="16"/>
          <w:color w:val="auto"/>
        </w:rPr>
      </w:pPr>
    </w:p>
    <w:p>
      <w:pPr>
        <w:ind w:left="1480" w:hanging="797"/>
        <w:spacing w:after="0" w:line="291" w:lineRule="auto"/>
        <w:tabs>
          <w:tab w:leader="none" w:pos="14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114" w:lineRule="exact"/>
        <w:rPr>
          <w:rFonts w:ascii="Arial" w:cs="Arial" w:eastAsia="Arial" w:hAnsi="Arial"/>
          <w:sz w:val="16"/>
          <w:szCs w:val="16"/>
          <w:color w:val="auto"/>
        </w:rPr>
      </w:pPr>
    </w:p>
    <w:p>
      <w:pPr>
        <w:ind w:left="1740" w:hanging="248"/>
        <w:spacing w:after="0"/>
        <w:tabs>
          <w:tab w:leader="none" w:pos="1740" w:val="left"/>
        </w:tabs>
        <w:numPr>
          <w:ilvl w:val="1"/>
          <w:numId w:val="208"/>
        </w:numPr>
        <w:rPr>
          <w:rFonts w:ascii="Arial" w:cs="Arial" w:eastAsia="Arial" w:hAnsi="Arial"/>
          <w:sz w:val="16"/>
          <w:szCs w:val="16"/>
          <w:color w:val="auto"/>
        </w:rPr>
      </w:pPr>
      <w:r>
        <w:rPr>
          <w:rFonts w:ascii="Arial" w:cs="Arial" w:eastAsia="Arial" w:hAnsi="Arial"/>
          <w:sz w:val="16"/>
          <w:szCs w:val="16"/>
          <w:b w:val="1"/>
          <w:bCs w:val="1"/>
          <w:color w:val="auto"/>
        </w:rPr>
        <w:t xml:space="preserve">$100,000 Per Year Limitation for Incentive Stock Options. </w:t>
      </w:r>
      <w:r>
        <w:rPr>
          <w:rFonts w:ascii="Arial" w:cs="Arial" w:eastAsia="Arial" w:hAnsi="Arial"/>
          <w:sz w:val="16"/>
          <w:szCs w:val="16"/>
          <w:color w:val="auto"/>
        </w:rPr>
        <w:t>To the extent the aggregate Fair Market Value (determined as of the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84" w:name="page285"/>
    <w:bookmarkEnd w:id="28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26" w:lineRule="exact"/>
        <w:rPr>
          <w:sz w:val="20"/>
          <w:szCs w:val="20"/>
          <w:color w:val="auto"/>
        </w:rPr>
      </w:pPr>
    </w:p>
    <w:p>
      <w:pPr>
        <w:ind w:right="20" w:firstLine="1492"/>
        <w:spacing w:after="0" w:line="293" w:lineRule="auto"/>
        <w:tabs>
          <w:tab w:leader="none" w:pos="1703"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Voluntary Surrender. </w:t>
      </w:r>
      <w:r>
        <w:rPr>
          <w:rFonts w:ascii="Arial" w:cs="Arial" w:eastAsia="Arial" w:hAnsi="Arial"/>
          <w:sz w:val="16"/>
          <w:szCs w:val="16"/>
          <w:color w:val="auto"/>
        </w:rPr>
        <w:t>The Committee may permit the voluntary surrender of all or any portion of any Nonqualified Stock Option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SAR, if any, granted under the Sub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Sub Plan without regard to the Option Price, Option Period, or any other terms and conditions of the Nonqualified Stock Option surrendered.</w:t>
      </w:r>
    </w:p>
    <w:p>
      <w:pPr>
        <w:spacing w:after="0" w:line="110" w:lineRule="exact"/>
        <w:rPr>
          <w:rFonts w:ascii="Arial" w:cs="Arial" w:eastAsia="Arial" w:hAnsi="Arial"/>
          <w:sz w:val="16"/>
          <w:szCs w:val="16"/>
          <w:color w:val="auto"/>
        </w:rPr>
      </w:pPr>
    </w:p>
    <w:p>
      <w:pPr>
        <w:ind w:firstLine="1492"/>
        <w:spacing w:after="0" w:line="293" w:lineRule="auto"/>
        <w:tabs>
          <w:tab w:leader="none" w:pos="1732"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 xml:space="preserve">Reload Options. </w:t>
      </w:r>
      <w:r>
        <w:rPr>
          <w:rFonts w:ascii="Arial" w:cs="Arial" w:eastAsia="Arial" w:hAnsi="Arial"/>
          <w:sz w:val="16"/>
          <w:szCs w:val="16"/>
          <w:color w:val="auto"/>
        </w:rPr>
        <w:t>The Committee may provide for the grant to any Participant of additional Options (“</w:t>
      </w:r>
      <w:r>
        <w:rPr>
          <w:rFonts w:ascii="Arial" w:cs="Arial" w:eastAsia="Arial" w:hAnsi="Arial"/>
          <w:sz w:val="16"/>
          <w:szCs w:val="16"/>
          <w:u w:val="single" w:color="auto"/>
          <w:color w:val="auto"/>
        </w:rPr>
        <w:t>Reload Options</w:t>
      </w:r>
      <w:r>
        <w:rPr>
          <w:rFonts w:ascii="Arial" w:cs="Arial" w:eastAsia="Arial" w:hAnsi="Arial"/>
          <w:sz w:val="16"/>
          <w:szCs w:val="16"/>
          <w:color w:val="auto"/>
        </w:rPr>
        <w: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Options, including Reload Options, through the delivery of shares of Stock; provided, however, that (i) Reload Options may be granted only with respect to the same number of shares as were surrendered to exercise the Options and the number of shares of Stock withheld for tax purposes pursuant to Section 12(d)(ii) of the Plan, (ii) the exercise price per share of the Reload Options shall be not less than 100% of the Fair Market Value as of the Date of Grant of the Reload Options and (iii) the Reload Options shall not be exercisable after the expiration of the term of the Options, and otherwise shall have the same terms and conditions of the Options, the exercise of which resulted in the grant of the Reload Options.</w:t>
      </w:r>
    </w:p>
    <w:p>
      <w:pPr>
        <w:spacing w:after="0" w:line="192" w:lineRule="exact"/>
        <w:rPr>
          <w:sz w:val="20"/>
          <w:szCs w:val="20"/>
          <w:color w:val="auto"/>
        </w:rPr>
      </w:pPr>
    </w:p>
    <w:p>
      <w:pPr>
        <w:ind w:left="1100" w:hanging="179"/>
        <w:spacing w:after="0"/>
        <w:tabs>
          <w:tab w:leader="none" w:pos="11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Any Option granted under the Sub Plan may include SARs, either at the Date of Grant or, except in the case of an Incentive Stock Option, by subsequent amendment. The Committee also may award SARs to Sub Plan Eligible Persons independent of any Option. A SAR shall be subject to such terms and conditions not inconsistent with the Sub Plan as the Committee shall impose, including, but not limited to, the following:</w:t>
      </w:r>
    </w:p>
    <w:p>
      <w:pPr>
        <w:spacing w:after="0" w:line="20" w:lineRule="exact"/>
        <w:rPr>
          <w:sz w:val="20"/>
          <w:szCs w:val="20"/>
          <w:color w:val="auto"/>
        </w:rPr>
      </w:pPr>
    </w:p>
    <w:p>
      <w:pPr>
        <w:ind w:firstLine="1492"/>
        <w:spacing w:after="0" w:line="258" w:lineRule="auto"/>
        <w:tabs>
          <w:tab w:leader="none" w:pos="1722"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 xml:space="preserve">Vesting, Transferability and Expiration. </w:t>
      </w:r>
      <w:r>
        <w:rPr>
          <w:rFonts w:ascii="Arial" w:cs="Arial" w:eastAsia="Arial" w:hAnsi="Arial"/>
          <w:sz w:val="18"/>
          <w:szCs w:val="18"/>
          <w:color w:val="auto"/>
        </w:rPr>
        <w:t>A SAR granted in connection with an Option shall become exercisable, be transferable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85" w:name="page286"/>
    <w:bookmarkEnd w:id="285"/>
    <w:p>
      <w:pPr>
        <w:jc w:val="both"/>
        <w:ind w:left="-20" w:right="80" w:firstLine="1492"/>
        <w:spacing w:after="0" w:line="258" w:lineRule="auto"/>
        <w:tabs>
          <w:tab w:leader="none" w:pos="1712" w:val="left"/>
        </w:tabs>
        <w:numPr>
          <w:ilvl w:val="2"/>
          <w:numId w:val="2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Automatic Exercise. </w:t>
      </w:r>
      <w:r>
        <w:rPr>
          <w:rFonts w:ascii="Arial" w:cs="Arial" w:eastAsia="Arial" w:hAnsi="Arial"/>
          <w:sz w:val="18"/>
          <w:szCs w:val="18"/>
          <w:color w:val="auto"/>
        </w:rPr>
        <w:t>If on the last day of the Option Period (or in the case of a SAR independent of an option, the period established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136" w:lineRule="exact"/>
        <w:rPr>
          <w:rFonts w:ascii="Arial" w:cs="Arial" w:eastAsia="Arial" w:hAnsi="Arial"/>
          <w:sz w:val="18"/>
          <w:szCs w:val="18"/>
          <w:color w:val="auto"/>
        </w:rPr>
      </w:pPr>
    </w:p>
    <w:p>
      <w:pPr>
        <w:ind w:left="-20" w:right="160" w:firstLine="1492"/>
        <w:spacing w:after="0" w:line="301" w:lineRule="auto"/>
        <w:tabs>
          <w:tab w:leader="none" w:pos="1702" w:val="left"/>
        </w:tabs>
        <w:numPr>
          <w:ilvl w:val="2"/>
          <w:numId w:val="212"/>
        </w:numPr>
        <w:rPr>
          <w:rFonts w:ascii="Arial" w:cs="Arial" w:eastAsia="Arial" w:hAnsi="Arial"/>
          <w:sz w:val="16"/>
          <w:szCs w:val="16"/>
          <w:color w:val="auto"/>
        </w:rPr>
      </w:pPr>
      <w:r>
        <w:rPr>
          <w:rFonts w:ascii="Arial" w:cs="Arial" w:eastAsia="Arial" w:hAnsi="Arial"/>
          <w:sz w:val="16"/>
          <w:szCs w:val="16"/>
          <w:b w:val="1"/>
          <w:bCs w:val="1"/>
          <w:color w:val="auto"/>
        </w:rPr>
        <w:t xml:space="preserve">Payment. </w:t>
      </w:r>
      <w:r>
        <w:rPr>
          <w:rFonts w:ascii="Arial" w:cs="Arial" w:eastAsia="Arial" w:hAnsi="Arial"/>
          <w:sz w:val="16"/>
          <w:szCs w:val="16"/>
          <w:color w:val="auto"/>
        </w:rPr>
        <w:t>Upon the exercise of a SAR, the Company shall pay to the Participant an amount equal to the number of shares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103" w:lineRule="exact"/>
        <w:rPr>
          <w:rFonts w:ascii="Arial" w:cs="Arial" w:eastAsia="Arial" w:hAnsi="Arial"/>
          <w:sz w:val="16"/>
          <w:szCs w:val="16"/>
          <w:color w:val="auto"/>
        </w:rPr>
      </w:pPr>
    </w:p>
    <w:p>
      <w:pPr>
        <w:ind w:left="-20" w:firstLine="1492"/>
        <w:spacing w:after="0" w:line="262" w:lineRule="auto"/>
        <w:tabs>
          <w:tab w:leader="none" w:pos="1712" w:val="left"/>
        </w:tabs>
        <w:numPr>
          <w:ilvl w:val="2"/>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Method of Exercise. </w:t>
      </w:r>
      <w:r>
        <w:rPr>
          <w:rFonts w:ascii="Arial" w:cs="Arial" w:eastAsia="Arial" w:hAnsi="Arial"/>
          <w:sz w:val="18"/>
          <w:szCs w:val="18"/>
          <w:color w:val="auto"/>
        </w:rPr>
        <w:t>A Participant may exercise a SAR at such time or times as may be determined by the Committee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by filing an irrevocable written notice with the Committee or its designee, specifying the number of SARs to be exercised, and the date on which such SARs were awarded.</w:t>
      </w:r>
    </w:p>
    <w:p>
      <w:pPr>
        <w:spacing w:after="0" w:line="132" w:lineRule="exact"/>
        <w:rPr>
          <w:rFonts w:ascii="Arial" w:cs="Arial" w:eastAsia="Arial" w:hAnsi="Arial"/>
          <w:sz w:val="18"/>
          <w:szCs w:val="18"/>
          <w:color w:val="auto"/>
        </w:rPr>
      </w:pPr>
    </w:p>
    <w:p>
      <w:pPr>
        <w:ind w:left="-20" w:right="680" w:firstLine="1492"/>
        <w:spacing w:after="0" w:line="275" w:lineRule="auto"/>
        <w:tabs>
          <w:tab w:leader="none" w:pos="1702" w:val="left"/>
        </w:tabs>
        <w:numPr>
          <w:ilvl w:val="2"/>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Expiration. </w:t>
      </w:r>
      <w:r>
        <w:rPr>
          <w:rFonts w:ascii="Arial" w:cs="Arial" w:eastAsia="Arial" w:hAnsi="Arial"/>
          <w:sz w:val="18"/>
          <w:szCs w:val="18"/>
          <w:color w:val="auto"/>
        </w:rPr>
        <w:t>Except as otherwise provided in the case of SARs granted in connection with Options, a SAR shall expire on a date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Committee which is not later than ten years after the Date of Grant of the SAR.</w:t>
      </w:r>
    </w:p>
    <w:p>
      <w:pPr>
        <w:spacing w:after="0" w:line="200" w:lineRule="exact"/>
        <w:rPr>
          <w:rFonts w:ascii="Arial" w:cs="Arial" w:eastAsia="Arial" w:hAnsi="Arial"/>
          <w:sz w:val="18"/>
          <w:szCs w:val="18"/>
          <w:color w:val="auto"/>
        </w:rPr>
      </w:pPr>
    </w:p>
    <w:p>
      <w:pPr>
        <w:ind w:left="1080" w:hanging="179"/>
        <w:spacing w:after="0"/>
        <w:tabs>
          <w:tab w:leader="none" w:pos="108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90" w:lineRule="exact"/>
        <w:rPr>
          <w:rFonts w:ascii="Arial" w:cs="Arial" w:eastAsia="Arial" w:hAnsi="Arial"/>
          <w:sz w:val="18"/>
          <w:szCs w:val="18"/>
          <w:b w:val="1"/>
          <w:bCs w:val="1"/>
          <w:color w:val="auto"/>
        </w:rPr>
      </w:pPr>
    </w:p>
    <w:p>
      <w:pPr>
        <w:ind w:left="1720" w:hanging="248"/>
        <w:spacing w:after="0"/>
        <w:tabs>
          <w:tab w:leader="none" w:pos="1720" w:val="left"/>
        </w:tabs>
        <w:numPr>
          <w:ilvl w:val="2"/>
          <w:numId w:val="213"/>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96" w:lineRule="exact"/>
        <w:rPr>
          <w:rFonts w:ascii="Arial" w:cs="Arial" w:eastAsia="Arial" w:hAnsi="Arial"/>
          <w:sz w:val="18"/>
          <w:szCs w:val="18"/>
          <w:color w:val="auto"/>
        </w:rPr>
      </w:pPr>
    </w:p>
    <w:p>
      <w:pPr>
        <w:ind w:left="1460" w:right="40" w:hanging="675"/>
        <w:spacing w:after="0" w:line="255" w:lineRule="auto"/>
        <w:tabs>
          <w:tab w:leader="none" w:pos="1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Committee shall have the authority (A) to grant Restricted Stock and Restricted Stock Units to Sub Plan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61" w:lineRule="exact"/>
        <w:rPr>
          <w:rFonts w:ascii="Arial" w:cs="Arial" w:eastAsia="Arial" w:hAnsi="Arial"/>
          <w:sz w:val="18"/>
          <w:szCs w:val="18"/>
          <w:color w:val="auto"/>
        </w:rPr>
      </w:pPr>
    </w:p>
    <w:p>
      <w:pPr>
        <w:ind w:left="1460" w:right="40" w:hanging="675"/>
        <w:spacing w:after="0" w:line="255" w:lineRule="auto"/>
        <w:tabs>
          <w:tab w:leader="none" w:pos="1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74" w:right="239" w:bottom="1440" w:gutter="0" w:footer="0" w:header="0"/>
        </w:sectPr>
      </w:pPr>
    </w:p>
    <w:bookmarkStart w:id="286" w:name="page287"/>
    <w:bookmarkEnd w:id="286"/>
    <w:p>
      <w:pPr>
        <w:ind w:left="675"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At the discretion of the Committee, cash dividends and stock dividends with respect to the Restricted Stock may be either currently paid to the Participant or withheld by the Company for the Participant’s account, and interest may be credited on the amount of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46" w:lineRule="exact"/>
        <w:rPr>
          <w:sz w:val="20"/>
          <w:szCs w:val="20"/>
          <w:color w:val="auto"/>
        </w:rPr>
      </w:pPr>
    </w:p>
    <w:p>
      <w:pPr>
        <w:ind w:left="675" w:right="40" w:hanging="675"/>
        <w:spacing w:after="0" w:line="256" w:lineRule="auto"/>
        <w:tabs>
          <w:tab w:leader="none" w:pos="67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62" w:lineRule="exact"/>
        <w:rPr>
          <w:rFonts w:ascii="Arial" w:cs="Arial" w:eastAsia="Arial" w:hAnsi="Arial"/>
          <w:sz w:val="18"/>
          <w:szCs w:val="18"/>
          <w:color w:val="auto"/>
        </w:rPr>
      </w:pPr>
    </w:p>
    <w:p>
      <w:pPr>
        <w:ind w:left="675" w:hanging="675"/>
        <w:spacing w:after="0" w:line="289" w:lineRule="auto"/>
        <w:tabs>
          <w:tab w:leader="none" w:pos="67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At the discretion of the Committee, Dividend Equivalents may be either currently paid to the Participant or withheld by the Company for the Participant’s account, and interest may be credited on the amount of cash Dividend Equivalents withheld at a rate and subject to such terms as determined by the Committee. Dividend Equivalents credited to a Participant’s account and attributable to any particular Restricted Stock Unit (and earnings thereon, if applicable) shall be distributed in cash or, at the discretion of the Committee, in shares of Stock having a Fair Market Value equal to</w:t>
      </w:r>
    </w:p>
    <w:p>
      <w:pPr>
        <w:spacing w:after="0" w:line="105" w:lineRule="exact"/>
        <w:rPr>
          <w:sz w:val="20"/>
          <w:szCs w:val="20"/>
          <w:color w:val="auto"/>
        </w:rPr>
      </w:pPr>
    </w:p>
    <w:p>
      <w:pPr>
        <w:ind w:left="481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95"/>
          </w:cols>
          <w:pgMar w:left="1045" w:top="280" w:right="259" w:bottom="1440" w:gutter="0" w:footer="0" w:header="0"/>
        </w:sectPr>
      </w:pPr>
    </w:p>
    <w:bookmarkStart w:id="287" w:name="page288"/>
    <w:bookmarkEnd w:id="287"/>
    <w:p>
      <w:pPr>
        <w:ind w:left="1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207" w:lineRule="exact"/>
        <w:rPr>
          <w:sz w:val="20"/>
          <w:szCs w:val="20"/>
          <w:color w:val="auto"/>
        </w:rPr>
      </w:pPr>
    </w:p>
    <w:p>
      <w:pPr>
        <w:ind w:left="1720" w:hanging="248"/>
        <w:spacing w:after="0"/>
        <w:tabs>
          <w:tab w:leader="none" w:pos="1720" w:val="left"/>
        </w:tabs>
        <w:numPr>
          <w:ilvl w:val="1"/>
          <w:numId w:val="216"/>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96" w:lineRule="exact"/>
        <w:rPr>
          <w:rFonts w:ascii="Arial" w:cs="Arial" w:eastAsia="Arial" w:hAnsi="Arial"/>
          <w:sz w:val="18"/>
          <w:szCs w:val="18"/>
          <w:color w:val="auto"/>
        </w:rPr>
      </w:pPr>
    </w:p>
    <w:p>
      <w:pPr>
        <w:ind w:left="1460" w:hanging="675"/>
        <w:spacing w:after="0" w:line="302" w:lineRule="auto"/>
        <w:tabs>
          <w:tab w:leader="none" w:pos="146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9(d) and the applicable Award agreement; and</w:t>
      </w:r>
    </w:p>
    <w:p>
      <w:pPr>
        <w:spacing w:after="0" w:line="2" w:lineRule="exact"/>
        <w:rPr>
          <w:rFonts w:ascii="Arial" w:cs="Arial" w:eastAsia="Arial" w:hAnsi="Arial"/>
          <w:sz w:val="15"/>
          <w:szCs w:val="15"/>
          <w:color w:val="auto"/>
        </w:rPr>
      </w:pPr>
    </w:p>
    <w:p>
      <w:pPr>
        <w:ind w:left="1460" w:right="320"/>
        <w:spacing w:after="0" w:line="323" w:lineRule="auto"/>
        <w:rPr>
          <w:rFonts w:ascii="Arial" w:cs="Arial" w:eastAsia="Arial" w:hAnsi="Arial"/>
          <w:sz w:val="15"/>
          <w:szCs w:val="15"/>
          <w:color w:val="auto"/>
        </w:rPr>
      </w:pPr>
      <w:r>
        <w:rPr>
          <w:rFonts w:ascii="Arial" w:cs="Arial" w:eastAsia="Arial" w:hAnsi="Arial"/>
          <w:sz w:val="16"/>
          <w:szCs w:val="16"/>
          <w:color w:val="auto"/>
        </w:rPr>
        <w:t>(D)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1" w:lineRule="exact"/>
        <w:rPr>
          <w:rFonts w:ascii="Arial" w:cs="Arial" w:eastAsia="Arial" w:hAnsi="Arial"/>
          <w:sz w:val="15"/>
          <w:szCs w:val="15"/>
          <w:color w:val="auto"/>
        </w:rPr>
      </w:pPr>
    </w:p>
    <w:p>
      <w:pPr>
        <w:ind w:left="1460" w:right="240" w:hanging="675"/>
        <w:spacing w:after="0" w:line="323" w:lineRule="auto"/>
        <w:tabs>
          <w:tab w:leader="none" w:pos="146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16" w:lineRule="exact"/>
        <w:rPr>
          <w:rFonts w:ascii="Arial" w:cs="Arial" w:eastAsia="Arial" w:hAnsi="Arial"/>
          <w:sz w:val="15"/>
          <w:szCs w:val="15"/>
          <w:color w:val="auto"/>
        </w:rPr>
      </w:pPr>
    </w:p>
    <w:p>
      <w:pPr>
        <w:ind w:left="1460" w:right="20" w:hanging="675"/>
        <w:spacing w:after="0" w:line="259" w:lineRule="auto"/>
        <w:tabs>
          <w:tab w:leader="none" w:pos="1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134" w:lineRule="exact"/>
        <w:rPr>
          <w:rFonts w:ascii="Arial" w:cs="Arial" w:eastAsia="Arial" w:hAnsi="Arial"/>
          <w:sz w:val="18"/>
          <w:szCs w:val="18"/>
          <w:color w:val="auto"/>
        </w:rPr>
      </w:pPr>
    </w:p>
    <w:p>
      <w:pPr>
        <w:ind w:left="-20" w:right="320" w:firstLine="1492"/>
        <w:spacing w:after="0" w:line="339" w:lineRule="auto"/>
        <w:tabs>
          <w:tab w:leader="none" w:pos="1702" w:val="left"/>
        </w:tabs>
        <w:numPr>
          <w:ilvl w:val="1"/>
          <w:numId w:val="217"/>
        </w:numPr>
        <w:rPr>
          <w:rFonts w:ascii="Arial" w:cs="Arial" w:eastAsia="Arial" w:hAnsi="Arial"/>
          <w:sz w:val="16"/>
          <w:szCs w:val="16"/>
          <w:color w:val="auto"/>
        </w:rPr>
      </w:pPr>
      <w:r>
        <w:rPr>
          <w:rFonts w:ascii="Arial" w:cs="Arial" w:eastAsia="Arial" w:hAnsi="Arial"/>
          <w:sz w:val="16"/>
          <w:szCs w:val="16"/>
          <w:b w:val="1"/>
          <w:bCs w:val="1"/>
          <w:color w:val="auto"/>
        </w:rPr>
        <w:t xml:space="preserve">Restricted Period. </w:t>
      </w:r>
      <w:r>
        <w:rPr>
          <w:rFonts w:ascii="Arial" w:cs="Arial" w:eastAsia="Arial" w:hAnsi="Arial"/>
          <w:sz w:val="16"/>
          <w:szCs w:val="16"/>
          <w:color w:val="auto"/>
        </w:rPr>
        <w:t>With respect to Restricted Stock and Restricted Stock Units, the Restricted Period shall commence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and end at the time or times set forth on a schedule established by the Committee in the applicable Award agreement.</w:t>
      </w:r>
    </w:p>
    <w:p>
      <w:pPr>
        <w:spacing w:after="0" w:line="74" w:lineRule="exact"/>
        <w:rPr>
          <w:rFonts w:ascii="Arial" w:cs="Arial" w:eastAsia="Arial" w:hAnsi="Arial"/>
          <w:sz w:val="16"/>
          <w:szCs w:val="16"/>
          <w:color w:val="auto"/>
        </w:rPr>
      </w:pPr>
    </w:p>
    <w:p>
      <w:pPr>
        <w:jc w:val="both"/>
        <w:ind w:left="-20" w:right="220" w:firstLine="1492"/>
        <w:spacing w:after="0" w:line="258" w:lineRule="auto"/>
        <w:tabs>
          <w:tab w:leader="none" w:pos="1712" w:val="left"/>
        </w:tabs>
        <w:numPr>
          <w:ilvl w:val="1"/>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Delivery of Restricted Stock and Settlement of Restricted Stock Units. </w:t>
      </w:r>
      <w:r>
        <w:rPr>
          <w:rFonts w:ascii="Arial" w:cs="Arial" w:eastAsia="Arial" w:hAnsi="Arial"/>
          <w:sz w:val="18"/>
          <w:szCs w:val="18"/>
          <w:color w:val="auto"/>
        </w:rPr>
        <w:t>Upon the expiration of the Restricted Period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80" w:right="239" w:bottom="1440" w:gutter="0" w:footer="0" w:header="0"/>
        </w:sectPr>
      </w:pPr>
    </w:p>
    <w:bookmarkStart w:id="288" w:name="page289"/>
    <w:bookmarkEnd w:id="288"/>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59" w:lineRule="exact"/>
        <w:rPr>
          <w:sz w:val="20"/>
          <w:szCs w:val="20"/>
          <w:color w:val="auto"/>
        </w:rPr>
      </w:pPr>
    </w:p>
    <w:p>
      <w:pPr>
        <w:ind w:left="920" w:firstLine="840"/>
        <w:spacing w:after="0" w:line="310" w:lineRule="auto"/>
        <w:rPr>
          <w:sz w:val="20"/>
          <w:szCs w:val="20"/>
          <w:color w:val="auto"/>
        </w:rPr>
      </w:pPr>
      <w:r>
        <w:rPr>
          <w:rFonts w:ascii="Arial" w:cs="Arial" w:eastAsia="Arial" w:hAnsi="Arial"/>
          <w:sz w:val="15"/>
          <w:szCs w:val="15"/>
          <w:color w:val="auto"/>
        </w:rPr>
        <w:t>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5"/>
          <w:szCs w:val="15"/>
          <w:u w:val="single" w:color="auto"/>
          <w:color w:val="auto"/>
        </w:rPr>
        <w:t>Vested Unit</w:t>
      </w:r>
      <w:r>
        <w:rPr>
          <w:rFonts w:ascii="Arial" w:cs="Arial" w:eastAsia="Arial" w:hAnsi="Arial"/>
          <w:sz w:val="15"/>
          <w:szCs w:val="15"/>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if explicitly provided in the applicable Award agreement,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102" w:lineRule="exact"/>
        <w:rPr>
          <w:sz w:val="20"/>
          <w:szCs w:val="20"/>
          <w:color w:val="auto"/>
        </w:rPr>
      </w:pPr>
    </w:p>
    <w:p>
      <w:pPr>
        <w:ind w:right="300" w:firstLine="1492"/>
        <w:spacing w:after="0" w:line="338" w:lineRule="auto"/>
        <w:tabs>
          <w:tab w:leader="none" w:pos="1722"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 xml:space="preserve">Stock Restrictions. </w:t>
      </w:r>
      <w:r>
        <w:rPr>
          <w:rFonts w:ascii="Arial" w:cs="Arial" w:eastAsia="Arial" w:hAnsi="Arial"/>
          <w:sz w:val="16"/>
          <w:szCs w:val="16"/>
          <w:color w:val="auto"/>
        </w:rPr>
        <w:t>Each certificate representing Restricted Stock awarded under the Sub Plan shall bear a legend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of the following until the lapse of all restrictions with respect to such Stock as well as any other information the Company deems appropriate:</w:t>
      </w:r>
    </w:p>
    <w:p>
      <w:pPr>
        <w:spacing w:after="0" w:line="1" w:lineRule="exact"/>
        <w:rPr>
          <w:sz w:val="20"/>
          <w:szCs w:val="20"/>
          <w:color w:val="auto"/>
        </w:rPr>
      </w:pPr>
    </w:p>
    <w:p>
      <w:pPr>
        <w:ind w:left="1500" w:right="80"/>
        <w:spacing w:after="0" w:line="252" w:lineRule="auto"/>
        <w:rPr>
          <w:sz w:val="20"/>
          <w:szCs w:val="20"/>
          <w:color w:val="auto"/>
        </w:rPr>
      </w:pPr>
      <w:r>
        <w:rPr>
          <w:rFonts w:ascii="Arial" w:cs="Arial" w:eastAsia="Arial" w:hAnsi="Arial"/>
          <w:sz w:val="18"/>
          <w:szCs w:val="18"/>
          <w:color w:val="auto"/>
        </w:rPr>
        <w:t>THE SHARES OF STOCK REPRESENTED BY THIS CERTIFICATE ARE SUBJECT TO RESTRICTIONS ON TRANSFER SET FORTH IN THE EXLSERVICE HOLDINGS, INC. 2006 OMNIBUS INDIA SUB PLAN 1, A CERTAIN RESTRICTED STOCK AWARD AGREEMENT BETWEEN EXLSERVICE HOLDINGS, INC. AND THE REGISTERED OWNER OF THIS CERTIFICATE (OR HIS PREDECESSOR IN INTEREST) AND THE STOCKHOLDER AGREEMENT TO WHICH EXLSERVICE HOLDINGS, INC. AND THE REGISTERED OWNER OF THIS CERTIFICATE (OR HIS PREDECESSOR IN INTEREST) ARE PARTIES, WHICH SUB PLAN AND AGREEMENTS ARE BINDING UPON ANY AND ALL OWNERS OF ANY INTEREST IN SAID SHARES. SAID SUB PLAN AND AGREEMENTS ARE AVAILABLE FOR INSPECTION WITHOUT CHARGE AT THE PRINCIPAL OFFICE OF EXLSERVICE HOLDINGS, INC. AND COPIES THEREOF WILL BE FURNISHED WITHOUT CHARGE TO ANY OWNER OF SAID SHARES UPON REQUEST.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89" w:name="page290"/>
    <w:bookmarkEnd w:id="289"/>
    <w:p>
      <w:pPr>
        <w:ind w:left="15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REPRESENTED BY THIS CERTIFICATE HAVE NOT BEEN REGISTERED UNDER THE SECURITIES ACT OF 1933, AS AMENDED (THE “SECURITIES ACT”),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37" w:lineRule="exact"/>
        <w:rPr>
          <w:sz w:val="20"/>
          <w:szCs w:val="20"/>
          <w:color w:val="auto"/>
        </w:rPr>
      </w:pPr>
    </w:p>
    <w:p>
      <w:pPr>
        <w:ind w:left="1500" w:right="80"/>
        <w:spacing w:after="0" w:line="286" w:lineRule="auto"/>
        <w:rPr>
          <w:sz w:val="20"/>
          <w:szCs w:val="20"/>
          <w:color w:val="auto"/>
        </w:rPr>
      </w:pPr>
      <w:r>
        <w:rPr>
          <w:rFonts w:ascii="Arial" w:cs="Arial" w:eastAsia="Arial" w:hAnsi="Arial"/>
          <w:sz w:val="16"/>
          <w:szCs w:val="16"/>
          <w:color w:val="auto"/>
        </w:rPr>
        <w:t>THE SALE, ASSIGNMENT, HYPOTHECATION, PLEDGE, ENCUMBRANCE OR OTHER DISPOSITION (EACH A “TRANSFER”) AND VOTING OF ANY OF THE SECURITIES REPRESENTED BY THIS CERTIFICATE ARE RESTRICTED BY THE TERMS OF A</w:t>
      </w:r>
    </w:p>
    <w:tbl>
      <w:tblPr>
        <w:tblLayout w:type="fixed"/>
        <w:tblInd w:w="1500" w:type="dxa"/>
        <w:tblCellMar>
          <w:top w:w="0" w:type="dxa"/>
          <w:left w:w="0" w:type="dxa"/>
          <w:bottom w:w="0" w:type="dxa"/>
          <w:right w:w="0" w:type="dxa"/>
        </w:tblCellMar>
      </w:tblPr>
      <w:tr>
        <w:trPr>
          <w:trHeight w:val="178"/>
        </w:trPr>
        <w:tc>
          <w:tcPr>
            <w:tcW w:w="4420" w:type="dxa"/>
            <w:vAlign w:val="bottom"/>
            <w:gridSpan w:val="3"/>
          </w:tcPr>
          <w:p>
            <w:pPr>
              <w:spacing w:after="0" w:line="177" w:lineRule="exact"/>
              <w:rPr>
                <w:sz w:val="20"/>
                <w:szCs w:val="20"/>
                <w:color w:val="auto"/>
              </w:rPr>
            </w:pPr>
            <w:r>
              <w:rPr>
                <w:rFonts w:ascii="Arial" w:cs="Arial" w:eastAsia="Arial" w:hAnsi="Arial"/>
                <w:sz w:val="18"/>
                <w:szCs w:val="18"/>
                <w:color w:val="auto"/>
                <w:w w:val="93"/>
              </w:rPr>
              <w:t>CERTAIN STOCKHOLDER AGREEMENT, DATED AS OF</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60" w:type="dxa"/>
            <w:vAlign w:val="bottom"/>
            <w:gridSpan w:val="2"/>
          </w:tcPr>
          <w:p>
            <w:pPr>
              <w:ind w:left="180"/>
              <w:spacing w:after="0" w:line="177" w:lineRule="exact"/>
              <w:rPr>
                <w:sz w:val="20"/>
                <w:szCs w:val="20"/>
                <w:color w:val="auto"/>
              </w:rPr>
            </w:pPr>
            <w:r>
              <w:rPr>
                <w:rFonts w:ascii="Arial" w:cs="Arial" w:eastAsia="Arial" w:hAnsi="Arial"/>
                <w:sz w:val="18"/>
                <w:szCs w:val="18"/>
                <w:color w:val="auto"/>
                <w:w w:val="96"/>
              </w:rPr>
              <w:t>, 2006, BY AND BETWEEN EXLSERVICE HOLDINGS,</w:t>
            </w:r>
          </w:p>
        </w:tc>
      </w:tr>
      <w:tr>
        <w:trPr>
          <w:trHeight w:val="20"/>
        </w:trPr>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w w:val="97"/>
              </w:rPr>
              <w:t>INC. (THE “COMPANY”) AND</w:t>
            </w:r>
          </w:p>
        </w:tc>
        <w:tc>
          <w:tcPr>
            <w:tcW w:w="1280" w:type="dxa"/>
            <w:vAlign w:val="bottom"/>
            <w:tcBorders>
              <w:bottom w:val="single" w:sz="8" w:color="auto"/>
            </w:tcBorders>
          </w:tcPr>
          <w:p>
            <w:pPr>
              <w:spacing w:after="0"/>
              <w:rPr>
                <w:sz w:val="17"/>
                <w:szCs w:val="17"/>
                <w:color w:val="auto"/>
              </w:rPr>
            </w:pPr>
          </w:p>
        </w:tc>
        <w:tc>
          <w:tcPr>
            <w:tcW w:w="6160" w:type="dxa"/>
            <w:vAlign w:val="bottom"/>
            <w:gridSpan w:val="5"/>
          </w:tcPr>
          <w:p>
            <w:pPr>
              <w:spacing w:after="0" w:line="196" w:lineRule="exact"/>
              <w:rPr>
                <w:sz w:val="20"/>
                <w:szCs w:val="20"/>
                <w:color w:val="auto"/>
              </w:rPr>
            </w:pPr>
            <w:r>
              <w:rPr>
                <w:rFonts w:ascii="Arial" w:cs="Arial" w:eastAsia="Arial" w:hAnsi="Arial"/>
                <w:sz w:val="18"/>
                <w:szCs w:val="18"/>
                <w:color w:val="auto"/>
                <w:w w:val="93"/>
              </w:rPr>
              <w:t>AND THE AMENDED AND RESTATED CERTIFICATE OF INCORPORATION OF</w:t>
            </w:r>
          </w:p>
        </w:tc>
      </w:tr>
    </w:tbl>
    <w:p>
      <w:pPr>
        <w:spacing w:after="0" w:line="19" w:lineRule="exact"/>
        <w:rPr>
          <w:sz w:val="20"/>
          <w:szCs w:val="20"/>
          <w:color w:val="auto"/>
        </w:rPr>
      </w:pPr>
    </w:p>
    <w:p>
      <w:pPr>
        <w:ind w:left="1500" w:right="300"/>
        <w:spacing w:after="0" w:line="256" w:lineRule="auto"/>
        <w:rPr>
          <w:sz w:val="20"/>
          <w:szCs w:val="20"/>
          <w:color w:val="auto"/>
        </w:rPr>
      </w:pPr>
      <w:r>
        <w:rPr>
          <w:rFonts w:ascii="Arial" w:cs="Arial" w:eastAsia="Arial" w:hAnsi="Arial"/>
          <w:sz w:val="18"/>
          <w:szCs w:val="18"/>
          <w:color w:val="auto"/>
        </w:rPr>
        <w:t>THE COMPANY, COPIES OF WHICH MAY BE INSPECTED AT THE COMPANY’S PRINCIPAL OFFICE. THE COMPANY WILL NOT REGISTER THE TRANSFER OF SUCH SECURITIES ON THE BOOKS OF THE COMPANY UNLESS AND UNTIL THE TRANSFER HAS BEEN MADE IN COMPLIANCE WITH THE TERMS OF SUCH STOCK PURCHASE AGREEMENT AND THE AMENDED AND RESTATED CERTIFICATE OF INCORPORATION.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46" w:lineRule="exact"/>
        <w:rPr>
          <w:sz w:val="20"/>
          <w:szCs w:val="20"/>
          <w:color w:val="auto"/>
        </w:rPr>
      </w:pPr>
    </w:p>
    <w:p>
      <w:pPr>
        <w:ind w:left="1180" w:hanging="259"/>
        <w:spacing w:after="0"/>
        <w:tabs>
          <w:tab w:leader="none" w:pos="1180"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96"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Committee may issue unrestricted Stock, or other Awards denominated in Stock, under the Sub Plan to Sub Plan Eligible Persons, alone or in tandem with other Awards, in such amounts and subject to such terms and conditions as the Committee shall from time to time in its sole discretion determine. A Stock Bonus Award under the Sub Plan shall be granted as, or in payment of, a bonus, or to provide incentives or recognize special achievements or contributions.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90" w:name="page291"/>
    <w:bookmarkEnd w:id="290"/>
    <w:p>
      <w:pPr>
        <w:ind w:left="1160" w:hanging="259"/>
        <w:spacing w:after="0"/>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Compensation Awards</w:t>
      </w:r>
    </w:p>
    <w:p>
      <w:pPr>
        <w:spacing w:after="0" w:line="90" w:lineRule="exact"/>
        <w:rPr>
          <w:rFonts w:ascii="Arial" w:cs="Arial" w:eastAsia="Arial" w:hAnsi="Arial"/>
          <w:sz w:val="18"/>
          <w:szCs w:val="18"/>
          <w:color w:val="auto"/>
        </w:rPr>
      </w:pPr>
    </w:p>
    <w:p>
      <w:pPr>
        <w:ind w:left="-20" w:firstLine="1492"/>
        <w:spacing w:after="0" w:line="291" w:lineRule="auto"/>
        <w:tabs>
          <w:tab w:leader="none" w:pos="1702" w:val="left"/>
        </w:tabs>
        <w:numPr>
          <w:ilvl w:val="2"/>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Committee shall have the authority, at the time of grant of any Award described in Sections 7 through 10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Stock Appreciation Rights granted with an exercise price or grant price, as the case may be, equal to or greater than the Fair Market Value per share of Stock on the date of grant), to designate such Award as a Performance Compensation Award in order to qualify such Award as “performance-based compensation” under Section 162(m) of the Code. The Committee shall have the authority to grant cash bonuses under the Sub Plan with the intent that such bonuses shall qualify for the exemption from Section 162(m) of the Code provided pursuant to Treasury Regulation Section 1.162-27(f)(1), for the reliance period described in Treasury Regulation Section 1.162-27(f)(2).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113" w:lineRule="exact"/>
        <w:rPr>
          <w:rFonts w:ascii="Arial" w:cs="Arial" w:eastAsia="Arial" w:hAnsi="Arial"/>
          <w:sz w:val="16"/>
          <w:szCs w:val="16"/>
          <w:color w:val="auto"/>
        </w:rPr>
      </w:pPr>
    </w:p>
    <w:p>
      <w:pPr>
        <w:ind w:left="-20" w:right="80" w:firstLine="1492"/>
        <w:spacing w:after="0" w:line="289" w:lineRule="auto"/>
        <w:tabs>
          <w:tab w:leader="none" w:pos="1712" w:val="left"/>
        </w:tabs>
        <w:numPr>
          <w:ilvl w:val="2"/>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The Committee will, in its sole discretion, designate within the first 90 days of a Performance Period (or, if longer or shorter,</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112" w:lineRule="exact"/>
        <w:rPr>
          <w:rFonts w:ascii="Arial" w:cs="Arial" w:eastAsia="Arial" w:hAnsi="Arial"/>
          <w:sz w:val="16"/>
          <w:szCs w:val="16"/>
          <w:color w:val="auto"/>
        </w:rPr>
      </w:pPr>
    </w:p>
    <w:p>
      <w:pPr>
        <w:ind w:left="-20" w:right="60" w:firstLine="1492"/>
        <w:spacing w:after="0" w:line="291" w:lineRule="auto"/>
        <w:tabs>
          <w:tab w:leader="none" w:pos="1702" w:val="left"/>
        </w:tabs>
        <w:numPr>
          <w:ilvl w:val="2"/>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Discretion of Committee with Respect to Performance Compensation Awards. </w:t>
      </w:r>
      <w:r>
        <w:rPr>
          <w:rFonts w:ascii="Arial" w:cs="Arial" w:eastAsia="Arial" w:hAnsi="Arial"/>
          <w:sz w:val="16"/>
          <w:szCs w:val="16"/>
          <w:color w:val="auto"/>
        </w:rPr>
        <w:t>With regard to a particular Performance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shall have full discretion to select the length of such Performance Period (provided any such Performance Period shall be not less than one (1) 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113" w:lineRule="exact"/>
        <w:rPr>
          <w:rFonts w:ascii="Arial" w:cs="Arial" w:eastAsia="Arial" w:hAnsi="Arial"/>
          <w:sz w:val="16"/>
          <w:szCs w:val="16"/>
          <w:color w:val="auto"/>
        </w:rPr>
      </w:pPr>
    </w:p>
    <w:p>
      <w:pPr>
        <w:ind w:left="1720" w:hanging="248"/>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90" w:lineRule="exact"/>
        <w:rPr>
          <w:rFonts w:ascii="Arial" w:cs="Arial" w:eastAsia="Arial" w:hAnsi="Arial"/>
          <w:sz w:val="18"/>
          <w:szCs w:val="18"/>
          <w:color w:val="auto"/>
        </w:rPr>
      </w:pPr>
    </w:p>
    <w:p>
      <w:pPr>
        <w:ind w:left="1460" w:hanging="675"/>
        <w:spacing w:after="0"/>
        <w:tabs>
          <w:tab w:leader="none" w:pos="1460" w:val="left"/>
        </w:tabs>
        <w:numPr>
          <w:ilvl w:val="0"/>
          <w:numId w:val="221"/>
        </w:numPr>
        <w:rPr>
          <w:rFonts w:ascii="Arial" w:cs="Arial" w:eastAsia="Arial" w:hAnsi="Arial"/>
          <w:sz w:val="16"/>
          <w:szCs w:val="16"/>
          <w:color w:val="auto"/>
        </w:rPr>
      </w:pPr>
      <w:r>
        <w:rPr>
          <w:rFonts w:ascii="Arial" w:cs="Arial" w:eastAsia="Arial" w:hAnsi="Arial"/>
          <w:sz w:val="16"/>
          <w:szCs w:val="16"/>
          <w:b w:val="1"/>
          <w:bCs w:val="1"/>
          <w:color w:val="auto"/>
        </w:rPr>
        <w:t xml:space="preserve">Condition to Receipt of Payment. </w:t>
      </w:r>
      <w:r>
        <w:rPr>
          <w:rFonts w:ascii="Arial" w:cs="Arial" w:eastAsia="Arial" w:hAnsi="Arial"/>
          <w:sz w:val="16"/>
          <w:szCs w:val="16"/>
          <w:color w:val="auto"/>
        </w:rPr>
        <w:t>Unless otherwise provided in the applicable Award agreement, a Participant must be employed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291" w:name="page292"/>
    <w:bookmarkEnd w:id="291"/>
    <w:p>
      <w:pPr>
        <w:ind w:left="675"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Company on the last day of a Performance Period to be eligible for payment in respect of a Performance Compensation Award for such Performance Period.</w:t>
      </w:r>
    </w:p>
    <w:p>
      <w:pPr>
        <w:spacing w:after="0" w:line="45" w:lineRule="exact"/>
        <w:rPr>
          <w:sz w:val="20"/>
          <w:szCs w:val="20"/>
          <w:color w:val="auto"/>
        </w:rPr>
      </w:pPr>
    </w:p>
    <w:p>
      <w:pPr>
        <w:ind w:left="675" w:hanging="675"/>
        <w:spacing w:after="0"/>
        <w:tabs>
          <w:tab w:leader="none" w:pos="675" w:val="left"/>
        </w:tabs>
        <w:numPr>
          <w:ilvl w:val="0"/>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Limitation. </w:t>
      </w:r>
      <w:r>
        <w:rPr>
          <w:rFonts w:ascii="Arial" w:cs="Arial" w:eastAsia="Arial" w:hAnsi="Arial"/>
          <w:sz w:val="16"/>
          <w:szCs w:val="16"/>
          <w:color w:val="auto"/>
        </w:rPr>
        <w:t>A Participant shall be eligible to receive payment in respect of a Performance Compensation Award only to the extent that:</w:t>
      </w:r>
    </w:p>
    <w:p>
      <w:pPr>
        <w:spacing w:after="0" w:line="44" w:lineRule="exact"/>
        <w:rPr>
          <w:rFonts w:ascii="Arial" w:cs="Arial" w:eastAsia="Arial" w:hAnsi="Arial"/>
          <w:sz w:val="16"/>
          <w:szCs w:val="16"/>
          <w:color w:val="auto"/>
        </w:rPr>
      </w:pPr>
    </w:p>
    <w:p>
      <w:pPr>
        <w:ind w:left="675" w:right="480"/>
        <w:spacing w:after="0" w:line="323" w:lineRule="auto"/>
        <w:rPr>
          <w:rFonts w:ascii="Arial" w:cs="Arial" w:eastAsia="Arial" w:hAnsi="Arial"/>
          <w:sz w:val="16"/>
          <w:szCs w:val="16"/>
          <w:color w:val="auto"/>
        </w:rPr>
      </w:pPr>
      <w:r>
        <w:rPr>
          <w:rFonts w:ascii="Arial" w:cs="Arial" w:eastAsia="Arial" w:hAnsi="Arial"/>
          <w:sz w:val="16"/>
          <w:szCs w:val="16"/>
          <w:color w:val="auto"/>
        </w:rPr>
        <w:t>(A) the Performance Goals for such period are achieved; and (B) the Performance Formula as applied against such Performance Goals determines that all or some portion of such Participant’s Performance Award has been earned for the Performance Period.</w:t>
      </w:r>
    </w:p>
    <w:p>
      <w:pPr>
        <w:spacing w:after="0" w:line="5" w:lineRule="exact"/>
        <w:rPr>
          <w:rFonts w:ascii="Arial" w:cs="Arial" w:eastAsia="Arial" w:hAnsi="Arial"/>
          <w:sz w:val="16"/>
          <w:szCs w:val="16"/>
          <w:color w:val="auto"/>
        </w:rPr>
      </w:pPr>
    </w:p>
    <w:p>
      <w:pPr>
        <w:ind w:left="675" w:right="160" w:hanging="675"/>
        <w:spacing w:after="0" w:line="296" w:lineRule="auto"/>
        <w:tabs>
          <w:tab w:leader="none" w:pos="675" w:val="left"/>
        </w:tabs>
        <w:numPr>
          <w:ilvl w:val="0"/>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Certification. </w:t>
      </w:r>
      <w:r>
        <w:rPr>
          <w:rFonts w:ascii="Arial" w:cs="Arial" w:eastAsia="Arial" w:hAnsi="Arial"/>
          <w:sz w:val="16"/>
          <w:szCs w:val="16"/>
          <w:color w:val="auto"/>
        </w:rPr>
        <w:t>Following the completion of a Performance Period, the Committee shall review and certify in writing whether, and to what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26" w:lineRule="exact"/>
        <w:rPr>
          <w:rFonts w:ascii="Arial" w:cs="Arial" w:eastAsia="Arial" w:hAnsi="Arial"/>
          <w:sz w:val="16"/>
          <w:szCs w:val="16"/>
          <w:color w:val="auto"/>
        </w:rPr>
      </w:pPr>
    </w:p>
    <w:p>
      <w:pPr>
        <w:ind w:left="675" w:right="20" w:hanging="675"/>
        <w:spacing w:after="0" w:line="293" w:lineRule="auto"/>
        <w:tabs>
          <w:tab w:leader="none" w:pos="675" w:val="left"/>
        </w:tabs>
        <w:numPr>
          <w:ilvl w:val="0"/>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Use of Discretion. </w:t>
      </w:r>
      <w:r>
        <w:rPr>
          <w:rFonts w:ascii="Arial" w:cs="Arial" w:eastAsia="Arial" w:hAnsi="Arial"/>
          <w:sz w:val="16"/>
          <w:szCs w:val="16"/>
          <w:color w:val="auto"/>
        </w:rPr>
        <w:t>In determining the actual size of an individual Performance Award for a Performance Period, the Committee may reduce</w:t>
      </w:r>
      <w:r>
        <w:rPr>
          <w:rFonts w:ascii="Arial" w:cs="Arial" w:eastAsia="Arial" w:hAnsi="Arial"/>
          <w:sz w:val="16"/>
          <w:szCs w:val="16"/>
          <w:b w:val="1"/>
          <w:bCs w:val="1"/>
          <w:color w:val="auto"/>
        </w:rPr>
        <w:t xml:space="preserve"> </w:t>
      </w:r>
      <w:r>
        <w:rPr>
          <w:rFonts w:ascii="Arial" w:cs="Arial" w:eastAsia="Arial" w:hAnsi="Arial"/>
          <w:sz w:val="16"/>
          <w:szCs w:val="16"/>
          <w:color w:val="auto"/>
        </w:rPr>
        <w:t>or eliminate the amount of the Performance Compensation Award earned under the Performance Formula in the Performance Period through the use of Negative Discretion if, in its sole judgment, such reduction or elimination is appropriate. The Committee shall not have the discretion to (a) 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Sub Plan.</w:t>
      </w:r>
    </w:p>
    <w:p>
      <w:pPr>
        <w:spacing w:after="0" w:line="29" w:lineRule="exact"/>
        <w:rPr>
          <w:rFonts w:ascii="Arial" w:cs="Arial" w:eastAsia="Arial" w:hAnsi="Arial"/>
          <w:sz w:val="16"/>
          <w:szCs w:val="16"/>
          <w:color w:val="auto"/>
        </w:rPr>
      </w:pPr>
    </w:p>
    <w:p>
      <w:pPr>
        <w:ind w:left="675" w:right="120" w:hanging="675"/>
        <w:spacing w:after="0" w:line="275" w:lineRule="auto"/>
        <w:tabs>
          <w:tab w:leader="none" w:pos="675"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Timing of Award Payments. </w:t>
      </w:r>
      <w:r>
        <w:rPr>
          <w:rFonts w:ascii="Arial" w:cs="Arial" w:eastAsia="Arial" w:hAnsi="Arial"/>
          <w:sz w:val="18"/>
          <w:szCs w:val="18"/>
          <w:color w:val="auto"/>
        </w:rPr>
        <w:t>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38" w:lineRule="exact"/>
        <w:rPr>
          <w:rFonts w:ascii="Arial" w:cs="Arial" w:eastAsia="Arial" w:hAnsi="Arial"/>
          <w:sz w:val="18"/>
          <w:szCs w:val="18"/>
          <w:color w:val="auto"/>
        </w:rPr>
      </w:pPr>
    </w:p>
    <w:p>
      <w:pPr>
        <w:ind w:left="675" w:hanging="675"/>
        <w:spacing w:after="0" w:line="256" w:lineRule="auto"/>
        <w:tabs>
          <w:tab w:leader="none" w:pos="675"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Maximum Award Payable. </w:t>
      </w:r>
      <w:r>
        <w:rPr>
          <w:rFonts w:ascii="Arial" w:cs="Arial" w:eastAsia="Arial" w:hAnsi="Arial"/>
          <w:sz w:val="18"/>
          <w:szCs w:val="18"/>
          <w:color w:val="auto"/>
        </w:rPr>
        <w:t>Notwithstanding any provision contained in this Sub Plan to the contrary, the maximum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Award payable to any one Participant under the Sub Plan for a Performance Period is 250,000 shares of Stock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w:t>
      </w:r>
    </w:p>
    <w:p>
      <w:pPr>
        <w:spacing w:after="0" w:line="131" w:lineRule="exact"/>
        <w:rPr>
          <w:sz w:val="20"/>
          <w:szCs w:val="20"/>
          <w:color w:val="auto"/>
        </w:rPr>
      </w:pPr>
    </w:p>
    <w:p>
      <w:pPr>
        <w:ind w:left="481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95"/>
          </w:cols>
          <w:pgMar w:left="1045" w:top="280" w:right="259" w:bottom="1440" w:gutter="0" w:footer="0" w:header="0"/>
        </w:sectPr>
      </w:pPr>
    </w:p>
    <w:bookmarkStart w:id="292" w:name="page293"/>
    <w:bookmarkEnd w:id="292"/>
    <w:p>
      <w:pPr>
        <w:ind w:left="1480"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bonus Award described in the last sentence of Section 11(a) shall be $1,000,000.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191" w:lineRule="exact"/>
        <w:rPr>
          <w:sz w:val="20"/>
          <w:szCs w:val="20"/>
          <w:color w:val="auto"/>
        </w:rPr>
      </w:pPr>
    </w:p>
    <w:p>
      <w:pPr>
        <w:ind w:left="1180" w:hanging="259"/>
        <w:spacing w:after="0"/>
        <w:tabs>
          <w:tab w:leader="none" w:pos="118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rFonts w:ascii="Arial" w:cs="Arial" w:eastAsia="Arial" w:hAnsi="Arial"/>
          <w:sz w:val="18"/>
          <w:szCs w:val="18"/>
          <w:color w:val="auto"/>
        </w:rPr>
      </w:pPr>
    </w:p>
    <w:p>
      <w:pPr>
        <w:ind w:right="40" w:firstLine="1492"/>
        <w:spacing w:after="0" w:line="287" w:lineRule="auto"/>
        <w:tabs>
          <w:tab w:leader="none" w:pos="1722"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Additional Provisions of an Award. </w:t>
      </w:r>
      <w:r>
        <w:rPr>
          <w:rFonts w:ascii="Arial" w:cs="Arial" w:eastAsia="Arial" w:hAnsi="Arial"/>
          <w:sz w:val="16"/>
          <w:szCs w:val="16"/>
          <w:color w:val="auto"/>
        </w:rPr>
        <w:t>Awards to a Participant under the Sub Plan also may be subject to such other provisions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not 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those provisions of Section 9 providing for the payment of dividends with respect to Restricted Stock and Dividend Equivalents with respect to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Federal and state tax withholding requirements and the applicable Indian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or the Act. Any such provisions shall be reflected in the applicable Award agreement.</w:t>
      </w:r>
    </w:p>
    <w:p>
      <w:pPr>
        <w:spacing w:after="0" w:line="118" w:lineRule="exact"/>
        <w:rPr>
          <w:rFonts w:ascii="Arial" w:cs="Arial" w:eastAsia="Arial" w:hAnsi="Arial"/>
          <w:sz w:val="16"/>
          <w:szCs w:val="16"/>
          <w:color w:val="auto"/>
        </w:rPr>
      </w:pPr>
    </w:p>
    <w:p>
      <w:pPr>
        <w:ind w:firstLine="1492"/>
        <w:spacing w:after="0" w:line="339" w:lineRule="auto"/>
        <w:tabs>
          <w:tab w:leader="none" w:pos="1732"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Privileges of Stock Ownership. </w:t>
      </w:r>
      <w:r>
        <w:rPr>
          <w:rFonts w:ascii="Arial" w:cs="Arial" w:eastAsia="Arial" w:hAnsi="Arial"/>
          <w:sz w:val="16"/>
          <w:szCs w:val="16"/>
          <w:color w:val="auto"/>
        </w:rPr>
        <w:t>Except as otherwise specifically provided in the Sub Plan, no person shall be entitled to the privileges of</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in respect of shares of Stock which are subject to Awards hereunder until such shares have been issued to that person.</w:t>
      </w:r>
    </w:p>
    <w:p>
      <w:pPr>
        <w:spacing w:after="0" w:line="74" w:lineRule="exact"/>
        <w:rPr>
          <w:rFonts w:ascii="Arial" w:cs="Arial" w:eastAsia="Arial" w:hAnsi="Arial"/>
          <w:sz w:val="16"/>
          <w:szCs w:val="16"/>
          <w:color w:val="auto"/>
        </w:rPr>
      </w:pPr>
    </w:p>
    <w:p>
      <w:pPr>
        <w:ind w:right="160" w:firstLine="1492"/>
        <w:spacing w:after="0" w:line="296" w:lineRule="auto"/>
        <w:tabs>
          <w:tab w:leader="none" w:pos="1722"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Government and Other Regulations. </w:t>
      </w:r>
      <w:r>
        <w:rPr>
          <w:rFonts w:ascii="Arial" w:cs="Arial" w:eastAsia="Arial" w:hAnsi="Arial"/>
          <w:sz w:val="16"/>
          <w:szCs w:val="16"/>
          <w:color w:val="auto"/>
        </w:rPr>
        <w:t>The obligation of the Company to settle Awards in Stock shall be subject to all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93" w:name="page294"/>
    <w:bookmarkEnd w:id="29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Sub Plan. If the shares of Stock offered for sale or sold under the Sub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218" w:lineRule="exact"/>
        <w:rPr>
          <w:sz w:val="20"/>
          <w:szCs w:val="20"/>
          <w:color w:val="auto"/>
        </w:rPr>
      </w:pPr>
    </w:p>
    <w:p>
      <w:pPr>
        <w:ind w:left="1740" w:hanging="248"/>
        <w:spacing w:after="0"/>
        <w:tabs>
          <w:tab w:leader="none" w:pos="1740" w:val="left"/>
        </w:tabs>
        <w:numPr>
          <w:ilvl w:val="1"/>
          <w:numId w:val="224"/>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left="1480" w:hanging="675"/>
        <w:spacing w:after="0" w:line="294" w:lineRule="auto"/>
        <w:tabs>
          <w:tab w:leader="none" w:pos="14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the Indian Subsidiaries, and the Company or the Indian Subsidiaries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Sub Plan and to take such other action as may be necessary in the opinion of the Company to satisfy all obligations for the payment of such withholding and taxes.</w:t>
      </w:r>
    </w:p>
    <w:p>
      <w:pPr>
        <w:spacing w:after="0" w:line="34" w:lineRule="exact"/>
        <w:rPr>
          <w:rFonts w:ascii="Arial" w:cs="Arial" w:eastAsia="Arial" w:hAnsi="Arial"/>
          <w:sz w:val="16"/>
          <w:szCs w:val="16"/>
          <w:color w:val="auto"/>
        </w:rPr>
      </w:pPr>
    </w:p>
    <w:p>
      <w:pPr>
        <w:ind w:left="1480" w:right="60" w:hanging="675"/>
        <w:spacing w:after="0" w:line="294" w:lineRule="auto"/>
        <w:tabs>
          <w:tab w:leader="none" w:pos="14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Committee may, in its sole discretion, permit a Participant to satisfy, in whole or in part, the foregoing withholding liability (but no more than the minimum required withholding liability) by (A) the delivery of Mature Shares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 (but no more than the minimum required withholding liability).</w:t>
      </w:r>
    </w:p>
    <w:p>
      <w:pPr>
        <w:spacing w:after="0" w:line="109" w:lineRule="exact"/>
        <w:rPr>
          <w:rFonts w:ascii="Arial" w:cs="Arial" w:eastAsia="Arial" w:hAnsi="Arial"/>
          <w:sz w:val="16"/>
          <w:szCs w:val="16"/>
          <w:color w:val="auto"/>
        </w:rPr>
      </w:pPr>
    </w:p>
    <w:p>
      <w:pPr>
        <w:ind w:right="20" w:firstLine="1492"/>
        <w:spacing w:after="0" w:line="258" w:lineRule="auto"/>
        <w:tabs>
          <w:tab w:leader="none" w:pos="1722" w:val="left"/>
        </w:tabs>
        <w:numPr>
          <w:ilvl w:val="1"/>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Claim to Awards and Employment Rights. </w:t>
      </w:r>
      <w:r>
        <w:rPr>
          <w:rFonts w:ascii="Arial" w:cs="Arial" w:eastAsia="Arial" w:hAnsi="Arial"/>
          <w:sz w:val="18"/>
          <w:szCs w:val="18"/>
          <w:color w:val="auto"/>
        </w:rPr>
        <w:t>No employee of the Company or the Indian Subsidiary, or other person, shall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claim or right to be granted an Award under the Sub Plan or, having been selected for the grant of an Award, to be selected for a grant of any other Award. Neither the Sub Plan nor any action taken hereunder shall be construed as giving any Participant any right to be retained in the employment or service of the Company, the Indian Subsidiaries or their affiliates.</w:t>
      </w:r>
    </w:p>
    <w:p>
      <w:pPr>
        <w:spacing w:after="0" w:line="136" w:lineRule="exact"/>
        <w:rPr>
          <w:rFonts w:ascii="Arial" w:cs="Arial" w:eastAsia="Arial" w:hAnsi="Arial"/>
          <w:sz w:val="18"/>
          <w:szCs w:val="18"/>
          <w:color w:val="auto"/>
        </w:rPr>
      </w:pPr>
    </w:p>
    <w:p>
      <w:pPr>
        <w:ind w:right="120" w:firstLine="1492"/>
        <w:spacing w:after="0" w:line="262" w:lineRule="auto"/>
        <w:tabs>
          <w:tab w:leader="none" w:pos="1703" w:val="left"/>
        </w:tabs>
        <w:numPr>
          <w:ilvl w:val="1"/>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Designation and Change of Beneficiary. </w:t>
      </w:r>
      <w:r>
        <w:rPr>
          <w:rFonts w:ascii="Arial" w:cs="Arial" w:eastAsia="Arial" w:hAnsi="Arial"/>
          <w:sz w:val="18"/>
          <w:szCs w:val="18"/>
          <w:color w:val="auto"/>
        </w:rPr>
        <w:t>Each Participant may file with the Committee a written designation of one or more persons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beneficiary who shall be entitled to receive the amounts payable with respect to an Award, if any, due under the Sub Plan upon his death. A Participant may, from time to time, revoke or change his beneficiary designation without the consent of any prior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94" w:name="page295"/>
    <w:bookmarkEnd w:id="29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beneficiary by filing a new designation with the Committee. The last such designation received by the Committee shall be controlling;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37" w:lineRule="exact"/>
        <w:rPr>
          <w:sz w:val="20"/>
          <w:szCs w:val="20"/>
          <w:color w:val="auto"/>
        </w:rPr>
      </w:pPr>
    </w:p>
    <w:p>
      <w:pPr>
        <w:ind w:right="40" w:firstLine="1492"/>
        <w:spacing w:after="0" w:line="296" w:lineRule="auto"/>
        <w:tabs>
          <w:tab w:leader="none" w:pos="1732"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Payments to Persons Other Than Participants. </w:t>
      </w:r>
      <w:r>
        <w:rPr>
          <w:rFonts w:ascii="Arial" w:cs="Arial" w:eastAsia="Arial" w:hAnsi="Arial"/>
          <w:sz w:val="16"/>
          <w:szCs w:val="16"/>
          <w:color w:val="auto"/>
        </w:rPr>
        <w:t>If the Committee shall find that any person to whom any amount is payable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Sub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07" w:lineRule="exact"/>
        <w:rPr>
          <w:rFonts w:ascii="Arial" w:cs="Arial" w:eastAsia="Arial" w:hAnsi="Arial"/>
          <w:sz w:val="16"/>
          <w:szCs w:val="16"/>
          <w:color w:val="auto"/>
        </w:rPr>
      </w:pPr>
    </w:p>
    <w:p>
      <w:pPr>
        <w:ind w:firstLine="1492"/>
        <w:spacing w:after="0" w:line="289" w:lineRule="auto"/>
        <w:tabs>
          <w:tab w:leader="none" w:pos="1732"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No Liability of Committee Members. </w:t>
      </w:r>
      <w:r>
        <w:rPr>
          <w:rFonts w:ascii="Arial" w:cs="Arial" w:eastAsia="Arial" w:hAnsi="Arial"/>
          <w:sz w:val="16"/>
          <w:szCs w:val="16"/>
          <w:color w:val="auto"/>
        </w:rPr>
        <w:t>No member of the Committee shall be personally liable by reason of any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instrument 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Sub Plan may be allocated or delegated, against any cost or expense (including counsel fees) or liability (including any sum paid in settlement of a claim) arising out of any act or omission to act in connection with the Sub Plan unless arising out of such person’s own fraud or willful bad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2" w:lineRule="exact"/>
        <w:rPr>
          <w:rFonts w:ascii="Arial" w:cs="Arial" w:eastAsia="Arial" w:hAnsi="Arial"/>
          <w:sz w:val="16"/>
          <w:szCs w:val="16"/>
          <w:color w:val="auto"/>
        </w:rPr>
      </w:pPr>
    </w:p>
    <w:p>
      <w:pPr>
        <w:ind w:right="640" w:firstLine="1492"/>
        <w:spacing w:after="0" w:line="275" w:lineRule="auto"/>
        <w:tabs>
          <w:tab w:leader="none" w:pos="1693"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Sub Plan shall be governed by and construed in accordance with the internal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contracts made and performed wholly within the State of Delaware.</w:t>
      </w:r>
    </w:p>
    <w:p>
      <w:pPr>
        <w:spacing w:after="0" w:line="119" w:lineRule="exact"/>
        <w:rPr>
          <w:rFonts w:ascii="Arial" w:cs="Arial" w:eastAsia="Arial" w:hAnsi="Arial"/>
          <w:sz w:val="18"/>
          <w:szCs w:val="18"/>
          <w:color w:val="auto"/>
        </w:rPr>
      </w:pPr>
    </w:p>
    <w:p>
      <w:pPr>
        <w:ind w:right="60" w:firstLine="1492"/>
        <w:spacing w:after="0" w:line="256" w:lineRule="auto"/>
        <w:tabs>
          <w:tab w:leader="none" w:pos="1693"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Funding. </w:t>
      </w:r>
      <w:r>
        <w:rPr>
          <w:rFonts w:ascii="Arial" w:cs="Arial" w:eastAsia="Arial" w:hAnsi="Arial"/>
          <w:sz w:val="18"/>
          <w:szCs w:val="18"/>
          <w:color w:val="auto"/>
        </w:rPr>
        <w:t>No provision of the Sub Plan shall require the Company, for the purpose of satisfying any obligations under the Sub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Sub Plan other than as unsecured general creditors of the Company, except that insofar as they may have become entitled to payment of additional compensation by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services, they shall have the same rights as other employees under general law.</w:t>
      </w:r>
    </w:p>
    <w:p>
      <w:pPr>
        <w:spacing w:after="0" w:line="165" w:lineRule="exact"/>
        <w:rPr>
          <w:sz w:val="20"/>
          <w:szCs w:val="20"/>
          <w:color w:val="auto"/>
        </w:rPr>
      </w:pPr>
    </w:p>
    <w:p>
      <w:pPr>
        <w:jc w:val="both"/>
        <w:ind w:firstLine="1492"/>
        <w:spacing w:after="0" w:line="258" w:lineRule="auto"/>
        <w:tabs>
          <w:tab w:leader="none" w:pos="173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Reliance on Reports. </w:t>
      </w:r>
      <w:r>
        <w:rPr>
          <w:rFonts w:ascii="Arial" w:cs="Arial" w:eastAsia="Arial" w:hAnsi="Arial"/>
          <w:sz w:val="18"/>
          <w:szCs w:val="18"/>
          <w:color w:val="auto"/>
        </w:rPr>
        <w:t>Each member of the Committee and each member of the Board shall be fully justified in acting or failing to act,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may be, and shall not be liable for having so acted or failed to act in good faith, in reliance upon any report made by the independent public accountant of the Company and its affiliates, including Indian Subsidiaries and/or any other information furnished in connection with the Sub Plan by any person or persons other than himself.</w:t>
      </w:r>
    </w:p>
    <w:p>
      <w:pPr>
        <w:spacing w:after="0" w:line="136" w:lineRule="exact"/>
        <w:rPr>
          <w:rFonts w:ascii="Arial" w:cs="Arial" w:eastAsia="Arial" w:hAnsi="Arial"/>
          <w:sz w:val="18"/>
          <w:szCs w:val="18"/>
          <w:color w:val="auto"/>
        </w:rPr>
      </w:pPr>
    </w:p>
    <w:p>
      <w:pPr>
        <w:ind w:right="460" w:firstLine="1492"/>
        <w:spacing w:after="0" w:line="339" w:lineRule="auto"/>
        <w:tabs>
          <w:tab w:leader="none" w:pos="1693"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 xml:space="preserve">Relationship to Other Benefits. </w:t>
      </w:r>
      <w:r>
        <w:rPr>
          <w:rFonts w:ascii="Arial" w:cs="Arial" w:eastAsia="Arial" w:hAnsi="Arial"/>
          <w:sz w:val="16"/>
          <w:szCs w:val="16"/>
          <w:color w:val="auto"/>
        </w:rPr>
        <w:t>No payment under the Sub Plan shall be taken into account in determining any benefits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retirement, profit sharing, group insurance or other benefit plan of the Company except as otherwise specifically provided in such other plan.</w:t>
      </w:r>
    </w:p>
    <w:p>
      <w:pPr>
        <w:spacing w:after="0" w:line="74" w:lineRule="exact"/>
        <w:rPr>
          <w:rFonts w:ascii="Arial" w:cs="Arial" w:eastAsia="Arial" w:hAnsi="Arial"/>
          <w:sz w:val="16"/>
          <w:szCs w:val="16"/>
          <w:color w:val="auto"/>
        </w:rPr>
      </w:pPr>
    </w:p>
    <w:p>
      <w:pPr>
        <w:ind w:left="1780" w:hanging="288"/>
        <w:spacing w:after="0"/>
        <w:tabs>
          <w:tab w:leader="none" w:pos="178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expenses of administering the Sub Plan shall be borne by the Company and the Indian Subsidiaries.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Pronouns. </w:t>
      </w:r>
      <w:r>
        <w:rPr>
          <w:rFonts w:ascii="Arial" w:cs="Arial" w:eastAsia="Arial" w:hAnsi="Arial"/>
          <w:sz w:val="18"/>
          <w:szCs w:val="18"/>
          <w:color w:val="auto"/>
        </w:rPr>
        <w:t>Masculine pronouns and other words of masculine gender shall refer to both men and women.</w:t>
      </w:r>
    </w:p>
    <w:p>
      <w:pPr>
        <w:spacing w:after="0" w:line="171" w:lineRule="exact"/>
        <w:rPr>
          <w:rFonts w:ascii="Arial" w:cs="Arial" w:eastAsia="Arial" w:hAnsi="Arial"/>
          <w:sz w:val="18"/>
          <w:szCs w:val="18"/>
          <w:color w:val="auto"/>
        </w:rPr>
      </w:pPr>
    </w:p>
    <w:p>
      <w:pPr>
        <w:ind w:right="240" w:firstLine="1492"/>
        <w:spacing w:after="0" w:line="275" w:lineRule="auto"/>
        <w:tabs>
          <w:tab w:leader="none" w:pos="173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and headings of the sections in the Sub Plan are for convenience of reference only, and in the event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 the text of the Sub Plan, rather than such titles or headings shall control.</w:t>
      </w:r>
    </w:p>
    <w:p>
      <w:pPr>
        <w:spacing w:after="0" w:line="119" w:lineRule="exact"/>
        <w:rPr>
          <w:rFonts w:ascii="Arial" w:cs="Arial" w:eastAsia="Arial" w:hAnsi="Arial"/>
          <w:sz w:val="18"/>
          <w:szCs w:val="18"/>
          <w:color w:val="auto"/>
        </w:rPr>
      </w:pPr>
    </w:p>
    <w:p>
      <w:pPr>
        <w:ind w:right="220" w:firstLine="1492"/>
        <w:spacing w:after="0" w:line="310" w:lineRule="auto"/>
        <w:tabs>
          <w:tab w:leader="none" w:pos="1732"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Unless an applicable Award agreement provides otherwise, for purposes of the Sub Plan, a person who</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transfers from employment or service with an Indian Subsidiary to employment or service with the Company or an affiliate thereof or vice versa shall not be deemed to have terminated employment or service with the Indian Subsidiary or the Company or its affiliate.</w:t>
      </w:r>
    </w:p>
    <w:p>
      <w:pPr>
        <w:spacing w:after="0" w:line="97" w:lineRule="exact"/>
        <w:rPr>
          <w:rFonts w:ascii="Arial" w:cs="Arial" w:eastAsia="Arial" w:hAnsi="Arial"/>
          <w:sz w:val="16"/>
          <w:szCs w:val="16"/>
          <w:color w:val="auto"/>
        </w:rPr>
      </w:pPr>
    </w:p>
    <w:p>
      <w:pPr>
        <w:ind w:firstLine="1492"/>
        <w:spacing w:after="0" w:line="296" w:lineRule="auto"/>
        <w:tabs>
          <w:tab w:leader="none" w:pos="1732"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the Sub Plan or any Award agreement is or becomes or is deemed to be invalid, illegal,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jurisdiction or as to any person or Award, or would disqualify the Sub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Sub Plan or the Award, such provision shall be stricken as to such jurisdiction, person or Award and the remainder of the Sub Plan and any such Award shall remain in full force and effect.</w:t>
      </w:r>
    </w:p>
    <w:p>
      <w:pPr>
        <w:spacing w:after="0" w:line="107" w:lineRule="exact"/>
        <w:rPr>
          <w:rFonts w:ascii="Arial" w:cs="Arial" w:eastAsia="Arial" w:hAnsi="Arial"/>
          <w:sz w:val="16"/>
          <w:szCs w:val="16"/>
          <w:color w:val="auto"/>
        </w:rPr>
      </w:pPr>
    </w:p>
    <w:p>
      <w:pPr>
        <w:ind w:right="200" w:firstLine="1492"/>
        <w:spacing w:after="0" w:line="310" w:lineRule="auto"/>
        <w:tabs>
          <w:tab w:leader="none" w:pos="1703"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Applicable Law. </w:t>
      </w:r>
      <w:r>
        <w:rPr>
          <w:rFonts w:ascii="Arial" w:cs="Arial" w:eastAsia="Arial" w:hAnsi="Arial"/>
          <w:sz w:val="16"/>
          <w:szCs w:val="16"/>
          <w:color w:val="auto"/>
        </w:rPr>
        <w:t>Notwithstanding any provision in the Sub Plan to the contrary, the Committee reserves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add any additional terms or provisions to any Award granted under the Sub Plan that it in its sole discretion deems necessary or advisable in order that such Award complies with the legal requirements of any governmental entity to whose jurisdiction the Award is subject.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96" w:name="page297"/>
    <w:bookmarkEnd w:id="296"/>
    <w:p>
      <w:pPr>
        <w:ind w:left="1180" w:hanging="259"/>
        <w:spacing w:after="0"/>
        <w:tabs>
          <w:tab w:leader="none" w:pos="118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Capital Structure</w:t>
      </w:r>
    </w:p>
    <w:p>
      <w:pPr>
        <w:spacing w:after="0" w:line="9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Awards granted under the Sub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Sub Plan. Any adjustment in Incentive Stock Options under this Section 13 shall be made only to the extent not constituting a “modification” within the meaning of 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90" w:lineRule="exact"/>
        <w:rPr>
          <w:sz w:val="20"/>
          <w:szCs w:val="20"/>
          <w:color w:val="auto"/>
        </w:rPr>
      </w:pPr>
    </w:p>
    <w:p>
      <w:pPr>
        <w:ind w:right="840" w:firstLine="913"/>
        <w:spacing w:after="0" w:line="268" w:lineRule="auto"/>
        <w:rPr>
          <w:sz w:val="20"/>
          <w:szCs w:val="20"/>
          <w:color w:val="auto"/>
        </w:rPr>
      </w:pPr>
      <w:r>
        <w:rPr>
          <w:rFonts w:ascii="Arial" w:cs="Arial" w:eastAsia="Arial" w:hAnsi="Arial"/>
          <w:sz w:val="18"/>
          <w:szCs w:val="18"/>
          <w:color w:val="auto"/>
        </w:rPr>
        <w:t>A. The Company is merged or consolidated with another corporation or entity and, in connection therewith, consideration is received by shareholders of the Company in a form other than stock or other equity interests of the surviving entity;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All or substantially all of the assets of the Company are acquired by another person;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reorganization or liquidation of the Company; 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The Company shall enter into a written agreement to undergo an event described in clauses A, B or C above,</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shareholders of the Company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The terms of this Section 13 may be varied by the Committee in any particular Award agreement.</w:t>
      </w:r>
    </w:p>
    <w:p>
      <w:pPr>
        <w:spacing w:after="0" w:line="246" w:lineRule="exact"/>
        <w:rPr>
          <w:sz w:val="20"/>
          <w:szCs w:val="20"/>
          <w:color w:val="auto"/>
        </w:rPr>
      </w:pPr>
    </w:p>
    <w:p>
      <w:pPr>
        <w:ind w:left="1180" w:hanging="259"/>
        <w:spacing w:after="0"/>
        <w:tabs>
          <w:tab w:leader="none" w:pos="1180" w:val="left"/>
        </w:tabs>
        <w:numPr>
          <w:ilvl w:val="1"/>
          <w:numId w:val="229"/>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96" w:lineRule="exact"/>
        <w:rPr>
          <w:rFonts w:ascii="Arial" w:cs="Arial" w:eastAsia="Arial" w:hAnsi="Arial"/>
          <w:sz w:val="18"/>
          <w:szCs w:val="18"/>
          <w:color w:val="auto"/>
        </w:rPr>
      </w:pPr>
    </w:p>
    <w:p>
      <w:pPr>
        <w:ind w:left="1720" w:hanging="228"/>
        <w:spacing w:after="0"/>
        <w:tabs>
          <w:tab w:leader="none" w:pos="17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90" w:lineRule="exact"/>
        <w:rPr>
          <w:rFonts w:ascii="Arial" w:cs="Arial" w:eastAsia="Arial" w:hAnsi="Arial"/>
          <w:sz w:val="18"/>
          <w:szCs w:val="18"/>
          <w:color w:val="auto"/>
        </w:rPr>
      </w:pPr>
    </w:p>
    <w:p>
      <w:pPr>
        <w:ind w:left="1480" w:right="140" w:hanging="567"/>
        <w:spacing w:after="0" w:line="312" w:lineRule="auto"/>
        <w:tabs>
          <w:tab w:leader="none" w:pos="148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In the event of a Change in Control, notwithstanding any provision of the Sub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24" w:lineRule="exact"/>
        <w:rPr>
          <w:rFonts w:ascii="Arial" w:cs="Arial" w:eastAsia="Arial" w:hAnsi="Arial"/>
          <w:sz w:val="15"/>
          <w:szCs w:val="15"/>
          <w:color w:val="auto"/>
        </w:rPr>
      </w:pPr>
    </w:p>
    <w:p>
      <w:pPr>
        <w:ind w:left="1480" w:hanging="567"/>
        <w:spacing w:after="0" w:line="303" w:lineRule="auto"/>
        <w:tabs>
          <w:tab w:leader="none" w:pos="148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w:t>
      </w:r>
    </w:p>
    <w:p>
      <w:pPr>
        <w:spacing w:after="0" w:line="1" w:lineRule="exact"/>
        <w:rPr>
          <w:rFonts w:ascii="Arial" w:cs="Arial" w:eastAsia="Arial" w:hAnsi="Arial"/>
          <w:sz w:val="15"/>
          <w:szCs w:val="15"/>
          <w:color w:val="auto"/>
        </w:rPr>
      </w:pPr>
    </w:p>
    <w:p>
      <w:pPr>
        <w:ind w:left="1480" w:right="40"/>
        <w:spacing w:after="0" w:line="255" w:lineRule="auto"/>
        <w:rPr>
          <w:rFonts w:ascii="Arial" w:cs="Arial" w:eastAsia="Arial" w:hAnsi="Arial"/>
          <w:sz w:val="15"/>
          <w:szCs w:val="15"/>
          <w:color w:val="auto"/>
        </w:rPr>
      </w:pPr>
      <w:r>
        <w:rPr>
          <w:rFonts w:ascii="Arial" w:cs="Arial" w:eastAsia="Arial" w:hAnsi="Arial"/>
          <w:sz w:val="18"/>
          <w:szCs w:val="18"/>
          <w:color w:val="auto"/>
        </w:rPr>
        <w:t>(B)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144" w:lineRule="exact"/>
        <w:rPr>
          <w:rFonts w:ascii="Arial" w:cs="Arial" w:eastAsia="Arial" w:hAnsi="Arial"/>
          <w:sz w:val="15"/>
          <w:szCs w:val="15"/>
          <w:color w:val="auto"/>
        </w:rPr>
      </w:pPr>
    </w:p>
    <w:p>
      <w:pPr>
        <w:jc w:val="both"/>
        <w:ind w:right="320" w:firstLine="1492"/>
        <w:spacing w:after="0" w:line="306" w:lineRule="auto"/>
        <w:tabs>
          <w:tab w:leader="none" w:pos="1732" w:val="left"/>
        </w:tabs>
        <w:numPr>
          <w:ilvl w:val="2"/>
          <w:numId w:val="230"/>
        </w:numPr>
        <w:rPr>
          <w:rFonts w:ascii="Arial" w:cs="Arial" w:eastAsia="Arial" w:hAnsi="Arial"/>
          <w:sz w:val="16"/>
          <w:szCs w:val="16"/>
          <w:color w:val="auto"/>
        </w:rPr>
      </w:pPr>
      <w:r>
        <w:rPr>
          <w:rFonts w:ascii="Arial" w:cs="Arial" w:eastAsia="Arial" w:hAnsi="Arial"/>
          <w:sz w:val="16"/>
          <w:szCs w:val="16"/>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shareholders of the Company in the event.</w:t>
      </w:r>
    </w:p>
    <w:p>
      <w:pPr>
        <w:spacing w:after="0" w:line="106" w:lineRule="exact"/>
        <w:rPr>
          <w:rFonts w:ascii="Arial" w:cs="Arial" w:eastAsia="Arial" w:hAnsi="Arial"/>
          <w:sz w:val="16"/>
          <w:szCs w:val="16"/>
          <w:color w:val="auto"/>
        </w:rPr>
      </w:pPr>
    </w:p>
    <w:p>
      <w:pPr>
        <w:ind w:right="80" w:firstLine="1492"/>
        <w:spacing w:after="0" w:line="306" w:lineRule="auto"/>
        <w:tabs>
          <w:tab w:leader="none" w:pos="1719" w:val="left"/>
        </w:tabs>
        <w:numPr>
          <w:ilvl w:val="2"/>
          <w:numId w:val="230"/>
        </w:numPr>
        <w:rPr>
          <w:rFonts w:ascii="Arial" w:cs="Arial" w:eastAsia="Arial" w:hAnsi="Arial"/>
          <w:sz w:val="16"/>
          <w:szCs w:val="16"/>
          <w:color w:val="auto"/>
        </w:rPr>
      </w:pPr>
      <w:r>
        <w:rPr>
          <w:rFonts w:ascii="Arial" w:cs="Arial" w:eastAsia="Arial" w:hAnsi="Arial"/>
          <w:sz w:val="16"/>
          <w:szCs w:val="16"/>
          <w:color w:val="auto"/>
        </w:rPr>
        <w:t>The obligations of the Company under the Sub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98" w:name="page299"/>
    <w:bookmarkEnd w:id="298"/>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rights under the Sub Plan in any agreement or plan which it may enter into or adopt to effect any such merger, consolidation, reorganization or transfer of assets.</w:t>
      </w:r>
    </w:p>
    <w:p>
      <w:pPr>
        <w:spacing w:after="0" w:line="132" w:lineRule="exact"/>
        <w:rPr>
          <w:sz w:val="20"/>
          <w:szCs w:val="20"/>
          <w:color w:val="auto"/>
        </w:rPr>
      </w:pPr>
    </w:p>
    <w:p>
      <w:pPr>
        <w:jc w:val="both"/>
        <w:ind w:right="20" w:firstLine="1492"/>
        <w:spacing w:after="0" w:line="306" w:lineRule="auto"/>
        <w:tabs>
          <w:tab w:leader="none" w:pos="173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Indian Subsidiary or the Company without Cause, all Awards held by such Senior Participant, irrespective of the vesting schedule, shall become fully vested and immediately exercisable and, if applicable, the Restricted Period shall end at the time of such termination.</w:t>
      </w:r>
    </w:p>
    <w:p>
      <w:pPr>
        <w:spacing w:after="0" w:line="106" w:lineRule="exact"/>
        <w:rPr>
          <w:rFonts w:ascii="Arial" w:cs="Arial" w:eastAsia="Arial" w:hAnsi="Arial"/>
          <w:sz w:val="16"/>
          <w:szCs w:val="16"/>
          <w:color w:val="auto"/>
        </w:rPr>
      </w:pPr>
    </w:p>
    <w:p>
      <w:pPr>
        <w:jc w:val="both"/>
        <w:ind w:firstLine="1492"/>
        <w:spacing w:after="0" w:line="306" w:lineRule="auto"/>
        <w:tabs>
          <w:tab w:leader="none" w:pos="172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Upon a Change in Control the vesting and exercisability of all Awards outstanding under the Sub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81" w:lineRule="exact"/>
        <w:rPr>
          <w:rFonts w:ascii="Arial" w:cs="Arial" w:eastAsia="Arial" w:hAnsi="Arial"/>
          <w:sz w:val="16"/>
          <w:szCs w:val="16"/>
          <w:color w:val="auto"/>
        </w:rPr>
      </w:pPr>
    </w:p>
    <w:p>
      <w:pPr>
        <w:ind w:left="1180" w:hanging="259"/>
        <w:spacing w:after="0"/>
        <w:tabs>
          <w:tab w:leader="none" w:pos="118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Nonexclusivity of the Sub Plan</w:t>
      </w:r>
    </w:p>
    <w:p>
      <w:pPr>
        <w:spacing w:after="0" w:line="96" w:lineRule="exact"/>
        <w:rPr>
          <w:sz w:val="20"/>
          <w:szCs w:val="20"/>
          <w:color w:val="auto"/>
        </w:rPr>
      </w:pPr>
    </w:p>
    <w:p>
      <w:pPr>
        <w:ind w:right="200" w:firstLine="913"/>
        <w:spacing w:after="0" w:line="335" w:lineRule="auto"/>
        <w:rPr>
          <w:sz w:val="20"/>
          <w:szCs w:val="20"/>
          <w:color w:val="auto"/>
        </w:rPr>
      </w:pPr>
      <w:r>
        <w:rPr>
          <w:rFonts w:ascii="Arial" w:cs="Arial" w:eastAsia="Arial" w:hAnsi="Arial"/>
          <w:sz w:val="15"/>
          <w:szCs w:val="15"/>
          <w:color w:val="auto"/>
        </w:rPr>
        <w:t>Neither the adoption of this Sub Plan by the Board nor the submission of this Sub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Sub Plan, and such arrangements may be either applicable generally or only in specific cases.</w:t>
      </w:r>
    </w:p>
    <w:p>
      <w:pPr>
        <w:spacing w:after="0" w:line="163" w:lineRule="exact"/>
        <w:rPr>
          <w:sz w:val="20"/>
          <w:szCs w:val="20"/>
          <w:color w:val="auto"/>
        </w:rPr>
      </w:pPr>
    </w:p>
    <w:p>
      <w:pPr>
        <w:ind w:left="1180" w:hanging="259"/>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6" w:lineRule="exact"/>
        <w:rPr>
          <w:rFonts w:ascii="Arial" w:cs="Arial" w:eastAsia="Arial" w:hAnsi="Arial"/>
          <w:sz w:val="18"/>
          <w:szCs w:val="18"/>
          <w:color w:val="auto"/>
        </w:rPr>
      </w:pPr>
    </w:p>
    <w:p>
      <w:pPr>
        <w:ind w:right="220" w:firstLine="1492"/>
        <w:spacing w:after="0" w:line="312" w:lineRule="auto"/>
        <w:tabs>
          <w:tab w:leader="none" w:pos="1722" w:val="left"/>
        </w:tabs>
        <w:numPr>
          <w:ilvl w:val="1"/>
          <w:numId w:val="233"/>
        </w:numPr>
        <w:rPr>
          <w:rFonts w:ascii="Arial" w:cs="Arial" w:eastAsia="Arial" w:hAnsi="Arial"/>
          <w:sz w:val="15"/>
          <w:szCs w:val="15"/>
          <w:color w:val="auto"/>
        </w:rPr>
      </w:pPr>
      <w:r>
        <w:rPr>
          <w:rFonts w:ascii="Arial" w:cs="Arial" w:eastAsia="Arial" w:hAnsi="Arial"/>
          <w:sz w:val="15"/>
          <w:szCs w:val="15"/>
          <w:color w:val="auto"/>
        </w:rPr>
        <w:t xml:space="preserve">The Board may suspend, discontinue, or terminate the Sub Plan or any portion thereof at any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suspension, discontinuation or termination shall be made without shareholder approval if such approval is necessary to comply with any tax or regulatory requirement applicable to the Sub Plan (including as necessary to comply with any applicable stock exchange listing requirement or to prevent the Company from being denied a tax deduction on account of Section 162(m) of the Code);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such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Sub Plan, following which no Awards may be granted hereunder, is April 19, 2016, </w:t>
      </w:r>
      <w:r>
        <w:rPr>
          <w:rFonts w:ascii="Arial" w:cs="Arial" w:eastAsia="Arial" w:hAnsi="Arial"/>
          <w:sz w:val="15"/>
          <w:szCs w:val="15"/>
          <w:u w:val="single" w:color="auto"/>
          <w:color w:val="auto"/>
        </w:rPr>
        <w:t>provided</w:t>
      </w:r>
      <w:r>
        <w:rPr>
          <w:rFonts w:ascii="Arial" w:cs="Arial" w:eastAsia="Arial" w:hAnsi="Arial"/>
          <w:sz w:val="15"/>
          <w:szCs w:val="15"/>
          <w:color w:val="auto"/>
        </w:rPr>
        <w:t>, that such termination shall not affect Awards then outstanding, and the terms and conditions of the Sub Plan shall continue to apply to such Awards.</w:t>
      </w:r>
    </w:p>
    <w:p>
      <w:pPr>
        <w:spacing w:after="0" w:line="99" w:lineRule="exact"/>
        <w:rPr>
          <w:rFonts w:ascii="Arial" w:cs="Arial" w:eastAsia="Arial" w:hAnsi="Arial"/>
          <w:sz w:val="15"/>
          <w:szCs w:val="15"/>
          <w:color w:val="auto"/>
        </w:rPr>
      </w:pPr>
    </w:p>
    <w:p>
      <w:pPr>
        <w:ind w:right="220" w:firstLine="1492"/>
        <w:spacing w:after="0" w:line="310" w:lineRule="auto"/>
        <w:tabs>
          <w:tab w:leader="none" w:pos="1732" w:val="left"/>
        </w:tabs>
        <w:numPr>
          <w:ilvl w:val="1"/>
          <w:numId w:val="233"/>
        </w:numPr>
        <w:rPr>
          <w:rFonts w:ascii="Arial" w:cs="Arial" w:eastAsia="Arial" w:hAnsi="Arial"/>
          <w:sz w:val="16"/>
          <w:szCs w:val="16"/>
          <w:color w:val="auto"/>
        </w:rPr>
      </w:pPr>
      <w:r>
        <w:rPr>
          <w:rFonts w:ascii="Arial" w:cs="Arial" w:eastAsia="Arial" w:hAnsi="Arial"/>
          <w:sz w:val="16"/>
          <w:szCs w:val="16"/>
          <w:b w:val="1"/>
          <w:bCs w:val="1"/>
          <w:color w:val="auto"/>
        </w:rPr>
        <w:t>Amendment of Award Agreements</w:t>
      </w:r>
      <w:r>
        <w:rPr>
          <w:rFonts w:ascii="Arial" w:cs="Arial" w:eastAsia="Arial" w:hAnsi="Arial"/>
          <w:sz w:val="16"/>
          <w:szCs w:val="16"/>
          <w:color w:val="auto"/>
        </w:rPr>
        <w:t>. The Committee may, to the extent consistent with the terms of any applicable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waive any conditions or rights under, amend any terms of, or alter, suspend, discontinue, cancel or terminate, any Award theretofore granted or the associated Award agreement, prospectively or retroactively; provided that any such waiver, amendment, alteration,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9" w:name="page300"/>
    <w:bookmarkEnd w:id="29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Stock is listed, if any.</w:t>
      </w:r>
    </w:p>
    <w:p>
      <w:pPr>
        <w:spacing w:after="0" w:line="112" w:lineRule="exact"/>
        <w:rPr>
          <w:sz w:val="20"/>
          <w:szCs w:val="20"/>
          <w:color w:val="auto"/>
        </w:rPr>
      </w:pPr>
    </w:p>
    <w:p>
      <w:pPr>
        <w:ind w:firstLine="1492"/>
        <w:spacing w:after="0" w:line="291" w:lineRule="auto"/>
        <w:tabs>
          <w:tab w:leader="none" w:pos="1722" w:val="left"/>
        </w:tabs>
        <w:numPr>
          <w:ilvl w:val="2"/>
          <w:numId w:val="234"/>
        </w:numPr>
        <w:rPr>
          <w:rFonts w:ascii="Arial" w:cs="Arial" w:eastAsia="Arial" w:hAnsi="Arial"/>
          <w:sz w:val="16"/>
          <w:szCs w:val="16"/>
          <w:color w:val="auto"/>
        </w:rPr>
      </w:pPr>
      <w:r>
        <w:rPr>
          <w:rFonts w:ascii="Arial" w:cs="Arial" w:eastAsia="Arial" w:hAnsi="Arial"/>
          <w:sz w:val="16"/>
          <w:szCs w:val="16"/>
          <w:b w:val="1"/>
          <w:bCs w:val="1"/>
          <w:color w:val="auto"/>
        </w:rPr>
        <w:t xml:space="preserve">Section 162(m) Reapproval. </w:t>
      </w:r>
      <w:r>
        <w:rPr>
          <w:rFonts w:ascii="Arial" w:cs="Arial" w:eastAsia="Arial" w:hAnsi="Arial"/>
          <w:sz w:val="16"/>
          <w:szCs w:val="16"/>
          <w:color w:val="auto"/>
        </w:rPr>
        <w:t>If so determined by the Committee, (i) the Sub Plan shall be approved by the stockholders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no later than the first meeting of stockholders at which directors are to be elected that occurs after the close of the third calendar year following the calendar year in which the Company’s initial public offering occurs, and (ii) the provisions of the Sub Plan regarding Performance Compensation Awards shall be disclosed and reapproved by stockholders of the Company no later than the first stockholder meeting that occurs in the fifth year following the year that stockholders previously approved such provisions following the Company’s initial public offering, in each case in order for certain Awards granted after such time to be exempt from the deduction limitations of Section 162(m) of the Code. Nothing in this Section 16(c), however, shall affect the validity of Awards granted after such time if such stockholder approval has not been obtained.</w:t>
      </w:r>
    </w:p>
    <w:p>
      <w:pPr>
        <w:spacing w:after="0" w:line="194" w:lineRule="exact"/>
        <w:rPr>
          <w:rFonts w:ascii="Arial" w:cs="Arial" w:eastAsia="Arial" w:hAnsi="Arial"/>
          <w:sz w:val="16"/>
          <w:szCs w:val="16"/>
          <w:color w:val="auto"/>
        </w:rPr>
      </w:pPr>
    </w:p>
    <w:p>
      <w:pPr>
        <w:ind w:left="280" w:hanging="272"/>
        <w:spacing w:after="0"/>
        <w:tabs>
          <w:tab w:leader="none" w:pos="2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b w:val="1"/>
          <w:bCs w:val="1"/>
          <w:color w:val="auto"/>
        </w:rPr>
      </w:pPr>
    </w:p>
    <w:p>
      <w:pPr>
        <w:ind w:left="920" w:firstLine="421"/>
        <w:spacing w:after="0" w:line="294" w:lineRule="auto"/>
        <w:tabs>
          <w:tab w:leader="none" w:pos="1549" w:val="left"/>
        </w:tabs>
        <w:numPr>
          <w:ilvl w:val="1"/>
          <w:numId w:val="235"/>
        </w:numPr>
        <w:rPr>
          <w:rFonts w:ascii="Arial" w:cs="Arial" w:eastAsia="Arial" w:hAnsi="Arial"/>
          <w:sz w:val="16"/>
          <w:szCs w:val="16"/>
          <w:color w:val="auto"/>
        </w:rPr>
      </w:pPr>
      <w:r>
        <w:rPr>
          <w:rFonts w:ascii="Arial" w:cs="Arial" w:eastAsia="Arial" w:hAnsi="Arial"/>
          <w:sz w:val="16"/>
          <w:szCs w:val="16"/>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Indian Subsidiary; provided that the designation of a beneficiary shall not constitute an assignment, alienation, pledge, attachment, sale, transfer or encumbrance.</w:t>
      </w:r>
    </w:p>
    <w:p>
      <w:pPr>
        <w:spacing w:after="0" w:line="34" w:lineRule="exact"/>
        <w:rPr>
          <w:rFonts w:ascii="Arial" w:cs="Arial" w:eastAsia="Arial" w:hAnsi="Arial"/>
          <w:sz w:val="16"/>
          <w:szCs w:val="16"/>
          <w:color w:val="auto"/>
        </w:rPr>
      </w:pPr>
    </w:p>
    <w:p>
      <w:pPr>
        <w:ind w:left="920" w:right="680" w:firstLine="421"/>
        <w:spacing w:after="0" w:line="268" w:lineRule="auto"/>
        <w:tabs>
          <w:tab w:leader="none" w:pos="159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00" w:name="page301"/>
    <w:bookmarkEnd w:id="30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adopt consistent with any applicable Award agreement to preserve the purposes of the Sub Plan, to:</w:t>
      </w:r>
    </w:p>
    <w:p>
      <w:pPr>
        <w:spacing w:after="0" w:line="90" w:lineRule="exact"/>
        <w:rPr>
          <w:sz w:val="20"/>
          <w:szCs w:val="20"/>
          <w:color w:val="auto"/>
        </w:rPr>
      </w:pPr>
    </w:p>
    <w:p>
      <w:pPr>
        <w:ind w:left="1920" w:right="680" w:hanging="440"/>
        <w:spacing w:after="0" w:line="268" w:lineRule="auto"/>
        <w:tabs>
          <w:tab w:leader="none" w:pos="19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1920" w:right="340" w:hanging="440"/>
        <w:spacing w:after="0" w:line="268" w:lineRule="auto"/>
        <w:tabs>
          <w:tab w:leader="none" w:pos="19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Participant and his or her Immediate Family Members; or</w:t>
      </w:r>
    </w:p>
    <w:p>
      <w:pPr>
        <w:spacing w:after="0" w:line="50" w:lineRule="exact"/>
        <w:rPr>
          <w:rFonts w:ascii="Arial" w:cs="Arial" w:eastAsia="Arial" w:hAnsi="Arial"/>
          <w:sz w:val="18"/>
          <w:szCs w:val="18"/>
          <w:color w:val="auto"/>
        </w:rPr>
      </w:pPr>
    </w:p>
    <w:p>
      <w:pPr>
        <w:ind w:left="1920" w:right="520" w:hanging="440"/>
        <w:spacing w:after="0" w:line="268" w:lineRule="auto"/>
        <w:tabs>
          <w:tab w:leader="none" w:pos="19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Award agreement;</w:t>
      </w:r>
    </w:p>
    <w:p>
      <w:pPr>
        <w:spacing w:after="0" w:line="51"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(each transferee described in clauses (A), (B), (C) and (D) above is hereinafter referred to as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Sub Plan.</w:t>
      </w:r>
    </w:p>
    <w:p>
      <w:pPr>
        <w:spacing w:after="0" w:line="14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Sub Plan or otherwise, and (D) the consequences of the termination of the Participant’s employment by, or services to, the Company or an Affiliate under the terms of the Sub Plan and the applicable Award agreement shall continue to be applied with respect to the Participant, including, without limitation, that an Option shall be exercisable by the Permitted Transferee only to the extent, and for the periods, specified in the Sub Plan and the applicable Award agreement.</w:t>
      </w:r>
    </w:p>
    <w:p>
      <w:pPr>
        <w:spacing w:after="0" w:line="123"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Notwithstanding the foregoing, any rules that the Committee may adopt permitting Options to be transferred by a Sub Plan Participant without consideration shall be consistent with applicable FEMA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01" w:name="page302"/>
    <w:bookmarkEnd w:id="301"/>
    <w:p>
      <w:pPr>
        <w:ind w:left="280" w:hanging="272"/>
        <w:spacing w:after="0"/>
        <w:tabs>
          <w:tab w:leader="none" w:pos="28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Qualification of Plan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It is intended that each Option to be issued to a Sub Plan Participant under this Sub Plan will qualify for beneficial tax treatment under the Act.</w:t>
      </w:r>
    </w:p>
    <w:p>
      <w:pPr>
        <w:spacing w:after="0" w:line="269" w:lineRule="exact"/>
        <w:rPr>
          <w:sz w:val="20"/>
          <w:szCs w:val="20"/>
          <w:color w:val="auto"/>
        </w:rPr>
      </w:pPr>
    </w:p>
    <w:p>
      <w:pPr>
        <w:ind w:left="280" w:hanging="272"/>
        <w:spacing w:after="0"/>
        <w:tabs>
          <w:tab w:leader="none" w:pos="28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Applicable Law; Severability</w:t>
      </w:r>
    </w:p>
    <w:p>
      <w:pPr>
        <w:spacing w:after="0" w:line="96" w:lineRule="exact"/>
        <w:rPr>
          <w:rFonts w:ascii="Arial" w:cs="Arial" w:eastAsia="Arial" w:hAnsi="Arial"/>
          <w:sz w:val="18"/>
          <w:szCs w:val="18"/>
          <w:color w:val="auto"/>
        </w:rPr>
      </w:pPr>
    </w:p>
    <w:p>
      <w:pPr>
        <w:ind w:right="160" w:firstLine="1492"/>
        <w:spacing w:after="0" w:line="256" w:lineRule="auto"/>
        <w:tabs>
          <w:tab w:leader="none" w:pos="172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This Sub Plan shall be governed by and construed in accordance with the internal laws of the State of New York without regard to the principles of conflicts of law thereof, or principles of conflicts of laws of any other jurisdiction which could cause the application of the laws of any jurisdiction other than the State of New York.. If any provision of this Sub Plan are held by a court of competent jurisdiction to be invalid or unenforceable, the remaining provisions of the Sub Plan will continue to be fully effective.</w:t>
      </w:r>
    </w:p>
    <w:p>
      <w:pPr>
        <w:spacing w:after="0" w:line="143" w:lineRule="exact"/>
        <w:rPr>
          <w:rFonts w:ascii="Arial" w:cs="Arial" w:eastAsia="Arial" w:hAnsi="Arial"/>
          <w:sz w:val="18"/>
          <w:szCs w:val="18"/>
          <w:color w:val="auto"/>
        </w:rPr>
      </w:pPr>
    </w:p>
    <w:p>
      <w:pPr>
        <w:ind w:firstLine="1492"/>
        <w:spacing w:after="0" w:line="268" w:lineRule="auto"/>
        <w:tabs>
          <w:tab w:leader="none" w:pos="173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Board shall exercise the powers granted to it under Section 14(a) of the Plan with respect to this Sub Plan only to the extent that such exercise would not be prohibited by Section 2 of the Guidelines.</w:t>
      </w:r>
    </w:p>
    <w:p>
      <w:pPr>
        <w:spacing w:after="0" w:line="294"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April 20,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2006 OMNIBUS INDIA SUB PLAN 2</w:t>
      </w:r>
    </w:p>
    <w:p>
      <w:pPr>
        <w:spacing w:after="0" w:line="199" w:lineRule="exact"/>
        <w:rPr>
          <w:sz w:val="20"/>
          <w:szCs w:val="20"/>
          <w:color w:val="auto"/>
        </w:rPr>
      </w:pPr>
    </w:p>
    <w:p>
      <w:pPr>
        <w:ind w:left="446" w:hanging="446"/>
        <w:spacing w:after="0"/>
        <w:tabs>
          <w:tab w:leader="none" w:pos="446"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rFonts w:ascii="Arial" w:cs="Arial" w:eastAsia="Arial" w:hAnsi="Arial"/>
          <w:sz w:val="18"/>
          <w:szCs w:val="18"/>
          <w:color w:val="auto"/>
        </w:rPr>
      </w:pPr>
    </w:p>
    <w:p>
      <w:pPr>
        <w:jc w:val="both"/>
        <w:ind w:left="6" w:right="300" w:firstLine="443"/>
        <w:spacing w:after="0" w:line="298" w:lineRule="auto"/>
        <w:tabs>
          <w:tab w:leader="none" w:pos="68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This Sub Plan is established as a sub plan of the ExlService Holdings, Inc. 2006 Omnibus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as of the Effective Date, subject to the shareholder and Indian Subsidiary approval requirements set forth in Section 3. This Sub Plan is established and shall be maintained in accordance with all terms and conditions of the Plan, except to the extent specifically provided otherwise herein. Capitalized terms used in the Sub Plan and not otherwise defined shall have the same meanings as such terms are given in the Plan.</w:t>
      </w:r>
    </w:p>
    <w:p>
      <w:pPr>
        <w:spacing w:after="0" w:line="31" w:lineRule="exact"/>
        <w:rPr>
          <w:rFonts w:ascii="Arial" w:cs="Arial" w:eastAsia="Arial" w:hAnsi="Arial"/>
          <w:sz w:val="16"/>
          <w:szCs w:val="16"/>
          <w:color w:val="auto"/>
        </w:rPr>
      </w:pPr>
    </w:p>
    <w:p>
      <w:pPr>
        <w:ind w:left="6" w:right="100" w:firstLine="443"/>
        <w:spacing w:after="0" w:line="298" w:lineRule="auto"/>
        <w:tabs>
          <w:tab w:leader="none" w:pos="69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purpose of the Sub Plan is to provide a means through which the Indian Subsidiaries may attract able persons to enter and remain in the employ of the Indian Subsidiaries and to provide a means whereby employees and directors of the Indian Subsidiaries can acquire and maintain Common Stock ownership, or be paid incentive compensation measured by reference to the value of Common Stock, thereby strengthening their commitment to the welfare of the Indian Subsidiaries and promoting an identity of interest between stockholders and these persons.</w:t>
      </w:r>
    </w:p>
    <w:p>
      <w:pPr>
        <w:spacing w:after="0" w:line="31" w:lineRule="exact"/>
        <w:rPr>
          <w:rFonts w:ascii="Arial" w:cs="Arial" w:eastAsia="Arial" w:hAnsi="Arial"/>
          <w:sz w:val="16"/>
          <w:szCs w:val="16"/>
          <w:color w:val="auto"/>
        </w:rPr>
      </w:pPr>
    </w:p>
    <w:p>
      <w:pPr>
        <w:ind w:left="6" w:right="80" w:firstLine="443"/>
        <w:spacing w:after="0" w:line="259" w:lineRule="auto"/>
        <w:tabs>
          <w:tab w:leader="none" w:pos="68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This is a sub plan of the Plan (“</w:t>
      </w:r>
      <w:r>
        <w:rPr>
          <w:rFonts w:ascii="Arial" w:cs="Arial" w:eastAsia="Arial" w:hAnsi="Arial"/>
          <w:sz w:val="18"/>
          <w:szCs w:val="18"/>
          <w:u w:val="single" w:color="auto"/>
          <w:color w:val="auto"/>
        </w:rPr>
        <w:t>Sub Plan</w:t>
      </w:r>
      <w:r>
        <w:rPr>
          <w:rFonts w:ascii="Arial" w:cs="Arial" w:eastAsia="Arial" w:hAnsi="Arial"/>
          <w:sz w:val="18"/>
          <w:szCs w:val="18"/>
          <w:color w:val="auto"/>
        </w:rPr>
        <w:t>”) that permits offerings of grants to employees and directors of Indian Subsidiaries. The Sub Plan shall be a separate and independent plan from the Plan, but the total number of shares of Stock authorized to be issued under the Plan applies in the aggregate to both the Plan and the Sub Plans.</w:t>
      </w:r>
    </w:p>
    <w:p>
      <w:pPr>
        <w:spacing w:after="0" w:line="59" w:lineRule="exact"/>
        <w:rPr>
          <w:rFonts w:ascii="Arial" w:cs="Arial" w:eastAsia="Arial" w:hAnsi="Arial"/>
          <w:sz w:val="18"/>
          <w:szCs w:val="18"/>
          <w:color w:val="auto"/>
        </w:rPr>
      </w:pPr>
    </w:p>
    <w:p>
      <w:pPr>
        <w:ind w:left="6" w:right="40" w:firstLine="443"/>
        <w:spacing w:after="0" w:line="259" w:lineRule="auto"/>
        <w:tabs>
          <w:tab w:leader="none" w:pos="69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So that the appropriate incentive can be provided, the Sub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174" w:lineRule="exact"/>
        <w:rPr>
          <w:rFonts w:ascii="Arial" w:cs="Arial" w:eastAsia="Arial" w:hAnsi="Arial"/>
          <w:sz w:val="18"/>
          <w:szCs w:val="18"/>
          <w:color w:val="auto"/>
        </w:rPr>
      </w:pPr>
    </w:p>
    <w:p>
      <w:pPr>
        <w:ind w:left="446" w:hanging="446"/>
        <w:spacing w:after="0"/>
        <w:tabs>
          <w:tab w:leader="none" w:pos="446"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definitions shall be applicable throughout the Sub Plan.</w:t>
      </w:r>
    </w:p>
    <w:p>
      <w:pPr>
        <w:spacing w:after="0" w:line="90" w:lineRule="exact"/>
        <w:rPr>
          <w:sz w:val="20"/>
          <w:szCs w:val="20"/>
          <w:color w:val="auto"/>
        </w:rPr>
      </w:pPr>
    </w:p>
    <w:p>
      <w:pPr>
        <w:ind w:left="686" w:hanging="237"/>
        <w:spacing w:after="0"/>
        <w:tabs>
          <w:tab w:leader="none" w:pos="68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means the Indian Income Tax Act, 1961 as amended, and any applicable regulations or notifications promulgated thereunder.</w:t>
      </w:r>
    </w:p>
    <w:p>
      <w:pPr>
        <w:spacing w:after="0" w:line="113" w:lineRule="exact"/>
        <w:rPr>
          <w:rFonts w:ascii="Arial" w:cs="Arial" w:eastAsia="Arial" w:hAnsi="Arial"/>
          <w:sz w:val="16"/>
          <w:szCs w:val="16"/>
          <w:color w:val="auto"/>
        </w:rPr>
      </w:pPr>
    </w:p>
    <w:p>
      <w:pPr>
        <w:ind w:left="6" w:firstLine="443"/>
        <w:spacing w:after="0" w:line="332" w:lineRule="auto"/>
        <w:tabs>
          <w:tab w:leader="none" w:pos="69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any Incentive Stock Option, Nonqualified Stock Option, Stock Appreciation Right, Restricted Stock, Restricted Stock Unit, Phantom Stock Award, Stock Bonus or Performance Compensation Award granted under the Sub Plan.</w:t>
      </w:r>
    </w:p>
    <w:p>
      <w:pPr>
        <w:spacing w:after="0" w:line="4" w:lineRule="exact"/>
        <w:rPr>
          <w:rFonts w:ascii="Arial" w:cs="Arial" w:eastAsia="Arial" w:hAnsi="Arial"/>
          <w:sz w:val="16"/>
          <w:szCs w:val="16"/>
          <w:color w:val="auto"/>
        </w:rPr>
      </w:pPr>
    </w:p>
    <w:p>
      <w:pPr>
        <w:ind w:left="686" w:hanging="237"/>
        <w:spacing w:after="0"/>
        <w:tabs>
          <w:tab w:leader="none" w:pos="68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0966"/>
          </w:cols>
          <w:pgMar w:left="694" w:top="125" w:right="239" w:bottom="1440" w:gutter="0" w:footer="0" w:header="0"/>
        </w:sectPr>
      </w:pPr>
    </w:p>
    <w:bookmarkStart w:id="303" w:name="page304"/>
    <w:bookmarkEnd w:id="303"/>
    <w:p>
      <w:pPr>
        <w:ind w:right="100" w:firstLine="443"/>
        <w:spacing w:after="0" w:line="268" w:lineRule="auto"/>
        <w:tabs>
          <w:tab w:leader="none" w:pos="687"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in the Plan to any section of the Code shall be deemed to include any amendments or successor provisions to such section and any regulations under such section.</w:t>
      </w:r>
    </w:p>
    <w:p>
      <w:pPr>
        <w:spacing w:after="0" w:line="50" w:lineRule="exact"/>
        <w:rPr>
          <w:rFonts w:ascii="Arial" w:cs="Arial" w:eastAsia="Arial" w:hAnsi="Arial"/>
          <w:sz w:val="18"/>
          <w:szCs w:val="18"/>
          <w:color w:val="auto"/>
        </w:rPr>
      </w:pPr>
    </w:p>
    <w:p>
      <w:pPr>
        <w:ind w:right="320" w:firstLine="443"/>
        <w:spacing w:after="0" w:line="255" w:lineRule="auto"/>
        <w:tabs>
          <w:tab w:leader="none" w:pos="67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at least two people as the Board may appoint to administer the Plan or, if no such committee has been appointed by the Board, the Board. Unless the Board is acting as the Committee or the Board specifically determines otherwise, each member of the Committee shall, at the time he takes any action with respect to an Award under the Plan, be an Eligible Director. However, the fact that a Committee member shall fail to qualify as an Eligible Director shall not invalidate any Award granted by the Committee which Award is otherwise validly granted under the Plan.</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ExlService Holdings, Inc. and any successor thereto.</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September 29, 2006.</w:t>
      </w:r>
    </w:p>
    <w:p>
      <w:pPr>
        <w:spacing w:after="0" w:line="90" w:lineRule="exact"/>
        <w:rPr>
          <w:rFonts w:ascii="Arial" w:cs="Arial" w:eastAsia="Arial" w:hAnsi="Arial"/>
          <w:sz w:val="18"/>
          <w:szCs w:val="18"/>
          <w:color w:val="auto"/>
        </w:rPr>
      </w:pPr>
    </w:p>
    <w:p>
      <w:pPr>
        <w:ind w:firstLine="443"/>
        <w:spacing w:after="0" w:line="289" w:lineRule="auto"/>
        <w:tabs>
          <w:tab w:leader="none" w:pos="68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on a given date, means (i) if the Stock is listed on a national securities exchange, the average of the highest and lowest sale prices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with reference to the annual accounts of the Company for the immediately preceding three years and the price at which shares of the Company’s outstanding capital stock have been previously issued by the Company.</w:t>
      </w:r>
    </w:p>
    <w:p>
      <w:pPr>
        <w:spacing w:after="0" w:line="37" w:lineRule="exact"/>
        <w:rPr>
          <w:rFonts w:ascii="Arial" w:cs="Arial" w:eastAsia="Arial" w:hAnsi="Arial"/>
          <w:sz w:val="16"/>
          <w:szCs w:val="16"/>
          <w:color w:val="auto"/>
        </w:rPr>
      </w:pPr>
    </w:p>
    <w:p>
      <w:pPr>
        <w:ind w:left="660" w:hanging="217"/>
        <w:spacing w:after="0"/>
        <w:tabs>
          <w:tab w:leader="none" w:pos="6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FEMA</w:t>
      </w:r>
      <w:r>
        <w:rPr>
          <w:rFonts w:ascii="Arial" w:cs="Arial" w:eastAsia="Arial" w:hAnsi="Arial"/>
          <w:sz w:val="16"/>
          <w:szCs w:val="16"/>
          <w:color w:val="auto"/>
        </w:rPr>
        <w:t>” means the Indian Foreign Exchange Management Act, 1999 as amended, and the rules and regulations promulgated thereunder.</w:t>
      </w:r>
    </w:p>
    <w:p>
      <w:pPr>
        <w:spacing w:after="0" w:line="113" w:lineRule="exact"/>
        <w:rPr>
          <w:rFonts w:ascii="Arial" w:cs="Arial" w:eastAsia="Arial" w:hAnsi="Arial"/>
          <w:sz w:val="16"/>
          <w:szCs w:val="16"/>
          <w:color w:val="auto"/>
        </w:rPr>
      </w:pPr>
    </w:p>
    <w:p>
      <w:pPr>
        <w:ind w:left="660" w:hanging="217"/>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Guidelines</w:t>
      </w:r>
      <w:r>
        <w:rPr>
          <w:rFonts w:ascii="Arial" w:cs="Arial" w:eastAsia="Arial" w:hAnsi="Arial"/>
          <w:sz w:val="18"/>
          <w:szCs w:val="18"/>
          <w:color w:val="auto"/>
        </w:rPr>
        <w:t>” means the Employee Stock Option Guidelines issued by the Ministry of Finance of the Government of India.</w:t>
      </w:r>
    </w:p>
    <w:p>
      <w:pPr>
        <w:spacing w:after="0" w:line="90"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granted by the Committee to a Participant under the Plan which is designated by the Committee as an incentive stock option as described in Section 422 of the Code and otherwise meets the requirements set forth herein.</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Indian Subsidiary</w:t>
      </w:r>
      <w:r>
        <w:rPr>
          <w:rFonts w:ascii="Arial" w:cs="Arial" w:eastAsia="Arial" w:hAnsi="Arial"/>
          <w:sz w:val="16"/>
          <w:szCs w:val="16"/>
          <w:color w:val="auto"/>
        </w:rPr>
        <w:t>” means, each Subsidiary that is either (i) headquartered in the Republic of India or (ii) employs or retains a person who is</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“resident” in India, in accordance with the Act. All such Subsidiaries are collectively referred to as the “</w:t>
      </w:r>
      <w:r>
        <w:rPr>
          <w:rFonts w:ascii="Arial" w:cs="Arial" w:eastAsia="Arial" w:hAnsi="Arial"/>
          <w:sz w:val="18"/>
          <w:szCs w:val="18"/>
          <w:u w:val="single" w:color="auto"/>
          <w:color w:val="auto"/>
        </w:rPr>
        <w:t>Indian Subsidiaries</w:t>
      </w:r>
      <w:r>
        <w:rPr>
          <w:rFonts w:ascii="Arial" w:cs="Arial" w:eastAsia="Arial" w:hAnsi="Arial"/>
          <w:sz w:val="18"/>
          <w:szCs w:val="18"/>
          <w:color w:val="auto"/>
        </w:rPr>
        <w:t>”.</w:t>
      </w:r>
    </w:p>
    <w:p>
      <w:pPr>
        <w:spacing w:after="0" w:line="90" w:lineRule="exact"/>
        <w:rPr>
          <w:sz w:val="20"/>
          <w:szCs w:val="20"/>
          <w:color w:val="auto"/>
        </w:rPr>
      </w:pPr>
    </w:p>
    <w:p>
      <w:pPr>
        <w:ind w:right="700" w:firstLine="443"/>
        <w:spacing w:after="0" w:line="268" w:lineRule="auto"/>
        <w:tabs>
          <w:tab w:leader="none" w:pos="73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granted by the Committee to a Participant under the Plan which is not designated by the Committee as an Incentive Stock Option.</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Sub Plan.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means the period described in Section 7(c) of the Sub Plan.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exercise price for an Option as described in Section 7(a) of the Sub Plan.</w:t>
      </w:r>
    </w:p>
    <w:p>
      <w:pPr>
        <w:spacing w:after="0" w:line="90" w:lineRule="exact"/>
        <w:rPr>
          <w:rFonts w:ascii="Arial" w:cs="Arial" w:eastAsia="Arial" w:hAnsi="Arial"/>
          <w:sz w:val="18"/>
          <w:szCs w:val="18"/>
          <w:color w:val="auto"/>
        </w:rPr>
      </w:pPr>
    </w:p>
    <w:p>
      <w:pPr>
        <w:ind w:right="200" w:firstLine="443"/>
        <w:spacing w:after="0" w:line="268" w:lineRule="auto"/>
        <w:tabs>
          <w:tab w:leader="none" w:pos="68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Sub Plan Eligible Person who has been selected by the Committee to participate in the Sub Plan and to receive an Award pursuant to Section 6 of the Sub Plan.</w:t>
      </w:r>
    </w:p>
    <w:p>
      <w:pPr>
        <w:spacing w:after="0" w:line="50" w:lineRule="exact"/>
        <w:rPr>
          <w:rFonts w:ascii="Arial" w:cs="Arial" w:eastAsia="Arial" w:hAnsi="Arial"/>
          <w:sz w:val="18"/>
          <w:szCs w:val="18"/>
          <w:color w:val="auto"/>
        </w:rPr>
      </w:pPr>
    </w:p>
    <w:p>
      <w:pPr>
        <w:ind w:right="320" w:firstLine="443"/>
        <w:spacing w:after="0" w:line="268" w:lineRule="auto"/>
        <w:tabs>
          <w:tab w:leader="none" w:pos="65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Compensation Award</w:t>
      </w:r>
      <w:r>
        <w:rPr>
          <w:rFonts w:ascii="Arial" w:cs="Arial" w:eastAsia="Arial" w:hAnsi="Arial"/>
          <w:sz w:val="18"/>
          <w:szCs w:val="18"/>
          <w:color w:val="auto"/>
        </w:rPr>
        <w:t>” shall mean any Award designated by the Committee as a Performance Compensation Award pursuant to Section 11 of the Plan.</w:t>
      </w:r>
    </w:p>
    <w:p>
      <w:pPr>
        <w:spacing w:after="0" w:line="50" w:lineRule="exact"/>
        <w:rPr>
          <w:rFonts w:ascii="Arial" w:cs="Arial" w:eastAsia="Arial" w:hAnsi="Arial"/>
          <w:sz w:val="18"/>
          <w:szCs w:val="18"/>
          <w:color w:val="auto"/>
        </w:rPr>
      </w:pPr>
    </w:p>
    <w:p>
      <w:pPr>
        <w:ind w:firstLine="443"/>
        <w:spacing w:after="0" w:line="256" w:lineRule="auto"/>
        <w:tabs>
          <w:tab w:leader="none" w:pos="66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Indian Subsidiaries, division or operational unit of the Company) and shall be limited to the following:</w:t>
      </w:r>
    </w:p>
    <w:p>
      <w:pPr>
        <w:spacing w:after="0" w:line="62"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9" w:right="259" w:bottom="1440" w:gutter="0" w:footer="0" w:header="0"/>
        </w:sectPr>
      </w:pPr>
    </w:p>
    <w:bookmarkStart w:id="305" w:name="page306"/>
    <w:bookmarkEnd w:id="305"/>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gross or operating margins;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680" w:hanging="565"/>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90"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Any one or more of the Performance Criteria may be used on an absolute or relative basis to measure the performance of the Company and/or an Indian Subsidiary as a whole or any business unit of the Company and/or an Indian Subsidiary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(xi) above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42" w:lineRule="exact"/>
        <w:rPr>
          <w:sz w:val="20"/>
          <w:szCs w:val="20"/>
          <w:color w:val="auto"/>
        </w:rPr>
      </w:pPr>
    </w:p>
    <w:p>
      <w:pPr>
        <w:ind w:right="60" w:firstLine="443"/>
        <w:spacing w:after="0" w:line="259" w:lineRule="auto"/>
        <w:tabs>
          <w:tab w:leader="none" w:pos="64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Formula</w:t>
      </w:r>
      <w:r>
        <w:rPr>
          <w:rFonts w:ascii="Arial" w:cs="Arial" w:eastAsia="Arial" w:hAnsi="Arial"/>
          <w:sz w:val="18"/>
          <w:szCs w:val="18"/>
          <w:color w:val="auto"/>
        </w:rPr>
        <w:t>”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59" w:lineRule="exact"/>
        <w:rPr>
          <w:rFonts w:ascii="Arial" w:cs="Arial" w:eastAsia="Arial" w:hAnsi="Arial"/>
          <w:sz w:val="18"/>
          <w:szCs w:val="18"/>
          <w:color w:val="auto"/>
        </w:rPr>
      </w:pPr>
    </w:p>
    <w:p>
      <w:pPr>
        <w:ind w:right="260" w:firstLine="443"/>
        <w:spacing w:after="0" w:line="306" w:lineRule="auto"/>
        <w:tabs>
          <w:tab w:leader="none" w:pos="68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the one or more goals established by the Committee for the Performance Period based upon the Performance Criteria. The Committee is authorized at any time during the first 90 days of a Performance Period (or, if longer or shorter, within the maximum period allowed under Section 162(m) of the Code), or at any time thereafter (but only to the</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700" w:top="279" w:right="299" w:bottom="1440" w:gutter="0" w:footer="0" w:header="0"/>
        </w:sectPr>
      </w:pPr>
    </w:p>
    <w:bookmarkStart w:id="306" w:name="page307"/>
    <w:bookmarkEnd w:id="306"/>
    <w:p>
      <w:pPr>
        <w:ind w:left="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32" w:lineRule="exact"/>
        <w:rPr>
          <w:sz w:val="20"/>
          <w:szCs w:val="20"/>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446" w:right="120" w:hanging="446"/>
        <w:spacing w:after="0" w:line="259" w:lineRule="auto"/>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90" w:lineRule="exact"/>
        <w:rPr>
          <w:rFonts w:ascii="Arial" w:cs="Arial" w:eastAsia="Arial" w:hAnsi="Arial"/>
          <w:sz w:val="18"/>
          <w:szCs w:val="18"/>
          <w:color w:val="auto"/>
        </w:rPr>
      </w:pPr>
    </w:p>
    <w:p>
      <w:pPr>
        <w:ind w:left="6" w:right="40" w:firstLine="443"/>
        <w:spacing w:after="0" w:line="259" w:lineRule="auto"/>
        <w:tabs>
          <w:tab w:leader="none" w:pos="693"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59" w:lineRule="exact"/>
        <w:rPr>
          <w:rFonts w:ascii="Arial" w:cs="Arial" w:eastAsia="Arial" w:hAnsi="Arial"/>
          <w:sz w:val="18"/>
          <w:szCs w:val="18"/>
          <w:color w:val="auto"/>
        </w:rPr>
      </w:pPr>
    </w:p>
    <w:p>
      <w:pPr>
        <w:ind w:left="6" w:right="180" w:firstLine="443"/>
        <w:spacing w:after="0" w:line="268" w:lineRule="auto"/>
        <w:tabs>
          <w:tab w:leader="none" w:pos="73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 Award</w:t>
      </w:r>
      <w:r>
        <w:rPr>
          <w:rFonts w:ascii="Arial" w:cs="Arial" w:eastAsia="Arial" w:hAnsi="Arial"/>
          <w:sz w:val="18"/>
          <w:szCs w:val="18"/>
          <w:color w:val="auto"/>
        </w:rPr>
        <w:t>” shall mean a cash award whose value is determined based on the change in the value of the Company Common Stock from the Effective Date.</w:t>
      </w:r>
    </w:p>
    <w:p>
      <w:pPr>
        <w:spacing w:after="0" w:line="50" w:lineRule="exact"/>
        <w:rPr>
          <w:rFonts w:ascii="Arial" w:cs="Arial" w:eastAsia="Arial" w:hAnsi="Arial"/>
          <w:sz w:val="18"/>
          <w:szCs w:val="18"/>
          <w:color w:val="auto"/>
        </w:rPr>
      </w:pPr>
    </w:p>
    <w:p>
      <w:pPr>
        <w:ind w:left="6" w:right="40" w:firstLine="443"/>
        <w:spacing w:after="0" w:line="255" w:lineRule="auto"/>
        <w:tabs>
          <w:tab w:leader="none" w:pos="693"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Promoter</w:t>
      </w:r>
      <w:r>
        <w:rPr>
          <w:rFonts w:ascii="Arial" w:cs="Arial" w:eastAsia="Arial" w:hAnsi="Arial"/>
          <w:sz w:val="18"/>
          <w:szCs w:val="18"/>
          <w:color w:val="auto"/>
        </w:rPr>
        <w:t xml:space="preserve">” means the person or persons who are in over-all control of the Company, who are instrumental in the formation of the Company or program pursuant to which shares of Stock were offered to the public, or the person or persons named in the offer document as promoter(s);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director or officer of the Company or an Indian Subsidiary, if he is acting as such only in his professional capacity will not be deemed to be a promoter. Where a promoter of the Company is a body corporate, the promoters of that body corporate shall also be deemed to be promoters of the Company.</w:t>
      </w:r>
    </w:p>
    <w:p>
      <w:pPr>
        <w:spacing w:after="0" w:line="12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307" w:name="page308"/>
    <w:bookmarkEnd w:id="307"/>
    <w:p>
      <w:pPr>
        <w:ind w:right="40" w:firstLine="443"/>
        <w:spacing w:after="0" w:line="332" w:lineRule="auto"/>
        <w:tabs>
          <w:tab w:leader="none" w:pos="687" w:val="left"/>
        </w:tabs>
        <w:numPr>
          <w:ilvl w:val="0"/>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Promoter Group</w:t>
      </w:r>
      <w:r>
        <w:rPr>
          <w:rFonts w:ascii="Arial" w:cs="Arial" w:eastAsia="Arial" w:hAnsi="Arial"/>
          <w:sz w:val="16"/>
          <w:szCs w:val="16"/>
          <w:color w:val="auto"/>
        </w:rPr>
        <w:t>” means an immediate relative of the Promoter (</w:t>
      </w:r>
      <w:r>
        <w:rPr>
          <w:rFonts w:ascii="Arial" w:cs="Arial" w:eastAsia="Arial" w:hAnsi="Arial"/>
          <w:sz w:val="16"/>
          <w:szCs w:val="16"/>
          <w:u w:val="single" w:color="auto"/>
          <w:color w:val="auto"/>
        </w:rPr>
        <w:t>i.e</w:t>
      </w:r>
      <w:r>
        <w:rPr>
          <w:rFonts w:ascii="Arial" w:cs="Arial" w:eastAsia="Arial" w:hAnsi="Arial"/>
          <w:sz w:val="16"/>
          <w:szCs w:val="16"/>
          <w:color w:val="auto"/>
        </w:rPr>
        <w:t>. spouse of that person, or any parent, brother, sister or child of the person or of the spouse); persons whose shareholding is aggregated for the purpose of disclosing in the offer document “shareholding of the promoter group”.</w:t>
      </w:r>
    </w:p>
    <w:p>
      <w:pPr>
        <w:spacing w:after="0" w:line="4" w:lineRule="exact"/>
        <w:rPr>
          <w:rFonts w:ascii="Arial" w:cs="Arial" w:eastAsia="Arial" w:hAnsi="Arial"/>
          <w:sz w:val="16"/>
          <w:szCs w:val="16"/>
          <w:color w:val="auto"/>
        </w:rPr>
      </w:pPr>
    </w:p>
    <w:p>
      <w:pPr>
        <w:ind w:right="200" w:firstLine="443"/>
        <w:spacing w:after="0" w:line="259" w:lineRule="auto"/>
        <w:tabs>
          <w:tab w:leader="none" w:pos="67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59" w:lineRule="exact"/>
        <w:rPr>
          <w:sz w:val="20"/>
          <w:szCs w:val="20"/>
          <w:color w:val="auto"/>
        </w:rPr>
      </w:pPr>
    </w:p>
    <w:p>
      <w:pPr>
        <w:ind w:right="600" w:firstLine="443"/>
        <w:spacing w:after="0" w:line="332" w:lineRule="auto"/>
        <w:tabs>
          <w:tab w:leader="none" w:pos="75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of Stock issued or transferred to a Participant subject to forfeiture and the other restrictions set forth in Section 9 of the Sub Plan.</w:t>
      </w:r>
    </w:p>
    <w:p>
      <w:pPr>
        <w:spacing w:after="0" w:line="4" w:lineRule="exact"/>
        <w:rPr>
          <w:rFonts w:ascii="Arial" w:cs="Arial" w:eastAsia="Arial" w:hAnsi="Arial"/>
          <w:sz w:val="16"/>
          <w:szCs w:val="16"/>
          <w:color w:val="auto"/>
        </w:rPr>
      </w:pPr>
    </w:p>
    <w:p>
      <w:pPr>
        <w:ind w:left="780" w:hanging="337"/>
        <w:spacing w:after="0"/>
        <w:tabs>
          <w:tab w:leader="none" w:pos="78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hypothetical investment equivalent to one share of Stock granted in connection with an Award made under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w:t>
      </w:r>
    </w:p>
    <w:p>
      <w:pPr>
        <w:spacing w:after="0" w:line="83" w:lineRule="exact"/>
        <w:rPr>
          <w:rFonts w:ascii="Arial" w:cs="Arial" w:eastAsia="Arial" w:hAnsi="Arial"/>
          <w:sz w:val="16"/>
          <w:szCs w:val="16"/>
          <w:color w:val="auto"/>
        </w:rPr>
      </w:pPr>
    </w:p>
    <w:p>
      <w:pPr>
        <w:ind w:right="80" w:firstLine="443"/>
        <w:spacing w:after="0" w:line="268" w:lineRule="auto"/>
        <w:tabs>
          <w:tab w:leader="none" w:pos="75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Common Stock or such other authorized shares of stock of the Company as the Committee may from time to time authorize for use under the Plan.</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Sub Plan.</w:t>
      </w:r>
    </w:p>
    <w:p>
      <w:pPr>
        <w:spacing w:after="0" w:line="90" w:lineRule="exact"/>
        <w:rPr>
          <w:rFonts w:ascii="Arial" w:cs="Arial" w:eastAsia="Arial" w:hAnsi="Arial"/>
          <w:sz w:val="18"/>
          <w:szCs w:val="18"/>
          <w:color w:val="auto"/>
        </w:rPr>
      </w:pPr>
    </w:p>
    <w:p>
      <w:pPr>
        <w:ind w:left="760" w:hanging="317"/>
        <w:spacing w:after="0"/>
        <w:tabs>
          <w:tab w:leader="none" w:pos="7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Bonus</w:t>
      </w:r>
      <w:r>
        <w:rPr>
          <w:rFonts w:ascii="Arial" w:cs="Arial" w:eastAsia="Arial" w:hAnsi="Arial"/>
          <w:sz w:val="16"/>
          <w:szCs w:val="16"/>
          <w:color w:val="auto"/>
        </w:rPr>
        <w:t>” means an Award granted under Section 10 of the Sub Plan 2.</w:t>
      </w:r>
    </w:p>
    <w:p>
      <w:pPr>
        <w:spacing w:after="0" w:line="113" w:lineRule="exact"/>
        <w:rPr>
          <w:rFonts w:ascii="Arial" w:cs="Arial" w:eastAsia="Arial" w:hAnsi="Arial"/>
          <w:sz w:val="16"/>
          <w:szCs w:val="16"/>
          <w:color w:val="auto"/>
        </w:rPr>
      </w:pPr>
    </w:p>
    <w:p>
      <w:pPr>
        <w:ind w:firstLine="443"/>
        <w:spacing w:after="0" w:line="268" w:lineRule="auto"/>
        <w:tabs>
          <w:tab w:leader="none" w:pos="71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means any agreement between the Company and a Participant who has been granted an Option pursuant to Section 7 which defines the rights and obligations of the parties thereto.</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 Plan</w:t>
      </w:r>
      <w:r>
        <w:rPr>
          <w:rFonts w:ascii="Arial" w:cs="Arial" w:eastAsia="Arial" w:hAnsi="Arial"/>
          <w:sz w:val="18"/>
          <w:szCs w:val="18"/>
          <w:color w:val="auto"/>
        </w:rPr>
        <w:t>” means this ExlService Holdings, Inc. 2006 Omnibus India Sub Plan 2.</w:t>
      </w:r>
    </w:p>
    <w:p>
      <w:pPr>
        <w:spacing w:after="0" w:line="90" w:lineRule="exact"/>
        <w:rPr>
          <w:rFonts w:ascii="Arial" w:cs="Arial" w:eastAsia="Arial" w:hAnsi="Arial"/>
          <w:sz w:val="18"/>
          <w:szCs w:val="18"/>
          <w:color w:val="auto"/>
        </w:rPr>
      </w:pPr>
    </w:p>
    <w:p>
      <w:pPr>
        <w:ind w:right="300" w:firstLine="443"/>
        <w:spacing w:after="0" w:line="306" w:lineRule="auto"/>
        <w:tabs>
          <w:tab w:leader="none" w:pos="77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 Plan Eligible Person</w:t>
      </w:r>
      <w:r>
        <w:rPr>
          <w:rFonts w:ascii="Arial" w:cs="Arial" w:eastAsia="Arial" w:hAnsi="Arial"/>
          <w:sz w:val="16"/>
          <w:szCs w:val="16"/>
          <w:color w:val="auto"/>
        </w:rPr>
        <w:t xml:space="preserve">” means any employee or director of an Indian Subsidiary who is “resident” in India, in accordance with the provisions of FEMA,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(i) a Promoter, (ii) a member of the Promoter Group, or (iii) a director who either by himself or through his relative or through any body corporate, directly or indirectly holds more than ten percent (10%) of the issued share capital of the Company.</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 Plan Participant</w:t>
      </w:r>
      <w:r>
        <w:rPr>
          <w:rFonts w:ascii="Arial" w:cs="Arial" w:eastAsia="Arial" w:hAnsi="Arial"/>
          <w:sz w:val="16"/>
          <w:szCs w:val="16"/>
          <w:color w:val="auto"/>
        </w:rPr>
        <w:t>” means a Sub Plan Eligible Person who has been selected by the Committee pursuant to subsection 3(b) of the Sub Plan.</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at the time of reference, a “subsidiary” of the Company as that term is then defined under the Indian Companies Act, 1956.</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700" w:top="279" w:right="319" w:bottom="1440" w:gutter="0" w:footer="0" w:header="0"/>
        </w:sectPr>
      </w:pPr>
    </w:p>
    <w:bookmarkStart w:id="308" w:name="page309"/>
    <w:bookmarkEnd w:id="308"/>
    <w:p>
      <w:pPr>
        <w:ind w:left="786" w:hanging="337"/>
        <w:spacing w:after="0"/>
        <w:tabs>
          <w:tab w:leader="none" w:pos="786" w:val="left"/>
        </w:tabs>
        <w:numPr>
          <w:ilvl w:val="2"/>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Vested Unit</w:t>
      </w:r>
      <w:r>
        <w:rPr>
          <w:rFonts w:ascii="Arial" w:cs="Arial" w:eastAsia="Arial" w:hAnsi="Arial"/>
          <w:sz w:val="18"/>
          <w:szCs w:val="18"/>
          <w:color w:val="auto"/>
        </w:rPr>
        <w:t>” shall have the meaning ascribed thereto in Section 9(d).</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Effective Date, Duration and Shareholder Approval</w:t>
      </w:r>
    </w:p>
    <w:p>
      <w:pPr>
        <w:spacing w:after="0" w:line="96" w:lineRule="exact"/>
        <w:rPr>
          <w:rFonts w:ascii="Arial" w:cs="Arial" w:eastAsia="Arial" w:hAnsi="Arial"/>
          <w:sz w:val="18"/>
          <w:szCs w:val="18"/>
          <w:color w:val="auto"/>
        </w:rPr>
      </w:pPr>
    </w:p>
    <w:p>
      <w:pPr>
        <w:ind w:left="686" w:hanging="237"/>
        <w:spacing w:after="0"/>
        <w:tabs>
          <w:tab w:leader="none" w:pos="686" w:val="left"/>
        </w:tabs>
        <w:numPr>
          <w:ilvl w:val="2"/>
          <w:numId w:val="250"/>
        </w:numPr>
        <w:rPr>
          <w:rFonts w:ascii="Arial" w:cs="Arial" w:eastAsia="Arial" w:hAnsi="Arial"/>
          <w:sz w:val="16"/>
          <w:szCs w:val="16"/>
          <w:color w:val="auto"/>
        </w:rPr>
      </w:pPr>
      <w:r>
        <w:rPr>
          <w:rFonts w:ascii="Arial" w:cs="Arial" w:eastAsia="Arial" w:hAnsi="Arial"/>
          <w:sz w:val="16"/>
          <w:szCs w:val="16"/>
          <w:color w:val="auto"/>
        </w:rPr>
        <w:t>No Award granted under the Sub Plan will be vested or exercisable until (i) a majority of the shareholders of the Company approve the Plan and</w:t>
      </w:r>
    </w:p>
    <w:p>
      <w:pPr>
        <w:spacing w:after="0" w:line="38" w:lineRule="exact"/>
        <w:rPr>
          <w:rFonts w:ascii="Arial" w:cs="Arial" w:eastAsia="Arial" w:hAnsi="Arial"/>
          <w:sz w:val="16"/>
          <w:szCs w:val="16"/>
          <w:color w:val="auto"/>
        </w:rPr>
      </w:pPr>
    </w:p>
    <w:p>
      <w:pPr>
        <w:ind w:left="6" w:right="180" w:firstLine="4"/>
        <w:spacing w:after="0" w:line="255" w:lineRule="auto"/>
        <w:tabs>
          <w:tab w:leader="none" w:pos="265"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board of directors of each Indian Subsidiary accepts and adopts the Plan and the Sub Plan, whereupon all grants made under the Sub Plan shall be deemed to have been made at the behest and on behalf of such Indian Subsidiary and such Indian Subsidiary, in so far as the terms and conditions of the Plan apply to it, shall be bound by the terms and conditions thereof.</w:t>
      </w:r>
    </w:p>
    <w:p>
      <w:pPr>
        <w:spacing w:after="0" w:line="63" w:lineRule="exact"/>
        <w:rPr>
          <w:rFonts w:ascii="Arial" w:cs="Arial" w:eastAsia="Arial" w:hAnsi="Arial"/>
          <w:sz w:val="18"/>
          <w:szCs w:val="18"/>
          <w:color w:val="auto"/>
        </w:rPr>
      </w:pPr>
    </w:p>
    <w:p>
      <w:pPr>
        <w:ind w:left="6" w:firstLine="443"/>
        <w:spacing w:after="0" w:line="268" w:lineRule="auto"/>
        <w:tabs>
          <w:tab w:leader="none" w:pos="693" w:val="left"/>
        </w:tabs>
        <w:numPr>
          <w:ilvl w:val="2"/>
          <w:numId w:val="251"/>
        </w:numPr>
        <w:rPr>
          <w:rFonts w:ascii="Arial" w:cs="Arial" w:eastAsia="Arial" w:hAnsi="Arial"/>
          <w:sz w:val="18"/>
          <w:szCs w:val="18"/>
          <w:color w:val="auto"/>
        </w:rPr>
      </w:pPr>
      <w:r>
        <w:rPr>
          <w:rFonts w:ascii="Arial" w:cs="Arial" w:eastAsia="Arial" w:hAnsi="Arial"/>
          <w:sz w:val="18"/>
          <w:szCs w:val="18"/>
          <w:color w:val="auto"/>
        </w:rPr>
        <w:t>The Sub Plan and any Awards granted under it will terminate, if the approvals described in the foregoing subparagraph (a) are not received for the Plan and the Sub Plan within twelve months following the Effective Date.</w:t>
      </w:r>
    </w:p>
    <w:p>
      <w:pPr>
        <w:spacing w:after="0" w:line="247" w:lineRule="exact"/>
        <w:rPr>
          <w:rFonts w:ascii="Arial" w:cs="Arial" w:eastAsia="Arial" w:hAnsi="Arial"/>
          <w:sz w:val="18"/>
          <w:szCs w:val="18"/>
          <w:color w:val="auto"/>
        </w:rPr>
      </w:pPr>
    </w:p>
    <w:p>
      <w:pPr>
        <w:ind w:left="446" w:hanging="446"/>
        <w:spacing w:after="0"/>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color w:val="auto"/>
        </w:rPr>
      </w:pPr>
    </w:p>
    <w:p>
      <w:pPr>
        <w:ind w:left="6" w:right="20" w:firstLine="443"/>
        <w:spacing w:after="0" w:line="259" w:lineRule="auto"/>
        <w:tabs>
          <w:tab w:leader="none" w:pos="683"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Committee shall administer the Sub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59" w:lineRule="exact"/>
        <w:rPr>
          <w:rFonts w:ascii="Arial" w:cs="Arial" w:eastAsia="Arial" w:hAnsi="Arial"/>
          <w:sz w:val="18"/>
          <w:szCs w:val="18"/>
          <w:color w:val="auto"/>
        </w:rPr>
      </w:pPr>
    </w:p>
    <w:p>
      <w:pPr>
        <w:ind w:left="6" w:firstLine="443"/>
        <w:spacing w:after="0" w:line="286" w:lineRule="auto"/>
        <w:tabs>
          <w:tab w:leader="none" w:pos="693" w:val="left"/>
        </w:tabs>
        <w:numPr>
          <w:ilvl w:val="2"/>
          <w:numId w:val="252"/>
        </w:numPr>
        <w:rPr>
          <w:rFonts w:ascii="Arial" w:cs="Arial" w:eastAsia="Arial" w:hAnsi="Arial"/>
          <w:sz w:val="16"/>
          <w:szCs w:val="16"/>
          <w:color w:val="auto"/>
        </w:rPr>
      </w:pPr>
      <w:r>
        <w:rPr>
          <w:rFonts w:ascii="Arial" w:cs="Arial" w:eastAsia="Arial" w:hAnsi="Arial"/>
          <w:sz w:val="16"/>
          <w:szCs w:val="16"/>
          <w:color w:val="auto"/>
        </w:rPr>
        <w:t>Subject to the provisions of the Sub Plan and applicable law, the Committee shall have the power, and in addition to other express powers and authorizations conferred on the Committee by the Sub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Sub Plan and any instrument or agreement relating to, or Award granted under, the Sub Plan; (viii) establish, amend, suspend, or waive such rules and regulations; (ix) appoint such agents as it shall deem appropriate for the proper administration of the Sub Plan; and (x) make any other determination and take any other action that the Committee deems necessary or desirable for the administration of the Sub Plan.</w:t>
      </w:r>
    </w:p>
    <w:p>
      <w:pPr>
        <w:spacing w:after="0" w:line="11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6"/>
          </w:cols>
          <w:pgMar w:left="694" w:top="280" w:right="259" w:bottom="1440" w:gutter="0" w:footer="0" w:header="0"/>
        </w:sectPr>
      </w:pPr>
    </w:p>
    <w:bookmarkStart w:id="309" w:name="page310"/>
    <w:bookmarkEnd w:id="309"/>
    <w:p>
      <w:pPr>
        <w:ind w:left="460" w:right="20" w:firstLine="443"/>
        <w:spacing w:after="0" w:line="298" w:lineRule="auto"/>
        <w:tabs>
          <w:tab w:leader="none" w:pos="1137" w:val="left"/>
        </w:tabs>
        <w:numPr>
          <w:ilvl w:val="1"/>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Notwithstanding the foregoing, the Committee may delegate to any officer or officers of the Company or the Indian Subsidiaries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31" w:lineRule="exact"/>
        <w:rPr>
          <w:rFonts w:ascii="Arial" w:cs="Arial" w:eastAsia="Arial" w:hAnsi="Arial"/>
          <w:sz w:val="16"/>
          <w:szCs w:val="16"/>
          <w:color w:val="auto"/>
        </w:rPr>
      </w:pPr>
    </w:p>
    <w:p>
      <w:pPr>
        <w:jc w:val="both"/>
        <w:ind w:left="460" w:firstLine="443"/>
        <w:spacing w:after="0" w:line="256" w:lineRule="auto"/>
        <w:tabs>
          <w:tab w:leader="none" w:pos="114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Unless otherwise expressly provided in the Sub Plan, all designations, determinations, interpretations, and other decisions under or with respect to the Sub Plan or any Award or any documents evidencing Awards granted pursuant to the Sub Plan shall be within the sole discretion of the Committee, may be made at any time and shall be final, conclusive and binding upon all parties, including, without limitation, the Company, any Indian Subsidiary, any Participant, any holder or beneficiary of any Award, and any shareholder.</w:t>
      </w:r>
    </w:p>
    <w:p>
      <w:pPr>
        <w:spacing w:after="0" w:line="62" w:lineRule="exact"/>
        <w:rPr>
          <w:rFonts w:ascii="Arial" w:cs="Arial" w:eastAsia="Arial" w:hAnsi="Arial"/>
          <w:sz w:val="18"/>
          <w:szCs w:val="18"/>
          <w:color w:val="auto"/>
        </w:rPr>
      </w:pPr>
    </w:p>
    <w:p>
      <w:pPr>
        <w:ind w:left="460" w:right="80" w:firstLine="443"/>
        <w:spacing w:after="0" w:line="268" w:lineRule="auto"/>
        <w:tabs>
          <w:tab w:leader="none" w:pos="113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No member of the Committee or any person authorized by the Committee to act on its behalf shall be liable for any action or determination made in good faith with respect to the Sub Plan or any Award hereunder.</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Sub Plan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The Committee may, from time to time, grant Awards of Options, Stock Appreciation Rights, Restricted Stock, Restricted Stock Units, Phantom Stock Awards, Stock Bonuses and/or Performance Compensation Awards to one or more Sub Plan Eligible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4" w:lineRule="exact"/>
        <w:rPr>
          <w:sz w:val="20"/>
          <w:szCs w:val="20"/>
          <w:color w:val="auto"/>
        </w:rPr>
      </w:pPr>
    </w:p>
    <w:p>
      <w:pPr>
        <w:ind w:left="1140" w:hanging="237"/>
        <w:spacing w:after="0"/>
        <w:tabs>
          <w:tab w:leader="none" w:pos="114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Subject to Section 13, the aggregate number of shares of Stock in respect of which Awards may be granted under the Sub Plan is 505,000 shares;</w:t>
      </w:r>
    </w:p>
    <w:p>
      <w:pPr>
        <w:spacing w:after="0" w:line="124" w:lineRule="exact"/>
        <w:rPr>
          <w:rFonts w:ascii="Arial" w:cs="Arial" w:eastAsia="Arial" w:hAnsi="Arial"/>
          <w:sz w:val="15"/>
          <w:szCs w:val="15"/>
          <w:color w:val="auto"/>
        </w:rPr>
      </w:pPr>
    </w:p>
    <w:p>
      <w:pPr>
        <w:ind w:left="460" w:firstLine="443"/>
        <w:spacing w:after="0" w:line="288"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Shares of Stock shall be deemed to have been used in settlement of Awards whether or not they are actually delivered or the Fair Market Value equivalent of such shares is paid in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shares of Stock delivered (either directly or by means of attestation) in full or partial payment of the Option Price in accordance with Section 7(b) shall be deducted from the number of shares of Stock delivered to the Participant pursuant to such Option for purposes of determining the number of shares of Stock acquired pursuant to the Sub Plan. In accordance with (and without limitation upon) the preceding sentence, if and to the extent an Award under the Sub Plan expires, terminates or is canceled for any reason whatsoever without the Participant having received any benefit therefrom, the shares covered by such Award shall again become available for future Awards under the Sub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9" w:right="239" w:bottom="1440" w:gutter="0" w:footer="0" w:header="0"/>
        </w:sectPr>
      </w:pPr>
    </w:p>
    <w:bookmarkStart w:id="310" w:name="page311"/>
    <w:bookmarkEnd w:id="310"/>
    <w:p>
      <w:pPr>
        <w:ind w:left="460" w:right="440" w:firstLine="443"/>
        <w:spacing w:after="0" w:line="268" w:lineRule="auto"/>
        <w:tabs>
          <w:tab w:leader="none" w:pos="1137" w:val="left"/>
        </w:tabs>
        <w:numPr>
          <w:ilvl w:val="1"/>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Stock delivered by the Company in settlement of Awards may be authorized and unissued Stock, Stock held in the treasury of the Company, Stock purchased on the open market or by private purchase, or a combination of the foregoing;</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Sub Plan during any calendar year with respect to more than 250,000 shares of Stock; and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The Committee may, from time to time grant Awards to one or more Sub Plan Eligible Persons, subject to the provisos of Section 5 of the Plan.</w:t>
      </w:r>
    </w:p>
    <w:p>
      <w:pPr>
        <w:spacing w:after="0" w:line="113" w:lineRule="exact"/>
        <w:rPr>
          <w:rFonts w:ascii="Arial" w:cs="Arial" w:eastAsia="Arial" w:hAnsi="Arial"/>
          <w:sz w:val="16"/>
          <w:szCs w:val="16"/>
          <w:color w:val="auto"/>
        </w:rPr>
      </w:pPr>
    </w:p>
    <w:p>
      <w:pPr>
        <w:ind w:left="460" w:right="220" w:firstLine="443"/>
        <w:spacing w:after="0" w:line="298" w:lineRule="auto"/>
        <w:tabs>
          <w:tab w:leader="none" w:pos="111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The Committee is authorized to grant one or more Awards to any Sub Plan Eligible Person. Each Award so granted shall be subject to the terms and conditions set forth in the Plan, the additional conditions set forth in this Sub Plan, and to any other conditions as may be reflected in the applicable Award Agreement. The minimum number of shares of Stock which may be subject to an Award granted to a Sub Plan Eligible Person is one and the maximum number of shares of Stock which may be subject to such an Award is 250,000.</w:t>
      </w:r>
    </w:p>
    <w:p>
      <w:pPr>
        <w:spacing w:after="0" w:line="31" w:lineRule="exact"/>
        <w:rPr>
          <w:rFonts w:ascii="Arial" w:cs="Arial" w:eastAsia="Arial" w:hAnsi="Arial"/>
          <w:sz w:val="16"/>
          <w:szCs w:val="16"/>
          <w:color w:val="auto"/>
        </w:rPr>
      </w:pPr>
    </w:p>
    <w:p>
      <w:pPr>
        <w:ind w:left="460" w:right="380" w:firstLine="443"/>
        <w:spacing w:after="0" w:line="306" w:lineRule="auto"/>
        <w:tabs>
          <w:tab w:leader="none" w:pos="1147"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The provisions in the applicable Award Agreement shall control the terms of the Award issued pursuant thereto However, if there shall be a conflict between the provisions of the Plan or the Sub Plan and such Award Agreement, the provisions of this Sub Plan shall control. If there shall be a conflict between the provisions of the Plan and the Sub Plan, the provisions of this Sub Plan shall control.</w:t>
      </w:r>
    </w:p>
    <w:p>
      <w:pPr>
        <w:spacing w:after="0" w:line="222" w:lineRule="exact"/>
        <w:rPr>
          <w:rFonts w:ascii="Arial" w:cs="Arial" w:eastAsia="Arial" w:hAnsi="Arial"/>
          <w:sz w:val="16"/>
          <w:szCs w:val="16"/>
          <w:color w:val="auto"/>
        </w:rPr>
      </w:pPr>
    </w:p>
    <w:p>
      <w:pPr>
        <w:ind w:left="900" w:hanging="446"/>
        <w:spacing w:after="0"/>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left="460" w:right="40" w:firstLine="438"/>
        <w:spacing w:after="0" w:line="332" w:lineRule="auto"/>
        <w:rPr>
          <w:sz w:val="20"/>
          <w:szCs w:val="20"/>
          <w:color w:val="auto"/>
        </w:rPr>
      </w:pPr>
      <w:r>
        <w:rPr>
          <w:rFonts w:ascii="Arial" w:cs="Arial" w:eastAsia="Arial" w:hAnsi="Arial"/>
          <w:sz w:val="16"/>
          <w:szCs w:val="16"/>
          <w:color w:val="auto"/>
        </w:rPr>
        <w:t>Participation shall be limited to Sub Plan Eligible Persons who have entered into an Award agreement or who have received written notification from the Committee, or from a person designated by the Committee, that they have been selected to participate in the Sub Plan.</w:t>
      </w:r>
    </w:p>
    <w:p>
      <w:pPr>
        <w:spacing w:after="0" w:line="201" w:lineRule="exact"/>
        <w:rPr>
          <w:sz w:val="20"/>
          <w:szCs w:val="20"/>
          <w:color w:val="auto"/>
        </w:rPr>
      </w:pPr>
    </w:p>
    <w:p>
      <w:pPr>
        <w:ind w:left="900" w:hanging="446"/>
        <w:spacing w:after="0"/>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40" w:firstLine="456"/>
        <w:spacing w:after="0" w:line="330" w:lineRule="auto"/>
        <w:rPr>
          <w:sz w:val="20"/>
          <w:szCs w:val="20"/>
          <w:color w:val="auto"/>
        </w:rPr>
      </w:pPr>
      <w:r>
        <w:rPr>
          <w:rFonts w:ascii="Arial" w:cs="Arial" w:eastAsia="Arial" w:hAnsi="Arial"/>
          <w:sz w:val="16"/>
          <w:szCs w:val="16"/>
          <w:color w:val="auto"/>
        </w:rPr>
        <w:t>The Committee is authorized to grant one or more Incentive Stock Options or Nonqualified Stock Options to any Sub Plan Eligible Person. Each Option so granted shall be subject to the conditions set forth in this Section 7, or to such other conditions as may be reflected in the applicable Stock Option Agreement.</w:t>
      </w:r>
    </w:p>
    <w:p>
      <w:pPr>
        <w:spacing w:after="0" w:line="1" w:lineRule="exact"/>
        <w:rPr>
          <w:sz w:val="20"/>
          <w:szCs w:val="20"/>
          <w:color w:val="auto"/>
        </w:rPr>
      </w:pPr>
    </w:p>
    <w:p>
      <w:pPr>
        <w:ind w:left="460" w:right="120" w:firstLine="443"/>
        <w:spacing w:after="0" w:line="275" w:lineRule="auto"/>
        <w:tabs>
          <w:tab w:leader="none" w:pos="1137"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exercise price (“</w:t>
      </w:r>
      <w:r>
        <w:rPr>
          <w:rFonts w:ascii="Arial" w:cs="Arial" w:eastAsia="Arial" w:hAnsi="Arial"/>
          <w:sz w:val="18"/>
          <w:szCs w:val="18"/>
          <w:u w:val="single" w:color="auto"/>
          <w:color w:val="auto"/>
        </w:rPr>
        <w:t>Option Price</w:t>
      </w:r>
      <w:r>
        <w:rPr>
          <w:rFonts w:ascii="Arial" w:cs="Arial" w:eastAsia="Arial" w:hAnsi="Arial"/>
          <w:sz w:val="18"/>
          <w:szCs w:val="18"/>
          <w:color w:val="auto"/>
        </w:rPr>
        <w:t>”) per share of Stock for each Option shall be set by the Committee at the time of grant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the Fair Market Value of a share of Stock on the Date of Grant.</w:t>
      </w:r>
    </w:p>
    <w:p>
      <w:pPr>
        <w:spacing w:after="0" w:line="38" w:lineRule="exact"/>
        <w:rPr>
          <w:rFonts w:ascii="Arial" w:cs="Arial" w:eastAsia="Arial" w:hAnsi="Arial"/>
          <w:sz w:val="18"/>
          <w:szCs w:val="18"/>
          <w:color w:val="auto"/>
        </w:rPr>
      </w:pPr>
    </w:p>
    <w:p>
      <w:pPr>
        <w:jc w:val="both"/>
        <w:ind w:left="460" w:firstLine="443"/>
        <w:spacing w:after="0" w:line="310" w:lineRule="auto"/>
        <w:tabs>
          <w:tab w:leader="none" w:pos="1147"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Manner of Exercise and Form of Payment</w:t>
      </w:r>
      <w:r>
        <w:rPr>
          <w:rFonts w:ascii="Arial" w:cs="Arial" w:eastAsia="Arial" w:hAnsi="Arial"/>
          <w:sz w:val="16"/>
          <w:szCs w:val="16"/>
          <w:color w:val="auto"/>
        </w:rPr>
        <w:t>. No shares of Stock shall be delivered pursuant to any exercise of an Option until payment in full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 therefor is received by the Company. Options which have become exercisable may be exercised by delivery of written notice of exercise to the Committee accompanied by payment of the Option Price. The Option Price shall be payable (i) 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9" w:right="239" w:bottom="1440" w:gutter="0" w:footer="0" w:header="0"/>
        </w:sectPr>
      </w:pPr>
    </w:p>
    <w:bookmarkStart w:id="311" w:name="page312"/>
    <w:bookmarkEnd w:id="311"/>
    <w:p>
      <w:pPr>
        <w:ind w:left="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check, or cash equivalent, (ii) in the discretion of the Committee,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are listed or traded.</w:t>
      </w:r>
    </w:p>
    <w:p>
      <w:pPr>
        <w:spacing w:after="0" w:line="18" w:lineRule="exact"/>
        <w:rPr>
          <w:sz w:val="20"/>
          <w:szCs w:val="20"/>
          <w:color w:val="auto"/>
        </w:rPr>
      </w:pPr>
    </w:p>
    <w:p>
      <w:pPr>
        <w:ind w:left="6" w:right="40" w:firstLine="443"/>
        <w:spacing w:after="0" w:line="255" w:lineRule="auto"/>
        <w:tabs>
          <w:tab w:leader="none" w:pos="683" w:val="left"/>
        </w:tabs>
        <w:numPr>
          <w:ilvl w:val="1"/>
          <w:numId w:val="260"/>
        </w:numPr>
        <w:rPr>
          <w:rFonts w:ascii="Arial" w:cs="Arial" w:eastAsia="Arial" w:hAnsi="Arial"/>
          <w:sz w:val="18"/>
          <w:szCs w:val="18"/>
          <w:color w:val="auto"/>
        </w:rPr>
      </w:pPr>
      <w:r>
        <w:rPr>
          <w:rFonts w:ascii="Arial" w:cs="Arial" w:eastAsia="Arial" w:hAnsi="Arial"/>
          <w:sz w:val="18"/>
          <w:szCs w:val="18"/>
          <w:b w:val="1"/>
          <w:bCs w:val="1"/>
          <w:color w:val="auto"/>
        </w:rPr>
        <w:t>Vesting, Option Period and Expiration</w:t>
      </w:r>
      <w:r>
        <w:rPr>
          <w:rFonts w:ascii="Arial" w:cs="Arial" w:eastAsia="Arial" w:hAnsi="Arial"/>
          <w:sz w:val="18"/>
          <w:szCs w:val="18"/>
          <w:color w:val="auto"/>
        </w:rPr>
        <w:t>. Options shall vest and become exercisable in such manner and on such date or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as specified in the Stock Option Agreement and shall expire after such period, not to exceed ten years, as may be determined by the Committee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58" w:lineRule="exact"/>
        <w:rPr>
          <w:rFonts w:ascii="Arial" w:cs="Arial" w:eastAsia="Arial" w:hAnsi="Arial"/>
          <w:sz w:val="18"/>
          <w:szCs w:val="18"/>
          <w:color w:val="auto"/>
        </w:rPr>
      </w:pPr>
    </w:p>
    <w:p>
      <w:pPr>
        <w:ind w:left="6" w:right="360" w:firstLine="443"/>
        <w:spacing w:after="0" w:line="262" w:lineRule="auto"/>
        <w:tabs>
          <w:tab w:leader="none" w:pos="693" w:val="left"/>
        </w:tabs>
        <w:numPr>
          <w:ilvl w:val="1"/>
          <w:numId w:val="260"/>
        </w:numPr>
        <w:rPr>
          <w:rFonts w:ascii="Arial" w:cs="Arial" w:eastAsia="Arial" w:hAnsi="Arial"/>
          <w:sz w:val="18"/>
          <w:szCs w:val="18"/>
          <w:color w:val="auto"/>
        </w:rPr>
      </w:pPr>
      <w:r>
        <w:rPr>
          <w:rFonts w:ascii="Arial" w:cs="Arial" w:eastAsia="Arial" w:hAnsi="Arial"/>
          <w:sz w:val="18"/>
          <w:szCs w:val="18"/>
          <w:b w:val="1"/>
          <w:bCs w:val="1"/>
          <w:color w:val="auto"/>
        </w:rPr>
        <w:t>Stock Option Agreement - Other Terms and Conditions</w:t>
      </w:r>
      <w:r>
        <w:rPr>
          <w:rFonts w:ascii="Arial" w:cs="Arial" w:eastAsia="Arial" w:hAnsi="Arial"/>
          <w:sz w:val="18"/>
          <w:szCs w:val="18"/>
          <w:color w:val="auto"/>
        </w:rPr>
        <w:t>. Each Option granted under the Sub Plan shall be evidenced by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as specifically provided otherwise in such Stock Option Agreement, each Option granted under the Sub Plan shall be subject to the following terms and conditions:</w:t>
      </w:r>
    </w:p>
    <w:p>
      <w:pPr>
        <w:spacing w:after="0" w:line="57"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90" w:lineRule="exact"/>
        <w:rPr>
          <w:rFonts w:ascii="Arial" w:cs="Arial" w:eastAsia="Arial" w:hAnsi="Arial"/>
          <w:sz w:val="18"/>
          <w:szCs w:val="18"/>
          <w:color w:val="auto"/>
        </w:rPr>
      </w:pPr>
    </w:p>
    <w:p>
      <w:pPr>
        <w:ind w:left="446" w:right="300" w:hanging="446"/>
        <w:spacing w:after="0" w:line="332" w:lineRule="auto"/>
        <w:tabs>
          <w:tab w:leader="none" w:pos="44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spacing w:after="0" w:line="4" w:lineRule="exact"/>
        <w:rPr>
          <w:rFonts w:ascii="Arial" w:cs="Arial" w:eastAsia="Arial" w:hAnsi="Arial"/>
          <w:sz w:val="16"/>
          <w:szCs w:val="16"/>
          <w:color w:val="auto"/>
        </w:rPr>
      </w:pPr>
    </w:p>
    <w:p>
      <w:pPr>
        <w:ind w:left="446" w:right="720" w:hanging="446"/>
        <w:spacing w:after="0" w:line="268" w:lineRule="auto"/>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Section 17, Options shall not be transferable by the Participant except by will or the laws of descent and distribution and shall be exercisable during the Participant’s lifetime only by him.</w:t>
      </w:r>
    </w:p>
    <w:p>
      <w:pPr>
        <w:spacing w:after="0" w:line="50"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w:t>
      </w:r>
    </w:p>
    <w:p>
      <w:pPr>
        <w:spacing w:after="0" w:line="1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6"/>
          </w:cols>
          <w:pgMar w:left="694" w:top="280" w:right="239" w:bottom="1440" w:gutter="0" w:footer="0" w:header="0"/>
        </w:sectPr>
      </w:pPr>
    </w:p>
    <w:bookmarkStart w:id="312" w:name="page313"/>
    <w:bookmarkEnd w:id="312"/>
    <w:p>
      <w:pPr>
        <w:ind w:left="46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laws, including US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Sub Plan with respect to which such investment representation has been obtained, the Committee may cause a legend or legends to be placed on such certificates to make appropriate reference to such representation and to restrict transfer in the absence of compliance with applicable laws, including US federal or state securities laws.</w:t>
      </w:r>
    </w:p>
    <w:p>
      <w:pPr>
        <w:spacing w:after="0" w:line="37" w:lineRule="exact"/>
        <w:rPr>
          <w:sz w:val="20"/>
          <w:szCs w:val="20"/>
          <w:color w:val="auto"/>
        </w:rPr>
      </w:pPr>
    </w:p>
    <w:p>
      <w:pPr>
        <w:ind w:left="446" w:right="40" w:hanging="446"/>
        <w:spacing w:after="0" w:line="290" w:lineRule="auto"/>
        <w:tabs>
          <w:tab w:leader="none" w:pos="44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Sub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37" w:lineRule="exact"/>
        <w:rPr>
          <w:rFonts w:ascii="Arial" w:cs="Arial" w:eastAsia="Arial" w:hAnsi="Arial"/>
          <w:sz w:val="16"/>
          <w:szCs w:val="16"/>
          <w:color w:val="auto"/>
        </w:rPr>
      </w:pPr>
    </w:p>
    <w:p>
      <w:pPr>
        <w:ind w:left="446" w:right="80" w:hanging="446"/>
        <w:spacing w:after="0" w:line="291" w:lineRule="auto"/>
        <w:tabs>
          <w:tab w:leader="none" w:pos="44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33"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 xml:space="preserve">(e) </w:t>
      </w:r>
      <w:r>
        <w:rPr>
          <w:rFonts w:ascii="Arial" w:cs="Arial" w:eastAsia="Arial" w:hAnsi="Arial"/>
          <w:sz w:val="16"/>
          <w:szCs w:val="16"/>
          <w:b w:val="1"/>
          <w:bCs w:val="1"/>
          <w:color w:val="auto"/>
        </w:rPr>
        <w:t>$100,000 Per Year Limitation for Incentive Stock Options</w:t>
      </w:r>
      <w:r>
        <w:rPr>
          <w:rFonts w:ascii="Arial" w:cs="Arial" w:eastAsia="Arial" w:hAnsi="Arial"/>
          <w:sz w:val="16"/>
          <w:szCs w:val="16"/>
          <w:color w:val="auto"/>
        </w:rPr>
        <w:t>. To the extent the aggregate Fair Market Value (determined as of the Date of</w:t>
      </w:r>
    </w:p>
    <w:p>
      <w:pPr>
        <w:spacing w:after="0" w:line="18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6"/>
          </w:cols>
          <w:pgMar w:left="694" w:top="279" w:right="239" w:bottom="1440" w:gutter="0" w:footer="0" w:header="0"/>
        </w:sectPr>
      </w:pPr>
    </w:p>
    <w:bookmarkStart w:id="313" w:name="page314"/>
    <w:bookmarkEnd w:id="313"/>
    <w:p>
      <w:pPr>
        <w:ind w:left="460" w:right="42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 w:lineRule="exact"/>
        <w:rPr>
          <w:sz w:val="20"/>
          <w:szCs w:val="20"/>
          <w:color w:val="auto"/>
        </w:rPr>
      </w:pPr>
    </w:p>
    <w:p>
      <w:pPr>
        <w:ind w:left="460" w:right="240" w:firstLine="443"/>
        <w:spacing w:after="0" w:line="293" w:lineRule="auto"/>
        <w:tabs>
          <w:tab w:leader="none" w:pos="1117" w:val="left"/>
        </w:tabs>
        <w:numPr>
          <w:ilvl w:val="0"/>
          <w:numId w:val="263"/>
        </w:numPr>
        <w:rPr>
          <w:rFonts w:ascii="Arial" w:cs="Arial" w:eastAsia="Arial" w:hAnsi="Arial"/>
          <w:sz w:val="16"/>
          <w:szCs w:val="16"/>
          <w:color w:val="auto"/>
        </w:rPr>
      </w:pPr>
      <w:r>
        <w:rPr>
          <w:rFonts w:ascii="Arial" w:cs="Arial" w:eastAsia="Arial" w:hAnsi="Arial"/>
          <w:sz w:val="16"/>
          <w:szCs w:val="16"/>
          <w:b w:val="1"/>
          <w:bCs w:val="1"/>
          <w:color w:val="auto"/>
        </w:rPr>
        <w:t>Voluntary Surrender</w:t>
      </w:r>
      <w:r>
        <w:rPr>
          <w:rFonts w:ascii="Arial" w:cs="Arial" w:eastAsia="Arial" w:hAnsi="Arial"/>
          <w:sz w:val="16"/>
          <w:szCs w:val="16"/>
          <w:color w:val="auto"/>
        </w:rPr>
        <w:t>. The Committee may permit the voluntary surrender of all or any portion of any Nonqualified Stock Option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SAR, if any, granted under the Sub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Sub Plan without regard to the Option Price, Option Period, or any other terms and conditions of the Nonqualified Stock Option surrendered.</w:t>
      </w:r>
    </w:p>
    <w:p>
      <w:pPr>
        <w:spacing w:after="0" w:line="29" w:lineRule="exact"/>
        <w:rPr>
          <w:rFonts w:ascii="Arial" w:cs="Arial" w:eastAsia="Arial" w:hAnsi="Arial"/>
          <w:sz w:val="16"/>
          <w:szCs w:val="16"/>
          <w:color w:val="auto"/>
        </w:rPr>
      </w:pPr>
    </w:p>
    <w:p>
      <w:pPr>
        <w:ind w:left="460" w:right="20" w:firstLine="443"/>
        <w:spacing w:after="0" w:line="287"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b w:val="1"/>
          <w:bCs w:val="1"/>
          <w:color w:val="auto"/>
        </w:rPr>
        <w:t>Reload Options</w:t>
      </w:r>
      <w:r>
        <w:rPr>
          <w:rFonts w:ascii="Arial" w:cs="Arial" w:eastAsia="Arial" w:hAnsi="Arial"/>
          <w:sz w:val="16"/>
          <w:szCs w:val="16"/>
          <w:color w:val="auto"/>
        </w:rPr>
        <w:t>. The Committee may provide for the grant to any Participant of additional Options (“</w:t>
      </w:r>
      <w:r>
        <w:rPr>
          <w:rFonts w:ascii="Arial" w:cs="Arial" w:eastAsia="Arial" w:hAnsi="Arial"/>
          <w:sz w:val="16"/>
          <w:szCs w:val="16"/>
          <w:u w:val="single" w:color="auto"/>
          <w:color w:val="auto"/>
        </w:rPr>
        <w:t>Reload Options</w:t>
      </w:r>
      <w:r>
        <w:rPr>
          <w:rFonts w:ascii="Arial" w:cs="Arial" w:eastAsia="Arial" w:hAnsi="Arial"/>
          <w:sz w:val="16"/>
          <w:szCs w:val="16"/>
          <w:color w:val="auto"/>
        </w:rPr>
        <w:t>”) upon the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including Reload Options, through the delivery of shares of Stock; provided, however, that (i) Reload Options may be granted only with respect to the same number of shares as were surrendered to exercise the Options and the number of shares of Stock withheld for tax purposes pursuant to</w:t>
      </w:r>
    </w:p>
    <w:p>
      <w:pPr>
        <w:jc w:val="both"/>
        <w:ind w:left="460" w:right="200"/>
        <w:spacing w:after="0" w:line="302" w:lineRule="auto"/>
        <w:rPr>
          <w:rFonts w:ascii="Arial" w:cs="Arial" w:eastAsia="Arial" w:hAnsi="Arial"/>
          <w:sz w:val="16"/>
          <w:szCs w:val="16"/>
          <w:color w:val="auto"/>
        </w:rPr>
      </w:pPr>
      <w:r>
        <w:rPr>
          <w:rFonts w:ascii="Arial" w:cs="Arial" w:eastAsia="Arial" w:hAnsi="Arial"/>
          <w:sz w:val="16"/>
          <w:szCs w:val="16"/>
          <w:color w:val="auto"/>
        </w:rPr>
        <w:t>Section 12(d)(ii) of the Plan, (ii) the exercise price per share of the Reload Options shall be not less than 100% of the Fair Market Value as of the Date of Grant of the Reload Options and (iii) the Reload Options shall not be exercisable after the expiration of the term of the Options, and otherwise shall have the same terms and conditions of the Options, the exercise of which resulted in the grant of the Reload Options.</w:t>
      </w:r>
    </w:p>
    <w:p>
      <w:pPr>
        <w:spacing w:after="0" w:line="225"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Any Option granted under the Sub Plan may include SARs, either at the Date of Grant or, except in the case of an Incentive Stock Option, by subsequent amendment. The Committee also may award SARs to Sub Plan Eligible Persons independent of any Option. A SAR shall be subject to such terms and conditions not inconsistent with the Sub Plan as the Committee shall impose, including, but not limited to, the following:</w:t>
      </w:r>
    </w:p>
    <w:p>
      <w:pPr>
        <w:spacing w:after="0" w:line="20" w:lineRule="exact"/>
        <w:rPr>
          <w:sz w:val="20"/>
          <w:szCs w:val="20"/>
          <w:color w:val="auto"/>
        </w:rPr>
      </w:pPr>
    </w:p>
    <w:p>
      <w:pPr>
        <w:ind w:left="460" w:firstLine="443"/>
        <w:spacing w:after="0" w:line="258" w:lineRule="auto"/>
        <w:tabs>
          <w:tab w:leader="none" w:pos="1137"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Expiration</w:t>
      </w:r>
      <w:r>
        <w:rPr>
          <w:rFonts w:ascii="Arial" w:cs="Arial" w:eastAsia="Arial" w:hAnsi="Arial"/>
          <w:sz w:val="18"/>
          <w:szCs w:val="18"/>
          <w:color w:val="auto"/>
        </w:rPr>
        <w:t>. A SAR granted in connection with an Option shall become exercisable, be transferable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314" w:name="page315"/>
    <w:bookmarkEnd w:id="314"/>
    <w:p>
      <w:pPr>
        <w:ind w:left="6" w:right="40" w:firstLine="443"/>
        <w:spacing w:after="0" w:line="258" w:lineRule="auto"/>
        <w:tabs>
          <w:tab w:leader="none" w:pos="693"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Automatic Exercise</w:t>
      </w:r>
      <w:r>
        <w:rPr>
          <w:rFonts w:ascii="Arial" w:cs="Arial" w:eastAsia="Arial" w:hAnsi="Arial"/>
          <w:sz w:val="18"/>
          <w:szCs w:val="18"/>
          <w:color w:val="auto"/>
        </w:rPr>
        <w:t>. If on the last day of the Option Period (or in the case of a SAR independent of an option, the period established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55" w:lineRule="exact"/>
        <w:rPr>
          <w:rFonts w:ascii="Arial" w:cs="Arial" w:eastAsia="Arial" w:hAnsi="Arial"/>
          <w:sz w:val="18"/>
          <w:szCs w:val="18"/>
          <w:color w:val="auto"/>
        </w:rPr>
      </w:pPr>
    </w:p>
    <w:p>
      <w:pPr>
        <w:jc w:val="both"/>
        <w:ind w:left="6" w:firstLine="443"/>
        <w:spacing w:after="0" w:line="301" w:lineRule="auto"/>
        <w:tabs>
          <w:tab w:leader="none" w:pos="683" w:val="left"/>
        </w:tabs>
        <w:numPr>
          <w:ilvl w:val="1"/>
          <w:numId w:val="266"/>
        </w:numPr>
        <w:rPr>
          <w:rFonts w:ascii="Arial" w:cs="Arial" w:eastAsia="Arial" w:hAnsi="Arial"/>
          <w:sz w:val="16"/>
          <w:szCs w:val="16"/>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Upon the exercise of a SAR, the Company shall pay to the Participant an amount equal to the number of shares subject to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22" w:lineRule="exact"/>
        <w:rPr>
          <w:rFonts w:ascii="Arial" w:cs="Arial" w:eastAsia="Arial" w:hAnsi="Arial"/>
          <w:sz w:val="16"/>
          <w:szCs w:val="16"/>
          <w:color w:val="auto"/>
        </w:rPr>
      </w:pPr>
    </w:p>
    <w:p>
      <w:pPr>
        <w:ind w:left="6" w:right="180" w:firstLine="443"/>
        <w:spacing w:after="0" w:line="262" w:lineRule="auto"/>
        <w:tabs>
          <w:tab w:leader="none" w:pos="693"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 grant by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an irrevocable written notice with the Committee or its designee, specifying the number of SARs to be exercised, and the date on which such SARs were awarded.</w:t>
      </w:r>
    </w:p>
    <w:p>
      <w:pPr>
        <w:spacing w:after="0" w:line="51" w:lineRule="exact"/>
        <w:rPr>
          <w:rFonts w:ascii="Arial" w:cs="Arial" w:eastAsia="Arial" w:hAnsi="Arial"/>
          <w:sz w:val="18"/>
          <w:szCs w:val="18"/>
          <w:color w:val="auto"/>
        </w:rPr>
      </w:pPr>
    </w:p>
    <w:p>
      <w:pPr>
        <w:ind w:left="6" w:firstLine="443"/>
        <w:spacing w:after="0" w:line="275" w:lineRule="auto"/>
        <w:tabs>
          <w:tab w:leader="none" w:pos="683"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Except as otherwise provided in the case of SARs granted in connection with Options, a SAR shall expire on a date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which is not later than ten years after the Date of Grant of the SAR.</w:t>
      </w:r>
    </w:p>
    <w:p>
      <w:pPr>
        <w:spacing w:after="0" w:line="241" w:lineRule="exact"/>
        <w:rPr>
          <w:rFonts w:ascii="Arial" w:cs="Arial" w:eastAsia="Arial" w:hAnsi="Arial"/>
          <w:sz w:val="18"/>
          <w:szCs w:val="18"/>
          <w:color w:val="auto"/>
        </w:rPr>
      </w:pPr>
    </w:p>
    <w:p>
      <w:pPr>
        <w:ind w:left="446" w:hanging="446"/>
        <w:spacing w:after="0"/>
        <w:tabs>
          <w:tab w:leader="none" w:pos="446"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p>
    <w:p>
      <w:pPr>
        <w:spacing w:after="0" w:line="90" w:lineRule="exact"/>
        <w:rPr>
          <w:rFonts w:ascii="Arial" w:cs="Arial" w:eastAsia="Arial" w:hAnsi="Arial"/>
          <w:sz w:val="18"/>
          <w:szCs w:val="18"/>
          <w:color w:val="auto"/>
        </w:rPr>
      </w:pPr>
    </w:p>
    <w:p>
      <w:pPr>
        <w:ind w:left="686" w:hanging="237"/>
        <w:spacing w:after="0"/>
        <w:tabs>
          <w:tab w:leader="none" w:pos="686" w:val="left"/>
        </w:tabs>
        <w:numPr>
          <w:ilvl w:val="1"/>
          <w:numId w:val="267"/>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96" w:lineRule="exact"/>
        <w:rPr>
          <w:sz w:val="20"/>
          <w:szCs w:val="20"/>
          <w:color w:val="auto"/>
        </w:rPr>
      </w:pPr>
    </w:p>
    <w:p>
      <w:pPr>
        <w:ind w:left="446" w:hanging="446"/>
        <w:spacing w:after="0" w:line="298" w:lineRule="auto"/>
        <w:tabs>
          <w:tab w:leader="none" w:pos="44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Committee shall have the authority (A) to grant Restricted Stock and Restricted Stock Units to Sub Plan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31" w:lineRule="exact"/>
        <w:rPr>
          <w:rFonts w:ascii="Arial" w:cs="Arial" w:eastAsia="Arial" w:hAnsi="Arial"/>
          <w:sz w:val="16"/>
          <w:szCs w:val="16"/>
          <w:color w:val="auto"/>
        </w:rPr>
      </w:pPr>
    </w:p>
    <w:p>
      <w:pPr>
        <w:ind w:left="446" w:right="100" w:hanging="446"/>
        <w:spacing w:after="0" w:line="323" w:lineRule="auto"/>
        <w:tabs>
          <w:tab w:leader="none" w:pos="446" w:val="left"/>
        </w:tabs>
        <w:numPr>
          <w:ilvl w:val="0"/>
          <w:numId w:val="268"/>
        </w:numPr>
        <w:rPr>
          <w:rFonts w:ascii="Arial" w:cs="Arial" w:eastAsia="Arial" w:hAnsi="Arial"/>
          <w:sz w:val="15"/>
          <w:szCs w:val="15"/>
          <w:color w:val="auto"/>
        </w:rPr>
      </w:pPr>
      <w:r>
        <w:rPr>
          <w:rFonts w:ascii="Arial" w:cs="Arial" w:eastAsia="Arial" w:hAnsi="Arial"/>
          <w:sz w:val="15"/>
          <w:szCs w:val="15"/>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w:t>
      </w:r>
    </w:p>
    <w:p>
      <w:pPr>
        <w:spacing w:after="0" w:line="8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6"/>
          </w:cols>
          <w:pgMar w:left="694" w:top="273" w:right="239" w:bottom="1440" w:gutter="0" w:footer="0" w:header="0"/>
        </w:sectPr>
      </w:pPr>
    </w:p>
    <w:bookmarkStart w:id="315" w:name="page316"/>
    <w:bookmarkEnd w:id="315"/>
    <w:p>
      <w:pPr>
        <w:ind w:left="466"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At the discretion of the Committee, cash dividends and stock dividends with respect to the Restricted Stock may be either currently paid to the Participant or withheld by the Company for the Participant’s account, and interest may be credited on the amount of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42" w:lineRule="exact"/>
        <w:rPr>
          <w:sz w:val="20"/>
          <w:szCs w:val="20"/>
          <w:color w:val="auto"/>
        </w:rPr>
      </w:pPr>
    </w:p>
    <w:p>
      <w:pPr>
        <w:ind w:left="446" w:right="200" w:hanging="446"/>
        <w:spacing w:after="0" w:line="256" w:lineRule="auto"/>
        <w:tabs>
          <w:tab w:leader="none" w:pos="44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62" w:lineRule="exact"/>
        <w:rPr>
          <w:rFonts w:ascii="Arial" w:cs="Arial" w:eastAsia="Arial" w:hAnsi="Arial"/>
          <w:sz w:val="18"/>
          <w:szCs w:val="18"/>
          <w:color w:val="auto"/>
        </w:rPr>
      </w:pPr>
    </w:p>
    <w:p>
      <w:pPr>
        <w:ind w:left="446" w:hanging="446"/>
        <w:spacing w:after="0" w:line="289" w:lineRule="auto"/>
        <w:tabs>
          <w:tab w:leader="none" w:pos="446"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At the discretion of the Committee, Dividend Equivalents may be either currently paid to the Participant or withheld by the Company for the Participant’s account, and interest may be credited on the amount of cash Dividend Equivalents withheld at a rate and subject to such terms as determined by the Committee. Dividend Equivalents credited to a Participant’s account and attributable to any particular Restricted Stock Unit (and earnings thereon, if applicable) shall be distributed in cash or, at the discretion of the Committee, in shares of Stock having a Fair Market Value equal to</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79" w:right="239" w:bottom="1440" w:gutter="0" w:footer="0" w:header="0"/>
        </w:sectPr>
      </w:pPr>
    </w:p>
    <w:bookmarkStart w:id="316" w:name="page317"/>
    <w:bookmarkEnd w:id="316"/>
    <w:p>
      <w:pPr>
        <w:ind w:left="466"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45" w:lineRule="exact"/>
        <w:rPr>
          <w:sz w:val="20"/>
          <w:szCs w:val="20"/>
          <w:color w:val="auto"/>
        </w:rPr>
      </w:pPr>
    </w:p>
    <w:p>
      <w:pPr>
        <w:ind w:left="706" w:hanging="257"/>
        <w:spacing w:after="0"/>
        <w:tabs>
          <w:tab w:leader="none" w:pos="706" w:val="left"/>
        </w:tabs>
        <w:numPr>
          <w:ilvl w:val="1"/>
          <w:numId w:val="270"/>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46" w:right="100" w:hanging="446"/>
        <w:spacing w:after="0" w:line="284" w:lineRule="auto"/>
        <w:tabs>
          <w:tab w:leader="none" w:pos="44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w:t>
      </w:r>
    </w:p>
    <w:p>
      <w:pPr>
        <w:spacing w:after="0" w:line="1" w:lineRule="exact"/>
        <w:rPr>
          <w:rFonts w:ascii="Arial" w:cs="Arial" w:eastAsia="Arial" w:hAnsi="Arial"/>
          <w:sz w:val="16"/>
          <w:szCs w:val="16"/>
          <w:color w:val="auto"/>
        </w:rPr>
      </w:pPr>
    </w:p>
    <w:p>
      <w:pPr>
        <w:ind w:left="446" w:right="140"/>
        <w:spacing w:after="0" w:line="302" w:lineRule="auto"/>
        <w:rPr>
          <w:rFonts w:ascii="Arial" w:cs="Arial" w:eastAsia="Arial" w:hAnsi="Arial"/>
          <w:sz w:val="16"/>
          <w:szCs w:val="16"/>
          <w:color w:val="auto"/>
        </w:rPr>
      </w:pPr>
      <w:r>
        <w:rPr>
          <w:rFonts w:ascii="Arial" w:cs="Arial" w:eastAsia="Arial" w:hAnsi="Arial"/>
          <w:sz w:val="16"/>
          <w:szCs w:val="16"/>
          <w:color w:val="auto"/>
        </w:rPr>
        <w:t>(C) the shares shall be subject to forfeiture to the extent provided in Section 9(d) and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28" w:lineRule="exact"/>
        <w:rPr>
          <w:rFonts w:ascii="Arial" w:cs="Arial" w:eastAsia="Arial" w:hAnsi="Arial"/>
          <w:sz w:val="16"/>
          <w:szCs w:val="16"/>
          <w:color w:val="auto"/>
        </w:rPr>
      </w:pPr>
    </w:p>
    <w:p>
      <w:pPr>
        <w:ind w:left="446" w:right="240" w:hanging="446"/>
        <w:spacing w:after="0" w:line="298" w:lineRule="auto"/>
        <w:tabs>
          <w:tab w:leader="none" w:pos="44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31" w:lineRule="exact"/>
        <w:rPr>
          <w:rFonts w:ascii="Arial" w:cs="Arial" w:eastAsia="Arial" w:hAnsi="Arial"/>
          <w:sz w:val="16"/>
          <w:szCs w:val="16"/>
          <w:color w:val="auto"/>
        </w:rPr>
      </w:pPr>
    </w:p>
    <w:p>
      <w:pPr>
        <w:jc w:val="both"/>
        <w:ind w:left="446" w:right="120" w:hanging="446"/>
        <w:spacing w:after="0" w:line="259" w:lineRule="auto"/>
        <w:tabs>
          <w:tab w:leader="none" w:pos="44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53" w:lineRule="exact"/>
        <w:rPr>
          <w:rFonts w:ascii="Arial" w:cs="Arial" w:eastAsia="Arial" w:hAnsi="Arial"/>
          <w:sz w:val="18"/>
          <w:szCs w:val="18"/>
          <w:color w:val="auto"/>
        </w:rPr>
      </w:pPr>
    </w:p>
    <w:p>
      <w:pPr>
        <w:ind w:left="6" w:right="140" w:firstLine="443"/>
        <w:spacing w:after="0" w:line="275" w:lineRule="auto"/>
        <w:tabs>
          <w:tab w:leader="none" w:pos="683" w:val="left"/>
        </w:tabs>
        <w:numPr>
          <w:ilvl w:val="1"/>
          <w:numId w:val="271"/>
        </w:numPr>
        <w:rPr>
          <w:rFonts w:ascii="Arial" w:cs="Arial" w:eastAsia="Arial" w:hAnsi="Arial"/>
          <w:sz w:val="18"/>
          <w:szCs w:val="18"/>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With respect to Restricted Stock and Restricted Stock Units, the Restricted Period shall commence on the Date of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end at the time or times set forth on a schedule established by the Committee in the applicable Award agreement.</w:t>
      </w:r>
    </w:p>
    <w:p>
      <w:pPr>
        <w:spacing w:after="0" w:line="38" w:lineRule="exact"/>
        <w:rPr>
          <w:rFonts w:ascii="Arial" w:cs="Arial" w:eastAsia="Arial" w:hAnsi="Arial"/>
          <w:sz w:val="18"/>
          <w:szCs w:val="18"/>
          <w:color w:val="auto"/>
        </w:rPr>
      </w:pPr>
    </w:p>
    <w:p>
      <w:pPr>
        <w:ind w:left="6" w:firstLine="443"/>
        <w:spacing w:after="0" w:line="258" w:lineRule="auto"/>
        <w:tabs>
          <w:tab w:leader="none" w:pos="693" w:val="left"/>
        </w:tabs>
        <w:numPr>
          <w:ilvl w:val="1"/>
          <w:numId w:val="271"/>
        </w:numPr>
        <w:rPr>
          <w:rFonts w:ascii="Arial" w:cs="Arial" w:eastAsia="Arial" w:hAnsi="Arial"/>
          <w:sz w:val="18"/>
          <w:szCs w:val="18"/>
          <w:color w:val="auto"/>
        </w:rPr>
      </w:pPr>
      <w:r>
        <w:rPr>
          <w:rFonts w:ascii="Arial" w:cs="Arial" w:eastAsia="Arial" w:hAnsi="Arial"/>
          <w:sz w:val="18"/>
          <w:szCs w:val="18"/>
          <w:b w:val="1"/>
          <w:bCs w:val="1"/>
          <w:color w:val="auto"/>
        </w:rPr>
        <w:t>Delivery of Restricted Stock and Settlement of Restricted Stock Units</w:t>
      </w:r>
      <w:r>
        <w:rPr>
          <w:rFonts w:ascii="Arial" w:cs="Arial" w:eastAsia="Arial" w:hAnsi="Arial"/>
          <w:sz w:val="18"/>
          <w:szCs w:val="18"/>
          <w:color w:val="auto"/>
        </w:rPr>
        <w:t>. Upon the expiration of the Restricted Period with respect to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w:t>
      </w:r>
    </w:p>
    <w:p>
      <w:pPr>
        <w:spacing w:after="0" w:line="12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6"/>
          </w:cols>
          <w:pgMar w:left="694" w:top="280" w:right="259" w:bottom="1440" w:gutter="0" w:footer="0" w:header="0"/>
        </w:sectPr>
      </w:pPr>
    </w:p>
    <w:bookmarkStart w:id="317" w:name="page318"/>
    <w:bookmarkEnd w:id="317"/>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59" w:lineRule="exact"/>
        <w:rPr>
          <w:sz w:val="20"/>
          <w:szCs w:val="20"/>
          <w:color w:val="auto"/>
        </w:rPr>
      </w:pPr>
    </w:p>
    <w:p>
      <w:pPr>
        <w:ind w:left="460" w:firstLine="420"/>
        <w:spacing w:after="0" w:line="310" w:lineRule="auto"/>
        <w:rPr>
          <w:sz w:val="20"/>
          <w:szCs w:val="20"/>
          <w:color w:val="auto"/>
        </w:rPr>
      </w:pPr>
      <w:r>
        <w:rPr>
          <w:rFonts w:ascii="Arial" w:cs="Arial" w:eastAsia="Arial" w:hAnsi="Arial"/>
          <w:sz w:val="15"/>
          <w:szCs w:val="15"/>
          <w:color w:val="auto"/>
        </w:rPr>
        <w:t>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5"/>
          <w:szCs w:val="15"/>
          <w:u w:val="single" w:color="auto"/>
          <w:color w:val="auto"/>
        </w:rPr>
        <w:t>Vested Unit</w:t>
      </w:r>
      <w:r>
        <w:rPr>
          <w:rFonts w:ascii="Arial" w:cs="Arial" w:eastAsia="Arial" w:hAnsi="Arial"/>
          <w:sz w:val="15"/>
          <w:szCs w:val="15"/>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if explicitly provided in the applicable Award agreement,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21" w:lineRule="exact"/>
        <w:rPr>
          <w:sz w:val="20"/>
          <w:szCs w:val="20"/>
          <w:color w:val="auto"/>
        </w:rPr>
      </w:pPr>
    </w:p>
    <w:p>
      <w:pPr>
        <w:ind w:right="40" w:firstLine="443"/>
        <w:spacing w:after="0" w:line="338" w:lineRule="auto"/>
        <w:tabs>
          <w:tab w:leader="none" w:pos="677"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Stock Restrictions</w:t>
      </w:r>
      <w:r>
        <w:rPr>
          <w:rFonts w:ascii="Arial" w:cs="Arial" w:eastAsia="Arial" w:hAnsi="Arial"/>
          <w:sz w:val="16"/>
          <w:szCs w:val="16"/>
          <w:color w:val="auto"/>
        </w:rPr>
        <w:t>. Each certificate representing Restricted Stock awarded under the Sub Plan shall bear a legend substantially in the form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until the lapse of all restrictions with respect to such Stock as well as any other information the Company deems appropriate:</w:t>
      </w:r>
    </w:p>
    <w:p>
      <w:pPr>
        <w:spacing w:after="0" w:line="1" w:lineRule="exact"/>
        <w:rPr>
          <w:sz w:val="20"/>
          <w:szCs w:val="20"/>
          <w:color w:val="auto"/>
        </w:rPr>
      </w:pPr>
    </w:p>
    <w:p>
      <w:pPr>
        <w:ind w:left="460" w:right="80"/>
        <w:spacing w:after="0" w:line="289" w:lineRule="auto"/>
        <w:rPr>
          <w:sz w:val="20"/>
          <w:szCs w:val="20"/>
          <w:color w:val="auto"/>
        </w:rPr>
      </w:pPr>
      <w:r>
        <w:rPr>
          <w:rFonts w:ascii="Arial" w:cs="Arial" w:eastAsia="Arial" w:hAnsi="Arial"/>
          <w:sz w:val="16"/>
          <w:szCs w:val="16"/>
          <w:color w:val="auto"/>
        </w:rPr>
        <w:t>THE SHARES OF STOCK REPRESENTED BY THIS CERTIFICATE ARE SUBJECT TO RESTRICTIONS ON TRANSFER SET FORTH IN THE EXLSERVICE HOLDINGS, INC. 2006 OMNIBUS INDIA SUB PLAN 2, A CERTAIN RESTRICTED STOCK AWARD AGREEMENT BETWEEN EXLSERVICE HOLDINGS, INC. AND THE REGISTERED OWNER OF THIS CERTIFICATE (OR HIS PREDECESSOR IN INTEREST) AND THE STOCKHOLDER AGREEMENT TO WHICH EXLSERVICE HOLDINGS, INC. AND THE REGISTERED OWNER OF THIS CERTIFICATE (OR HIS PREDECESSOR IN INTEREST) ARE PARTIES, WHICH SUB PLAN AND AGREEMENTS ARE BINDING UPON ANY AND ALL OWNERS OF ANY INTEREST IN SAID SHARES. SAID SUB PLAN AND AGREEMENTS ARE AVAILABLE FOR INSPECTION WITHOUT CHARGE AT THE PRINCIPAL OFFICE OF EXLSERVICE HOLDINGS, INC. AND COPIES THEREOF WILL BE FURNISHED WITHOUT CHARGE TO ANY OWNER OF SAID SHARES UPON REQUEST.</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9" w:right="239" w:bottom="1440" w:gutter="0" w:footer="0" w:header="0"/>
        </w:sectPr>
      </w:pPr>
    </w:p>
    <w:bookmarkStart w:id="318" w:name="page319"/>
    <w:bookmarkEnd w:id="318"/>
    <w:p>
      <w:pPr>
        <w:ind w:left="9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REPRESENTED BY THIS CERTIFICATE HAVE NOT BEEN REGISTERED UNDER THE SECURITIES ACT OF 1933, AS AMENDED (THE “SECURITIES ACT”),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66" w:lineRule="exact"/>
        <w:rPr>
          <w:sz w:val="20"/>
          <w:szCs w:val="20"/>
          <w:color w:val="auto"/>
        </w:rPr>
      </w:pPr>
    </w:p>
    <w:p>
      <w:pPr>
        <w:ind w:left="920" w:right="260"/>
        <w:spacing w:after="0" w:line="286" w:lineRule="auto"/>
        <w:rPr>
          <w:sz w:val="20"/>
          <w:szCs w:val="20"/>
          <w:color w:val="auto"/>
        </w:rPr>
      </w:pPr>
      <w:r>
        <w:rPr>
          <w:rFonts w:ascii="Arial" w:cs="Arial" w:eastAsia="Arial" w:hAnsi="Arial"/>
          <w:sz w:val="16"/>
          <w:szCs w:val="16"/>
          <w:color w:val="auto"/>
        </w:rPr>
        <w:t>THE SALE, ASSIGNMENT, HYPOTHECATION, PLEDGE, ENCUMBRANCE OR OTHER DISPOSITION (EACH A “TRANSFER”) AND VOTING OF ANY OF THE SECURITIES REPRESENTED BY THIS CERTIFICATE ARE RESTRICTED BY THE TERMS OF A CERTAIN</w:t>
      </w:r>
    </w:p>
    <w:tbl>
      <w:tblPr>
        <w:tblLayout w:type="fixed"/>
        <w:tblInd w:w="920" w:type="dxa"/>
        <w:tblCellMar>
          <w:top w:w="0" w:type="dxa"/>
          <w:left w:w="0" w:type="dxa"/>
          <w:bottom w:w="0" w:type="dxa"/>
          <w:right w:w="0" w:type="dxa"/>
        </w:tblCellMar>
      </w:tblPr>
      <w:tr>
        <w:trPr>
          <w:trHeight w:val="178"/>
        </w:trPr>
        <w:tc>
          <w:tcPr>
            <w:tcW w:w="3640" w:type="dxa"/>
            <w:vAlign w:val="bottom"/>
            <w:gridSpan w:val="3"/>
          </w:tcPr>
          <w:p>
            <w:pPr>
              <w:spacing w:after="0" w:line="177" w:lineRule="exact"/>
              <w:rPr>
                <w:sz w:val="20"/>
                <w:szCs w:val="20"/>
                <w:color w:val="auto"/>
              </w:rPr>
            </w:pPr>
            <w:r>
              <w:rPr>
                <w:rFonts w:ascii="Arial" w:cs="Arial" w:eastAsia="Arial" w:hAnsi="Arial"/>
                <w:sz w:val="18"/>
                <w:szCs w:val="18"/>
                <w:color w:val="auto"/>
                <w:w w:val="93"/>
              </w:rPr>
              <w:t>STOCKHOLDER AGREEMENT, DATED AS OF</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180" w:type="dxa"/>
            <w:vAlign w:val="bottom"/>
          </w:tcPr>
          <w:p>
            <w:pPr>
              <w:spacing w:after="0" w:line="177" w:lineRule="exact"/>
              <w:rPr>
                <w:sz w:val="20"/>
                <w:szCs w:val="20"/>
                <w:color w:val="auto"/>
              </w:rPr>
            </w:pPr>
            <w:r>
              <w:rPr>
                <w:rFonts w:ascii="Arial" w:cs="Arial" w:eastAsia="Arial" w:hAnsi="Arial"/>
                <w:sz w:val="18"/>
                <w:szCs w:val="18"/>
                <w:color w:val="auto"/>
                <w:w w:val="97"/>
              </w:rPr>
              <w:t>, 2006, BY AND BETWEEN EXLSERVICE HOLDINGS, INC. (THE</w:t>
            </w: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w w:val="99"/>
              </w:rPr>
              <w:t>“COMPANY”) AND</w:t>
            </w:r>
          </w:p>
        </w:tc>
        <w:tc>
          <w:tcPr>
            <w:tcW w:w="880" w:type="dxa"/>
            <w:vAlign w:val="bottom"/>
            <w:tcBorders>
              <w:bottom w:val="single" w:sz="8" w:color="auto"/>
            </w:tcBorders>
          </w:tcPr>
          <w:p>
            <w:pPr>
              <w:spacing w:after="0"/>
              <w:rPr>
                <w:sz w:val="17"/>
                <w:szCs w:val="17"/>
                <w:color w:val="auto"/>
              </w:rPr>
            </w:pPr>
          </w:p>
        </w:tc>
        <w:tc>
          <w:tcPr>
            <w:tcW w:w="750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2"/>
              </w:rPr>
              <w:t>AND THE AMENDED AND RESTATED CERTIFICATE OF INCORPORATION OF THE COMPANY,</w:t>
            </w:r>
          </w:p>
        </w:tc>
      </w:tr>
    </w:tbl>
    <w:p>
      <w:pPr>
        <w:spacing w:after="0" w:line="19"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color w:val="auto"/>
        </w:rPr>
        <w:t>COPIES OF WHICH MAY BE INSPECTED AT THE COMPANY’S PRINCIPAL OFFICE. THE COMPANY WILL NOT REGISTER THE TRANSFER OF SUCH SECURITIES ON THE BOOKS OF THE COMPANY UNLESS AND UNTIL THE TRANSFER HAS BEEN MADE IN COMPLIANCE WITH THE TERMS OF SUCH STOCK PURCHASE AGREEMENT AND THE AMENDED AND RESTATED CERTIFICATE OF INCORPORATION.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87" w:lineRule="exact"/>
        <w:rPr>
          <w:sz w:val="20"/>
          <w:szCs w:val="20"/>
          <w:color w:val="auto"/>
        </w:rPr>
      </w:pPr>
    </w:p>
    <w:p>
      <w:pPr>
        <w:ind w:left="900" w:hanging="446"/>
        <w:spacing w:after="0"/>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The Committee may issue unrestricted Stock, or other Awards denominated in Stock, under the Sub Plan to Sub Plan Eligible Persons, alone or in tandem with other Awards, in such amounts and subject to such terms and conditions as the Committee shall from time to time in its sole discretion determine. A Stock Bonus Award under the Sub Plan shall be granted as, or in payment of, a bonus, or to provide incentives or recognize special achievements or contributions.</w:t>
      </w:r>
    </w:p>
    <w:p>
      <w:pPr>
        <w:spacing w:after="0" w:line="204" w:lineRule="exact"/>
        <w:rPr>
          <w:sz w:val="20"/>
          <w:szCs w:val="20"/>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319" w:name="page320"/>
    <w:bookmarkEnd w:id="319"/>
    <w:p>
      <w:pPr>
        <w:ind w:left="6" w:right="220" w:firstLine="443"/>
        <w:spacing w:after="0" w:line="290" w:lineRule="auto"/>
        <w:tabs>
          <w:tab w:leader="none" w:pos="683" w:val="left"/>
        </w:tabs>
        <w:numPr>
          <w:ilvl w:val="2"/>
          <w:numId w:val="27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w:t>
      </w:r>
      <w:r>
        <w:rPr>
          <w:rFonts w:ascii="Arial" w:cs="Arial" w:eastAsia="Arial" w:hAnsi="Arial"/>
          <w:sz w:val="16"/>
          <w:szCs w:val="16"/>
          <w:color w:val="auto"/>
        </w:rPr>
        <w:t>. The Committee shall have the authority, at the time of grant of any Award described in Sections 7 through 10 (other than Options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Appreciation Rights granted with an exercise price or grant price, as the case may be, equal to or greater than the Fair Market Value per share of Stock on the date of grant), to designate such Award as a Performance Compensation Award in order to qualify such Award as “performance-based compensation” under Section 162(m) of the Code. The Committee shall have the authority to grant cash bonuses under the Sub Plan with the intent that such bonuses shall qualify for the exemption from Section 162(m) of the Code provided pursuant to Treasury Regulation Section 1.162-27(f)(1), for the reliance period described in Treasury Regulation Section 1.162-27(f)(2).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31" w:lineRule="exact"/>
        <w:rPr>
          <w:rFonts w:ascii="Arial" w:cs="Arial" w:eastAsia="Arial" w:hAnsi="Arial"/>
          <w:sz w:val="16"/>
          <w:szCs w:val="16"/>
          <w:color w:val="auto"/>
        </w:rPr>
      </w:pPr>
    </w:p>
    <w:p>
      <w:pPr>
        <w:ind w:left="6" w:right="20" w:firstLine="443"/>
        <w:spacing w:after="0" w:line="289" w:lineRule="auto"/>
        <w:tabs>
          <w:tab w:leader="none" w:pos="693" w:val="left"/>
        </w:tabs>
        <w:numPr>
          <w:ilvl w:val="2"/>
          <w:numId w:val="275"/>
        </w:numPr>
        <w:rPr>
          <w:rFonts w:ascii="Arial" w:cs="Arial" w:eastAsia="Arial" w:hAnsi="Arial"/>
          <w:sz w:val="16"/>
          <w:szCs w:val="16"/>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 The Committee will, in its sole discretion, designate within the first 90 days of a Performance Period (or, if longer or shorter,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31" w:lineRule="exact"/>
        <w:rPr>
          <w:rFonts w:ascii="Arial" w:cs="Arial" w:eastAsia="Arial" w:hAnsi="Arial"/>
          <w:sz w:val="16"/>
          <w:szCs w:val="16"/>
          <w:color w:val="auto"/>
        </w:rPr>
      </w:pPr>
    </w:p>
    <w:p>
      <w:pPr>
        <w:ind w:left="6" w:right="400" w:firstLine="443"/>
        <w:spacing w:after="0" w:line="309" w:lineRule="auto"/>
        <w:tabs>
          <w:tab w:leader="none" w:pos="683" w:val="left"/>
        </w:tabs>
        <w:numPr>
          <w:ilvl w:val="2"/>
          <w:numId w:val="275"/>
        </w:numPr>
        <w:rPr>
          <w:rFonts w:ascii="Arial" w:cs="Arial" w:eastAsia="Arial" w:hAnsi="Arial"/>
          <w:sz w:val="15"/>
          <w:szCs w:val="15"/>
          <w:color w:val="auto"/>
        </w:rPr>
      </w:pPr>
      <w:r>
        <w:rPr>
          <w:rFonts w:ascii="Arial" w:cs="Arial" w:eastAsia="Arial" w:hAnsi="Arial"/>
          <w:sz w:val="15"/>
          <w:szCs w:val="15"/>
          <w:b w:val="1"/>
          <w:bCs w:val="1"/>
          <w:color w:val="auto"/>
        </w:rPr>
        <w:t>Discretion of Committee with Respect to Performance Compensation Awards</w:t>
      </w:r>
      <w:r>
        <w:rPr>
          <w:rFonts w:ascii="Arial" w:cs="Arial" w:eastAsia="Arial" w:hAnsi="Arial"/>
          <w:sz w:val="15"/>
          <w:szCs w:val="15"/>
          <w:color w:val="auto"/>
        </w:rPr>
        <w:t>. With regard to a particular Performance Period,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shall have full discretion to select the length of such Performance Period (provided any such Performance Period shall be not less than one</w:t>
      </w:r>
    </w:p>
    <w:p>
      <w:pPr>
        <w:ind w:left="6" w:firstLine="4"/>
        <w:spacing w:after="0" w:line="292" w:lineRule="auto"/>
        <w:tabs>
          <w:tab w:leader="none" w:pos="25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29" w:lineRule="exact"/>
        <w:rPr>
          <w:rFonts w:ascii="Arial" w:cs="Arial" w:eastAsia="Arial" w:hAnsi="Arial"/>
          <w:sz w:val="16"/>
          <w:szCs w:val="16"/>
          <w:color w:val="auto"/>
        </w:rPr>
      </w:pPr>
    </w:p>
    <w:p>
      <w:pPr>
        <w:ind w:left="706" w:hanging="257"/>
        <w:spacing w:after="0"/>
        <w:tabs>
          <w:tab w:leader="none" w:pos="706" w:val="left"/>
        </w:tabs>
        <w:numPr>
          <w:ilvl w:val="2"/>
          <w:numId w:val="276"/>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Condition to Receipt of Payment</w:t>
      </w:r>
      <w:r>
        <w:rPr>
          <w:rFonts w:ascii="Arial" w:cs="Arial" w:eastAsia="Arial" w:hAnsi="Arial"/>
          <w:sz w:val="18"/>
          <w:szCs w:val="18"/>
          <w:color w:val="auto"/>
        </w:rPr>
        <w:t>. Unless otherwise provided in the applicable Award agreement, a Participant must be employed</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6"/>
          </w:cols>
          <w:pgMar w:left="694" w:top="274" w:right="239" w:bottom="1440" w:gutter="0" w:footer="0" w:header="0"/>
        </w:sectPr>
      </w:pPr>
    </w:p>
    <w:bookmarkStart w:id="320" w:name="page321"/>
    <w:bookmarkEnd w:id="320"/>
    <w:p>
      <w:pPr>
        <w:ind w:left="466"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Company on the last day of a Performance Period to be eligible for payment in respect of a Performance Compensation Award for such Performance Period.</w:t>
      </w:r>
    </w:p>
    <w:p>
      <w:pPr>
        <w:spacing w:after="0" w:line="45" w:lineRule="exact"/>
        <w:rPr>
          <w:sz w:val="20"/>
          <w:szCs w:val="20"/>
          <w:color w:val="auto"/>
        </w:rPr>
      </w:pPr>
    </w:p>
    <w:p>
      <w:pPr>
        <w:ind w:left="446" w:right="80" w:hanging="446"/>
        <w:spacing w:after="0" w:line="310" w:lineRule="auto"/>
        <w:tabs>
          <w:tab w:leader="none" w:pos="446"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Limitation</w:t>
      </w:r>
      <w:r>
        <w:rPr>
          <w:rFonts w:ascii="Arial" w:cs="Arial" w:eastAsia="Arial" w:hAnsi="Arial"/>
          <w:sz w:val="16"/>
          <w:szCs w:val="16"/>
          <w:color w:val="auto"/>
        </w:rPr>
        <w:t>. A Participant shall be eligible to receive payment in respect of a Performance Compensation Award only to the extent that: (A)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Goals for such period are achieved; and (B) the Performance Formula as applied against such Performance Goals determines that all or some portion of such Participant’s Performance Award has been earned for the Performance Period.</w:t>
      </w:r>
    </w:p>
    <w:p>
      <w:pPr>
        <w:spacing w:after="0" w:line="16" w:lineRule="exact"/>
        <w:rPr>
          <w:rFonts w:ascii="Arial" w:cs="Arial" w:eastAsia="Arial" w:hAnsi="Arial"/>
          <w:sz w:val="16"/>
          <w:szCs w:val="16"/>
          <w:color w:val="auto"/>
        </w:rPr>
      </w:pPr>
    </w:p>
    <w:p>
      <w:pPr>
        <w:ind w:left="446" w:right="40" w:hanging="446"/>
        <w:spacing w:after="0" w:line="256"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Certification</w:t>
      </w:r>
      <w:r>
        <w:rPr>
          <w:rFonts w:ascii="Arial" w:cs="Arial" w:eastAsia="Arial" w:hAnsi="Arial"/>
          <w:sz w:val="18"/>
          <w:szCs w:val="18"/>
          <w:color w:val="auto"/>
        </w:rPr>
        <w:t>. Following the completion of a Performance Period, the Committee shall review and certify in writing whether, and to what extent,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57" w:lineRule="exact"/>
        <w:rPr>
          <w:rFonts w:ascii="Arial" w:cs="Arial" w:eastAsia="Arial" w:hAnsi="Arial"/>
          <w:sz w:val="18"/>
          <w:szCs w:val="18"/>
          <w:color w:val="auto"/>
        </w:rPr>
      </w:pPr>
    </w:p>
    <w:p>
      <w:pPr>
        <w:ind w:left="446" w:right="80" w:hanging="446"/>
        <w:spacing w:after="0" w:line="255"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Use of Discretion</w:t>
      </w:r>
      <w:r>
        <w:rPr>
          <w:rFonts w:ascii="Arial" w:cs="Arial" w:eastAsia="Arial" w:hAnsi="Arial"/>
          <w:sz w:val="18"/>
          <w:szCs w:val="18"/>
          <w:color w:val="auto"/>
        </w:rPr>
        <w:t>. In determining the actual size of an individual Performance Award for a Performance Period, the Committee may reduce or</w:t>
      </w:r>
      <w:r>
        <w:rPr>
          <w:rFonts w:ascii="Arial" w:cs="Arial" w:eastAsia="Arial" w:hAnsi="Arial"/>
          <w:sz w:val="18"/>
          <w:szCs w:val="18"/>
          <w:b w:val="1"/>
          <w:bCs w:val="1"/>
          <w:color w:val="auto"/>
        </w:rPr>
        <w:t xml:space="preserve"> </w:t>
      </w:r>
      <w:r>
        <w:rPr>
          <w:rFonts w:ascii="Arial" w:cs="Arial" w:eastAsia="Arial" w:hAnsi="Arial"/>
          <w:sz w:val="18"/>
          <w:szCs w:val="18"/>
          <w:color w:val="auto"/>
        </w:rPr>
        <w:t>eliminate the amount of the Performance Compensation Award earned under the Performance Formula in the Performance Period through the use of Negative Discretion if, in its sole judgment, such reduction or elimination is appropriate. The Committee shall not have the discretion to (a) 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Sub Plan.</w:t>
      </w:r>
    </w:p>
    <w:p>
      <w:pPr>
        <w:spacing w:after="0" w:line="58" w:lineRule="exact"/>
        <w:rPr>
          <w:rFonts w:ascii="Arial" w:cs="Arial" w:eastAsia="Arial" w:hAnsi="Arial"/>
          <w:sz w:val="18"/>
          <w:szCs w:val="18"/>
          <w:color w:val="auto"/>
        </w:rPr>
      </w:pPr>
    </w:p>
    <w:p>
      <w:pPr>
        <w:ind w:left="446" w:right="700" w:hanging="446"/>
        <w:spacing w:after="0" w:line="275"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Timing of Award Payments</w:t>
      </w:r>
      <w:r>
        <w:rPr>
          <w:rFonts w:ascii="Arial" w:cs="Arial" w:eastAsia="Arial" w:hAnsi="Arial"/>
          <w:sz w:val="18"/>
          <w:szCs w:val="18"/>
          <w:color w:val="auto"/>
        </w:rPr>
        <w:t>. 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38" w:lineRule="exact"/>
        <w:rPr>
          <w:rFonts w:ascii="Arial" w:cs="Arial" w:eastAsia="Arial" w:hAnsi="Arial"/>
          <w:sz w:val="18"/>
          <w:szCs w:val="18"/>
          <w:color w:val="auto"/>
        </w:rPr>
      </w:pPr>
    </w:p>
    <w:p>
      <w:pPr>
        <w:ind w:left="446" w:hanging="446"/>
        <w:spacing w:after="0" w:line="301" w:lineRule="auto"/>
        <w:tabs>
          <w:tab w:leader="none" w:pos="446"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Maximum Award Payable</w:t>
      </w:r>
      <w:r>
        <w:rPr>
          <w:rFonts w:ascii="Arial" w:cs="Arial" w:eastAsia="Arial" w:hAnsi="Arial"/>
          <w:sz w:val="16"/>
          <w:szCs w:val="16"/>
          <w:color w:val="auto"/>
        </w:rPr>
        <w:t>. Notwithstanding any provision contained in this Sub Plan to the contrary, the maximum Performance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Award payable to any one Participant under the Sub Plan for a Performance Period is 250,000 shares of Stock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w:t>
      </w:r>
    </w:p>
    <w:p>
      <w:pPr>
        <w:spacing w:after="0" w:line="9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6"/>
          </w:cols>
          <w:pgMar w:left="694" w:top="280" w:right="259" w:bottom="1440" w:gutter="0" w:footer="0" w:header="0"/>
        </w:sectPr>
      </w:pPr>
    </w:p>
    <w:bookmarkStart w:id="321" w:name="page322"/>
    <w:bookmarkEnd w:id="321"/>
    <w:p>
      <w:pPr>
        <w:ind w:left="46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bonus Award described in the last sentence of Section 11(a) shall be $1,000,000.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231" w:lineRule="exact"/>
        <w:rPr>
          <w:sz w:val="20"/>
          <w:szCs w:val="20"/>
          <w:color w:val="auto"/>
        </w:rPr>
      </w:pPr>
    </w:p>
    <w:p>
      <w:pPr>
        <w:ind w:left="446" w:hanging="446"/>
        <w:spacing w:after="0"/>
        <w:tabs>
          <w:tab w:leader="none" w:pos="446"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rFonts w:ascii="Arial" w:cs="Arial" w:eastAsia="Arial" w:hAnsi="Arial"/>
          <w:sz w:val="18"/>
          <w:szCs w:val="18"/>
          <w:color w:val="auto"/>
        </w:rPr>
      </w:pPr>
    </w:p>
    <w:p>
      <w:pPr>
        <w:ind w:left="6" w:right="100" w:firstLine="443"/>
        <w:spacing w:after="0" w:line="283" w:lineRule="auto"/>
        <w:tabs>
          <w:tab w:leader="none" w:pos="683" w:val="left"/>
        </w:tabs>
        <w:numPr>
          <w:ilvl w:val="1"/>
          <w:numId w:val="279"/>
        </w:numPr>
        <w:rPr>
          <w:rFonts w:ascii="Arial" w:cs="Arial" w:eastAsia="Arial" w:hAnsi="Arial"/>
          <w:sz w:val="16"/>
          <w:szCs w:val="16"/>
          <w:color w:val="auto"/>
        </w:rPr>
      </w:pPr>
      <w:r>
        <w:rPr>
          <w:rFonts w:ascii="Arial" w:cs="Arial" w:eastAsia="Arial" w:hAnsi="Arial"/>
          <w:sz w:val="16"/>
          <w:szCs w:val="16"/>
          <w:b w:val="1"/>
          <w:bCs w:val="1"/>
          <w:color w:val="auto"/>
        </w:rPr>
        <w:t>Additional Provisions of an Award</w:t>
      </w:r>
      <w:r>
        <w:rPr>
          <w:rFonts w:ascii="Arial" w:cs="Arial" w:eastAsia="Arial" w:hAnsi="Arial"/>
          <w:sz w:val="16"/>
          <w:szCs w:val="16"/>
          <w:color w:val="auto"/>
        </w:rPr>
        <w:t>. Awards to a Participant under the Sub Plan also may be subject to such other provisions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those provisions of Section 9 providing for the payment of dividends with respect to Restricted Stock and Dividend Equivalents with respect to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Federal and state tax withholding requirements and the applicable Indian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deferral does not result in acceleration of taxability of an Award prior to receipt, or tax penalties, under</w:t>
      </w:r>
    </w:p>
    <w:p>
      <w:pPr>
        <w:spacing w:after="0" w:line="3"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8"/>
          <w:szCs w:val="18"/>
          <w:color w:val="auto"/>
        </w:rPr>
        <w:t>Section 409A of the Code or the Act. Any such provisions shall be reflected in the applicable Award agreement.</w:t>
      </w:r>
    </w:p>
    <w:p>
      <w:pPr>
        <w:spacing w:after="0" w:line="77" w:lineRule="exact"/>
        <w:rPr>
          <w:rFonts w:ascii="Arial" w:cs="Arial" w:eastAsia="Arial" w:hAnsi="Arial"/>
          <w:sz w:val="16"/>
          <w:szCs w:val="16"/>
          <w:color w:val="auto"/>
        </w:rPr>
      </w:pPr>
    </w:p>
    <w:p>
      <w:pPr>
        <w:ind w:left="6" w:right="580" w:firstLine="443"/>
        <w:spacing w:after="0" w:line="334" w:lineRule="auto"/>
        <w:tabs>
          <w:tab w:leader="none" w:pos="693" w:val="left"/>
        </w:tabs>
        <w:numPr>
          <w:ilvl w:val="1"/>
          <w:numId w:val="279"/>
        </w:numPr>
        <w:rPr>
          <w:rFonts w:ascii="Arial" w:cs="Arial" w:eastAsia="Arial" w:hAnsi="Arial"/>
          <w:sz w:val="16"/>
          <w:szCs w:val="16"/>
          <w:color w:val="auto"/>
        </w:rPr>
      </w:pPr>
      <w:r>
        <w:rPr>
          <w:rFonts w:ascii="Arial" w:cs="Arial" w:eastAsia="Arial" w:hAnsi="Arial"/>
          <w:sz w:val="16"/>
          <w:szCs w:val="16"/>
          <w:b w:val="1"/>
          <w:bCs w:val="1"/>
          <w:color w:val="auto"/>
        </w:rPr>
        <w:t>Privileges of Stock Ownership</w:t>
      </w:r>
      <w:r>
        <w:rPr>
          <w:rFonts w:ascii="Arial" w:cs="Arial" w:eastAsia="Arial" w:hAnsi="Arial"/>
          <w:sz w:val="16"/>
          <w:szCs w:val="16"/>
          <w:color w:val="auto"/>
        </w:rPr>
        <w:t>. Except as otherwise specifically provided in the Sub Plan, no person shall be entitled to the privileges of</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in respect of shares of Stock which are subject to Awards hereunder until such shares have been issued to that person.</w:t>
      </w:r>
    </w:p>
    <w:p>
      <w:pPr>
        <w:spacing w:after="0" w:line="1" w:lineRule="exact"/>
        <w:rPr>
          <w:rFonts w:ascii="Arial" w:cs="Arial" w:eastAsia="Arial" w:hAnsi="Arial"/>
          <w:sz w:val="16"/>
          <w:szCs w:val="16"/>
          <w:color w:val="auto"/>
        </w:rPr>
      </w:pPr>
    </w:p>
    <w:p>
      <w:pPr>
        <w:ind w:left="6" w:firstLine="443"/>
        <w:spacing w:after="0" w:line="296" w:lineRule="auto"/>
        <w:tabs>
          <w:tab w:leader="none" w:pos="683" w:val="left"/>
        </w:tabs>
        <w:numPr>
          <w:ilvl w:val="1"/>
          <w:numId w:val="279"/>
        </w:numPr>
        <w:rPr>
          <w:rFonts w:ascii="Arial" w:cs="Arial" w:eastAsia="Arial" w:hAnsi="Arial"/>
          <w:sz w:val="16"/>
          <w:szCs w:val="16"/>
          <w:color w:val="auto"/>
        </w:rPr>
      </w:pPr>
      <w:r>
        <w:rPr>
          <w:rFonts w:ascii="Arial" w:cs="Arial" w:eastAsia="Arial" w:hAnsi="Arial"/>
          <w:sz w:val="16"/>
          <w:szCs w:val="16"/>
          <w:b w:val="1"/>
          <w:bCs w:val="1"/>
          <w:color w:val="auto"/>
        </w:rPr>
        <w:t>Government and Other Regulations</w:t>
      </w:r>
      <w:r>
        <w:rPr>
          <w:rFonts w:ascii="Arial" w:cs="Arial" w:eastAsia="Arial" w:hAnsi="Arial"/>
          <w:sz w:val="16"/>
          <w:szCs w:val="16"/>
          <w:color w:val="auto"/>
        </w:rPr>
        <w:t>. The obligation of the Company to settle Awards in Stock shall be subject to all applicable laws,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w:t>
      </w:r>
    </w:p>
    <w:p>
      <w:pPr>
        <w:spacing w:after="0" w:line="10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6"/>
          </w:cols>
          <w:pgMar w:left="694" w:top="280" w:right="239" w:bottom="1440" w:gutter="0" w:footer="0" w:header="0"/>
        </w:sectPr>
      </w:pPr>
    </w:p>
    <w:bookmarkStart w:id="322" w:name="page323"/>
    <w:bookmarkEnd w:id="322"/>
    <w:p>
      <w:pPr>
        <w:ind w:left="6"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Sub Plan. If the shares of Stock offered for sale or sold under the Sub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56" w:lineRule="exact"/>
        <w:rPr>
          <w:sz w:val="20"/>
          <w:szCs w:val="20"/>
          <w:color w:val="auto"/>
        </w:rPr>
      </w:pPr>
    </w:p>
    <w:p>
      <w:pPr>
        <w:ind w:left="706" w:hanging="257"/>
        <w:spacing w:after="0"/>
        <w:tabs>
          <w:tab w:leader="none" w:pos="706" w:val="left"/>
        </w:tabs>
        <w:numPr>
          <w:ilvl w:val="1"/>
          <w:numId w:val="280"/>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the Indian Subsidiaries, and the Company or the Indian Subsidiaries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Sub Plan and to take such other action as may be necessary in the opinion of the Company to satisfy all obligations for the payment of such withholding and taxes.</w:t>
      </w:r>
    </w:p>
    <w:p>
      <w:pPr>
        <w:spacing w:after="0" w:line="34" w:lineRule="exact"/>
        <w:rPr>
          <w:rFonts w:ascii="Arial" w:cs="Arial" w:eastAsia="Arial" w:hAnsi="Arial"/>
          <w:sz w:val="16"/>
          <w:szCs w:val="16"/>
          <w:color w:val="auto"/>
        </w:rPr>
      </w:pPr>
    </w:p>
    <w:p>
      <w:pPr>
        <w:ind w:left="446" w:right="140" w:hanging="446"/>
        <w:spacing w:after="0" w:line="294" w:lineRule="auto"/>
        <w:tabs>
          <w:tab w:leader="none" w:pos="44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Committee may, in its sole discretion, permit a Participant to satisfy, in whole or in part, the foregoing withholding liability (but no more than the minimum required withholding liability) by (A) the delivery of Mature Shares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 (but no more than the minimum required withholding liability).</w:t>
      </w:r>
    </w:p>
    <w:p>
      <w:pPr>
        <w:spacing w:after="0" w:line="28" w:lineRule="exact"/>
        <w:rPr>
          <w:rFonts w:ascii="Arial" w:cs="Arial" w:eastAsia="Arial" w:hAnsi="Arial"/>
          <w:sz w:val="16"/>
          <w:szCs w:val="16"/>
          <w:color w:val="auto"/>
        </w:rPr>
      </w:pPr>
    </w:p>
    <w:p>
      <w:pPr>
        <w:ind w:left="6" w:right="180" w:firstLine="443"/>
        <w:spacing w:after="0" w:line="258" w:lineRule="auto"/>
        <w:tabs>
          <w:tab w:leader="none" w:pos="683" w:val="left"/>
        </w:tabs>
        <w:numPr>
          <w:ilvl w:val="1"/>
          <w:numId w:val="281"/>
        </w:numPr>
        <w:rPr>
          <w:rFonts w:ascii="Arial" w:cs="Arial" w:eastAsia="Arial" w:hAnsi="Arial"/>
          <w:sz w:val="18"/>
          <w:szCs w:val="18"/>
          <w:color w:val="auto"/>
        </w:rPr>
      </w:pPr>
      <w:r>
        <w:rPr>
          <w:rFonts w:ascii="Arial" w:cs="Arial" w:eastAsia="Arial" w:hAnsi="Arial"/>
          <w:sz w:val="18"/>
          <w:szCs w:val="18"/>
          <w:b w:val="1"/>
          <w:bCs w:val="1"/>
          <w:color w:val="auto"/>
        </w:rPr>
        <w:t>Claim to Awards and Employment Rights</w:t>
      </w:r>
      <w:r>
        <w:rPr>
          <w:rFonts w:ascii="Arial" w:cs="Arial" w:eastAsia="Arial" w:hAnsi="Arial"/>
          <w:sz w:val="18"/>
          <w:szCs w:val="18"/>
          <w:color w:val="auto"/>
        </w:rPr>
        <w:t>. No employee of the Company or the Indian Subsidiary, or other person, shall have any claim or</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be granted an Award under the Sub Plan or, having been selected for the grant of an Award, to be selected for a grant of any other Award. Neither the Sub Plan nor any action taken hereunder shall be construed as giving any Participant any right to be retained in the employment or service of the Company, the Indian Subsidiaries or their affiliates.</w:t>
      </w:r>
    </w:p>
    <w:p>
      <w:pPr>
        <w:spacing w:after="0" w:line="55" w:lineRule="exact"/>
        <w:rPr>
          <w:rFonts w:ascii="Arial" w:cs="Arial" w:eastAsia="Arial" w:hAnsi="Arial"/>
          <w:sz w:val="18"/>
          <w:szCs w:val="18"/>
          <w:color w:val="auto"/>
        </w:rPr>
      </w:pPr>
    </w:p>
    <w:p>
      <w:pPr>
        <w:ind w:left="6" w:right="340" w:firstLine="443"/>
        <w:spacing w:after="0" w:line="310" w:lineRule="auto"/>
        <w:tabs>
          <w:tab w:leader="none" w:pos="664" w:val="left"/>
        </w:tabs>
        <w:numPr>
          <w:ilvl w:val="1"/>
          <w:numId w:val="281"/>
        </w:numPr>
        <w:rPr>
          <w:rFonts w:ascii="Arial" w:cs="Arial" w:eastAsia="Arial" w:hAnsi="Arial"/>
          <w:sz w:val="16"/>
          <w:szCs w:val="16"/>
          <w:color w:val="auto"/>
        </w:rPr>
      </w:pPr>
      <w:r>
        <w:rPr>
          <w:rFonts w:ascii="Arial" w:cs="Arial" w:eastAsia="Arial" w:hAnsi="Arial"/>
          <w:sz w:val="16"/>
          <w:szCs w:val="16"/>
          <w:b w:val="1"/>
          <w:bCs w:val="1"/>
          <w:color w:val="auto"/>
        </w:rPr>
        <w:t>Designation and Change of Beneficiary</w:t>
      </w:r>
      <w:r>
        <w:rPr>
          <w:rFonts w:ascii="Arial" w:cs="Arial" w:eastAsia="Arial" w:hAnsi="Arial"/>
          <w:sz w:val="16"/>
          <w:szCs w:val="16"/>
          <w:color w:val="auto"/>
        </w:rPr>
        <w:t>. Each Participant may file with the Committee a written designation of one or more persons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beneficiary who shall be entitled to receive the amounts payable with respect to an Award, if any, due under the Sub Plan upon his death. A Participant may, from time to time, revoke or change his beneficiary designation without the consent of any prior</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6"/>
          </w:cols>
          <w:pgMar w:left="694" w:top="279" w:right="259" w:bottom="1440" w:gutter="0" w:footer="0" w:header="0"/>
        </w:sectPr>
      </w:pPr>
    </w:p>
    <w:bookmarkStart w:id="323" w:name="page324"/>
    <w:bookmarkEnd w:id="323"/>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beneficiary by filing a new designation with the Committee. The last such designation received by the Committee shall be controlling;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26" w:lineRule="exact"/>
        <w:rPr>
          <w:sz w:val="20"/>
          <w:szCs w:val="20"/>
          <w:color w:val="auto"/>
        </w:rPr>
      </w:pPr>
    </w:p>
    <w:p>
      <w:pPr>
        <w:ind w:firstLine="443"/>
        <w:spacing w:after="0" w:line="296" w:lineRule="auto"/>
        <w:tabs>
          <w:tab w:leader="none" w:pos="687"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Payments to Persons Other Than Participants</w:t>
      </w:r>
      <w:r>
        <w:rPr>
          <w:rFonts w:ascii="Arial" w:cs="Arial" w:eastAsia="Arial" w:hAnsi="Arial"/>
          <w:sz w:val="16"/>
          <w:szCs w:val="16"/>
          <w:color w:val="auto"/>
        </w:rPr>
        <w:t>. If the Committee shall find that any person to whom any amount is payable under the Sub Plan</w:t>
      </w:r>
      <w:r>
        <w:rPr>
          <w:rFonts w:ascii="Arial" w:cs="Arial" w:eastAsia="Arial" w:hAnsi="Arial"/>
          <w:sz w:val="16"/>
          <w:szCs w:val="16"/>
          <w:b w:val="1"/>
          <w:bCs w:val="1"/>
          <w:color w:val="auto"/>
        </w:rPr>
        <w:t xml:space="preserve"> </w:t>
      </w:r>
      <w:r>
        <w:rPr>
          <w:rFonts w:ascii="Arial" w:cs="Arial" w:eastAsia="Arial" w:hAnsi="Arial"/>
          <w:sz w:val="16"/>
          <w:szCs w:val="16"/>
          <w:color w:val="auto"/>
        </w:rPr>
        <w:t>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26" w:lineRule="exact"/>
        <w:rPr>
          <w:rFonts w:ascii="Arial" w:cs="Arial" w:eastAsia="Arial" w:hAnsi="Arial"/>
          <w:sz w:val="16"/>
          <w:szCs w:val="16"/>
          <w:color w:val="auto"/>
        </w:rPr>
      </w:pPr>
    </w:p>
    <w:p>
      <w:pPr>
        <w:ind w:right="60" w:firstLine="443"/>
        <w:spacing w:after="0" w:line="289" w:lineRule="auto"/>
        <w:tabs>
          <w:tab w:leader="none" w:pos="687"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No Liability of Committee Members</w:t>
      </w:r>
      <w:r>
        <w:rPr>
          <w:rFonts w:ascii="Arial" w:cs="Arial" w:eastAsia="Arial" w:hAnsi="Arial"/>
          <w:sz w:val="16"/>
          <w:szCs w:val="16"/>
          <w:color w:val="auto"/>
        </w:rPr>
        <w:t>. No member of the Committee shall be personally liable by reason of any contract or other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Sub Plan may be allocated or delegated, against any cost or expense (including counsel fees) or liability (including any sum paid in settlement of a claim) arising out of any act or omission to act in connection with the Sub Plan unless arising out of such person’s own fraud or willful bad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31" w:lineRule="exact"/>
        <w:rPr>
          <w:rFonts w:ascii="Arial" w:cs="Arial" w:eastAsia="Arial" w:hAnsi="Arial"/>
          <w:sz w:val="16"/>
          <w:szCs w:val="16"/>
          <w:color w:val="auto"/>
        </w:rPr>
      </w:pPr>
    </w:p>
    <w:p>
      <w:pPr>
        <w:ind w:right="300" w:firstLine="443"/>
        <w:spacing w:after="0" w:line="275" w:lineRule="auto"/>
        <w:tabs>
          <w:tab w:leader="none" w:pos="648"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Sub Plan shall be governed by and construed in accordance with the internal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performed wholly within the State of Delaware.</w:t>
      </w:r>
    </w:p>
    <w:p>
      <w:pPr>
        <w:spacing w:after="0" w:line="38" w:lineRule="exact"/>
        <w:rPr>
          <w:rFonts w:ascii="Arial" w:cs="Arial" w:eastAsia="Arial" w:hAnsi="Arial"/>
          <w:sz w:val="18"/>
          <w:szCs w:val="18"/>
          <w:color w:val="auto"/>
        </w:rPr>
      </w:pPr>
    </w:p>
    <w:p>
      <w:pPr>
        <w:ind w:right="20" w:firstLine="443"/>
        <w:spacing w:after="0" w:line="296" w:lineRule="auto"/>
        <w:tabs>
          <w:tab w:leader="none" w:pos="648"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Funding</w:t>
      </w:r>
      <w:r>
        <w:rPr>
          <w:rFonts w:ascii="Arial" w:cs="Arial" w:eastAsia="Arial" w:hAnsi="Arial"/>
          <w:sz w:val="16"/>
          <w:szCs w:val="16"/>
          <w:color w:val="auto"/>
        </w:rPr>
        <w:t>. No provision of the Sub Plan shall require the Company, for the purpose of satisfying any obligations under the Sub Plan,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Sub Plan other than as unsecured general creditors of the Company, except that insofar as they may have become entitled to payment of additional compensation by</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9" w:right="2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services, they shall have the same rights as other employees under general law.</w:t>
      </w:r>
    </w:p>
    <w:p>
      <w:pPr>
        <w:spacing w:after="0" w:line="84" w:lineRule="exact"/>
        <w:rPr>
          <w:sz w:val="20"/>
          <w:szCs w:val="20"/>
          <w:color w:val="auto"/>
        </w:rPr>
      </w:pPr>
    </w:p>
    <w:p>
      <w:pPr>
        <w:ind w:firstLine="443"/>
        <w:spacing w:after="0" w:line="258" w:lineRule="auto"/>
        <w:tabs>
          <w:tab w:leader="none" w:pos="687"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and shall not be liable for having so acted or failed to act in good faith, in reliance upon any report made by the independent public accountant of the Company and its affiliates, including Indian Subsidiaries and/or any other information furnished in connection with the Sub Plan by any person or persons other than himself.</w:t>
      </w:r>
    </w:p>
    <w:p>
      <w:pPr>
        <w:spacing w:after="0" w:line="55" w:lineRule="exact"/>
        <w:rPr>
          <w:rFonts w:ascii="Arial" w:cs="Arial" w:eastAsia="Arial" w:hAnsi="Arial"/>
          <w:sz w:val="18"/>
          <w:szCs w:val="18"/>
          <w:color w:val="auto"/>
        </w:rPr>
      </w:pPr>
    </w:p>
    <w:p>
      <w:pPr>
        <w:ind w:right="420" w:firstLine="443"/>
        <w:spacing w:after="0" w:line="357" w:lineRule="auto"/>
        <w:tabs>
          <w:tab w:leader="none" w:pos="648" w:val="left"/>
        </w:tabs>
        <w:numPr>
          <w:ilvl w:val="0"/>
          <w:numId w:val="283"/>
        </w:numPr>
        <w:rPr>
          <w:rFonts w:ascii="Arial" w:cs="Arial" w:eastAsia="Arial" w:hAnsi="Arial"/>
          <w:sz w:val="15"/>
          <w:szCs w:val="15"/>
          <w:color w:val="auto"/>
        </w:rPr>
      </w:pPr>
      <w:r>
        <w:rPr>
          <w:rFonts w:ascii="Arial" w:cs="Arial" w:eastAsia="Arial" w:hAnsi="Arial"/>
          <w:sz w:val="15"/>
          <w:szCs w:val="15"/>
          <w:b w:val="1"/>
          <w:bCs w:val="1"/>
          <w:color w:val="auto"/>
        </w:rPr>
        <w:t>Relationship to Other Benefits</w:t>
      </w:r>
      <w:r>
        <w:rPr>
          <w:rFonts w:ascii="Arial" w:cs="Arial" w:eastAsia="Arial" w:hAnsi="Arial"/>
          <w:sz w:val="15"/>
          <w:szCs w:val="15"/>
          <w:color w:val="auto"/>
        </w:rPr>
        <w:t>. No payment under the Sub Plan shall be taken into account in determining any benefits under any pension,</w:t>
      </w:r>
      <w:r>
        <w:rPr>
          <w:rFonts w:ascii="Arial" w:cs="Arial" w:eastAsia="Arial" w:hAnsi="Arial"/>
          <w:sz w:val="15"/>
          <w:szCs w:val="15"/>
          <w:b w:val="1"/>
          <w:bCs w:val="1"/>
          <w:color w:val="auto"/>
        </w:rPr>
        <w:t xml:space="preserve"> </w:t>
      </w:r>
      <w:r>
        <w:rPr>
          <w:rFonts w:ascii="Arial" w:cs="Arial" w:eastAsia="Arial" w:hAnsi="Arial"/>
          <w:sz w:val="15"/>
          <w:szCs w:val="15"/>
          <w:color w:val="auto"/>
        </w:rPr>
        <w:t>retirement, profit sharing, group insurance or other benefit plan of the Company except as otherwise specifically provided in such other plan.</w:t>
      </w:r>
    </w:p>
    <w:p>
      <w:pPr>
        <w:ind w:left="740" w:hanging="297"/>
        <w:spacing w:after="0"/>
        <w:tabs>
          <w:tab w:leader="none" w:pos="74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expenses of administering the Sub Plan shall be borne by the Company and the Indian Subsidiaries.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Pronouns</w:t>
      </w:r>
      <w:r>
        <w:rPr>
          <w:rFonts w:ascii="Arial" w:cs="Arial" w:eastAsia="Arial" w:hAnsi="Arial"/>
          <w:sz w:val="18"/>
          <w:szCs w:val="18"/>
          <w:color w:val="auto"/>
        </w:rPr>
        <w:t>. Masculine pronouns and other words of masculine gender shall refer to both men and women.</w:t>
      </w:r>
    </w:p>
    <w:p>
      <w:pPr>
        <w:spacing w:after="0" w:line="90" w:lineRule="exact"/>
        <w:rPr>
          <w:rFonts w:ascii="Arial" w:cs="Arial" w:eastAsia="Arial" w:hAnsi="Arial"/>
          <w:sz w:val="18"/>
          <w:szCs w:val="18"/>
          <w:color w:val="auto"/>
        </w:rPr>
      </w:pPr>
    </w:p>
    <w:p>
      <w:pPr>
        <w:ind w:right="520" w:firstLine="443"/>
        <w:spacing w:after="0" w:line="275" w:lineRule="auto"/>
        <w:tabs>
          <w:tab w:leader="none" w:pos="687"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Sub Plan are for convenience of reference only, and in the event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the text of the Sub Plan, rather than such titles or headings shall control.</w:t>
      </w:r>
    </w:p>
    <w:p>
      <w:pPr>
        <w:spacing w:after="0" w:line="38" w:lineRule="exact"/>
        <w:rPr>
          <w:rFonts w:ascii="Arial" w:cs="Arial" w:eastAsia="Arial" w:hAnsi="Arial"/>
          <w:sz w:val="18"/>
          <w:szCs w:val="18"/>
          <w:color w:val="auto"/>
        </w:rPr>
      </w:pPr>
    </w:p>
    <w:p>
      <w:pPr>
        <w:ind w:firstLine="443"/>
        <w:spacing w:after="0" w:line="310" w:lineRule="auto"/>
        <w:tabs>
          <w:tab w:leader="none" w:pos="687"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Termination of Employment</w:t>
      </w:r>
      <w:r>
        <w:rPr>
          <w:rFonts w:ascii="Arial" w:cs="Arial" w:eastAsia="Arial" w:hAnsi="Arial"/>
          <w:sz w:val="16"/>
          <w:szCs w:val="16"/>
          <w:color w:val="auto"/>
        </w:rPr>
        <w:t>. Unless an applicable Award agreement provides otherwise, for purposes of the Sub Plan, a person who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from employment or service with an Indian Subsidiary to employment or service with the Company or an affiliate thereof or vice versa shall not be deemed to have terminated employment or service with the Indian Subsidiary or the Company or its affiliate.</w:t>
      </w:r>
    </w:p>
    <w:p>
      <w:pPr>
        <w:spacing w:after="0" w:line="16" w:lineRule="exact"/>
        <w:rPr>
          <w:rFonts w:ascii="Arial" w:cs="Arial" w:eastAsia="Arial" w:hAnsi="Arial"/>
          <w:sz w:val="16"/>
          <w:szCs w:val="16"/>
          <w:color w:val="auto"/>
        </w:rPr>
      </w:pPr>
    </w:p>
    <w:p>
      <w:pPr>
        <w:ind w:right="100" w:firstLine="443"/>
        <w:spacing w:after="0" w:line="296" w:lineRule="auto"/>
        <w:tabs>
          <w:tab w:leader="none" w:pos="687"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the Sub Plan or any Award agreement is or becomes or is deemed to be invalid, illegal,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or as to any person or Award, or would disqualify the Sub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Sub Plan or the Award, such provision shall be stricken as to such jurisdiction, person or Award and the remainder of the Sub Plan and any such Award shall remain in full force and effect.</w:t>
      </w:r>
    </w:p>
    <w:p>
      <w:pPr>
        <w:spacing w:after="0" w:line="26" w:lineRule="exact"/>
        <w:rPr>
          <w:rFonts w:ascii="Arial" w:cs="Arial" w:eastAsia="Arial" w:hAnsi="Arial"/>
          <w:sz w:val="16"/>
          <w:szCs w:val="16"/>
          <w:color w:val="auto"/>
        </w:rPr>
      </w:pPr>
    </w:p>
    <w:p>
      <w:pPr>
        <w:ind w:right="120" w:firstLine="443"/>
        <w:spacing w:after="0" w:line="310" w:lineRule="auto"/>
        <w:tabs>
          <w:tab w:leader="none" w:pos="657"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Compliance with Applicable Law</w:t>
      </w:r>
      <w:r>
        <w:rPr>
          <w:rFonts w:ascii="Arial" w:cs="Arial" w:eastAsia="Arial" w:hAnsi="Arial"/>
          <w:sz w:val="16"/>
          <w:szCs w:val="16"/>
          <w:color w:val="auto"/>
        </w:rPr>
        <w:t>. Notwithstanding any provision in the Sub Plan to the contrary, the Committee reserves the right to add any</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or provisions to any Award granted under the Sub Plan that it in its sole discretion deems necessary or advisable in order that such Award complies with the legal requirements of any governmental entity to whose jurisdiction the Award is subject.</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325" w:name="page326"/>
    <w:bookmarkEnd w:id="325"/>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Capital Structure</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Awards granted under the Sub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Sub Plan. Any adjustment in Incentive Stock Options under this Section 13 shall be made only to the extent not constituting a “modification” within the meaning of</w:t>
      </w:r>
    </w:p>
    <w:p>
      <w:pPr>
        <w:spacing w:after="0" w:line="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The Company is merged or consolidated with another corporation or entity and, in connection therewith, consideration is received by shareholders of the Company in a form other than stock or other equity interests of the surviving entity;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All or substantially all of the assets of the Company are acquired by another person;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reorganization or liquidation of the Company; 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The Company shall enter into a written agreement to undergo an event described in clauses A, B or C above,</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shareholders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the event. The terms of this Section 13 may be varied by the Committee in any particular Award agreement.</w:t>
      </w:r>
    </w:p>
    <w:p>
      <w:pPr>
        <w:spacing w:after="0" w:line="287" w:lineRule="exact"/>
        <w:rPr>
          <w:sz w:val="20"/>
          <w:szCs w:val="20"/>
          <w:color w:val="auto"/>
        </w:rPr>
      </w:pPr>
    </w:p>
    <w:p>
      <w:pPr>
        <w:ind w:left="900" w:hanging="446"/>
        <w:spacing w:after="0"/>
        <w:tabs>
          <w:tab w:leader="none" w:pos="900"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9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 The Committee may, but is not required to, provide in any particular Award agreement:</w:t>
      </w:r>
    </w:p>
    <w:p>
      <w:pPr>
        <w:spacing w:after="0" w:line="90" w:lineRule="exact"/>
        <w:rPr>
          <w:sz w:val="20"/>
          <w:szCs w:val="20"/>
          <w:color w:val="auto"/>
        </w:rPr>
      </w:pPr>
    </w:p>
    <w:p>
      <w:pPr>
        <w:ind w:left="900" w:right="20" w:hanging="446"/>
        <w:spacing w:after="0" w:line="290" w:lineRule="auto"/>
        <w:tabs>
          <w:tab w:leader="none" w:pos="9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 the event of a Change in Control, notwithstanding any provision of the Sub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37" w:lineRule="exact"/>
        <w:rPr>
          <w:rFonts w:ascii="Arial" w:cs="Arial" w:eastAsia="Arial" w:hAnsi="Arial"/>
          <w:sz w:val="16"/>
          <w:szCs w:val="16"/>
          <w:color w:val="auto"/>
        </w:rPr>
      </w:pPr>
    </w:p>
    <w:p>
      <w:pPr>
        <w:ind w:left="900" w:hanging="446"/>
        <w:spacing w:after="0" w:line="254"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63" w:lineRule="exact"/>
        <w:rPr>
          <w:rFonts w:ascii="Arial" w:cs="Arial" w:eastAsia="Arial" w:hAnsi="Arial"/>
          <w:sz w:val="18"/>
          <w:szCs w:val="18"/>
          <w:color w:val="auto"/>
        </w:rPr>
      </w:pPr>
    </w:p>
    <w:p>
      <w:pPr>
        <w:ind w:left="460" w:right="80" w:firstLine="443"/>
        <w:spacing w:after="0" w:line="306" w:lineRule="auto"/>
        <w:tabs>
          <w:tab w:leader="none" w:pos="1147"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shareholders of the Company in the event.</w:t>
      </w:r>
    </w:p>
    <w:p>
      <w:pPr>
        <w:spacing w:after="0" w:line="25" w:lineRule="exact"/>
        <w:rPr>
          <w:rFonts w:ascii="Arial" w:cs="Arial" w:eastAsia="Arial" w:hAnsi="Arial"/>
          <w:sz w:val="16"/>
          <w:szCs w:val="16"/>
          <w:color w:val="auto"/>
        </w:rPr>
      </w:pPr>
    </w:p>
    <w:p>
      <w:pPr>
        <w:jc w:val="both"/>
        <w:ind w:left="460" w:right="160" w:firstLine="443"/>
        <w:spacing w:after="0" w:line="306" w:lineRule="auto"/>
        <w:tabs>
          <w:tab w:leader="none" w:pos="1137"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obligations of the Company under the Sub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327" w:name="page328"/>
    <w:bookmarkEnd w:id="327"/>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Participants’ rights under the Sub Plan in any agreement or plan which it may enter into or adopt to effect any such merger, consolidation, reorganization or transfer of assets.</w:t>
      </w:r>
    </w:p>
    <w:p>
      <w:pPr>
        <w:spacing w:after="0" w:line="51" w:lineRule="exact"/>
        <w:rPr>
          <w:sz w:val="20"/>
          <w:szCs w:val="20"/>
          <w:color w:val="auto"/>
        </w:rPr>
      </w:pPr>
    </w:p>
    <w:p>
      <w:pPr>
        <w:jc w:val="both"/>
        <w:ind w:left="460" w:firstLine="443"/>
        <w:spacing w:after="0" w:line="256" w:lineRule="auto"/>
        <w:tabs>
          <w:tab w:leader="none" w:pos="1147"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If (i) within 12 months following a Change in Control or (ii) in contemplation of a Change in Control, a Senior Participant’s employment with the Company or any affiliate is terminated by the Indian Subsidiary or the Company without Cause, all Awards held by such Senior Participant, irrespective of the vesting schedule, shall become fully vested and immediately exercisable and, if applicable, the Restricted Period shall end at the time of such termination.</w:t>
      </w:r>
    </w:p>
    <w:p>
      <w:pPr>
        <w:spacing w:after="0" w:line="62" w:lineRule="exact"/>
        <w:rPr>
          <w:rFonts w:ascii="Arial" w:cs="Arial" w:eastAsia="Arial" w:hAnsi="Arial"/>
          <w:sz w:val="18"/>
          <w:szCs w:val="18"/>
          <w:color w:val="auto"/>
        </w:rPr>
      </w:pPr>
    </w:p>
    <w:p>
      <w:pPr>
        <w:ind w:left="460" w:firstLine="443"/>
        <w:spacing w:after="0" w:line="306" w:lineRule="auto"/>
        <w:tabs>
          <w:tab w:leader="none" w:pos="1137" w:val="left"/>
        </w:tabs>
        <w:numPr>
          <w:ilvl w:val="1"/>
          <w:numId w:val="287"/>
        </w:numPr>
        <w:rPr>
          <w:rFonts w:ascii="Arial" w:cs="Arial" w:eastAsia="Arial" w:hAnsi="Arial"/>
          <w:sz w:val="16"/>
          <w:szCs w:val="16"/>
          <w:color w:val="auto"/>
        </w:rPr>
      </w:pPr>
      <w:r>
        <w:rPr>
          <w:rFonts w:ascii="Arial" w:cs="Arial" w:eastAsia="Arial" w:hAnsi="Arial"/>
          <w:sz w:val="16"/>
          <w:szCs w:val="16"/>
          <w:color w:val="auto"/>
        </w:rPr>
        <w:t>Upon a Change in Control the vesting and exercisability of all Awards outstanding under the Sub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222" w:lineRule="exact"/>
        <w:rPr>
          <w:rFonts w:ascii="Arial" w:cs="Arial" w:eastAsia="Arial" w:hAnsi="Arial"/>
          <w:sz w:val="16"/>
          <w:szCs w:val="16"/>
          <w:color w:val="auto"/>
        </w:rPr>
      </w:pPr>
    </w:p>
    <w:p>
      <w:pPr>
        <w:ind w:left="900" w:hanging="446"/>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Nonexclusivity of the Sub Plan</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Neither the adoption of this Sub Plan by the Board nor the submission of this Sub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Sub Plan, and such arrangements may be either applicable generally or only in specific cases.</w:t>
      </w:r>
    </w:p>
    <w:p>
      <w:pPr>
        <w:spacing w:after="0" w:line="222" w:lineRule="exact"/>
        <w:rPr>
          <w:sz w:val="20"/>
          <w:szCs w:val="20"/>
          <w:color w:val="auto"/>
        </w:rPr>
      </w:pPr>
    </w:p>
    <w:p>
      <w:pPr>
        <w:ind w:left="900" w:hanging="446"/>
        <w:spacing w:after="0"/>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6" w:lineRule="exact"/>
        <w:rPr>
          <w:rFonts w:ascii="Arial" w:cs="Arial" w:eastAsia="Arial" w:hAnsi="Arial"/>
          <w:sz w:val="18"/>
          <w:szCs w:val="18"/>
          <w:color w:val="auto"/>
        </w:rPr>
      </w:pPr>
    </w:p>
    <w:p>
      <w:pPr>
        <w:ind w:left="460" w:firstLine="443"/>
        <w:spacing w:after="0" w:line="289" w:lineRule="auto"/>
        <w:tabs>
          <w:tab w:leader="none" w:pos="113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The Board may suspend, discontinue, or terminate the Sub Plan or any portion thereof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suspension, discontinuation or termination shall be made without shareholder approval if such approval is necessary to comply with any tax or regulatory requirement applicable to the Sub Plan (including as necessary to comply with any applicable stock exchange listing requirement or to prevent the Company from being denied a tax deduction on account of Section 162(m) of the Code);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Sub Plan, following which no Awards may be granted hereunder, is April 19, 2016,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termination shall not affect Awards then outstanding, and the terms and conditions of the Sub Plan shall continue to apply to such Awards.</w:t>
      </w:r>
    </w:p>
    <w:p>
      <w:pPr>
        <w:spacing w:after="0" w:line="31" w:lineRule="exact"/>
        <w:rPr>
          <w:rFonts w:ascii="Arial" w:cs="Arial" w:eastAsia="Arial" w:hAnsi="Arial"/>
          <w:sz w:val="16"/>
          <w:szCs w:val="16"/>
          <w:color w:val="auto"/>
        </w:rPr>
      </w:pPr>
    </w:p>
    <w:p>
      <w:pPr>
        <w:ind w:left="460" w:right="40" w:firstLine="443"/>
        <w:spacing w:after="0" w:line="310" w:lineRule="auto"/>
        <w:tabs>
          <w:tab w:leader="none" w:pos="1147" w:val="left"/>
        </w:tabs>
        <w:numPr>
          <w:ilvl w:val="1"/>
          <w:numId w:val="289"/>
        </w:numPr>
        <w:rPr>
          <w:rFonts w:ascii="Arial" w:cs="Arial" w:eastAsia="Arial" w:hAnsi="Arial"/>
          <w:sz w:val="16"/>
          <w:szCs w:val="16"/>
          <w:color w:val="auto"/>
        </w:rPr>
      </w:pPr>
      <w:r>
        <w:rPr>
          <w:rFonts w:ascii="Arial" w:cs="Arial" w:eastAsia="Arial" w:hAnsi="Arial"/>
          <w:sz w:val="16"/>
          <w:szCs w:val="16"/>
          <w:b w:val="1"/>
          <w:bCs w:val="1"/>
          <w:color w:val="auto"/>
        </w:rPr>
        <w:t>Amendment of Award Agreements</w:t>
      </w:r>
      <w:r>
        <w:rPr>
          <w:rFonts w:ascii="Arial" w:cs="Arial" w:eastAsia="Arial" w:hAnsi="Arial"/>
          <w:sz w:val="16"/>
          <w:szCs w:val="16"/>
          <w:color w:val="auto"/>
        </w:rPr>
        <w:t>. The Committee may, to the extent consistent with the terms of any applicable Award agreement,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any Award theretofore granted or the associated Award agreement, prospectively or retroactively; provided that any such waiver, amendment, alteration,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9" w:right="259" w:bottom="1440" w:gutter="0" w:footer="0" w:header="0"/>
        </w:sectPr>
      </w:pPr>
    </w:p>
    <w:bookmarkStart w:id="328" w:name="page329"/>
    <w:bookmarkEnd w:id="328"/>
    <w:p>
      <w:pPr>
        <w:ind w:left="6"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w:t>
      </w:r>
    </w:p>
    <w:p>
      <w:pPr>
        <w:spacing w:after="0" w:line="1" w:lineRule="exact"/>
        <w:rPr>
          <w:sz w:val="20"/>
          <w:szCs w:val="20"/>
          <w:color w:val="auto"/>
        </w:rPr>
      </w:pPr>
    </w:p>
    <w:p>
      <w:pPr>
        <w:ind w:left="6" w:right="140" w:firstLine="4"/>
        <w:spacing w:after="0" w:line="255" w:lineRule="auto"/>
        <w:tabs>
          <w:tab w:leader="none" w:pos="28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Stock is listed, if any.</w:t>
      </w:r>
    </w:p>
    <w:p>
      <w:pPr>
        <w:spacing w:after="0" w:line="57" w:lineRule="exact"/>
        <w:rPr>
          <w:rFonts w:ascii="Arial" w:cs="Arial" w:eastAsia="Arial" w:hAnsi="Arial"/>
          <w:sz w:val="18"/>
          <w:szCs w:val="18"/>
          <w:color w:val="auto"/>
        </w:rPr>
      </w:pPr>
    </w:p>
    <w:p>
      <w:pPr>
        <w:ind w:left="6" w:firstLine="443"/>
        <w:spacing w:after="0" w:line="291" w:lineRule="auto"/>
        <w:tabs>
          <w:tab w:leader="none" w:pos="683" w:val="left"/>
        </w:tabs>
        <w:numPr>
          <w:ilvl w:val="2"/>
          <w:numId w:val="290"/>
        </w:numPr>
        <w:rPr>
          <w:rFonts w:ascii="Arial" w:cs="Arial" w:eastAsia="Arial" w:hAnsi="Arial"/>
          <w:sz w:val="16"/>
          <w:szCs w:val="16"/>
          <w:color w:val="auto"/>
        </w:rPr>
      </w:pPr>
      <w:r>
        <w:rPr>
          <w:rFonts w:ascii="Arial" w:cs="Arial" w:eastAsia="Arial" w:hAnsi="Arial"/>
          <w:sz w:val="16"/>
          <w:szCs w:val="16"/>
          <w:b w:val="1"/>
          <w:bCs w:val="1"/>
          <w:color w:val="auto"/>
        </w:rPr>
        <w:t>Section 162(m) Reapproval</w:t>
      </w:r>
      <w:r>
        <w:rPr>
          <w:rFonts w:ascii="Arial" w:cs="Arial" w:eastAsia="Arial" w:hAnsi="Arial"/>
          <w:sz w:val="16"/>
          <w:szCs w:val="16"/>
          <w:color w:val="auto"/>
        </w:rPr>
        <w:t>. If so determined by the Committee, (i) the Sub Plan shall be approved by the stockholders of the Company no later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first meeting of stockholders at which directors are to be elected that occurs after the close of the third calendar year following the calendar year in which the Company’s initial public offering occurs, and (ii) the provisions of the Sub Plan regarding Performance Compensation Awards shall be disclosed and reapproved by stockholders of the Company no later than the first stockholder meeting that occurs in the fifth year following the year that stockholders previously approved such provisions following the Company’s initial public offering, in each case in order for certain Awards granted after such time to be exempt from the deduction limitations of Section 162(m) of the Code. Nothing in this Section 16(c), however, shall affect the validity of Awards granted after such time if such stockholder approval has not been obtained.</w:t>
      </w:r>
    </w:p>
    <w:p>
      <w:pPr>
        <w:spacing w:after="0" w:line="234" w:lineRule="exact"/>
        <w:rPr>
          <w:rFonts w:ascii="Arial" w:cs="Arial" w:eastAsia="Arial" w:hAnsi="Arial"/>
          <w:sz w:val="16"/>
          <w:szCs w:val="16"/>
          <w:color w:val="auto"/>
        </w:rPr>
      </w:pPr>
    </w:p>
    <w:p>
      <w:pPr>
        <w:ind w:left="446" w:hanging="446"/>
        <w:spacing w:after="0"/>
        <w:tabs>
          <w:tab w:leader="none" w:pos="446"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color w:val="auto"/>
        </w:rPr>
      </w:pPr>
    </w:p>
    <w:p>
      <w:pPr>
        <w:ind w:left="6" w:firstLine="443"/>
        <w:spacing w:after="0" w:line="294" w:lineRule="auto"/>
        <w:tabs>
          <w:tab w:leader="none" w:pos="654" w:val="left"/>
        </w:tabs>
        <w:numPr>
          <w:ilvl w:val="2"/>
          <w:numId w:val="291"/>
        </w:numPr>
        <w:rPr>
          <w:rFonts w:ascii="Arial" w:cs="Arial" w:eastAsia="Arial" w:hAnsi="Arial"/>
          <w:sz w:val="16"/>
          <w:szCs w:val="16"/>
          <w:color w:val="auto"/>
        </w:rPr>
      </w:pPr>
      <w:r>
        <w:rPr>
          <w:rFonts w:ascii="Arial" w:cs="Arial" w:eastAsia="Arial" w:hAnsi="Arial"/>
          <w:sz w:val="16"/>
          <w:szCs w:val="16"/>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Indian Subsidiary; provided that the designation of a beneficiary shall not constitute an assignment, alienation, pledge, attachment, sale, transfer or encumbrance.</w:t>
      </w:r>
    </w:p>
    <w:p>
      <w:pPr>
        <w:spacing w:after="0" w:line="35" w:lineRule="exact"/>
        <w:rPr>
          <w:sz w:val="20"/>
          <w:szCs w:val="20"/>
          <w:color w:val="auto"/>
        </w:rPr>
      </w:pPr>
    </w:p>
    <w:p>
      <w:pPr>
        <w:ind w:left="6" w:right="80" w:firstLine="443"/>
        <w:spacing w:after="0" w:line="268" w:lineRule="auto"/>
        <w:tabs>
          <w:tab w:leader="none" w:pos="70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6"/>
          </w:cols>
          <w:pgMar w:left="694" w:top="279" w:right="279" w:bottom="1440" w:gutter="0" w:footer="0" w:header="0"/>
        </w:sectPr>
      </w:pPr>
    </w:p>
    <w:bookmarkStart w:id="329" w:name="page330"/>
    <w:bookmarkEnd w:id="3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adopt consistent with any applicable Award agreement to preserve the purposes of the Sub Plan, to:</w:t>
      </w:r>
    </w:p>
    <w:p>
      <w:pPr>
        <w:spacing w:after="0" w:line="90" w:lineRule="exact"/>
        <w:rPr>
          <w:sz w:val="20"/>
          <w:szCs w:val="20"/>
          <w:color w:val="auto"/>
        </w:rPr>
      </w:pPr>
    </w:p>
    <w:p>
      <w:pPr>
        <w:ind w:left="1480" w:right="220" w:hanging="567"/>
        <w:spacing w:after="0" w:line="268" w:lineRule="auto"/>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w:t>
      </w:r>
      <w:r>
        <w:rPr>
          <w:rFonts w:ascii="Arial" w:cs="Arial" w:eastAsia="Arial" w:hAnsi="Arial"/>
          <w:sz w:val="18"/>
          <w:szCs w:val="18"/>
          <w:u w:val="single" w:color="auto"/>
          <w:color w:val="auto"/>
        </w:rPr>
        <w:t>Immediate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Family Members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Participant and his or her Immediate Family Members; or</w:t>
      </w:r>
    </w:p>
    <w:p>
      <w:pPr>
        <w:spacing w:after="0" w:line="5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Award agreement;</w:t>
      </w:r>
    </w:p>
    <w:p>
      <w:pPr>
        <w:spacing w:after="0" w:line="5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(each transferee described in clauses (A), (B), (C) and (D) above is hereinafter referred to as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Sub Plan.</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Sub Plan or otherwise, and (D) the consequences of the termination of the Participant’s employment by, or services to, the Company or an Affiliate under the terms of the Sub Plan and the applicable Award agreement shall continue to be applied with respect to the Participant, including, without limitation, that an Option shall be exercisable by the Permitted Transferee only to the extent, and for the periods, specified in the Sub Plan and the applicable Award agreement.</w:t>
      </w:r>
    </w:p>
    <w:p>
      <w:pPr>
        <w:spacing w:after="0" w:line="123"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Notwithstanding the foregoing, any rules that the Committee may adopt permitting Options to be transferred by a Sub Plan Participant without consideration shall be consistent with applicable FEMA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30" w:name="page331"/>
    <w:bookmarkEnd w:id="330"/>
    <w:p>
      <w:pPr>
        <w:ind w:left="880" w:hanging="446"/>
        <w:spacing w:after="0"/>
        <w:tabs>
          <w:tab w:leader="none" w:pos="880"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Qualification of Plan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 is intended that each Option to be issued to a Sub Plan Participant under this Sub Plan will qualify for beneficial tax treatment under the Act.</w:t>
      </w:r>
    </w:p>
    <w:p>
      <w:pPr>
        <w:spacing w:after="0" w:line="310" w:lineRule="exact"/>
        <w:rPr>
          <w:sz w:val="20"/>
          <w:szCs w:val="20"/>
          <w:color w:val="auto"/>
        </w:rPr>
      </w:pPr>
    </w:p>
    <w:p>
      <w:pPr>
        <w:ind w:left="880" w:hanging="446"/>
        <w:spacing w:after="0"/>
        <w:tabs>
          <w:tab w:leader="none" w:pos="880"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Applicable Law; Severability</w:t>
      </w:r>
    </w:p>
    <w:p>
      <w:pPr>
        <w:spacing w:after="0" w:line="96" w:lineRule="exact"/>
        <w:rPr>
          <w:rFonts w:ascii="Arial" w:cs="Arial" w:eastAsia="Arial" w:hAnsi="Arial"/>
          <w:sz w:val="18"/>
          <w:szCs w:val="18"/>
          <w:color w:val="auto"/>
        </w:rPr>
      </w:pPr>
    </w:p>
    <w:p>
      <w:pPr>
        <w:ind w:left="440" w:firstLine="443"/>
        <w:spacing w:after="0" w:line="256" w:lineRule="auto"/>
        <w:tabs>
          <w:tab w:leader="none" w:pos="111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This Sub Plan shall be governed by and construed in accordance with the internal laws of the State of New York without regard to the principles of conflicts of law thereof, or principles of conflicts of laws of any other jurisdiction which could cause the application of the laws of any jurisdiction other than the State of New York. If any provision of this Sub Plan are held by a court of competent jurisdiction to be invalid or unenforceable, the remaining provisions of the Sub Plan will continue to be fully effective.</w:t>
      </w:r>
    </w:p>
    <w:p>
      <w:pPr>
        <w:spacing w:after="0" w:line="62" w:lineRule="exact"/>
        <w:rPr>
          <w:rFonts w:ascii="Arial" w:cs="Arial" w:eastAsia="Arial" w:hAnsi="Arial"/>
          <w:sz w:val="18"/>
          <w:szCs w:val="18"/>
          <w:color w:val="auto"/>
        </w:rPr>
      </w:pPr>
    </w:p>
    <w:p>
      <w:pPr>
        <w:ind w:left="440" w:right="540" w:firstLine="443"/>
        <w:spacing w:after="0" w:line="268" w:lineRule="auto"/>
        <w:tabs>
          <w:tab w:leader="none" w:pos="112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Board shall exercise the powers granted to it under Section 14(a) of the Plan with respect to this Sub Plan only to the extent that such exercise would not be prohibited by Section 2 of the Guidelines.</w:t>
      </w:r>
    </w:p>
    <w:p>
      <w:pPr>
        <w:spacing w:after="0" w:line="132" w:lineRule="exact"/>
        <w:rPr>
          <w:sz w:val="20"/>
          <w:szCs w:val="20"/>
          <w:color w:val="auto"/>
        </w:rPr>
      </w:pPr>
    </w:p>
    <w:p>
      <w:pPr>
        <w:jc w:val="center"/>
        <w:ind w:right="-3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September 29,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60" w:top="274" w:right="29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10.46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2006 OMNIBUS AWARD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effective October 16, 2006:</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Section 5(a) of the Plan is amended to read as follows: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“Subject to Section 13, the aggregate number of shares of Stock in respect of which Awards may be granted under the Plan is 1,864,619 shares;”</w:t>
      </w:r>
    </w:p>
    <w:p>
      <w:pPr>
        <w:spacing w:after="0" w:line="100" w:lineRule="exact"/>
        <w:rPr>
          <w:sz w:val="20"/>
          <w:szCs w:val="20"/>
          <w:color w:val="auto"/>
        </w:rPr>
      </w:pPr>
    </w:p>
    <w:p>
      <w:pPr>
        <w:ind w:left="460" w:right="880" w:firstLine="443"/>
        <w:spacing w:after="0" w:line="475" w:lineRule="auto"/>
        <w:tabs>
          <w:tab w:leader="none" w:pos="1074"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Continuing Effect of Plan</w:t>
      </w:r>
      <w:r>
        <w:rPr>
          <w:rFonts w:ascii="Arial" w:cs="Arial" w:eastAsia="Arial" w:hAnsi="Arial"/>
          <w:sz w:val="16"/>
          <w:szCs w:val="16"/>
          <w:color w:val="auto"/>
        </w:rPr>
        <w:t>. Except as expressly modified hereby, the provisions of the Plan are and shall remain in full force and effect. IN WITNESS HEREOF, the undersigned have acknowledged and executed this amendment to the Plan as of the date set forth above.</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17653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 Amit Shashank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EXLSERVICE HOLDINGS, INC.</w:t>
      </w:r>
    </w:p>
    <w:p>
      <w:pPr>
        <w:sectPr>
          <w:pgSz w:w="11900" w:h="16838" w:orient="portrait"/>
          <w:cols w:equalWidth="0" w:num="1">
            <w:col w:w="11420"/>
          </w:cols>
          <w:pgMar w:left="240" w:top="125"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February 15, 2005, in Amendment No. 6 to the Registration Statement (Form S-1 No. 333-121001) and related Prospectus of ExlService Holdings, Inc. for the registration of its common stock.</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12, 2006</w:t>
      </w:r>
    </w:p>
    <w:p>
      <w:pPr>
        <w:sectPr>
          <w:pgSz w:w="11900" w:h="16838" w:orient="portrait"/>
          <w:cols w:equalWidth="0" w:num="1">
            <w:col w:w="11420"/>
          </w:cols>
          <w:pgMar w:left="240" w:top="125"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Inductis, Inc.</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independent certified public accountants, we hereby consent to the inclusion in the Form S-1 Amendment No. 6 Registration Statement of our report dated May 22, 2006, except for note 23(b) which is dated June 18, 2006, relating to the consolidated financial statements of Inductis, Inc. and to the reference to our Firm under the caption “Experts” appearing in the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RUSSELL BEDFORD STEFANOU MIRCHANDANI LLP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Russell Bedford Stefanou Mirchandani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13, 2006</w:t>
      </w:r>
    </w:p>
    <w:p>
      <w:pPr>
        <w:sectPr>
          <w:pgSz w:w="11900" w:h="16838" w:orient="portrait"/>
          <w:cols w:equalWidth="0" w:num="1">
            <w:col w:w="11420"/>
          </w:cols>
          <w:pgMar w:left="240" w:top="125" w:right="239" w:bottom="1440" w:gutter="0" w:footer="0" w:header="0"/>
        </w:sectPr>
      </w:pPr>
    </w:p>
    <w:bookmarkStart w:id="334" w:name="page335"/>
    <w:bookmarkEnd w:id="334"/>
    <w:p>
      <w:pPr>
        <w:jc w:val="center"/>
        <w:ind w:right="-179"/>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New York, New York 10019-6064</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October 17,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ExlService Holdings, Inc. – Amendment No. 6</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Registration Statement on Form S-1 (File No. 333-121001)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Ladies and Gentlemen:</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behalf of ExlService Holdings,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we submit in electronic form for filing the accompanying Amendment No. 6 (</w:t>
      </w:r>
      <w:r>
        <w:rPr>
          <w:rFonts w:ascii="Arial" w:cs="Arial" w:eastAsia="Arial" w:hAnsi="Arial"/>
          <w:sz w:val="16"/>
          <w:szCs w:val="16"/>
          <w:i w:val="1"/>
          <w:iCs w:val="1"/>
          <w:color w:val="auto"/>
        </w:rPr>
        <w:t>“Amendment No. 6”</w:t>
      </w:r>
      <w:r>
        <w:rPr>
          <w:rFonts w:ascii="Arial" w:cs="Arial" w:eastAsia="Arial" w:hAnsi="Arial"/>
          <w:sz w:val="16"/>
          <w:szCs w:val="16"/>
          <w:color w:val="auto"/>
        </w:rPr>
        <w:t xml:space="preserve">) to the Registration Statement on Form S-1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of the Company, together with Exhibits, marked to indicate changes from the Registration Statement as originally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on December 3, 2004, and amended on January 31, 2005, April 15, 2005, July 27, 2006, September 15, 2006 and October 4, 2006.</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Amendment No. 6 reflects the responses of the Company to comments received from the Staff of the Commission (the </w:t>
      </w:r>
      <w:r>
        <w:rPr>
          <w:rFonts w:ascii="Arial" w:cs="Arial" w:eastAsia="Arial" w:hAnsi="Arial"/>
          <w:sz w:val="16"/>
          <w:szCs w:val="16"/>
          <w:i w:val="1"/>
          <w:iCs w:val="1"/>
          <w:color w:val="auto"/>
        </w:rPr>
        <w:t>“Staff”</w:t>
      </w:r>
      <w:r>
        <w:rPr>
          <w:rFonts w:ascii="Arial" w:cs="Arial" w:eastAsia="Arial" w:hAnsi="Arial"/>
          <w:sz w:val="16"/>
          <w:szCs w:val="16"/>
          <w:color w:val="auto"/>
        </w:rPr>
        <w:t xml:space="preserve">) in a letter from Owen Pinkerton, dated October 12, 2006 (the </w:t>
      </w:r>
      <w:r>
        <w:rPr>
          <w:rFonts w:ascii="Arial" w:cs="Arial" w:eastAsia="Arial" w:hAnsi="Arial"/>
          <w:sz w:val="16"/>
          <w:szCs w:val="16"/>
          <w:i w:val="1"/>
          <w:iCs w:val="1"/>
          <w:color w:val="auto"/>
        </w:rPr>
        <w:t>“Comment Letter”</w:t>
      </w:r>
      <w:r>
        <w:rPr>
          <w:rFonts w:ascii="Arial" w:cs="Arial" w:eastAsia="Arial" w:hAnsi="Arial"/>
          <w:sz w:val="16"/>
          <w:szCs w:val="16"/>
          <w:color w:val="auto"/>
        </w:rPr>
        <w:t xml:space="preserve">). The discussion below is presented in the order of the numbered comments in the Comment Letter. Certain capitalized terms set forth in this letter are used as defined in the Registration Statement. For your convenience, references in the responses to page numbers are to the marked version of Amendment No. 6 and to the prospectus included therein (the </w:t>
      </w:r>
      <w:r>
        <w:rPr>
          <w:rFonts w:ascii="Arial" w:cs="Arial" w:eastAsia="Arial" w:hAnsi="Arial"/>
          <w:sz w:val="16"/>
          <w:szCs w:val="16"/>
          <w:i w:val="1"/>
          <w:iCs w:val="1"/>
          <w:color w:val="auto"/>
        </w:rPr>
        <w:t>“Prospectus”</w:t>
      </w:r>
      <w:r>
        <w:rPr>
          <w:rFonts w:ascii="Arial" w:cs="Arial" w:eastAsia="Arial" w:hAnsi="Arial"/>
          <w:sz w:val="16"/>
          <w:szCs w:val="16"/>
          <w:color w:val="auto"/>
        </w:rPr>
        <w: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responses to the Staff’s comments are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Structure and Compensation , page 87</w:t>
      </w:r>
    </w:p>
    <w:p>
      <w:pPr>
        <w:spacing w:after="0" w:line="77" w:lineRule="exact"/>
        <w:rPr>
          <w:sz w:val="20"/>
          <w:szCs w:val="20"/>
          <w:color w:val="auto"/>
        </w:rPr>
      </w:pPr>
    </w:p>
    <w:p>
      <w:pPr>
        <w:ind w:left="1460" w:hanging="547"/>
        <w:spacing w:after="0" w:line="370" w:lineRule="auto"/>
        <w:tabs>
          <w:tab w:leader="none" w:pos="1460" w:val="left"/>
        </w:tabs>
        <w:numPr>
          <w:ilvl w:val="0"/>
          <w:numId w:val="297"/>
        </w:numPr>
        <w:rPr>
          <w:rFonts w:ascii="Arial" w:cs="Arial" w:eastAsia="Arial" w:hAnsi="Arial"/>
          <w:sz w:val="15"/>
          <w:szCs w:val="15"/>
          <w:color w:val="auto"/>
        </w:rPr>
      </w:pPr>
      <w:r>
        <w:rPr>
          <w:rFonts w:ascii="Arial" w:cs="Arial" w:eastAsia="Arial" w:hAnsi="Arial"/>
          <w:sz w:val="15"/>
          <w:szCs w:val="15"/>
          <w:i w:val="1"/>
          <w:iCs w:val="1"/>
          <w:color w:val="auto"/>
        </w:rPr>
        <w:t>Please clarify whether the Board of Directors has made a determination regarding the independence of any of your directors. We note your statement that many of your directors are “expected to meet the independence requirements of NASDAQ and the federal securities laws.”</w:t>
      </w:r>
    </w:p>
    <w:p>
      <w:pPr>
        <w:sectPr>
          <w:pgSz w:w="11900" w:h="16838" w:orient="portrait"/>
          <w:cols w:equalWidth="0" w:num="1">
            <w:col w:w="11240"/>
          </w:cols>
          <w:pgMar w:left="240" w:top="132" w:right="41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500" w:right="200"/>
        <w:spacing w:after="0" w:line="259" w:lineRule="auto"/>
        <w:rPr>
          <w:sz w:val="20"/>
          <w:szCs w:val="20"/>
          <w:color w:val="auto"/>
        </w:rPr>
      </w:pPr>
      <w:r>
        <w:rPr>
          <w:rFonts w:ascii="Arial" w:cs="Arial" w:eastAsia="Arial" w:hAnsi="Arial"/>
          <w:sz w:val="18"/>
          <w:szCs w:val="18"/>
          <w:i w:val="1"/>
          <w:iCs w:val="1"/>
          <w:color w:val="auto"/>
        </w:rPr>
        <w:t>We further note that at least one independent director must serve on each of your committees and that NASDAQ requires that the Board of Directors make an affirmative determination regarding the independence of directors. Please revise to indicate whether such a determination has been made with respect to any of your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the Prospectus as requested. See pages 86 and 87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page 91</w:t>
      </w:r>
    </w:p>
    <w:p>
      <w:pPr>
        <w:spacing w:after="0" w:line="77" w:lineRule="exact"/>
        <w:rPr>
          <w:sz w:val="20"/>
          <w:szCs w:val="20"/>
          <w:color w:val="auto"/>
        </w:rPr>
      </w:pPr>
    </w:p>
    <w:p>
      <w:pPr>
        <w:ind w:left="1460" w:right="780" w:hanging="547"/>
        <w:spacing w:after="0" w:line="268" w:lineRule="auto"/>
        <w:tabs>
          <w:tab w:leader="none" w:pos="1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Please briefly define the terms, “cause,” “good reason” and “change of control” as such terms are used in the employment or other agreements for your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the Prospectus as requested. See pages 92 through 97 of the Prospectus.</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have any questions concerning the above responses, please do not hesitate to contact either the undersigned at (212) 373-3076 or John C. Kennedy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(212) 373-3025.</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Valérie M. Demont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Valérie M. Demont</w:t>
      </w:r>
    </w:p>
    <w:p>
      <w:pPr>
        <w:spacing w:after="0" w:line="300" w:lineRule="exact"/>
        <w:rPr>
          <w:sz w:val="20"/>
          <w:szCs w:val="20"/>
          <w:color w:val="auto"/>
        </w:rPr>
      </w:pPr>
    </w:p>
    <w:p>
      <w:pPr>
        <w:ind w:left="460" w:right="7960" w:hanging="452"/>
        <w:spacing w:after="0" w:line="286" w:lineRule="auto"/>
        <w:tabs>
          <w:tab w:leader="none" w:pos="46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Amit Shashank, ExlService Holdings, Inc. Rohit Kapoor, ExlService Holdings, Inc.</w:t>
      </w:r>
    </w:p>
    <w:p>
      <w:pPr>
        <w:ind w:left="460" w:right="6320"/>
        <w:spacing w:after="0" w:line="281" w:lineRule="auto"/>
        <w:rPr>
          <w:rFonts w:ascii="Arial" w:cs="Arial" w:eastAsia="Arial" w:hAnsi="Arial"/>
          <w:sz w:val="16"/>
          <w:szCs w:val="16"/>
          <w:color w:val="auto"/>
        </w:rPr>
      </w:pPr>
      <w:r>
        <w:rPr>
          <w:rFonts w:ascii="Arial" w:cs="Arial" w:eastAsia="Arial" w:hAnsi="Arial"/>
          <w:sz w:val="16"/>
          <w:szCs w:val="16"/>
          <w:color w:val="auto"/>
        </w:rPr>
        <w:t>John C. Kennedy, Paul, Weiss, Rifkind, Wharton &amp; Garrison LLP Janet L. Fisher, Cleary Gottlieb Steen &amp; Hamilton LLP</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Marc Silverman, Ernst &amp; Young,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263DEC"/>
    <w:multiLevelType w:val="hybridMultilevel"/>
    <w:lvl w:ilvl="0">
      <w:lvlJc w:val="left"/>
      <w:lvlText w:val="(%1)"/>
      <w:numFmt w:val="decimal"/>
      <w:start w:val="1"/>
    </w:lvl>
  </w:abstractNum>
  <w:abstractNum w:abstractNumId="1">
    <w:nsid w:val="260D8C4A"/>
    <w:multiLevelType w:val="hybridMultilevel"/>
    <w:lvl w:ilvl="0">
      <w:lvlJc w:val="left"/>
      <w:lvlText w:val="•"/>
      <w:numFmt w:val="bullet"/>
      <w:start w:val="1"/>
    </w:lvl>
  </w:abstractNum>
  <w:abstractNum w:abstractNumId="2">
    <w:nsid w:val="73D4D3C4"/>
    <w:multiLevelType w:val="hybridMultilevel"/>
    <w:lvl w:ilvl="0">
      <w:lvlJc w:val="left"/>
      <w:lvlText w:val="•"/>
      <w:numFmt w:val="bullet"/>
      <w:start w:val="1"/>
    </w:lvl>
  </w:abstractNum>
  <w:abstractNum w:abstractNumId="3">
    <w:nsid w:val="746F2E30"/>
    <w:multiLevelType w:val="hybridMultilevel"/>
    <w:lvl w:ilvl="0">
      <w:lvlJc w:val="left"/>
      <w:lvlText w:val="•"/>
      <w:numFmt w:val="bullet"/>
      <w:start w:val="1"/>
    </w:lvl>
  </w:abstractNum>
  <w:abstractNum w:abstractNumId="4">
    <w:nsid w:val="6FDE8AF6"/>
    <w:multiLevelType w:val="hybridMultilevel"/>
    <w:lvl w:ilvl="0">
      <w:lvlJc w:val="left"/>
      <w:lvlText w:val="(%1)"/>
      <w:numFmt w:val="decimal"/>
      <w:start w:val="1"/>
    </w:lvl>
  </w:abstractNum>
  <w:abstractNum w:abstractNumId="5">
    <w:nsid w:val="3FC32E20"/>
    <w:multiLevelType w:val="hybridMultilevel"/>
    <w:lvl w:ilvl="0">
      <w:lvlJc w:val="left"/>
      <w:lvlText w:val="(%1)"/>
      <w:numFmt w:val="decimal"/>
      <w:start w:val="5"/>
    </w:lvl>
  </w:abstractNum>
  <w:abstractNum w:abstractNumId="6">
    <w:nsid w:val="49C0E823"/>
    <w:multiLevelType w:val="hybridMultilevel"/>
    <w:lvl w:ilvl="0">
      <w:lvlJc w:val="left"/>
      <w:lvlText w:val="•"/>
      <w:numFmt w:val="bullet"/>
      <w:start w:val="1"/>
    </w:lvl>
  </w:abstractNum>
  <w:abstractNum w:abstractNumId="7">
    <w:nsid w:val="14D53685"/>
    <w:multiLevelType w:val="hybridMultilevel"/>
    <w:lvl w:ilvl="0">
      <w:lvlJc w:val="left"/>
      <w:lvlText w:val="•"/>
      <w:numFmt w:val="bullet"/>
      <w:start w:val="1"/>
    </w:lvl>
  </w:abstractNum>
  <w:abstractNum w:abstractNumId="8">
    <w:nsid w:val="230F856C"/>
    <w:multiLevelType w:val="hybridMultilevel"/>
    <w:lvl w:ilvl="0">
      <w:lvlJc w:val="left"/>
      <w:lvlText w:val="•"/>
      <w:numFmt w:val="bullet"/>
      <w:start w:val="1"/>
    </w:lvl>
    <w:lvl w:ilvl="1">
      <w:lvlJc w:val="left"/>
      <w:lvlText w:val="•"/>
      <w:numFmt w:val="bullet"/>
      <w:start w:val="1"/>
    </w:lvl>
  </w:abstractNum>
  <w:abstractNum w:abstractNumId="9">
    <w:nsid w:val="6EAA85FB"/>
    <w:multiLevelType w:val="hybridMultilevel"/>
    <w:lvl w:ilvl="0">
      <w:lvlJc w:val="left"/>
      <w:lvlText w:val="(%1)"/>
      <w:numFmt w:val="decimal"/>
      <w:start w:val="1"/>
    </w:lvl>
  </w:abstractNum>
  <w:abstractNum w:abstractNumId="10">
    <w:nsid w:val="3F06ECB2"/>
    <w:multiLevelType w:val="hybridMultilevel"/>
    <w:lvl w:ilvl="0">
      <w:lvlJc w:val="left"/>
      <w:lvlText w:val="•"/>
      <w:numFmt w:val="bullet"/>
      <w:start w:val="1"/>
    </w:lvl>
  </w:abstractNum>
  <w:abstractNum w:abstractNumId="11">
    <w:nsid w:val="3B594807"/>
    <w:multiLevelType w:val="hybridMultilevel"/>
    <w:lvl w:ilvl="0">
      <w:lvlJc w:val="left"/>
      <w:lvlText w:val="•"/>
      <w:numFmt w:val="bullet"/>
      <w:start w:val="1"/>
    </w:lvl>
    <w:lvl w:ilvl="1">
      <w:lvlJc w:val="left"/>
      <w:lvlText w:val="•"/>
      <w:numFmt w:val="bullet"/>
      <w:start w:val="1"/>
    </w:lvl>
  </w:abstractNum>
  <w:abstractNum w:abstractNumId="12">
    <w:nsid w:val="6CAA2304"/>
    <w:multiLevelType w:val="hybridMultilevel"/>
    <w:lvl w:ilvl="0">
      <w:lvlJc w:val="left"/>
      <w:lvlText w:val="(%1)"/>
      <w:numFmt w:val="decimal"/>
      <w:start w:val="1"/>
    </w:lvl>
  </w:abstractNum>
  <w:abstractNum w:abstractNumId="13">
    <w:nsid w:val="3F7C2FF4"/>
    <w:multiLevelType w:val="hybridMultilevel"/>
    <w:lvl w:ilvl="0">
      <w:lvlJc w:val="left"/>
      <w:lvlText w:val="%1."/>
      <w:numFmt w:val="decimal"/>
      <w:start w:val="2"/>
    </w:lvl>
    <w:lvl w:ilvl="1">
      <w:lvlJc w:val="left"/>
      <w:lvlText w:val="(%2)"/>
      <w:numFmt w:val="lowerLetter"/>
      <w:start w:val="1"/>
    </w:lvl>
  </w:abstractNum>
  <w:abstractNum w:abstractNumId="14">
    <w:nsid w:val="25413BEC"/>
    <w:multiLevelType w:val="hybridMultilevel"/>
    <w:lvl w:ilvl="0">
      <w:lvlJc w:val="left"/>
      <w:lvlText w:val="(%1)"/>
      <w:numFmt w:val="lowerLetter"/>
      <w:start w:val="4"/>
    </w:lvl>
  </w:abstractNum>
  <w:abstractNum w:abstractNumId="15">
    <w:nsid w:val="17180B0B"/>
    <w:multiLevelType w:val="hybridMultilevel"/>
    <w:lvl w:ilvl="0">
      <w:lvlJc w:val="left"/>
      <w:lvlText w:val="(%1)"/>
      <w:numFmt w:val="lowerLetter"/>
      <w:start w:val="8"/>
    </w:lvl>
  </w:abstractNum>
  <w:abstractNum w:abstractNumId="16">
    <w:nsid w:val="579328B9"/>
    <w:multiLevelType w:val="hybridMultilevel"/>
    <w:lvl w:ilvl="0">
      <w:lvlJc w:val="left"/>
      <w:lvlText w:val="•"/>
      <w:numFmt w:val="bullet"/>
      <w:start w:val="1"/>
    </w:lvl>
  </w:abstractNum>
  <w:abstractNum w:abstractNumId="17">
    <w:nsid w:val="5D205E20"/>
    <w:multiLevelType w:val="hybridMultilevel"/>
    <w:lvl w:ilvl="0">
      <w:lvlJc w:val="left"/>
      <w:lvlText w:val="(%1)"/>
      <w:numFmt w:val="decimal"/>
      <w:start w:val="1"/>
    </w:lvl>
  </w:abstractNum>
  <w:abstractNum w:abstractNumId="18">
    <w:nsid w:val="11CCA8BA"/>
    <w:multiLevelType w:val="hybridMultilevel"/>
    <w:lvl w:ilvl="0">
      <w:lvlJc w:val="left"/>
      <w:lvlText w:val="(%1)"/>
      <w:numFmt w:val="decimal"/>
      <w:start w:val="1"/>
    </w:lvl>
  </w:abstractNum>
  <w:abstractNum w:abstractNumId="19">
    <w:nsid w:val="4D32AB86"/>
    <w:multiLevelType w:val="hybridMultilevel"/>
    <w:lvl w:ilvl="0">
      <w:lvlJc w:val="left"/>
      <w:lvlText w:val="•"/>
      <w:numFmt w:val="bullet"/>
      <w:start w:val="1"/>
    </w:lvl>
  </w:abstractNum>
  <w:abstractNum w:abstractNumId="20">
    <w:nsid w:val="3F07ACC3"/>
    <w:multiLevelType w:val="hybridMultilevel"/>
    <w:lvl w:ilvl="0">
      <w:lvlJc w:val="left"/>
      <w:lvlText w:val="•"/>
      <w:numFmt w:val="bullet"/>
      <w:start w:val="1"/>
    </w:lvl>
  </w:abstractNum>
  <w:abstractNum w:abstractNumId="21">
    <w:nsid w:val="6B47F63E"/>
    <w:multiLevelType w:val="hybridMultilevel"/>
    <w:lvl w:ilvl="0">
      <w:lvlJc w:val="left"/>
      <w:lvlText w:val="•"/>
      <w:numFmt w:val="bullet"/>
      <w:start w:val="1"/>
    </w:lvl>
  </w:abstractNum>
  <w:abstractNum w:abstractNumId="22">
    <w:nsid w:val="5CB44A05"/>
    <w:multiLevelType w:val="hybridMultilevel"/>
    <w:lvl w:ilvl="0">
      <w:lvlJc w:val="left"/>
      <w:lvlText w:val="•"/>
      <w:numFmt w:val="bullet"/>
      <w:start w:val="1"/>
    </w:lvl>
  </w:abstractNum>
  <w:abstractNum w:abstractNumId="23">
    <w:nsid w:val="16CF80F1"/>
    <w:multiLevelType w:val="hybridMultilevel"/>
    <w:lvl w:ilvl="0">
      <w:lvlJc w:val="left"/>
      <w:lvlText w:val="•"/>
      <w:numFmt w:val="bullet"/>
      <w:start w:val="1"/>
    </w:lvl>
  </w:abstractNum>
  <w:abstractNum w:abstractNumId="24">
    <w:nsid w:val="1C695DEC"/>
    <w:multiLevelType w:val="hybridMultilevel"/>
    <w:lvl w:ilvl="0">
      <w:lvlJc w:val="left"/>
      <w:lvlText w:val="•"/>
      <w:numFmt w:val="bullet"/>
      <w:start w:val="1"/>
    </w:lvl>
  </w:abstractNum>
  <w:abstractNum w:abstractNumId="25">
    <w:nsid w:val="3FCFAED9"/>
    <w:multiLevelType w:val="hybridMultilevel"/>
    <w:lvl w:ilvl="0">
      <w:lvlJc w:val="left"/>
      <w:lvlText w:val="•"/>
      <w:numFmt w:val="bullet"/>
      <w:start w:val="1"/>
    </w:lvl>
  </w:abstractNum>
  <w:abstractNum w:abstractNumId="26">
    <w:nsid w:val="F856867"/>
    <w:multiLevelType w:val="hybridMultilevel"/>
    <w:lvl w:ilvl="0">
      <w:lvlJc w:val="left"/>
      <w:lvlText w:val="•"/>
      <w:numFmt w:val="bullet"/>
      <w:start w:val="1"/>
    </w:lvl>
  </w:abstractNum>
  <w:abstractNum w:abstractNumId="27">
    <w:nsid w:val="11B1CC33"/>
    <w:multiLevelType w:val="hybridMultilevel"/>
    <w:lvl w:ilvl="0">
      <w:lvlJc w:val="left"/>
      <w:lvlText w:val="•"/>
      <w:numFmt w:val="bullet"/>
      <w:start w:val="1"/>
    </w:lvl>
  </w:abstractNum>
  <w:abstractNum w:abstractNumId="28">
    <w:nsid w:val="2E22FBB7"/>
    <w:multiLevelType w:val="hybridMultilevel"/>
    <w:lvl w:ilvl="0">
      <w:lvlJc w:val="left"/>
      <w:lvlText w:val="•"/>
      <w:numFmt w:val="bullet"/>
      <w:start w:val="1"/>
    </w:lvl>
  </w:abstractNum>
  <w:abstractNum w:abstractNumId="29">
    <w:nsid w:val="29934699"/>
    <w:multiLevelType w:val="hybridMultilevel"/>
    <w:lvl w:ilvl="0">
      <w:lvlJc w:val="left"/>
      <w:lvlText w:val="•"/>
      <w:numFmt w:val="bullet"/>
      <w:start w:val="1"/>
    </w:lvl>
  </w:abstractNum>
  <w:abstractNum w:abstractNumId="30">
    <w:nsid w:val="77485850"/>
    <w:multiLevelType w:val="hybridMultilevel"/>
    <w:lvl w:ilvl="0">
      <w:lvlJc w:val="left"/>
      <w:lvlText w:val="•"/>
      <w:numFmt w:val="bullet"/>
      <w:start w:val="1"/>
    </w:lvl>
  </w:abstractNum>
  <w:abstractNum w:abstractNumId="31">
    <w:nsid w:val="744939A3"/>
    <w:multiLevelType w:val="hybridMultilevel"/>
    <w:lvl w:ilvl="0">
      <w:lvlJc w:val="left"/>
      <w:lvlText w:val="•"/>
      <w:numFmt w:val="bullet"/>
      <w:start w:val="1"/>
    </w:lvl>
  </w:abstractNum>
  <w:abstractNum w:abstractNumId="32">
    <w:nsid w:val="4FA0D2E3"/>
    <w:multiLevelType w:val="hybridMultilevel"/>
    <w:lvl w:ilvl="0">
      <w:lvlJc w:val="left"/>
      <w:lvlText w:val="•"/>
      <w:numFmt w:val="bullet"/>
      <w:start w:val="1"/>
    </w:lvl>
  </w:abstractNum>
  <w:abstractNum w:abstractNumId="33">
    <w:nsid w:val="6B1D2C14"/>
    <w:multiLevelType w:val="hybridMultilevel"/>
    <w:lvl w:ilvl="0">
      <w:lvlJc w:val="left"/>
      <w:lvlText w:val="•"/>
      <w:numFmt w:val="bullet"/>
      <w:start w:val="1"/>
    </w:lvl>
  </w:abstractNum>
  <w:abstractNum w:abstractNumId="34">
    <w:nsid w:val="68B867D3"/>
    <w:multiLevelType w:val="hybridMultilevel"/>
    <w:lvl w:ilvl="0">
      <w:lvlJc w:val="left"/>
      <w:lvlText w:val="•"/>
      <w:numFmt w:val="bullet"/>
      <w:start w:val="1"/>
    </w:lvl>
  </w:abstractNum>
  <w:abstractNum w:abstractNumId="35">
    <w:nsid w:val="3F7F5DD9"/>
    <w:multiLevelType w:val="hybridMultilevel"/>
    <w:lvl w:ilvl="0">
      <w:lvlJc w:val="left"/>
      <w:lvlText w:val="&amp;"/>
      <w:numFmt w:val="bullet"/>
      <w:start w:val="1"/>
    </w:lvl>
  </w:abstractNum>
  <w:abstractNum w:abstractNumId="36">
    <w:nsid w:val="2AE05A34"/>
    <w:multiLevelType w:val="hybridMultilevel"/>
    <w:lvl w:ilvl="0">
      <w:lvlJc w:val="left"/>
      <w:lvlText w:val="•"/>
      <w:numFmt w:val="bullet"/>
      <w:start w:val="1"/>
    </w:lvl>
  </w:abstractNum>
  <w:abstractNum w:abstractNumId="37">
    <w:nsid w:val="32794FF7"/>
    <w:multiLevelType w:val="hybridMultilevel"/>
    <w:lvl w:ilvl="0">
      <w:lvlJc w:val="left"/>
      <w:lvlText w:val="(%1)"/>
      <w:numFmt w:val="decimal"/>
      <w:start w:val="1"/>
    </w:lvl>
  </w:abstractNum>
  <w:abstractNum w:abstractNumId="38">
    <w:nsid w:val="5454945E"/>
    <w:multiLevelType w:val="hybridMultilevel"/>
    <w:lvl w:ilvl="0">
      <w:lvlJc w:val="left"/>
      <w:lvlText w:val="•"/>
      <w:numFmt w:val="bullet"/>
      <w:start w:val="1"/>
    </w:lvl>
  </w:abstractNum>
  <w:abstractNum w:abstractNumId="39">
    <w:nsid w:val="4DEFDFA0"/>
    <w:multiLevelType w:val="hybridMultilevel"/>
    <w:lvl w:ilvl="0">
      <w:lvlJc w:val="left"/>
      <w:lvlText w:val="•"/>
      <w:numFmt w:val="bullet"/>
      <w:start w:val="1"/>
    </w:lvl>
  </w:abstractNum>
  <w:abstractNum w:abstractNumId="40">
    <w:nsid w:val="2123D5F2"/>
    <w:multiLevelType w:val="hybridMultilevel"/>
    <w:lvl w:ilvl="0">
      <w:lvlJc w:val="left"/>
      <w:lvlText w:val="•"/>
      <w:numFmt w:val="bullet"/>
      <w:start w:val="1"/>
    </w:lvl>
  </w:abstractNum>
  <w:abstractNum w:abstractNumId="41">
    <w:nsid w:val="135B8110"/>
    <w:multiLevelType w:val="hybridMultilevel"/>
    <w:lvl w:ilvl="0">
      <w:lvlJc w:val="left"/>
      <w:lvlText w:val="(%1)"/>
      <w:numFmt w:val="decimal"/>
      <w:start w:val="1"/>
    </w:lvl>
  </w:abstractNum>
  <w:abstractNum w:abstractNumId="42">
    <w:nsid w:val="94927A8"/>
    <w:multiLevelType w:val="hybridMultilevel"/>
    <w:lvl w:ilvl="0">
      <w:lvlJc w:val="left"/>
      <w:lvlText w:val="(%1)"/>
      <w:numFmt w:val="decimal"/>
      <w:start w:val="1"/>
    </w:lvl>
  </w:abstractNum>
  <w:abstractNum w:abstractNumId="43">
    <w:nsid w:val="DCDF8F6"/>
    <w:multiLevelType w:val="hybridMultilevel"/>
    <w:lvl w:ilvl="0">
      <w:lvlJc w:val="left"/>
      <w:lvlText w:val="(%1)"/>
      <w:numFmt w:val="decimal"/>
      <w:start w:val="1"/>
    </w:lvl>
  </w:abstractNum>
  <w:abstractNum w:abstractNumId="44">
    <w:nsid w:val="52D7B105"/>
    <w:multiLevelType w:val="hybridMultilevel"/>
    <w:lvl w:ilvl="0">
      <w:lvlJc w:val="left"/>
      <w:lvlText w:val="•"/>
      <w:numFmt w:val="bullet"/>
      <w:start w:val="1"/>
    </w:lvl>
  </w:abstractNum>
  <w:abstractNum w:abstractNumId="45">
    <w:nsid w:val="2E8A6394"/>
    <w:multiLevelType w:val="hybridMultilevel"/>
    <w:lvl w:ilvl="0">
      <w:lvlJc w:val="left"/>
      <w:lvlText w:val="•"/>
      <w:numFmt w:val="bullet"/>
      <w:start w:val="1"/>
    </w:lvl>
  </w:abstractNum>
  <w:abstractNum w:abstractNumId="46">
    <w:nsid w:val="24E60401"/>
    <w:multiLevelType w:val="hybridMultilevel"/>
    <w:lvl w:ilvl="0">
      <w:lvlJc w:val="left"/>
      <w:lvlText w:val="•"/>
      <w:numFmt w:val="bullet"/>
      <w:start w:val="1"/>
    </w:lvl>
  </w:abstractNum>
  <w:abstractNum w:abstractNumId="47">
    <w:nsid w:val="2A6AD9BE"/>
    <w:multiLevelType w:val="hybridMultilevel"/>
    <w:lvl w:ilvl="0">
      <w:lvlJc w:val="left"/>
      <w:lvlText w:val="•"/>
      <w:numFmt w:val="bullet"/>
      <w:start w:val="1"/>
    </w:lvl>
  </w:abstractNum>
  <w:abstractNum w:abstractNumId="48">
    <w:nsid w:val="BAAC1B4"/>
    <w:multiLevelType w:val="hybridMultilevel"/>
    <w:lvl w:ilvl="0">
      <w:lvlJc w:val="left"/>
      <w:lvlText w:val="•"/>
      <w:numFmt w:val="bullet"/>
      <w:start w:val="1"/>
    </w:lvl>
  </w:abstractNum>
  <w:abstractNum w:abstractNumId="49">
    <w:nsid w:val="36B2ACBC"/>
    <w:multiLevelType w:val="hybridMultilevel"/>
    <w:lvl w:ilvl="0">
      <w:lvlJc w:val="left"/>
      <w:lvlText w:val="•"/>
      <w:numFmt w:val="bullet"/>
      <w:start w:val="1"/>
    </w:lvl>
  </w:abstractNum>
  <w:abstractNum w:abstractNumId="50">
    <w:nsid w:val="779D8544"/>
    <w:multiLevelType w:val="hybridMultilevel"/>
    <w:lvl w:ilvl="0">
      <w:lvlJc w:val="left"/>
      <w:lvlText w:val="•"/>
      <w:numFmt w:val="bullet"/>
      <w:start w:val="1"/>
    </w:lvl>
    <w:lvl w:ilvl="1">
      <w:lvlJc w:val="left"/>
      <w:lvlText w:val="•"/>
      <w:numFmt w:val="bullet"/>
      <w:start w:val="1"/>
    </w:lvl>
  </w:abstractNum>
  <w:abstractNum w:abstractNumId="51">
    <w:nsid w:val="4AB26E78"/>
    <w:multiLevelType w:val="hybridMultilevel"/>
    <w:lvl w:ilvl="0">
      <w:lvlJc w:val="left"/>
      <w:lvlText w:val="•"/>
      <w:numFmt w:val="bullet"/>
      <w:start w:val="1"/>
    </w:lvl>
  </w:abstractNum>
  <w:abstractNum w:abstractNumId="52">
    <w:nsid w:val="21FAA2FA"/>
    <w:multiLevelType w:val="hybridMultilevel"/>
    <w:lvl w:ilvl="0">
      <w:lvlJc w:val="left"/>
      <w:lvlText w:val="•"/>
      <w:numFmt w:val="bullet"/>
      <w:start w:val="1"/>
    </w:lvl>
  </w:abstractNum>
  <w:abstractNum w:abstractNumId="53">
    <w:nsid w:val="5451CF49"/>
    <w:multiLevelType w:val="hybridMultilevel"/>
    <w:lvl w:ilvl="0">
      <w:lvlJc w:val="left"/>
      <w:lvlText w:val="•"/>
      <w:numFmt w:val="bullet"/>
      <w:start w:val="1"/>
    </w:lvl>
  </w:abstractNum>
  <w:abstractNum w:abstractNumId="54">
    <w:nsid w:val="6181EF69"/>
    <w:multiLevelType w:val="hybridMultilevel"/>
    <w:lvl w:ilvl="0">
      <w:lvlJc w:val="left"/>
      <w:lvlText w:val="•"/>
      <w:numFmt w:val="bullet"/>
      <w:start w:val="1"/>
    </w:lvl>
  </w:abstractNum>
  <w:abstractNum w:abstractNumId="55">
    <w:nsid w:val="3E6400E6"/>
    <w:multiLevelType w:val="hybridMultilevel"/>
    <w:lvl w:ilvl="0">
      <w:lvlJc w:val="left"/>
      <w:lvlText w:val="•"/>
      <w:numFmt w:val="bullet"/>
      <w:start w:val="1"/>
    </w:lvl>
  </w:abstractNum>
  <w:abstractNum w:abstractNumId="56">
    <w:nsid w:val="14217E23"/>
    <w:multiLevelType w:val="hybridMultilevel"/>
    <w:lvl w:ilvl="0">
      <w:lvlJc w:val="left"/>
      <w:lvlText w:val="•"/>
      <w:numFmt w:val="bullet"/>
      <w:start w:val="1"/>
    </w:lvl>
    <w:lvl w:ilvl="1">
      <w:lvlJc w:val="left"/>
      <w:lvlText w:val="•"/>
      <w:numFmt w:val="bullet"/>
      <w:start w:val="1"/>
    </w:lvl>
  </w:abstractNum>
  <w:abstractNum w:abstractNumId="57">
    <w:nsid w:val="710757D0"/>
    <w:multiLevelType w:val="hybridMultilevel"/>
    <w:lvl w:ilvl="0">
      <w:lvlJc w:val="left"/>
      <w:lvlText w:val="•"/>
      <w:numFmt w:val="bullet"/>
      <w:start w:val="1"/>
    </w:lvl>
  </w:abstractNum>
  <w:abstractNum w:abstractNumId="58">
    <w:nsid w:val="5015CD1A"/>
    <w:multiLevelType w:val="hybridMultilevel"/>
    <w:lvl w:ilvl="0">
      <w:lvlJc w:val="left"/>
      <w:lvlText w:val="•"/>
      <w:numFmt w:val="bullet"/>
      <w:start w:val="1"/>
    </w:lvl>
  </w:abstractNum>
  <w:abstractNum w:abstractNumId="59">
    <w:nsid w:val="424479DA"/>
    <w:multiLevelType w:val="hybridMultilevel"/>
    <w:lvl w:ilvl="0">
      <w:lvlJc w:val="left"/>
      <w:lvlText w:val="•"/>
      <w:numFmt w:val="bullet"/>
      <w:start w:val="1"/>
    </w:lvl>
  </w:abstractNum>
  <w:abstractNum w:abstractNumId="60">
    <w:nsid w:val="1A9A9E69"/>
    <w:multiLevelType w:val="hybridMultilevel"/>
    <w:lvl w:ilvl="0">
      <w:lvlJc w:val="left"/>
      <w:lvlText w:val="•"/>
      <w:numFmt w:val="bullet"/>
      <w:start w:val="1"/>
    </w:lvl>
  </w:abstractNum>
  <w:abstractNum w:abstractNumId="61">
    <w:nsid w:val="475E256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2">
    <w:nsid w:val="368DB37E"/>
    <w:multiLevelType w:val="hybridMultilevel"/>
    <w:lvl w:ilvl="0">
      <w:lvlJc w:val="left"/>
      <w:lvlText w:val="*"/>
      <w:numFmt w:val="bullet"/>
      <w:start w:val="1"/>
    </w:lvl>
  </w:abstractNum>
  <w:abstractNum w:abstractNumId="63">
    <w:nsid w:val="6A3B714C"/>
    <w:multiLevelType w:val="hybridMultilevel"/>
    <w:lvl w:ilvl="0">
      <w:lvlJc w:val="left"/>
      <w:lvlText w:val="(%1)"/>
      <w:numFmt w:val="decimal"/>
      <w:start w:val="1"/>
    </w:lvl>
  </w:abstractNum>
  <w:abstractNum w:abstractNumId="64">
    <w:nsid w:val="327B517E"/>
    <w:multiLevelType w:val="hybridMultilevel"/>
    <w:lvl w:ilvl="0">
      <w:lvlJc w:val="left"/>
      <w:lvlText w:val="(%1)"/>
      <w:numFmt w:val="decimal"/>
      <w:start w:val="4"/>
    </w:lvl>
  </w:abstractNum>
  <w:abstractNum w:abstractNumId="65">
    <w:nsid w:val="1F461B51"/>
    <w:multiLevelType w:val="hybridMultilevel"/>
    <w:lvl w:ilvl="0">
      <w:lvlJc w:val="left"/>
      <w:lvlText w:val="(%1)"/>
      <w:numFmt w:val="decimal"/>
      <w:start w:val="10"/>
    </w:lvl>
  </w:abstractNum>
  <w:abstractNum w:abstractNumId="66">
    <w:nsid w:val="29BACF25"/>
    <w:multiLevelType w:val="hybridMultilevel"/>
    <w:lvl w:ilvl="0">
      <w:lvlJc w:val="left"/>
      <w:lvlText w:val="•"/>
      <w:numFmt w:val="bullet"/>
      <w:start w:val="1"/>
    </w:lvl>
  </w:abstractNum>
  <w:abstractNum w:abstractNumId="67">
    <w:nsid w:val="5D5BABB3"/>
    <w:multiLevelType w:val="hybridMultilevel"/>
    <w:lvl w:ilvl="0">
      <w:lvlJc w:val="left"/>
      <w:lvlText w:val="•"/>
      <w:numFmt w:val="bullet"/>
      <w:start w:val="1"/>
    </w:lvl>
  </w:abstractNum>
  <w:abstractNum w:abstractNumId="68">
    <w:nsid w:val="51BF6B48"/>
    <w:multiLevelType w:val="hybridMultilevel"/>
    <w:lvl w:ilvl="0">
      <w:lvlJc w:val="left"/>
      <w:lvlText w:val="•"/>
      <w:numFmt w:val="bullet"/>
      <w:start w:val="1"/>
    </w:lvl>
  </w:abstractNum>
  <w:abstractNum w:abstractNumId="69">
    <w:nsid w:val="7E0F6384"/>
    <w:multiLevelType w:val="hybridMultilevel"/>
    <w:lvl w:ilvl="0">
      <w:lvlJc w:val="left"/>
      <w:lvlText w:val="•"/>
      <w:numFmt w:val="bullet"/>
      <w:start w:val="1"/>
    </w:lvl>
    <w:lvl w:ilvl="1">
      <w:lvlJc w:val="left"/>
      <w:lvlText w:val="•"/>
      <w:numFmt w:val="bullet"/>
      <w:start w:val="1"/>
    </w:lvl>
  </w:abstractNum>
  <w:abstractNum w:abstractNumId="70">
    <w:nsid w:val="2B4B8B53"/>
    <w:multiLevelType w:val="hybridMultilevel"/>
    <w:lvl w:ilvl="0">
      <w:lvlJc w:val="left"/>
      <w:lvlText w:val="•"/>
      <w:numFmt w:val="bullet"/>
      <w:start w:val="1"/>
    </w:lvl>
  </w:abstractNum>
  <w:abstractNum w:abstractNumId="71">
    <w:nsid w:val="72E3413A"/>
    <w:multiLevelType w:val="hybridMultilevel"/>
    <w:lvl w:ilvl="0">
      <w:lvlJc w:val="left"/>
      <w:lvlText w:val="•"/>
      <w:numFmt w:val="bullet"/>
      <w:start w:val="1"/>
    </w:lvl>
  </w:abstractNum>
  <w:abstractNum w:abstractNumId="72">
    <w:nsid w:val="116AE494"/>
    <w:multiLevelType w:val="hybridMultilevel"/>
    <w:lvl w:ilvl="0">
      <w:lvlJc w:val="left"/>
      <w:lvlText w:val="•"/>
      <w:numFmt w:val="bullet"/>
      <w:start w:val="1"/>
    </w:lvl>
  </w:abstractNum>
  <w:abstractNum w:abstractNumId="73">
    <w:nsid w:val="3494B2FB"/>
    <w:multiLevelType w:val="hybridMultilevel"/>
    <w:lvl w:ilvl="0">
      <w:lvlJc w:val="left"/>
      <w:lvlText w:val="•"/>
      <w:numFmt w:val="bullet"/>
      <w:start w:val="1"/>
    </w:lvl>
  </w:abstractNum>
  <w:abstractNum w:abstractNumId="74">
    <w:nsid w:val="B13A31"/>
    <w:multiLevelType w:val="hybridMultilevel"/>
    <w:lvl w:ilvl="0">
      <w:lvlJc w:val="left"/>
      <w:lvlText w:val="•"/>
      <w:numFmt w:val="bullet"/>
      <w:start w:val="1"/>
    </w:lvl>
  </w:abstractNum>
  <w:abstractNum w:abstractNumId="75">
    <w:nsid w:val="64429599"/>
    <w:multiLevelType w:val="hybridMultilevel"/>
    <w:lvl w:ilvl="0">
      <w:lvlJc w:val="left"/>
      <w:lvlText w:val="•"/>
      <w:numFmt w:val="bullet"/>
      <w:start w:val="1"/>
    </w:lvl>
  </w:abstractNum>
  <w:abstractNum w:abstractNumId="76">
    <w:nsid w:val="631F1690"/>
    <w:multiLevelType w:val="hybridMultilevel"/>
    <w:lvl w:ilvl="0">
      <w:lvlJc w:val="left"/>
      <w:lvlText w:val="•"/>
      <w:numFmt w:val="bullet"/>
      <w:start w:val="1"/>
    </w:lvl>
  </w:abstractNum>
  <w:abstractNum w:abstractNumId="77">
    <w:nsid w:val="25973E32"/>
    <w:multiLevelType w:val="hybridMultilevel"/>
    <w:lvl w:ilvl="0">
      <w:lvlJc w:val="left"/>
      <w:lvlText w:val="•"/>
      <w:numFmt w:val="bullet"/>
      <w:start w:val="1"/>
    </w:lvl>
  </w:abstractNum>
  <w:abstractNum w:abstractNumId="78">
    <w:nsid w:val="EAD6F57"/>
    <w:multiLevelType w:val="hybridMultilevel"/>
    <w:lvl w:ilvl="0">
      <w:lvlJc w:val="left"/>
      <w:lvlText w:val="(%1)"/>
      <w:numFmt w:val="decimal"/>
      <w:start w:val="1"/>
    </w:lvl>
  </w:abstractNum>
  <w:abstractNum w:abstractNumId="79">
    <w:nsid w:val="6EC9D844"/>
    <w:multiLevelType w:val="hybridMultilevel"/>
    <w:lvl w:ilvl="0">
      <w:lvlJc w:val="left"/>
      <w:lvlText w:val="%1."/>
      <w:numFmt w:val="decimal"/>
      <w:start w:val="1"/>
    </w:lvl>
  </w:abstractNum>
  <w:abstractNum w:abstractNumId="80">
    <w:nsid w:val="5C49EAEE"/>
    <w:multiLevelType w:val="hybridMultilevel"/>
    <w:lvl w:ilvl="0">
      <w:lvlJc w:val="left"/>
      <w:lvlText w:val="(%1)"/>
      <w:numFmt w:val="decimal"/>
      <w:start w:val="2"/>
    </w:lvl>
  </w:abstractNum>
  <w:abstractNum w:abstractNumId="81">
    <w:nsid w:val="64AF49B"/>
    <w:multiLevelType w:val="hybridMultilevel"/>
    <w:lvl w:ilvl="0">
      <w:lvlJc w:val="left"/>
      <w:lvlText w:val="%1."/>
      <w:numFmt w:val="decimal"/>
      <w:start w:val="7"/>
    </w:lvl>
  </w:abstractNum>
  <w:abstractNum w:abstractNumId="82">
    <w:nsid w:val="397C46BC"/>
    <w:multiLevelType w:val="hybridMultilevel"/>
    <w:lvl w:ilvl="0">
      <w:lvlJc w:val="left"/>
      <w:lvlText w:val="%1."/>
      <w:numFmt w:val="decimal"/>
      <w:start w:val="11"/>
    </w:lvl>
  </w:abstractNum>
  <w:abstractNum w:abstractNumId="83">
    <w:nsid w:val="7E448DE9"/>
    <w:multiLevelType w:val="hybridMultilevel"/>
    <w:lvl w:ilvl="0">
      <w:lvlJc w:val="left"/>
      <w:lvlText w:val="•"/>
      <w:numFmt w:val="bullet"/>
      <w:start w:val="1"/>
    </w:lvl>
  </w:abstractNum>
  <w:abstractNum w:abstractNumId="84">
    <w:nsid w:val="5A9CC3E5"/>
    <w:multiLevelType w:val="hybridMultilevel"/>
    <w:lvl w:ilvl="0">
      <w:lvlJc w:val="left"/>
      <w:lvlText w:val="%1."/>
      <w:numFmt w:val="decimal"/>
      <w:start w:val="14"/>
    </w:lvl>
  </w:abstractNum>
  <w:abstractNum w:abstractNumId="85">
    <w:nsid w:val="1AFE3625"/>
    <w:multiLevelType w:val="hybridMultilevel"/>
    <w:lvl w:ilvl="0">
      <w:lvlJc w:val="left"/>
      <w:lvlText w:val="(%1)"/>
      <w:numFmt w:val="decimal"/>
      <w:start w:val="1"/>
    </w:lvl>
  </w:abstractNum>
  <w:abstractNum w:abstractNumId="86">
    <w:nsid w:val="3CA88ECF"/>
    <w:multiLevelType w:val="hybridMultilevel"/>
    <w:lvl w:ilvl="0">
      <w:lvlJc w:val="left"/>
      <w:lvlText w:val="%1."/>
      <w:numFmt w:val="decimal"/>
      <w:start w:val="1"/>
    </w:lvl>
  </w:abstractNum>
  <w:abstractNum w:abstractNumId="87">
    <w:nsid w:val="6EBE4208"/>
    <w:multiLevelType w:val="hybridMultilevel"/>
    <w:lvl w:ilvl="0">
      <w:lvlJc w:val="left"/>
      <w:lvlText w:val="%1."/>
      <w:numFmt w:val="decimal"/>
      <w:start w:val="2"/>
    </w:lvl>
  </w:abstractNum>
  <w:abstractNum w:abstractNumId="88">
    <w:nsid w:val="C058DF5"/>
    <w:multiLevelType w:val="hybridMultilevel"/>
    <w:lvl w:ilvl="0">
      <w:lvlJc w:val="left"/>
      <w:lvlText w:val="%1."/>
      <w:numFmt w:val="decimal"/>
      <w:start w:val="8"/>
    </w:lvl>
  </w:abstractNum>
  <w:abstractNum w:abstractNumId="89">
    <w:nsid w:val="CBE5BE9"/>
    <w:multiLevelType w:val="hybridMultilevel"/>
    <w:lvl w:ilvl="0">
      <w:lvlJc w:val="left"/>
      <w:lvlText w:val="%1."/>
      <w:numFmt w:val="decimal"/>
      <w:start w:val="15"/>
    </w:lvl>
  </w:abstractNum>
  <w:abstractNum w:abstractNumId="90">
    <w:nsid w:val="3102BBE2"/>
    <w:multiLevelType w:val="hybridMultilevel"/>
    <w:lvl w:ilvl="0">
      <w:lvlJc w:val="left"/>
      <w:lvlText w:val="%1."/>
      <w:numFmt w:val="decimal"/>
      <w:start w:val="1"/>
    </w:lvl>
  </w:abstractNum>
  <w:abstractNum w:abstractNumId="91">
    <w:nsid w:val="26A02C5E"/>
    <w:multiLevelType w:val="hybridMultilevel"/>
    <w:lvl w:ilvl="0">
      <w:lvlJc w:val="left"/>
      <w:lvlText w:val="%1."/>
      <w:numFmt w:val="decimal"/>
      <w:start w:val="2"/>
    </w:lvl>
  </w:abstractNum>
  <w:abstractNum w:abstractNumId="92">
    <w:nsid w:val="541C8153"/>
    <w:multiLevelType w:val="hybridMultilevel"/>
    <w:lvl w:ilvl="0">
      <w:lvlJc w:val="left"/>
      <w:lvlText w:val="(%1)"/>
      <w:numFmt w:val="lowerLetter"/>
      <w:start w:val="16"/>
    </w:lvl>
  </w:abstractNum>
  <w:abstractNum w:abstractNumId="93">
    <w:nsid w:val="67906F60"/>
    <w:multiLevelType w:val="hybridMultilevel"/>
    <w:lvl w:ilvl="0">
      <w:lvlJc w:val="left"/>
      <w:lvlText w:val="%1."/>
      <w:numFmt w:val="decimal"/>
      <w:start w:val="3"/>
    </w:lvl>
  </w:abstractNum>
  <w:abstractNum w:abstractNumId="94">
    <w:nsid w:val="10DB9DAA"/>
    <w:multiLevelType w:val="hybridMultilevel"/>
    <w:lvl w:ilvl="0">
      <w:lvlJc w:val="left"/>
      <w:lvlText w:val="%1."/>
      <w:numFmt w:val="decimal"/>
      <w:start w:val="4"/>
    </w:lvl>
  </w:abstractNum>
  <w:abstractNum w:abstractNumId="95">
    <w:nsid w:val="697D2D2"/>
    <w:multiLevelType w:val="hybridMultilevel"/>
    <w:lvl w:ilvl="0">
      <w:lvlJc w:val="left"/>
      <w:lvlText w:val="%1."/>
      <w:numFmt w:val="decimal"/>
      <w:start w:val="5"/>
    </w:lvl>
  </w:abstractNum>
  <w:abstractNum w:abstractNumId="96">
    <w:nsid w:val="6D68AB2"/>
    <w:multiLevelType w:val="hybridMultilevel"/>
    <w:lvl w:ilvl="0">
      <w:lvlJc w:val="left"/>
      <w:lvlText w:val="%1."/>
      <w:numFmt w:val="decimal"/>
      <w:start w:val="8"/>
    </w:lvl>
  </w:abstractNum>
  <w:abstractNum w:abstractNumId="97">
    <w:nsid w:val="3A966CD0"/>
    <w:multiLevelType w:val="hybridMultilevel"/>
    <w:lvl w:ilvl="0">
      <w:lvlJc w:val="left"/>
      <w:lvlText w:val="%1."/>
      <w:numFmt w:val="decimal"/>
      <w:start w:val="9"/>
    </w:lvl>
  </w:abstractNum>
  <w:abstractNum w:abstractNumId="98">
    <w:nsid w:val="63F37E85"/>
    <w:multiLevelType w:val="hybridMultilevel"/>
    <w:lvl w:ilvl="0">
      <w:lvlJc w:val="left"/>
      <w:lvlText w:val="%1."/>
      <w:numFmt w:val="decimal"/>
      <w:start w:val="10"/>
    </w:lvl>
  </w:abstractNum>
  <w:abstractNum w:abstractNumId="99">
    <w:nsid w:val="5895F5FA"/>
    <w:multiLevelType w:val="hybridMultilevel"/>
    <w:lvl w:ilvl="0">
      <w:lvlJc w:val="left"/>
      <w:lvlText w:val="%1."/>
      <w:numFmt w:val="decimal"/>
      <w:start w:val="13"/>
    </w:lvl>
  </w:abstractNum>
  <w:abstractNum w:abstractNumId="100">
    <w:nsid w:val="38A5D054"/>
    <w:multiLevelType w:val="hybridMultilevel"/>
    <w:lvl w:ilvl="0">
      <w:lvlJc w:val="left"/>
      <w:lvlText w:val="%1."/>
      <w:numFmt w:val="decimal"/>
      <w:start w:val="14"/>
    </w:lvl>
  </w:abstractNum>
  <w:abstractNum w:abstractNumId="101">
    <w:nsid w:val="F3F09D8"/>
    <w:multiLevelType w:val="hybridMultilevel"/>
    <w:lvl w:ilvl="0">
      <w:lvlJc w:val="left"/>
      <w:lvlText w:val="%1."/>
      <w:numFmt w:val="decimal"/>
      <w:start w:val="15"/>
    </w:lvl>
  </w:abstractNum>
  <w:abstractNum w:abstractNumId="102">
    <w:nsid w:val="4B793735"/>
    <w:multiLevelType w:val="hybridMultilevel"/>
    <w:lvl w:ilvl="0">
      <w:lvlJc w:val="left"/>
      <w:lvlText w:val="%1."/>
      <w:numFmt w:val="decimal"/>
      <w:start w:val="16"/>
    </w:lvl>
  </w:abstractNum>
  <w:abstractNum w:abstractNumId="103">
    <w:nsid w:val="4A10B4E8"/>
    <w:multiLevelType w:val="hybridMultilevel"/>
    <w:lvl w:ilvl="0">
      <w:lvlJc w:val="left"/>
      <w:lvlText w:val="%1."/>
      <w:numFmt w:val="decimal"/>
      <w:start w:val="17"/>
    </w:lvl>
  </w:abstractNum>
  <w:abstractNum w:abstractNumId="104">
    <w:nsid w:val="43D3BCD4"/>
    <w:multiLevelType w:val="hybridMultilevel"/>
    <w:lvl w:ilvl="0">
      <w:lvlJc w:val="left"/>
      <w:lvlText w:val="%1)"/>
      <w:numFmt w:val="lowerLetter"/>
      <w:start w:val="1"/>
    </w:lvl>
  </w:abstractNum>
  <w:abstractNum w:abstractNumId="105">
    <w:nsid w:val="4C2A7166"/>
    <w:multiLevelType w:val="hybridMultilevel"/>
    <w:lvl w:ilvl="0">
      <w:lvlJc w:val="left"/>
      <w:lvlText w:val="%1)"/>
      <w:numFmt w:val="lowerLetter"/>
      <w:start w:val="2"/>
    </w:lvl>
  </w:abstractNum>
  <w:abstractNum w:abstractNumId="106">
    <w:nsid w:val="2E534A82"/>
    <w:multiLevelType w:val="hybridMultilevel"/>
    <w:lvl w:ilvl="0">
      <w:lvlJc w:val="left"/>
      <w:lvlText w:val="%1."/>
      <w:numFmt w:val="decimal"/>
      <w:start w:val="20"/>
    </w:lvl>
  </w:abstractNum>
  <w:abstractNum w:abstractNumId="107">
    <w:nsid w:val="26F2D364"/>
    <w:multiLevelType w:val="hybridMultilevel"/>
    <w:lvl w:ilvl="0">
      <w:lvlJc w:val="left"/>
      <w:lvlText w:val="%1."/>
      <w:numFmt w:val="decimal"/>
      <w:start w:val="21"/>
    </w:lvl>
  </w:abstractNum>
  <w:abstractNum w:abstractNumId="108">
    <w:nsid w:val="71C1AF98"/>
    <w:multiLevelType w:val="hybridMultilevel"/>
    <w:lvl w:ilvl="0">
      <w:lvlJc w:val="left"/>
      <w:lvlText w:val="%1."/>
      <w:numFmt w:val="decimal"/>
      <w:start w:val="22"/>
    </w:lvl>
  </w:abstractNum>
  <w:abstractNum w:abstractNumId="109">
    <w:nsid w:val="3D00B9D9"/>
    <w:multiLevelType w:val="hybridMultilevel"/>
    <w:lvl w:ilvl="0">
      <w:lvlJc w:val="left"/>
      <w:lvlText w:val="%1."/>
      <w:numFmt w:val="decimal"/>
      <w:start w:val="23"/>
    </w:lvl>
  </w:abstractNum>
  <w:abstractNum w:abstractNumId="110">
    <w:nsid w:val="15BCABA8"/>
    <w:multiLevelType w:val="hybridMultilevel"/>
    <w:lvl w:ilvl="0">
      <w:lvlJc w:val="left"/>
      <w:lvlText w:val="%1."/>
      <w:numFmt w:val="decimal"/>
      <w:start w:val="24"/>
    </w:lvl>
  </w:abstractNum>
  <w:abstractNum w:abstractNumId="111">
    <w:nsid w:val="4E0B9A87"/>
    <w:multiLevelType w:val="hybridMultilevel"/>
    <w:lvl w:ilvl="0">
      <w:lvlJc w:val="left"/>
      <w:lvlText w:val="•"/>
      <w:numFmt w:val="bullet"/>
      <w:start w:val="1"/>
    </w:lvl>
  </w:abstractNum>
  <w:abstractNum w:abstractNumId="112">
    <w:nsid w:val="434BAE75"/>
    <w:multiLevelType w:val="hybridMultilevel"/>
    <w:lvl w:ilvl="0">
      <w:lvlJc w:val="left"/>
      <w:lvlText w:val="%1."/>
      <w:numFmt w:val="decimal"/>
      <w:start w:val="1"/>
    </w:lvl>
  </w:abstractNum>
  <w:abstractNum w:abstractNumId="113">
    <w:nsid w:val="4F38F265"/>
    <w:multiLevelType w:val="hybridMultilevel"/>
    <w:lvl w:ilvl="0">
      <w:lvlJc w:val="left"/>
      <w:lvlText w:val="%1."/>
      <w:numFmt w:val="decimal"/>
      <w:start w:val="2"/>
    </w:lvl>
    <w:lvl w:ilvl="1">
      <w:lvlJc w:val="left"/>
      <w:lvlText w:val="(%2)"/>
      <w:numFmt w:val="lowerLetter"/>
      <w:start w:val="1"/>
    </w:lvl>
  </w:abstractNum>
  <w:abstractNum w:abstractNumId="114">
    <w:nsid w:val="4C502870"/>
    <w:multiLevelType w:val="hybridMultilevel"/>
    <w:lvl w:ilvl="0">
      <w:lvlJc w:val="left"/>
      <w:lvlText w:val="(%1)"/>
      <w:numFmt w:val="lowerLetter"/>
      <w:start w:val="16"/>
    </w:lvl>
  </w:abstractNum>
  <w:abstractNum w:abstractNumId="115">
    <w:nsid w:val="1DE8725A"/>
    <w:multiLevelType w:val="hybridMultilevel"/>
    <w:lvl w:ilvl="0">
      <w:lvlJc w:val="left"/>
      <w:lvlText w:val="%1."/>
      <w:numFmt w:val="decimal"/>
      <w:start w:val="3"/>
    </w:lvl>
  </w:abstractNum>
  <w:abstractNum w:abstractNumId="116">
    <w:nsid w:val="6A37288A"/>
    <w:multiLevelType w:val="hybridMultilevel"/>
    <w:lvl w:ilvl="0">
      <w:lvlJc w:val="left"/>
      <w:lvlText w:val="%1."/>
      <w:numFmt w:val="decimal"/>
      <w:start w:val="4"/>
    </w:lvl>
  </w:abstractNum>
  <w:abstractNum w:abstractNumId="117">
    <w:nsid w:val="8F8B73F"/>
    <w:multiLevelType w:val="hybridMultilevel"/>
    <w:lvl w:ilvl="0">
      <w:lvlJc w:val="left"/>
      <w:lvlText w:val="%1."/>
      <w:numFmt w:val="decimal"/>
      <w:start w:val="5"/>
    </w:lvl>
  </w:abstractNum>
  <w:abstractNum w:abstractNumId="118">
    <w:nsid w:val="CA6B462"/>
    <w:multiLevelType w:val="hybridMultilevel"/>
    <w:lvl w:ilvl="0">
      <w:lvlJc w:val="left"/>
      <w:lvlText w:val="%1."/>
      <w:numFmt w:val="decimal"/>
      <w:start w:val="6"/>
    </w:lvl>
  </w:abstractNum>
  <w:abstractNum w:abstractNumId="119">
    <w:nsid w:val="763CB680"/>
    <w:multiLevelType w:val="hybridMultilevel"/>
    <w:lvl w:ilvl="0">
      <w:lvlJc w:val="left"/>
      <w:lvlText w:val="%1."/>
      <w:numFmt w:val="decimal"/>
      <w:start w:val="6"/>
    </w:lvl>
  </w:abstractNum>
  <w:abstractNum w:abstractNumId="120">
    <w:nsid w:val="15B71329"/>
    <w:multiLevelType w:val="hybridMultilevel"/>
    <w:lvl w:ilvl="0">
      <w:lvlJc w:val="left"/>
      <w:lvlText w:val="%1."/>
      <w:numFmt w:val="decimal"/>
      <w:start w:val="7"/>
    </w:lvl>
  </w:abstractNum>
  <w:abstractNum w:abstractNumId="121">
    <w:nsid w:val="3DA97044"/>
    <w:multiLevelType w:val="hybridMultilevel"/>
    <w:lvl w:ilvl="0">
      <w:lvlJc w:val="left"/>
      <w:lvlText w:val="%1."/>
      <w:numFmt w:val="decimal"/>
      <w:start w:val="9"/>
    </w:lvl>
  </w:abstractNum>
  <w:abstractNum w:abstractNumId="122">
    <w:nsid w:val="1CDCE2DE"/>
    <w:multiLevelType w:val="hybridMultilevel"/>
    <w:lvl w:ilvl="0">
      <w:lvlJc w:val="left"/>
      <w:lvlText w:val="%1."/>
      <w:numFmt w:val="decimal"/>
      <w:start w:val="10"/>
    </w:lvl>
  </w:abstractNum>
  <w:abstractNum w:abstractNumId="123">
    <w:nsid w:val="69D3947C"/>
    <w:multiLevelType w:val="hybridMultilevel"/>
    <w:lvl w:ilvl="0">
      <w:lvlJc w:val="left"/>
      <w:lvlText w:val="%1."/>
      <w:numFmt w:val="decimal"/>
      <w:start w:val="11"/>
    </w:lvl>
  </w:abstractNum>
  <w:abstractNum w:abstractNumId="124">
    <w:nsid w:val="2539DFA5"/>
    <w:multiLevelType w:val="hybridMultilevel"/>
    <w:lvl w:ilvl="0">
      <w:lvlJc w:val="left"/>
      <w:lvlText w:val="%1."/>
      <w:numFmt w:val="decimal"/>
      <w:start w:val="13"/>
    </w:lvl>
  </w:abstractNum>
  <w:abstractNum w:abstractNumId="125">
    <w:nsid w:val="2DB88089"/>
    <w:multiLevelType w:val="hybridMultilevel"/>
    <w:lvl w:ilvl="0">
      <w:lvlJc w:val="left"/>
      <w:lvlText w:val="%1."/>
      <w:numFmt w:val="decimal"/>
      <w:start w:val="13"/>
    </w:lvl>
  </w:abstractNum>
  <w:abstractNum w:abstractNumId="126">
    <w:nsid w:val="706B674E"/>
    <w:multiLevelType w:val="hybridMultilevel"/>
    <w:lvl w:ilvl="0">
      <w:lvlJc w:val="left"/>
      <w:lvlText w:val="%1."/>
      <w:numFmt w:val="decimal"/>
      <w:start w:val="14"/>
    </w:lvl>
  </w:abstractNum>
  <w:abstractNum w:abstractNumId="127">
    <w:nsid w:val="2C106A57"/>
    <w:multiLevelType w:val="hybridMultilevel"/>
    <w:lvl w:ilvl="0">
      <w:lvlJc w:val="left"/>
      <w:lvlText w:val="%1."/>
      <w:numFmt w:val="decimal"/>
      <w:start w:val="15"/>
    </w:lvl>
  </w:abstractNum>
  <w:abstractNum w:abstractNumId="128">
    <w:nsid w:val="684EED59"/>
    <w:multiLevelType w:val="hybridMultilevel"/>
    <w:lvl w:ilvl="0">
      <w:lvlJc w:val="left"/>
      <w:lvlText w:val="%1."/>
      <w:numFmt w:val="decimal"/>
      <w:start w:val="16"/>
    </w:lvl>
  </w:abstractNum>
  <w:abstractNum w:abstractNumId="129">
    <w:nsid w:val="545EE5D3"/>
    <w:multiLevelType w:val="hybridMultilevel"/>
    <w:lvl w:ilvl="0">
      <w:lvlJc w:val="left"/>
      <w:lvlText w:val="$"/>
      <w:numFmt w:val="bullet"/>
      <w:start w:val="1"/>
    </w:lvl>
  </w:abstractNum>
  <w:abstractNum w:abstractNumId="130">
    <w:nsid w:val="4A66051"/>
    <w:multiLevelType w:val="hybridMultilevel"/>
    <w:lvl w:ilvl="0">
      <w:lvlJc w:val="left"/>
      <w:lvlText w:val="$"/>
      <w:numFmt w:val="bullet"/>
      <w:start w:val="1"/>
    </w:lvl>
  </w:abstractNum>
  <w:abstractNum w:abstractNumId="131">
    <w:nsid w:val="20F4BDAD"/>
    <w:multiLevelType w:val="hybridMultilevel"/>
    <w:lvl w:ilvl="0">
      <w:lvlJc w:val="left"/>
      <w:lvlText w:val="$"/>
      <w:numFmt w:val="bullet"/>
      <w:start w:val="1"/>
    </w:lvl>
  </w:abstractNum>
  <w:abstractNum w:abstractNumId="132">
    <w:nsid w:val="639DEFAC"/>
    <w:multiLevelType w:val="hybridMultilevel"/>
    <w:lvl w:ilvl="0">
      <w:lvlJc w:val="left"/>
      <w:lvlText w:val="$"/>
      <w:numFmt w:val="bullet"/>
      <w:start w:val="1"/>
    </w:lvl>
  </w:abstractNum>
  <w:abstractNum w:abstractNumId="133">
    <w:nsid w:val="501F9786"/>
    <w:multiLevelType w:val="hybridMultilevel"/>
    <w:lvl w:ilvl="0">
      <w:lvlJc w:val="left"/>
      <w:lvlText w:val="%1."/>
      <w:numFmt w:val="decimal"/>
      <w:start w:val="17"/>
    </w:lvl>
  </w:abstractNum>
  <w:abstractNum w:abstractNumId="134">
    <w:nsid w:val="6B057295"/>
    <w:multiLevelType w:val="hybridMultilevel"/>
    <w:lvl w:ilvl="0">
      <w:lvlJc w:val="left"/>
      <w:lvlText w:val="%1."/>
      <w:numFmt w:val="decimal"/>
      <w:start w:val="18"/>
    </w:lvl>
  </w:abstractNum>
  <w:abstractNum w:abstractNumId="135">
    <w:nsid w:val="2771AC80"/>
    <w:multiLevelType w:val="hybridMultilevel"/>
    <w:lvl w:ilvl="0">
      <w:lvlJc w:val="left"/>
      <w:lvlText w:val="%1."/>
      <w:numFmt w:val="decimal"/>
      <w:start w:val="19"/>
    </w:lvl>
  </w:abstractNum>
  <w:abstractNum w:abstractNumId="136">
    <w:nsid w:val="1C4A08EC"/>
    <w:multiLevelType w:val="hybridMultilevel"/>
    <w:lvl w:ilvl="0">
      <w:lvlJc w:val="left"/>
      <w:lvlText w:val="%1)"/>
      <w:numFmt w:val="lowerLetter"/>
      <w:start w:val="1"/>
    </w:lvl>
  </w:abstractNum>
  <w:abstractNum w:abstractNumId="137">
    <w:nsid w:val="1958BD17"/>
    <w:multiLevelType w:val="hybridMultilevel"/>
    <w:lvl w:ilvl="0">
      <w:lvlJc w:val="left"/>
      <w:lvlText w:val="%1."/>
      <w:numFmt w:val="decimal"/>
      <w:start w:val="21"/>
    </w:lvl>
  </w:abstractNum>
  <w:abstractNum w:abstractNumId="138">
    <w:nsid w:val="4E647FE4"/>
    <w:multiLevelType w:val="hybridMultilevel"/>
    <w:lvl w:ilvl="0">
      <w:lvlJc w:val="left"/>
      <w:lvlText w:val="%1."/>
      <w:numFmt w:val="decimal"/>
      <w:start w:val="22"/>
    </w:lvl>
  </w:abstractNum>
  <w:abstractNum w:abstractNumId="139">
    <w:nsid w:val="E0BB885"/>
    <w:multiLevelType w:val="hybridMultilevel"/>
    <w:lvl w:ilvl="0">
      <w:lvlJc w:val="left"/>
      <w:lvlText w:val="%1."/>
      <w:numFmt w:val="decimal"/>
      <w:start w:val="23"/>
    </w:lvl>
  </w:abstractNum>
  <w:abstractNum w:abstractNumId="140">
    <w:nsid w:val="565976F1"/>
    <w:multiLevelType w:val="hybridMultilevel"/>
    <w:lvl w:ilvl="0">
      <w:lvlJc w:val="left"/>
      <w:lvlText w:val="(%1)"/>
      <w:numFmt w:val="lowerLetter"/>
      <w:start w:val="1"/>
    </w:lvl>
  </w:abstractNum>
  <w:abstractNum w:abstractNumId="141">
    <w:nsid w:val="64212B8C"/>
    <w:multiLevelType w:val="hybridMultilevel"/>
    <w:lvl w:ilvl="0">
      <w:lvlJc w:val="left"/>
      <w:lvlText w:val="(%1)"/>
      <w:numFmt w:val="lowerLetter"/>
      <w:start w:val="5"/>
    </w:lvl>
  </w:abstractNum>
  <w:abstractNum w:abstractNumId="142">
    <w:nsid w:val="5C17530C"/>
    <w:multiLevelType w:val="hybridMultilevel"/>
    <w:lvl w:ilvl="0">
      <w:lvlJc w:val="left"/>
      <w:lvlText w:val="(%1)"/>
      <w:numFmt w:val="decimal"/>
      <w:start w:val="1"/>
    </w:lvl>
  </w:abstractNum>
  <w:abstractNum w:abstractNumId="143">
    <w:nsid w:val="19A52566"/>
    <w:multiLevelType w:val="hybridMultilevel"/>
    <w:lvl w:ilvl="0">
      <w:lvlJc w:val="left"/>
      <w:lvlText w:val="**"/>
      <w:numFmt w:val="bullet"/>
      <w:start w:val="1"/>
    </w:lvl>
  </w:abstractNum>
  <w:abstractNum w:abstractNumId="144">
    <w:nsid w:val="335A1DF1"/>
    <w:multiLevelType w:val="hybridMultilevel"/>
    <w:lvl w:ilvl="0">
      <w:lvlJc w:val="left"/>
      <w:lvlText w:val="(%1)"/>
      <w:numFmt w:val="decimal"/>
      <w:start w:val="1"/>
    </w:lvl>
  </w:abstractNum>
  <w:abstractNum w:abstractNumId="145">
    <w:nsid w:val="28677B7C"/>
    <w:multiLevelType w:val="hybridMultilevel"/>
    <w:lvl w:ilvl="0">
      <w:lvlJc w:val="left"/>
      <w:lvlText w:val="(%1)"/>
      <w:numFmt w:val="lowerLetter"/>
      <w:start w:val="2"/>
    </w:lvl>
  </w:abstractNum>
  <w:abstractNum w:abstractNumId="146">
    <w:nsid w:val="378D97C0"/>
    <w:multiLevelType w:val="hybridMultilevel"/>
    <w:lvl w:ilvl="0">
      <w:lvlJc w:val="left"/>
      <w:lvlText w:val="(%1)"/>
      <w:numFmt w:val="lowerLetter"/>
      <w:start w:val="3"/>
    </w:lvl>
  </w:abstractNum>
  <w:abstractNum w:abstractNumId="147">
    <w:nsid w:val="1D91467C"/>
    <w:multiLevelType w:val="hybridMultilevel"/>
    <w:lvl w:ilvl="0">
      <w:lvlJc w:val="left"/>
      <w:lvlText w:val="**"/>
      <w:numFmt w:val="bullet"/>
      <w:start w:val="1"/>
    </w:lvl>
  </w:abstractNum>
  <w:abstractNum w:abstractNumId="148">
    <w:nsid w:val="316032BB"/>
    <w:multiLevelType w:val="hybridMultilevel"/>
    <w:lvl w:ilvl="0">
      <w:lvlJc w:val="left"/>
      <w:lvlText w:val="(%1)"/>
      <w:numFmt w:val="lowerLetter"/>
      <w:start w:val="1"/>
    </w:lvl>
  </w:abstractNum>
  <w:abstractNum w:abstractNumId="149">
    <w:nsid w:val="44344C22"/>
    <w:multiLevelType w:val="hybridMultilevel"/>
    <w:lvl w:ilvl="0">
      <w:lvlJc w:val="left"/>
      <w:lvlText w:val="(%1)"/>
      <w:numFmt w:val="lowerLetter"/>
      <w:start w:val="4"/>
    </w:lvl>
  </w:abstractNum>
  <w:abstractNum w:abstractNumId="150">
    <w:nsid w:val="13CDFCFC"/>
    <w:multiLevelType w:val="hybridMultilevel"/>
    <w:lvl w:ilvl="0">
      <w:lvlJc w:val="left"/>
      <w:lvlText w:val="(%1)"/>
      <w:numFmt w:val="lowerLetter"/>
      <w:start w:val="2"/>
    </w:lvl>
    <w:lvl w:ilvl="1">
      <w:lvlJc w:val="left"/>
      <w:lvlText w:val="(%2)"/>
      <w:numFmt w:val="lowerRoman"/>
      <w:start w:val="1"/>
    </w:lvl>
  </w:abstractNum>
  <w:abstractNum w:abstractNumId="151">
    <w:nsid w:val="471745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52">
    <w:nsid w:val="1DDBC6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53">
    <w:nsid w:val="30AADFDA"/>
    <w:multiLevelType w:val="hybridMultilevel"/>
    <w:lvl w:ilvl="0">
      <w:lvlJc w:val="left"/>
      <w:lvlText w:val="(%1)"/>
      <w:numFmt w:val="lowerRoman"/>
      <w:start w:val="1"/>
    </w:lvl>
  </w:abstractNum>
  <w:abstractNum w:abstractNumId="154">
    <w:nsid w:val="30EADA61"/>
    <w:multiLevelType w:val="hybridMultilevel"/>
    <w:lvl w:ilvl="0">
      <w:lvlJc w:val="left"/>
      <w:lvlText w:val="%1"/>
      <w:numFmt w:val="decimal"/>
      <w:start w:val="1"/>
    </w:lvl>
    <w:lvl w:ilvl="1">
      <w:lvlJc w:val="left"/>
      <w:lvlText w:val="(%2)"/>
      <w:numFmt w:val="lowerLetter"/>
      <w:start w:val="35"/>
    </w:lvl>
  </w:abstractNum>
  <w:abstractNum w:abstractNumId="155">
    <w:nsid w:val="27179C0B"/>
    <w:multiLevelType w:val="hybridMultilevel"/>
    <w:lvl w:ilvl="0">
      <w:lvlJc w:val="left"/>
      <w:lvlText w:val="%1."/>
      <w:numFmt w:val="decimal"/>
      <w:start w:val="3"/>
    </w:lvl>
    <w:lvl w:ilvl="1">
      <w:lvlJc w:val="left"/>
      <w:lvlText w:val="(%2)"/>
      <w:numFmt w:val="lowerLetter"/>
      <w:start w:val="1"/>
    </w:lvl>
  </w:abstractNum>
  <w:abstractNum w:abstractNumId="156">
    <w:nsid w:val="5E636063"/>
    <w:multiLevelType w:val="hybridMultilevel"/>
    <w:lvl w:ilvl="0">
      <w:lvlJc w:val="left"/>
      <w:lvlText w:val="(%1)"/>
      <w:numFmt w:val="lowerLetter"/>
      <w:start w:val="2"/>
    </w:lvl>
  </w:abstractNum>
  <w:abstractNum w:abstractNumId="157">
    <w:nsid w:val="215641AF"/>
    <w:multiLevelType w:val="hybridMultilevel"/>
    <w:lvl w:ilvl="0">
      <w:lvlJc w:val="left"/>
      <w:lvlText w:val="(%1)"/>
      <w:numFmt w:val="lowerLetter"/>
      <w:start w:val="4"/>
    </w:lvl>
  </w:abstractNum>
  <w:abstractNum w:abstractNumId="158">
    <w:nsid w:val="53280662"/>
    <w:multiLevelType w:val="hybridMultilevel"/>
    <w:lvl w:ilvl="0">
      <w:lvlJc w:val="left"/>
      <w:lvlText w:val="%1"/>
      <w:numFmt w:val="decimal"/>
      <w:start w:val="1"/>
    </w:lvl>
    <w:lvl w:ilvl="1">
      <w:lvlJc w:val="left"/>
      <w:lvlText w:val="(%2)"/>
      <w:numFmt w:val="lowerLetter"/>
      <w:start w:val="7"/>
    </w:lvl>
  </w:abstractNum>
  <w:abstractNum w:abstractNumId="159">
    <w:nsid w:val="46B24DBC"/>
    <w:multiLevelType w:val="hybridMultilevel"/>
    <w:lvl w:ilvl="0">
      <w:lvlJc w:val="left"/>
      <w:lvlText w:val="%1."/>
      <w:numFmt w:val="decimal"/>
      <w:start w:val="4"/>
    </w:lvl>
    <w:lvl w:ilvl="1">
      <w:lvlJc w:val="left"/>
      <w:lvlText w:val="(%2)"/>
      <w:numFmt w:val="lowerLetter"/>
      <w:start w:val="1"/>
    </w:lvl>
  </w:abstractNum>
  <w:abstractNum w:abstractNumId="160">
    <w:nsid w:val="75B52783"/>
    <w:multiLevelType w:val="hybridMultilevel"/>
    <w:lvl w:ilvl="0">
      <w:lvlJc w:val="left"/>
      <w:lvlText w:val="%1"/>
      <w:numFmt w:val="decimal"/>
      <w:start w:val="1"/>
    </w:lvl>
    <w:lvl w:ilvl="1">
      <w:lvlJc w:val="left"/>
      <w:lvlText w:val="(%2)"/>
      <w:numFmt w:val="lowerLetter"/>
      <w:start w:val="2"/>
    </w:lvl>
  </w:abstractNum>
  <w:abstractNum w:abstractNumId="161">
    <w:nsid w:val="57CE66B4"/>
    <w:multiLevelType w:val="hybridMultilevel"/>
    <w:lvl w:ilvl="0">
      <w:lvlJc w:val="left"/>
      <w:lvlText w:val="%1."/>
      <w:numFmt w:val="decimal"/>
      <w:start w:val="5"/>
    </w:lvl>
    <w:lvl w:ilvl="1">
      <w:lvlJc w:val="left"/>
      <w:lvlText w:val="(%2)"/>
      <w:numFmt w:val="lowerLetter"/>
      <w:start w:val="1"/>
    </w:lvl>
  </w:abstractNum>
  <w:abstractNum w:abstractNumId="162">
    <w:nsid w:val="67A70B69"/>
    <w:multiLevelType w:val="hybridMultilevel"/>
    <w:lvl w:ilvl="0">
      <w:lvlJc w:val="left"/>
      <w:lvlText w:val="(%1)"/>
      <w:numFmt w:val="lowerLetter"/>
      <w:start w:val="2"/>
    </w:lvl>
  </w:abstractNum>
  <w:abstractNum w:abstractNumId="163">
    <w:nsid w:val="5953172F"/>
    <w:multiLevelType w:val="hybridMultilevel"/>
    <w:lvl w:ilvl="0">
      <w:lvlJc w:val="left"/>
      <w:lvlText w:val="(%1)"/>
      <w:numFmt w:val="lowerLetter"/>
      <w:start w:val="3"/>
    </w:lvl>
  </w:abstractNum>
  <w:abstractNum w:abstractNumId="164">
    <w:nsid w:val="27EDFE3A"/>
    <w:multiLevelType w:val="hybridMultilevel"/>
    <w:lvl w:ilvl="0">
      <w:lvlJc w:val="left"/>
      <w:lvlText w:val="%1"/>
      <w:numFmt w:val="decimal"/>
      <w:start w:val="1"/>
    </w:lvl>
    <w:lvl w:ilvl="1">
      <w:lvlJc w:val="left"/>
      <w:lvlText w:val="(%2)"/>
      <w:numFmt w:val="lowerLetter"/>
      <w:start w:val="4"/>
    </w:lvl>
  </w:abstractNum>
  <w:abstractNum w:abstractNumId="165">
    <w:nsid w:val="52AC7DFF"/>
    <w:multiLevelType w:val="hybridMultilevel"/>
    <w:lvl w:ilvl="0">
      <w:lvlJc w:val="left"/>
      <w:lvlText w:val="%1."/>
      <w:numFmt w:val="decimal"/>
      <w:start w:val="6"/>
    </w:lvl>
    <w:lvl w:ilvl="1">
      <w:lvlJc w:val="left"/>
      <w:lvlText w:val="(%2)"/>
      <w:numFmt w:val="lowerLetter"/>
      <w:start w:val="1"/>
    </w:lvl>
  </w:abstractNum>
  <w:abstractNum w:abstractNumId="166">
    <w:nsid w:val="C4C3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67">
    <w:nsid w:val="44380727"/>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9"/>
    </w:lvl>
  </w:abstractNum>
  <w:abstractNum w:abstractNumId="168">
    <w:nsid w:val="6C053B16"/>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69">
    <w:nsid w:val="4F29439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0">
    <w:nsid w:val="5243BFA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71">
    <w:nsid w:val="425EB207"/>
    <w:multiLevelType w:val="hybridMultilevel"/>
    <w:lvl w:ilvl="0">
      <w:lvlJc w:val="left"/>
      <w:lvlText w:val="(%1)"/>
      <w:numFmt w:val="lowerRoman"/>
      <w:start w:val="2"/>
    </w:lvl>
  </w:abstractNum>
  <w:abstractNum w:abstractNumId="172">
    <w:nsid w:val="334A6F1F"/>
    <w:multiLevelType w:val="hybridMultilevel"/>
    <w:lvl w:ilvl="0">
      <w:lvlJc w:val="left"/>
      <w:lvlText w:val="(%1)"/>
      <w:numFmt w:val="lowerRoman"/>
      <w:start w:val="6"/>
    </w:lvl>
  </w:abstractNum>
  <w:abstractNum w:abstractNumId="173">
    <w:nsid w:val="2E5B12B8"/>
    <w:multiLevelType w:val="hybridMultilevel"/>
    <w:lvl w:ilvl="0">
      <w:lvlJc w:val="left"/>
      <w:lvlText w:val="(%1)"/>
      <w:numFmt w:val="lowerRoman"/>
      <w:start w:val="9"/>
    </w:lvl>
  </w:abstractNum>
  <w:abstractNum w:abstractNumId="174">
    <w:nsid w:val="5C03D76D"/>
    <w:multiLevelType w:val="hybridMultilevel"/>
    <w:lvl w:ilvl="0">
      <w:lvlJc w:val="left"/>
      <w:lvlText w:val="%1"/>
      <w:numFmt w:val="lowerLetter"/>
      <w:start w:val="1"/>
    </w:lvl>
    <w:lvl w:ilvl="1">
      <w:lvlJc w:val="left"/>
      <w:lvlText w:val="(%2)"/>
      <w:numFmt w:val="lowerRoman"/>
      <w:start w:val="12"/>
    </w:lvl>
  </w:abstractNum>
  <w:abstractNum w:abstractNumId="175">
    <w:nsid w:val="66A48D11"/>
    <w:multiLevelType w:val="hybridMultilevel"/>
    <w:lvl w:ilvl="0">
      <w:lvlJc w:val="left"/>
      <w:lvlText w:val="(%1)"/>
      <w:numFmt w:val="lowerLetter"/>
      <w:start w:val="2"/>
    </w:lvl>
    <w:lvl w:ilvl="1">
      <w:lvlJc w:val="left"/>
      <w:lvlText w:val="%2"/>
      <w:numFmt w:val="lowerRoman"/>
      <w:start w:val="1"/>
    </w:lvl>
  </w:abstractNum>
  <w:abstractNum w:abstractNumId="176">
    <w:nsid w:val="56C28E34"/>
    <w:multiLevelType w:val="hybridMultilevel"/>
    <w:lvl w:ilvl="0">
      <w:lvlJc w:val="left"/>
      <w:lvlText w:val="(%1)"/>
      <w:numFmt w:val="lowerLetter"/>
      <w:start w:val="3"/>
    </w:lvl>
  </w:abstractNum>
  <w:abstractNum w:abstractNumId="177">
    <w:nsid w:val="13916F2D"/>
    <w:multiLevelType w:val="hybridMultilevel"/>
    <w:lvl w:ilvl="0">
      <w:lvlJc w:val="left"/>
      <w:lvlText w:val="%1."/>
      <w:numFmt w:val="decimal"/>
      <w:start w:val="9"/>
    </w:lvl>
    <w:lvl w:ilvl="1">
      <w:lvlJc w:val="left"/>
      <w:lvlText w:val="(%2)"/>
      <w:numFmt w:val="lowerLetter"/>
      <w:start w:val="1"/>
    </w:lvl>
  </w:abstractNum>
  <w:abstractNum w:abstractNumId="178">
    <w:nsid w:val="435D38D"/>
    <w:multiLevelType w:val="hybridMultilevel"/>
    <w:lvl w:ilvl="0">
      <w:lvlJc w:val="left"/>
      <w:lvlText w:val="(%1)"/>
      <w:numFmt w:val="lowerLetter"/>
      <w:start w:val="3"/>
    </w:lvl>
  </w:abstractNum>
  <w:abstractNum w:abstractNumId="179">
    <w:nsid w:val="822C0EF"/>
    <w:multiLevelType w:val="hybridMultilevel"/>
    <w:lvl w:ilvl="0">
      <w:lvlJc w:val="left"/>
      <w:lvlText w:val="(%1)"/>
      <w:numFmt w:val="lowerLetter"/>
      <w:start w:val="4"/>
    </w:lvl>
  </w:abstractNum>
  <w:abstractNum w:abstractNumId="180">
    <w:nsid w:val="57C5BB4F"/>
    <w:multiLevelType w:val="hybridMultilevel"/>
    <w:lvl w:ilvl="0">
      <w:lvlJc w:val="left"/>
      <w:lvlText w:val="%1."/>
      <w:numFmt w:val="decimal"/>
      <w:start w:val="10"/>
    </w:lvl>
  </w:abstractNum>
  <w:abstractNum w:abstractNumId="181">
    <w:nsid w:val="1803D08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82">
    <w:nsid w:val="4F3A06D4"/>
    <w:multiLevelType w:val="hybridMultilevel"/>
    <w:lvl w:ilvl="0">
      <w:lvlJc w:val="left"/>
      <w:lvlText w:val="(%1)"/>
      <w:numFmt w:val="lowerRoman"/>
      <w:start w:val="2"/>
    </w:lvl>
  </w:abstractNum>
  <w:abstractNum w:abstractNumId="183">
    <w:nsid w:val="59A377B6"/>
    <w:multiLevelType w:val="hybridMultilevel"/>
    <w:lvl w:ilvl="0">
      <w:lvlJc w:val="left"/>
      <w:lvlText w:val="(%1)"/>
      <w:numFmt w:val="lowerLetter"/>
      <w:start w:val="6"/>
    </w:lvl>
  </w:abstractNum>
  <w:abstractNum w:abstractNumId="184">
    <w:nsid w:val="48AEB063"/>
    <w:multiLevelType w:val="hybridMultilevel"/>
    <w:lvl w:ilvl="0">
      <w:lvlJc w:val="left"/>
      <w:lvlText w:val="(%1)"/>
      <w:numFmt w:val="lowerLetter"/>
      <w:start w:val="10"/>
    </w:lvl>
  </w:abstractNum>
  <w:abstractNum w:abstractNumId="185">
    <w:nsid w:val="24E135"/>
    <w:multiLevelType w:val="hybridMultilevel"/>
    <w:lvl w:ilvl="0">
      <w:lvlJc w:val="left"/>
      <w:lvlText w:val="•"/>
      <w:numFmt w:val="bullet"/>
      <w:start w:val="1"/>
    </w:lvl>
  </w:abstractNum>
  <w:abstractNum w:abstractNumId="186">
    <w:nsid w:val="BB13C1"/>
    <w:multiLevelType w:val="hybridMultilevel"/>
    <w:lvl w:ilvl="0">
      <w:lvlJc w:val="left"/>
      <w:lvlText w:val="%1."/>
      <w:numFmt w:val="decimal"/>
      <w:start w:val="1"/>
    </w:lvl>
  </w:abstractNum>
  <w:abstractNum w:abstractNumId="187">
    <w:nsid w:val="271210C7"/>
    <w:multiLevelType w:val="hybridMultilevel"/>
    <w:lvl w:ilvl="0">
      <w:lvlJc w:val="left"/>
      <w:lvlText w:val="%1."/>
      <w:numFmt w:val="decimal"/>
      <w:start w:val="1"/>
    </w:lvl>
    <w:lvl w:ilvl="1">
      <w:lvlJc w:val="left"/>
      <w:lvlText w:val="(%2)"/>
      <w:numFmt w:val="lowerLetter"/>
      <w:start w:val="1"/>
    </w:lvl>
  </w:abstractNum>
  <w:abstractNum w:abstractNumId="188">
    <w:nsid w:val="217B22E4"/>
    <w:multiLevelType w:val="hybridMultilevel"/>
    <w:lvl w:ilvl="0">
      <w:lvlJc w:val="left"/>
      <w:lvlText w:val="(%1)"/>
      <w:numFmt w:val="lowerLetter"/>
      <w:start w:val="1"/>
    </w:lvl>
  </w:abstractNum>
  <w:abstractNum w:abstractNumId="189">
    <w:nsid w:val="53E31A24"/>
    <w:multiLevelType w:val="hybridMultilevel"/>
    <w:lvl w:ilvl="0">
      <w:lvlJc w:val="left"/>
      <w:lvlText w:val="(%1)"/>
      <w:numFmt w:val="lowerLetter"/>
      <w:start w:val="4"/>
    </w:lvl>
  </w:abstractNum>
  <w:abstractNum w:abstractNumId="190">
    <w:nsid w:val="6DC45E83"/>
    <w:multiLevelType w:val="hybridMultilevel"/>
    <w:lvl w:ilvl="0">
      <w:lvlJc w:val="left"/>
      <w:lvlText w:val="%1"/>
      <w:numFmt w:val="lowerRoman"/>
      <w:start w:val="1"/>
    </w:lvl>
    <w:lvl w:ilvl="1">
      <w:lvlJc w:val="left"/>
      <w:lvlText w:val="(%2)"/>
      <w:numFmt w:val="lowerLetter"/>
      <w:start w:val="13"/>
    </w:lvl>
  </w:abstractNum>
  <w:abstractNum w:abstractNumId="191">
    <w:nsid w:val="17304A67"/>
    <w:multiLevelType w:val="hybridMultilevel"/>
    <w:lvl w:ilvl="0">
      <w:lvlJc w:val="left"/>
      <w:lvlText w:val="(%1)"/>
      <w:numFmt w:val="lowerRoman"/>
      <w:start w:val="1"/>
    </w:lvl>
    <w:lvl w:ilvl="1">
      <w:lvlJc w:val="left"/>
      <w:lvlText w:val="%2"/>
      <w:numFmt w:val="lowerLetter"/>
      <w:start w:val="1"/>
    </w:lvl>
  </w:abstractNum>
  <w:abstractNum w:abstractNumId="192">
    <w:nsid w:val="2BB180D8"/>
    <w:multiLevelType w:val="hybridMultilevel"/>
    <w:lvl w:ilvl="0">
      <w:lvlJc w:val="left"/>
      <w:lvlText w:val="(%1)"/>
      <w:numFmt w:val="lowerRoman"/>
      <w:start w:val="10"/>
    </w:lvl>
  </w:abstractNum>
  <w:abstractNum w:abstractNumId="193">
    <w:nsid w:val="556B69ED"/>
    <w:multiLevelType w:val="hybridMultilevel"/>
    <w:lvl w:ilvl="0">
      <w:lvlJc w:val="left"/>
      <w:lvlText w:val="(%1)"/>
      <w:numFmt w:val="lowerLetter"/>
      <w:start w:val="20"/>
    </w:lvl>
  </w:abstractNum>
  <w:abstractNum w:abstractNumId="194">
    <w:nsid w:val="70836196"/>
    <w:multiLevelType w:val="hybridMultilevel"/>
    <w:lvl w:ilvl="0">
      <w:lvlJc w:val="left"/>
      <w:lvlText w:val="(%1)"/>
      <w:numFmt w:val="lowerRoman"/>
      <w:start w:val="1"/>
    </w:lvl>
    <w:lvl w:ilvl="1">
      <w:lvlJc w:val="left"/>
      <w:lvlText w:val="(%2)"/>
      <w:numFmt w:val="lowerLetter"/>
      <w:start w:val="22"/>
    </w:lvl>
  </w:abstractNum>
  <w:abstractNum w:abstractNumId="195">
    <w:nsid w:val="539F7F12"/>
    <w:multiLevelType w:val="hybridMultilevel"/>
    <w:lvl w:ilvl="0">
      <w:lvlJc w:val="left"/>
      <w:lvlText w:val="(%1)"/>
      <w:numFmt w:val="lowerLetter"/>
      <w:start w:val="25"/>
    </w:lvl>
  </w:abstractNum>
  <w:abstractNum w:abstractNumId="196">
    <w:nsid w:val="2817E7EC"/>
    <w:multiLevelType w:val="hybridMultilevel"/>
    <w:lvl w:ilvl="0">
      <w:lvlJc w:val="left"/>
      <w:lvlText w:val="(%1)"/>
      <w:numFmt w:val="lowerLetter"/>
      <w:start w:val="27"/>
    </w:lvl>
  </w:abstractNum>
  <w:abstractNum w:abstractNumId="197">
    <w:nsid w:val="71482545"/>
    <w:multiLevelType w:val="hybridMultilevel"/>
    <w:lvl w:ilvl="0">
      <w:lvlJc w:val="left"/>
      <w:lvlText w:val="%1"/>
      <w:numFmt w:val="decimal"/>
      <w:start w:val="1"/>
    </w:lvl>
    <w:lvl w:ilvl="1">
      <w:lvlJc w:val="left"/>
      <w:lvlText w:val="(%2)"/>
      <w:numFmt w:val="lowerLetter"/>
      <w:start w:val="37"/>
    </w:lvl>
  </w:abstractNum>
  <w:abstractNum w:abstractNumId="198">
    <w:nsid w:val="17D78639"/>
    <w:multiLevelType w:val="hybridMultilevel"/>
    <w:lvl w:ilvl="0">
      <w:lvlJc w:val="left"/>
      <w:lvlText w:val="%1."/>
      <w:numFmt w:val="decimal"/>
      <w:start w:val="3"/>
    </w:lvl>
    <w:lvl w:ilvl="1">
      <w:lvlJc w:val="left"/>
      <w:lvlText w:val="(%2)"/>
      <w:numFmt w:val="lowerLetter"/>
      <w:start w:val="1"/>
    </w:lvl>
  </w:abstractNum>
  <w:abstractNum w:abstractNumId="199">
    <w:nsid w:val="141D2302"/>
    <w:multiLevelType w:val="hybridMultilevel"/>
    <w:lvl w:ilvl="0">
      <w:lvlJc w:val="left"/>
      <w:lvlText w:val="%1"/>
      <w:numFmt w:val="decimal"/>
      <w:start w:val="1"/>
    </w:lvl>
    <w:lvl w:ilvl="1">
      <w:lvlJc w:val="left"/>
      <w:lvlText w:val="(%2)"/>
      <w:numFmt w:val="lowerLetter"/>
      <w:start w:val="3"/>
    </w:lvl>
  </w:abstractNum>
  <w:abstractNum w:abstractNumId="200">
    <w:nsid w:val="407168D8"/>
    <w:multiLevelType w:val="hybridMultilevel"/>
    <w:lvl w:ilvl="0">
      <w:lvlJc w:val="left"/>
      <w:lvlText w:val="%1."/>
      <w:numFmt w:val="decimal"/>
      <w:start w:val="5"/>
    </w:lvl>
    <w:lvl w:ilvl="1">
      <w:lvlJc w:val="left"/>
      <w:lvlText w:val="%2"/>
      <w:numFmt w:val="lowerLetter"/>
      <w:start w:val="1"/>
    </w:lvl>
  </w:abstractNum>
  <w:abstractNum w:abstractNumId="201">
    <w:nsid w:val="6A1B45E5"/>
    <w:multiLevelType w:val="hybridMultilevel"/>
    <w:lvl w:ilvl="0">
      <w:lvlJc w:val="left"/>
      <w:lvlText w:val="(%1)"/>
      <w:numFmt w:val="lowerLetter"/>
      <w:start w:val="2"/>
    </w:lvl>
  </w:abstractNum>
  <w:abstractNum w:abstractNumId="202">
    <w:nsid w:val="567BD50A"/>
    <w:multiLevelType w:val="hybridMultilevel"/>
    <w:lvl w:ilvl="0">
      <w:lvlJc w:val="left"/>
      <w:lvlText w:val="(%1)"/>
      <w:numFmt w:val="lowerLetter"/>
      <w:start w:val="3"/>
    </w:lvl>
  </w:abstractNum>
  <w:abstractNum w:abstractNumId="203">
    <w:nsid w:val="73BBD7F8"/>
    <w:multiLevelType w:val="hybridMultilevel"/>
    <w:lvl w:ilvl="0">
      <w:lvlJc w:val="left"/>
      <w:lvlText w:val="%1."/>
      <w:numFmt w:val="decimal"/>
      <w:start w:val="6"/>
    </w:lvl>
  </w:abstractNum>
  <w:abstractNum w:abstractNumId="204">
    <w:nsid w:val="1876589D"/>
    <w:multiLevelType w:val="hybridMultilevel"/>
    <w:lvl w:ilvl="0">
      <w:lvlJc w:val="left"/>
      <w:lvlText w:val="%1."/>
      <w:numFmt w:val="decimal"/>
      <w:start w:val="7"/>
    </w:lvl>
  </w:abstractNum>
  <w:abstractNum w:abstractNumId="205">
    <w:nsid w:val="327FAC77"/>
    <w:multiLevelType w:val="hybridMultilevel"/>
    <w:lvl w:ilvl="0">
      <w:lvlJc w:val="left"/>
      <w:lvlText w:val="(%1)"/>
      <w:numFmt w:val="lowerLetter"/>
      <w:start w:val="1"/>
    </w:lvl>
  </w:abstractNum>
  <w:abstractNum w:abstractNumId="206">
    <w:nsid w:val="5A606509"/>
    <w:multiLevelType w:val="hybridMultilevel"/>
    <w:lvl w:ilvl="0">
      <w:lvlJc w:val="left"/>
      <w:lvlText w:val="(%1)"/>
      <w:numFmt w:val="lowerLetter"/>
      <w:start w:val="61"/>
    </w:lvl>
    <w:lvl w:ilvl="1">
      <w:lvlJc w:val="left"/>
      <w:lvlText w:val="(%2)"/>
      <w:numFmt w:val="lowerRoman"/>
    </w:lvl>
    <w:lvl w:ilvl="2">
      <w:lvlJc w:val="left"/>
      <w:lvlText w:val="(%3)"/>
      <w:numFmt w:val="lowerLetter"/>
      <w:start w:val="3"/>
    </w:lvl>
  </w:abstractNum>
  <w:abstractNum w:abstractNumId="207">
    <w:nsid w:val="6F38E6D1"/>
    <w:multiLevelType w:val="hybridMultilevel"/>
    <w:lvl w:ilvl="0">
      <w:lvlJc w:val="left"/>
      <w:lvlText w:val="(%1)"/>
      <w:numFmt w:val="lowerRoman"/>
      <w:start w:val="6"/>
    </w:lvl>
    <w:lvl w:ilvl="1">
      <w:lvlJc w:val="left"/>
      <w:lvlText w:val="(%2)"/>
      <w:numFmt w:val="lowerLetter"/>
      <w:start w:val="5"/>
    </w:lvl>
  </w:abstractNum>
  <w:abstractNum w:abstractNumId="208">
    <w:nsid w:val="46111BA5"/>
    <w:multiLevelType w:val="hybridMultilevel"/>
    <w:lvl w:ilvl="0">
      <w:lvlJc w:val="left"/>
      <w:lvlText w:val="(%1)"/>
      <w:numFmt w:val="lowerLetter"/>
      <w:start w:val="6"/>
    </w:lvl>
  </w:abstractNum>
  <w:abstractNum w:abstractNumId="209">
    <w:nsid w:val="5E963896"/>
    <w:multiLevelType w:val="hybridMultilevel"/>
    <w:lvl w:ilvl="0">
      <w:lvlJc w:val="left"/>
      <w:lvlText w:val="%1."/>
      <w:numFmt w:val="decimal"/>
      <w:start w:val="8"/>
    </w:lvl>
  </w:abstractNum>
  <w:abstractNum w:abstractNumId="210">
    <w:nsid w:val="775BA7C1"/>
    <w:multiLevelType w:val="hybridMultilevel"/>
    <w:lvl w:ilvl="0">
      <w:lvlJc w:val="left"/>
      <w:lvlText w:val="(%1)"/>
      <w:numFmt w:val="lowerLetter"/>
      <w:start w:val="1"/>
    </w:lvl>
  </w:abstractNum>
  <w:abstractNum w:abstractNumId="211">
    <w:nsid w:val="1DD6D6F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12">
    <w:nsid w:val="769A091F"/>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213">
    <w:nsid w:val="4695AE9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14">
    <w:nsid w:val="777A4EAA"/>
    <w:multiLevelType w:val="hybridMultilevel"/>
    <w:lvl w:ilvl="0">
      <w:lvlJc w:val="left"/>
      <w:lvlText w:val="(%1)"/>
      <w:numFmt w:val="lowerRoman"/>
      <w:start w:val="3"/>
    </w:lvl>
  </w:abstractNum>
  <w:abstractNum w:abstractNumId="215">
    <w:nsid w:val="3F48B982"/>
    <w:multiLevelType w:val="hybridMultilevel"/>
    <w:lvl w:ilvl="0">
      <w:lvlJc w:val="left"/>
      <w:lvlText w:val="%1"/>
      <w:numFmt w:val="lowerRoman"/>
      <w:start w:val="1"/>
    </w:lvl>
    <w:lvl w:ilvl="1">
      <w:lvlJc w:val="left"/>
      <w:lvlText w:val="(%2)"/>
      <w:numFmt w:val="lowerLetter"/>
      <w:start w:val="2"/>
    </w:lvl>
  </w:abstractNum>
  <w:abstractNum w:abstractNumId="216">
    <w:nsid w:val="46BA8FCA"/>
    <w:multiLevelType w:val="hybridMultilevel"/>
    <w:lvl w:ilvl="0">
      <w:lvlJc w:val="left"/>
      <w:lvlText w:val="(%1)"/>
      <w:numFmt w:val="lowerRoman"/>
      <w:start w:val="1"/>
    </w:lvl>
    <w:lvl w:ilvl="1">
      <w:lvlJc w:val="left"/>
      <w:lvlText w:val="(%2)"/>
      <w:numFmt w:val="lowerLetter"/>
      <w:start w:val="3"/>
    </w:lvl>
  </w:abstractNum>
  <w:abstractNum w:abstractNumId="217">
    <w:nsid w:val="7835626C"/>
    <w:multiLevelType w:val="hybridMultilevel"/>
    <w:lvl w:ilvl="0">
      <w:lvlJc w:val="left"/>
      <w:lvlText w:val="(%1)"/>
      <w:numFmt w:val="lowerLetter"/>
      <w:start w:val="5"/>
    </w:lvl>
  </w:abstractNum>
  <w:abstractNum w:abstractNumId="218">
    <w:nsid w:val="665ACA49"/>
    <w:multiLevelType w:val="hybridMultilevel"/>
    <w:lvl w:ilvl="0">
      <w:lvlJc w:val="left"/>
      <w:lvlText w:val="%1."/>
      <w:numFmt w:val="decimal"/>
      <w:start w:val="10"/>
    </w:lvl>
  </w:abstractNum>
  <w:abstractNum w:abstractNumId="219">
    <w:nsid w:val="6835B2AE"/>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20">
    <w:nsid w:val="4C187C9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21">
    <w:nsid w:val="541F28CD"/>
    <w:multiLevelType w:val="hybridMultilevel"/>
    <w:lvl w:ilvl="0">
      <w:lvlJc w:val="left"/>
      <w:lvlText w:val="(%1)"/>
      <w:numFmt w:val="lowerRoman"/>
      <w:start w:val="2"/>
    </w:lvl>
  </w:abstractNum>
  <w:abstractNum w:abstractNumId="222">
    <w:nsid w:val="7F65FD16"/>
    <w:multiLevelType w:val="hybridMultilevel"/>
    <w:lvl w:ilvl="0">
      <w:lvlJc w:val="left"/>
      <w:lvlText w:val="%1."/>
      <w:numFmt w:val="decimal"/>
      <w:start w:val="12"/>
    </w:lvl>
    <w:lvl w:ilvl="1">
      <w:lvlJc w:val="left"/>
      <w:lvlText w:val="(%2)"/>
      <w:numFmt w:val="lowerLetter"/>
      <w:start w:val="1"/>
    </w:lvl>
  </w:abstractNum>
  <w:abstractNum w:abstractNumId="223">
    <w:nsid w:val="77C9FD68"/>
    <w:multiLevelType w:val="hybridMultilevel"/>
    <w:lvl w:ilvl="0">
      <w:lvlJc w:val="left"/>
      <w:lvlText w:val="%1"/>
      <w:numFmt w:val="lowerRoman"/>
      <w:start w:val="1"/>
    </w:lvl>
    <w:lvl w:ilvl="1">
      <w:lvlJc w:val="left"/>
      <w:lvlText w:val="(%2)"/>
      <w:numFmt w:val="lowerLetter"/>
      <w:start w:val="4"/>
    </w:lvl>
  </w:abstractNum>
  <w:abstractNum w:abstractNumId="224">
    <w:nsid w:val="298A92BA"/>
    <w:multiLevelType w:val="hybridMultilevel"/>
    <w:lvl w:ilvl="0">
      <w:lvlJc w:val="left"/>
      <w:lvlText w:val="(%1)"/>
      <w:numFmt w:val="lowerRoman"/>
      <w:start w:val="1"/>
    </w:lvl>
    <w:lvl w:ilvl="1">
      <w:lvlJc w:val="left"/>
      <w:lvlText w:val="(%2)"/>
      <w:numFmt w:val="lowerLetter"/>
      <w:start w:val="5"/>
    </w:lvl>
  </w:abstractNum>
  <w:abstractNum w:abstractNumId="225">
    <w:nsid w:val="6FE95EAC"/>
    <w:multiLevelType w:val="hybridMultilevel"/>
    <w:lvl w:ilvl="0">
      <w:lvlJc w:val="left"/>
      <w:lvlText w:val="(%1)"/>
      <w:numFmt w:val="lowerLetter"/>
      <w:start w:val="7"/>
    </w:lvl>
  </w:abstractNum>
  <w:abstractNum w:abstractNumId="226">
    <w:nsid w:val="4B697C7A"/>
    <w:multiLevelType w:val="hybridMultilevel"/>
    <w:lvl w:ilvl="0">
      <w:lvlJc w:val="left"/>
      <w:lvlText w:val="(%1)"/>
      <w:numFmt w:val="lowerLetter"/>
      <w:start w:val="11"/>
    </w:lvl>
  </w:abstractNum>
  <w:abstractNum w:abstractNumId="227">
    <w:nsid w:val="51A27AA6"/>
    <w:multiLevelType w:val="hybridMultilevel"/>
    <w:lvl w:ilvl="0">
      <w:lvlJc w:val="left"/>
      <w:lvlText w:val="%1."/>
      <w:numFmt w:val="decimal"/>
      <w:start w:val="13"/>
    </w:lvl>
  </w:abstractNum>
  <w:abstractNum w:abstractNumId="228">
    <w:nsid w:val="613183F2"/>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229">
    <w:nsid w:val="634102B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30">
    <w:nsid w:val="65BF9DA8"/>
    <w:multiLevelType w:val="hybridMultilevel"/>
    <w:lvl w:ilvl="0">
      <w:lvlJc w:val="left"/>
      <w:lvlText w:val="%1"/>
      <w:numFmt w:val="decimal"/>
      <w:start w:val="1"/>
    </w:lvl>
    <w:lvl w:ilvl="1">
      <w:lvlJc w:val="left"/>
      <w:lvlText w:val="(%2)"/>
      <w:numFmt w:val="lowerLetter"/>
      <w:start w:val="4"/>
    </w:lvl>
  </w:abstractNum>
  <w:abstractNum w:abstractNumId="231">
    <w:nsid w:val="21A2ECCA"/>
    <w:multiLevelType w:val="hybridMultilevel"/>
    <w:lvl w:ilvl="0">
      <w:lvlJc w:val="left"/>
      <w:lvlText w:val="%1."/>
      <w:numFmt w:val="decimal"/>
      <w:start w:val="15"/>
    </w:lvl>
    <w:lvl w:ilvl="1">
      <w:lvlJc w:val="left"/>
      <w:lvlText w:val="%2"/>
      <w:numFmt w:val="lowerLetter"/>
      <w:start w:val="1"/>
    </w:lvl>
  </w:abstractNum>
  <w:abstractNum w:abstractNumId="232">
    <w:nsid w:val="4D5C4899"/>
    <w:multiLevelType w:val="hybridMultilevel"/>
    <w:lvl w:ilvl="0">
      <w:lvlJc w:val="left"/>
      <w:lvlText w:val="%1."/>
      <w:numFmt w:val="decimal"/>
      <w:start w:val="16"/>
    </w:lvl>
    <w:lvl w:ilvl="1">
      <w:lvlJc w:val="left"/>
      <w:lvlText w:val="(%2)"/>
      <w:numFmt w:val="lowerLetter"/>
      <w:start w:val="1"/>
    </w:lvl>
  </w:abstractNum>
  <w:abstractNum w:abstractNumId="233">
    <w:nsid w:val="3C3B72B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34">
    <w:nsid w:val="155EC4C2"/>
    <w:multiLevelType w:val="hybridMultilevel"/>
    <w:lvl w:ilvl="0">
      <w:lvlJc w:val="left"/>
      <w:lvlText w:val="%1."/>
      <w:numFmt w:val="decimal"/>
      <w:start w:val="17"/>
    </w:lvl>
    <w:lvl w:ilvl="1">
      <w:lvlJc w:val="left"/>
      <w:lvlText w:val="(%2)"/>
      <w:numFmt w:val="lowerRoman"/>
      <w:start w:val="1"/>
    </w:lvl>
    <w:lvl w:ilvl="2">
      <w:lvlJc w:val="left"/>
      <w:lvlText w:val="%3"/>
      <w:numFmt w:val="lowerLetter"/>
      <w:start w:val="1"/>
    </w:lvl>
  </w:abstractNum>
  <w:abstractNum w:abstractNumId="235">
    <w:nsid w:val="65D2A137"/>
    <w:multiLevelType w:val="hybridMultilevel"/>
    <w:lvl w:ilvl="0">
      <w:lvlJc w:val="left"/>
      <w:lvlText w:val="(%1)"/>
      <w:numFmt w:val="upperLetter"/>
      <w:start w:val="1"/>
    </w:lvl>
  </w:abstractNum>
  <w:abstractNum w:abstractNumId="236">
    <w:nsid w:val="6EBB1F2A"/>
    <w:multiLevelType w:val="hybridMultilevel"/>
    <w:lvl w:ilvl="0">
      <w:lvlJc w:val="left"/>
      <w:lvlText w:val="%1."/>
      <w:numFmt w:val="decimal"/>
      <w:start w:val="18"/>
    </w:lvl>
  </w:abstractNum>
  <w:abstractNum w:abstractNumId="237">
    <w:nsid w:val="6FBF29CB"/>
    <w:multiLevelType w:val="hybridMultilevel"/>
    <w:lvl w:ilvl="0">
      <w:lvlJc w:val="left"/>
      <w:lvlText w:val="%1."/>
      <w:numFmt w:val="decimal"/>
      <w:start w:val="19"/>
    </w:lvl>
    <w:lvl w:ilvl="1">
      <w:lvlJc w:val="left"/>
      <w:lvlText w:val="(%2)"/>
      <w:numFmt w:val="lowerLetter"/>
      <w:start w:val="1"/>
    </w:lvl>
  </w:abstractNum>
  <w:abstractNum w:abstractNumId="238">
    <w:nsid w:val="550B8808"/>
    <w:multiLevelType w:val="hybridMultilevel"/>
    <w:lvl w:ilvl="0">
      <w:lvlJc w:val="left"/>
      <w:lvlText w:val="%1."/>
      <w:numFmt w:val="decimal"/>
      <w:start w:val="1"/>
    </w:lvl>
    <w:lvl w:ilvl="1">
      <w:lvlJc w:val="left"/>
      <w:lvlText w:val="(%2)"/>
      <w:numFmt w:val="lowerLetter"/>
      <w:start w:val="1"/>
    </w:lvl>
  </w:abstractNum>
  <w:abstractNum w:abstractNumId="239">
    <w:nsid w:val="34CC3ACF"/>
    <w:multiLevelType w:val="hybridMultilevel"/>
    <w:lvl w:ilvl="0">
      <w:lvlJc w:val="left"/>
      <w:lvlText w:val="(%1)"/>
      <w:numFmt w:val="lowerLetter"/>
      <w:start w:val="1"/>
    </w:lvl>
  </w:abstractNum>
  <w:abstractNum w:abstractNumId="240">
    <w:nsid w:val="4E556261"/>
    <w:multiLevelType w:val="hybridMultilevel"/>
    <w:lvl w:ilvl="0">
      <w:lvlJc w:val="left"/>
      <w:lvlText w:val="(%1)"/>
      <w:numFmt w:val="lowerLetter"/>
      <w:start w:val="4"/>
    </w:lvl>
  </w:abstractNum>
  <w:abstractNum w:abstractNumId="241">
    <w:nsid w:val="4C672FC9"/>
    <w:multiLevelType w:val="hybridMultilevel"/>
    <w:lvl w:ilvl="0">
      <w:lvlJc w:val="left"/>
      <w:lvlText w:val="%1"/>
      <w:numFmt w:val="lowerRoman"/>
      <w:start w:val="1"/>
    </w:lvl>
    <w:lvl w:ilvl="1">
      <w:lvlJc w:val="left"/>
      <w:lvlText w:val="(%2)"/>
      <w:numFmt w:val="lowerLetter"/>
      <w:start w:val="13"/>
    </w:lvl>
  </w:abstractNum>
  <w:abstractNum w:abstractNumId="242">
    <w:nsid w:val="52A311C3"/>
    <w:multiLevelType w:val="hybridMultilevel"/>
    <w:lvl w:ilvl="0">
      <w:lvlJc w:val="left"/>
      <w:lvlText w:val="(%1)"/>
      <w:numFmt w:val="lowerRoman"/>
      <w:start w:val="1"/>
    </w:lvl>
    <w:lvl w:ilvl="1">
      <w:lvlJc w:val="left"/>
      <w:lvlText w:val="%2"/>
      <w:numFmt w:val="lowerLetter"/>
      <w:start w:val="1"/>
    </w:lvl>
  </w:abstractNum>
  <w:abstractNum w:abstractNumId="243">
    <w:nsid w:val="44EF6B80"/>
    <w:multiLevelType w:val="hybridMultilevel"/>
    <w:lvl w:ilvl="0">
      <w:lvlJc w:val="left"/>
      <w:lvlText w:val="(%1)"/>
      <w:numFmt w:val="lowerRoman"/>
      <w:start w:val="10"/>
    </w:lvl>
  </w:abstractNum>
  <w:abstractNum w:abstractNumId="244">
    <w:nsid w:val="12FCDE5E"/>
    <w:multiLevelType w:val="hybridMultilevel"/>
    <w:lvl w:ilvl="0">
      <w:lvlJc w:val="left"/>
      <w:lvlText w:val="(%1)"/>
      <w:numFmt w:val="lowerLetter"/>
      <w:start w:val="20"/>
    </w:lvl>
  </w:abstractNum>
  <w:abstractNum w:abstractNumId="245">
    <w:nsid w:val="4A1D606E"/>
    <w:multiLevelType w:val="hybridMultilevel"/>
    <w:lvl w:ilvl="0">
      <w:lvlJc w:val="left"/>
      <w:lvlText w:val="(%1)"/>
      <w:numFmt w:val="lowerRoman"/>
      <w:start w:val="1"/>
    </w:lvl>
    <w:lvl w:ilvl="1">
      <w:lvlJc w:val="left"/>
      <w:lvlText w:val="(%2)"/>
      <w:numFmt w:val="lowerLetter"/>
      <w:start w:val="22"/>
    </w:lvl>
  </w:abstractNum>
  <w:abstractNum w:abstractNumId="246">
    <w:nsid w:val="4382503"/>
    <w:multiLevelType w:val="hybridMultilevel"/>
    <w:lvl w:ilvl="0">
      <w:lvlJc w:val="left"/>
      <w:lvlText w:val="(%1)"/>
      <w:numFmt w:val="lowerLetter"/>
      <w:start w:val="25"/>
    </w:lvl>
  </w:abstractNum>
  <w:abstractNum w:abstractNumId="247">
    <w:nsid w:val="59B76E28"/>
    <w:multiLevelType w:val="hybridMultilevel"/>
    <w:lvl w:ilvl="0">
      <w:lvlJc w:val="left"/>
      <w:lvlText w:val="(%1)"/>
      <w:numFmt w:val="lowerLetter"/>
      <w:start w:val="27"/>
    </w:lvl>
  </w:abstractNum>
  <w:abstractNum w:abstractNumId="248">
    <w:nsid w:val="4252C2D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7"/>
    </w:lvl>
  </w:abstractNum>
  <w:abstractNum w:abstractNumId="249">
    <w:nsid w:val="6A92EF4C"/>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250">
    <w:nsid w:val="41ED20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51">
    <w:nsid w:val="E6B3F6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52">
    <w:nsid w:val="3EB21819"/>
    <w:multiLevelType w:val="hybridMultilevel"/>
    <w:lvl w:ilvl="0">
      <w:lvlJc w:val="left"/>
      <w:lvlText w:val="%1"/>
      <w:numFmt w:val="decimal"/>
      <w:start w:val="1"/>
    </w:lvl>
    <w:lvl w:ilvl="1">
      <w:lvlJc w:val="left"/>
      <w:lvlText w:val="(%2)"/>
      <w:numFmt w:val="lowerLetter"/>
      <w:start w:val="3"/>
    </w:lvl>
  </w:abstractNum>
  <w:abstractNum w:abstractNumId="253">
    <w:nsid w:val="41531DED"/>
    <w:multiLevelType w:val="hybridMultilevel"/>
    <w:lvl w:ilvl="0">
      <w:lvlJc w:val="left"/>
      <w:lvlText w:val="%1."/>
      <w:numFmt w:val="decimal"/>
      <w:start w:val="5"/>
    </w:lvl>
    <w:lvl w:ilvl="1">
      <w:lvlJc w:val="left"/>
      <w:lvlText w:val="%2"/>
      <w:numFmt w:val="lowerLetter"/>
      <w:start w:val="1"/>
    </w:lvl>
  </w:abstractNum>
  <w:abstractNum w:abstractNumId="254">
    <w:nsid w:val="6353CD2"/>
    <w:multiLevelType w:val="hybridMultilevel"/>
    <w:lvl w:ilvl="0">
      <w:lvlJc w:val="left"/>
      <w:lvlText w:val="(%1)"/>
      <w:numFmt w:val="lowerLetter"/>
      <w:start w:val="1"/>
    </w:lvl>
  </w:abstractNum>
  <w:abstractNum w:abstractNumId="255">
    <w:nsid w:val="683CAAD3"/>
    <w:multiLevelType w:val="hybridMultilevel"/>
    <w:lvl w:ilvl="0">
      <w:lvlJc w:val="left"/>
      <w:lvlText w:val="%1"/>
      <w:numFmt w:val="decimal"/>
      <w:start w:val="1"/>
    </w:lvl>
    <w:lvl w:ilvl="1">
      <w:lvlJc w:val="left"/>
      <w:lvlText w:val="(%2)"/>
      <w:numFmt w:val="lowerLetter"/>
      <w:start w:val="3"/>
    </w:lvl>
  </w:abstractNum>
  <w:abstractNum w:abstractNumId="256">
    <w:nsid w:val="313C7C99"/>
    <w:multiLevelType w:val="hybridMultilevel"/>
    <w:lvl w:ilvl="0">
      <w:lvlJc w:val="left"/>
      <w:lvlText w:val="%1."/>
      <w:numFmt w:val="decimal"/>
      <w:start w:val="6"/>
    </w:lvl>
    <w:lvl w:ilvl="1">
      <w:lvlJc w:val="left"/>
      <w:lvlText w:val="%2"/>
      <w:numFmt w:val="lowerLetter"/>
      <w:start w:val="1"/>
    </w:lvl>
  </w:abstractNum>
  <w:abstractNum w:abstractNumId="257">
    <w:nsid w:val="519EB94C"/>
    <w:multiLevelType w:val="hybridMultilevel"/>
    <w:lvl w:ilvl="0">
      <w:lvlJc w:val="left"/>
      <w:lvlText w:val="%1."/>
      <w:numFmt w:val="decimal"/>
      <w:start w:val="7"/>
    </w:lvl>
  </w:abstractNum>
  <w:abstractNum w:abstractNumId="258">
    <w:nsid w:val="39DF2579"/>
    <w:multiLevelType w:val="hybridMultilevel"/>
    <w:lvl w:ilvl="0">
      <w:lvlJc w:val="left"/>
      <w:lvlText w:val="(%1)"/>
      <w:numFmt w:val="lowerLetter"/>
      <w:start w:val="1"/>
    </w:lvl>
  </w:abstractNum>
  <w:abstractNum w:abstractNumId="259">
    <w:nsid w:val="126E008B"/>
    <w:multiLevelType w:val="hybridMultilevel"/>
    <w:lvl w:ilvl="0">
      <w:lvlJc w:val="left"/>
      <w:lvlText w:val="%1"/>
      <w:numFmt w:val="lowerRoman"/>
      <w:start w:val="1"/>
    </w:lvl>
    <w:lvl w:ilvl="1">
      <w:lvlJc w:val="left"/>
      <w:lvlText w:val="(%2)"/>
      <w:numFmt w:val="lowerLetter"/>
      <w:start w:val="3"/>
    </w:lvl>
  </w:abstractNum>
  <w:abstractNum w:abstractNumId="260">
    <w:nsid w:val="34DFBC00"/>
    <w:multiLevelType w:val="hybridMultilevel"/>
    <w:lvl w:ilvl="0">
      <w:lvlJc w:val="left"/>
      <w:lvlText w:val="(%1)"/>
      <w:numFmt w:val="lowerRoman"/>
      <w:start w:val="1"/>
    </w:lvl>
    <w:lvl w:ilvl="1">
      <w:lvlJc w:val="left"/>
      <w:lvlText w:val="%2"/>
      <w:numFmt w:val="lowerLetter"/>
      <w:start w:val="1"/>
    </w:lvl>
  </w:abstractNum>
  <w:abstractNum w:abstractNumId="261">
    <w:nsid w:val="1F9EC322"/>
    <w:multiLevelType w:val="hybridMultilevel"/>
    <w:lvl w:ilvl="0">
      <w:lvlJc w:val="left"/>
      <w:lvlText w:val="(%1)"/>
      <w:numFmt w:val="lowerRoman"/>
      <w:start w:val="6"/>
    </w:lvl>
  </w:abstractNum>
  <w:abstractNum w:abstractNumId="262">
    <w:nsid w:val="3410ED56"/>
    <w:multiLevelType w:val="hybridMultilevel"/>
    <w:lvl w:ilvl="0">
      <w:lvlJc w:val="left"/>
      <w:lvlText w:val="(%1)"/>
      <w:numFmt w:val="lowerLetter"/>
      <w:start w:val="6"/>
    </w:lvl>
  </w:abstractNum>
  <w:abstractNum w:abstractNumId="263">
    <w:nsid w:val="23C049A"/>
    <w:multiLevelType w:val="hybridMultilevel"/>
    <w:lvl w:ilvl="0">
      <w:lvlJc w:val="left"/>
      <w:lvlText w:val="%1."/>
      <w:numFmt w:val="decimal"/>
      <w:start w:val="8"/>
    </w:lvl>
  </w:abstractNum>
  <w:abstractNum w:abstractNumId="264">
    <w:nsid w:val="5BDA35D4"/>
    <w:multiLevelType w:val="hybridMultilevel"/>
    <w:lvl w:ilvl="0">
      <w:lvlJc w:val="left"/>
      <w:lvlText w:val="(%1)"/>
      <w:numFmt w:val="lowerLetter"/>
      <w:start w:val="1"/>
    </w:lvl>
  </w:abstractNum>
  <w:abstractNum w:abstractNumId="265">
    <w:nsid w:val="496FB218"/>
    <w:multiLevelType w:val="hybridMultilevel"/>
    <w:lvl w:ilvl="0">
      <w:lvlJc w:val="left"/>
      <w:lvlText w:val="%1"/>
      <w:numFmt w:val="decimal"/>
      <w:start w:val="1"/>
    </w:lvl>
    <w:lvl w:ilvl="1">
      <w:lvlJc w:val="left"/>
      <w:lvlText w:val="(%2)"/>
      <w:numFmt w:val="lowerLetter"/>
      <w:start w:val="2"/>
    </w:lvl>
  </w:abstractNum>
  <w:abstractNum w:abstractNumId="266">
    <w:nsid w:val="680EA5D1"/>
    <w:multiLevelType w:val="hybridMultilevel"/>
    <w:lvl w:ilvl="0">
      <w:lvlJc w:val="left"/>
      <w:lvlText w:val="%1."/>
      <w:numFmt w:val="decimal"/>
      <w:start w:val="9"/>
    </w:lvl>
    <w:lvl w:ilvl="1">
      <w:lvlJc w:val="left"/>
      <w:lvlText w:val="(%2)"/>
      <w:numFmt w:val="lowerLetter"/>
      <w:start w:val="1"/>
    </w:lvl>
  </w:abstractNum>
  <w:abstractNum w:abstractNumId="267">
    <w:nsid w:val="4A9554FE"/>
    <w:multiLevelType w:val="hybridMultilevel"/>
    <w:lvl w:ilvl="0">
      <w:lvlJc w:val="left"/>
      <w:lvlText w:val="(%1)"/>
      <w:numFmt w:val="lowerRoman"/>
      <w:start w:val="1"/>
    </w:lvl>
  </w:abstractNum>
  <w:abstractNum w:abstractNumId="268">
    <w:nsid w:val="392EDBE4"/>
    <w:multiLevelType w:val="hybridMultilevel"/>
    <w:lvl w:ilvl="0">
      <w:lvlJc w:val="left"/>
      <w:lvlText w:val="(%1)"/>
      <w:numFmt w:val="lowerRoman"/>
      <w:start w:val="3"/>
    </w:lvl>
  </w:abstractNum>
  <w:abstractNum w:abstractNumId="269">
    <w:nsid w:val="3D1A2DD9"/>
    <w:multiLevelType w:val="hybridMultilevel"/>
    <w:lvl w:ilvl="0">
      <w:lvlJc w:val="left"/>
      <w:lvlText w:val="%1"/>
      <w:numFmt w:val="lowerRoman"/>
      <w:start w:val="1"/>
    </w:lvl>
    <w:lvl w:ilvl="1">
      <w:lvlJc w:val="left"/>
      <w:lvlText w:val="(%2)"/>
      <w:numFmt w:val="lowerLetter"/>
      <w:start w:val="2"/>
    </w:lvl>
  </w:abstractNum>
  <w:abstractNum w:abstractNumId="270">
    <w:nsid w:val="7F618FCD"/>
    <w:multiLevelType w:val="hybridMultilevel"/>
    <w:lvl w:ilvl="0">
      <w:lvlJc w:val="left"/>
      <w:lvlText w:val="(%1)"/>
      <w:numFmt w:val="lowerRoman"/>
      <w:start w:val="1"/>
    </w:lvl>
    <w:lvl w:ilvl="1">
      <w:lvlJc w:val="left"/>
      <w:lvlText w:val="(%2)"/>
      <w:numFmt w:val="lowerLetter"/>
      <w:start w:val="3"/>
    </w:lvl>
  </w:abstractNum>
  <w:abstractNum w:abstractNumId="271">
    <w:nsid w:val="7843E45"/>
    <w:multiLevelType w:val="hybridMultilevel"/>
    <w:lvl w:ilvl="0">
      <w:lvlJc w:val="left"/>
      <w:lvlText w:val="(%1)"/>
      <w:numFmt w:val="lowerLetter"/>
      <w:start w:val="5"/>
    </w:lvl>
  </w:abstractNum>
  <w:abstractNum w:abstractNumId="272">
    <w:nsid w:val="9815DA3"/>
    <w:multiLevelType w:val="hybridMultilevel"/>
    <w:lvl w:ilvl="0">
      <w:lvlJc w:val="left"/>
      <w:lvlText w:val="%1."/>
      <w:numFmt w:val="decimal"/>
      <w:start w:val="10"/>
    </w:lvl>
  </w:abstractNum>
  <w:abstractNum w:abstractNumId="273">
    <w:nsid w:val="5204A191"/>
    <w:multiLevelType w:val="hybridMultilevel"/>
    <w:lvl w:ilvl="0">
      <w:lvlJc w:val="left"/>
      <w:lvlText w:val="%1."/>
      <w:numFmt w:val="decimal"/>
      <w:start w:val="11"/>
    </w:lvl>
  </w:abstractNum>
  <w:abstractNum w:abstractNumId="274">
    <w:nsid w:val="4C73A9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5">
    <w:nsid w:val="1C7E3C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76">
    <w:nsid w:val="1C2201F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77">
    <w:nsid w:val="50ABCEC9"/>
    <w:multiLevelType w:val="hybridMultilevel"/>
    <w:lvl w:ilvl="0">
      <w:lvlJc w:val="left"/>
      <w:lvlText w:val="(%1)"/>
      <w:numFmt w:val="lowerRoman"/>
      <w:start w:val="2"/>
    </w:lvl>
  </w:abstractNum>
  <w:abstractNum w:abstractNumId="278">
    <w:nsid w:val="7635AA2A"/>
    <w:multiLevelType w:val="hybridMultilevel"/>
    <w:lvl w:ilvl="0">
      <w:lvlJc w:val="left"/>
      <w:lvlText w:val="%1."/>
      <w:numFmt w:val="decimal"/>
      <w:start w:val="12"/>
    </w:lvl>
    <w:lvl w:ilvl="1">
      <w:lvlJc w:val="left"/>
      <w:lvlText w:val="(%2)"/>
      <w:numFmt w:val="lowerLetter"/>
      <w:start w:val="1"/>
    </w:lvl>
  </w:abstractNum>
  <w:abstractNum w:abstractNumId="279">
    <w:nsid w:val="5E74C4D9"/>
    <w:multiLevelType w:val="hybridMultilevel"/>
    <w:lvl w:ilvl="0">
      <w:lvlJc w:val="left"/>
      <w:lvlText w:val="%1"/>
      <w:numFmt w:val="lowerRoman"/>
      <w:start w:val="1"/>
    </w:lvl>
    <w:lvl w:ilvl="1">
      <w:lvlJc w:val="left"/>
      <w:lvlText w:val="(%2)"/>
      <w:numFmt w:val="lowerLetter"/>
      <w:start w:val="4"/>
    </w:lvl>
  </w:abstractNum>
  <w:abstractNum w:abstractNumId="280">
    <w:nsid w:val="3B3EBE15"/>
    <w:multiLevelType w:val="hybridMultilevel"/>
    <w:lvl w:ilvl="0">
      <w:lvlJc w:val="left"/>
      <w:lvlText w:val="(%1)"/>
      <w:numFmt w:val="lowerRoman"/>
      <w:start w:val="1"/>
    </w:lvl>
    <w:lvl w:ilvl="1">
      <w:lvlJc w:val="left"/>
      <w:lvlText w:val="(%2)"/>
      <w:numFmt w:val="lowerLetter"/>
      <w:start w:val="5"/>
    </w:lvl>
  </w:abstractNum>
  <w:abstractNum w:abstractNumId="281">
    <w:nsid w:val="3822CB01"/>
    <w:multiLevelType w:val="hybridMultilevel"/>
    <w:lvl w:ilvl="0">
      <w:lvlJc w:val="left"/>
      <w:lvlText w:val="(%1)"/>
      <w:numFmt w:val="lowerLetter"/>
      <w:start w:val="7"/>
    </w:lvl>
  </w:abstractNum>
  <w:abstractNum w:abstractNumId="282">
    <w:nsid w:val="6CE00443"/>
    <w:multiLevelType w:val="hybridMultilevel"/>
    <w:lvl w:ilvl="0">
      <w:lvlJc w:val="left"/>
      <w:lvlText w:val="(%1)"/>
      <w:numFmt w:val="lowerLetter"/>
      <w:start w:val="11"/>
    </w:lvl>
  </w:abstractNum>
  <w:abstractNum w:abstractNumId="283">
    <w:nsid w:val="79F0D62F"/>
    <w:multiLevelType w:val="hybridMultilevel"/>
    <w:lvl w:ilvl="0">
      <w:lvlJc w:val="left"/>
      <w:lvlText w:val="%1."/>
      <w:numFmt w:val="decimal"/>
      <w:start w:val="13"/>
    </w:lvl>
  </w:abstractNum>
  <w:abstractNum w:abstractNumId="284">
    <w:nsid w:val="7975E8EE"/>
    <w:multiLevelType w:val="hybridMultilevel"/>
    <w:lvl w:ilvl="0">
      <w:lvlJc w:val="left"/>
      <w:lvlText w:val="%1."/>
      <w:numFmt w:val="decimal"/>
      <w:start w:val="14"/>
    </w:lvl>
  </w:abstractNum>
  <w:abstractNum w:abstractNumId="285">
    <w:nsid w:val="73154115"/>
    <w:multiLevelType w:val="hybridMultilevel"/>
    <w:lvl w:ilvl="0">
      <w:lvlJc w:val="left"/>
      <w:lvlText w:val="(%1)"/>
      <w:numFmt w:val="lowerRoman"/>
      <w:start w:val="1"/>
    </w:lvl>
    <w:lvl w:ilvl="1">
      <w:lvlJc w:val="left"/>
      <w:lvlText w:val="(%2)"/>
      <w:numFmt w:val="lowerLetter"/>
      <w:start w:val="2"/>
    </w:lvl>
  </w:abstractNum>
  <w:abstractNum w:abstractNumId="286">
    <w:nsid w:val="622D8102"/>
    <w:multiLevelType w:val="hybridMultilevel"/>
    <w:lvl w:ilvl="0">
      <w:lvlJc w:val="left"/>
      <w:lvlText w:val="%1"/>
      <w:numFmt w:val="decimal"/>
      <w:start w:val="1"/>
    </w:lvl>
    <w:lvl w:ilvl="1">
      <w:lvlJc w:val="left"/>
      <w:lvlText w:val="(%2)"/>
      <w:numFmt w:val="lowerLetter"/>
      <w:start w:val="4"/>
    </w:lvl>
  </w:abstractNum>
  <w:abstractNum w:abstractNumId="287">
    <w:nsid w:val="2AB26587"/>
    <w:multiLevelType w:val="hybridMultilevel"/>
    <w:lvl w:ilvl="0">
      <w:lvlJc w:val="left"/>
      <w:lvlText w:val="%1."/>
      <w:numFmt w:val="decimal"/>
      <w:start w:val="15"/>
    </w:lvl>
    <w:lvl w:ilvl="1">
      <w:lvlJc w:val="left"/>
      <w:lvlText w:val="%2"/>
      <w:numFmt w:val="lowerLetter"/>
      <w:start w:val="1"/>
    </w:lvl>
  </w:abstractNum>
  <w:abstractNum w:abstractNumId="288">
    <w:nsid w:val="44B3FA61"/>
    <w:multiLevelType w:val="hybridMultilevel"/>
    <w:lvl w:ilvl="0">
      <w:lvlJc w:val="left"/>
      <w:lvlText w:val="%1."/>
      <w:numFmt w:val="decimal"/>
      <w:start w:val="16"/>
    </w:lvl>
    <w:lvl w:ilvl="1">
      <w:lvlJc w:val="left"/>
      <w:lvlText w:val="(%2)"/>
      <w:numFmt w:val="lowerLetter"/>
      <w:start w:val="1"/>
    </w:lvl>
  </w:abstractNum>
  <w:abstractNum w:abstractNumId="289">
    <w:nsid w:val="1C0CA67C"/>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3"/>
    </w:lvl>
  </w:abstractNum>
  <w:abstractNum w:abstractNumId="290">
    <w:nsid w:val="3D206613"/>
    <w:multiLevelType w:val="hybridMultilevel"/>
    <w:lvl w:ilvl="0">
      <w:lvlJc w:val="left"/>
      <w:lvlText w:val="%1."/>
      <w:numFmt w:val="decimal"/>
      <w:start w:val="17"/>
    </w:lvl>
    <w:lvl w:ilvl="1">
      <w:lvlJc w:val="left"/>
      <w:lvlText w:val="%2"/>
      <w:numFmt w:val="upperLetter"/>
      <w:start w:val="1"/>
    </w:lvl>
    <w:lvl w:ilvl="2">
      <w:lvlJc w:val="left"/>
      <w:lvlText w:val="(%3)"/>
      <w:numFmt w:val="lowerLetter"/>
      <w:start w:val="9"/>
    </w:lvl>
  </w:abstractNum>
  <w:abstractNum w:abstractNumId="291">
    <w:nsid w:val="7993B662"/>
    <w:multiLevelType w:val="hybridMultilevel"/>
    <w:lvl w:ilvl="0">
      <w:lvlJc w:val="left"/>
      <w:lvlText w:val="(%1)"/>
      <w:numFmt w:val="lowerRoman"/>
      <w:start w:val="2"/>
    </w:lvl>
  </w:abstractNum>
  <w:abstractNum w:abstractNumId="292">
    <w:nsid w:val="3BAB699E"/>
    <w:multiLevelType w:val="hybridMultilevel"/>
    <w:lvl w:ilvl="0">
      <w:lvlJc w:val="left"/>
      <w:lvlText w:val="(%1)"/>
      <w:numFmt w:val="upperLetter"/>
      <w:start w:val="1"/>
    </w:lvl>
  </w:abstractNum>
  <w:abstractNum w:abstractNumId="293">
    <w:nsid w:val="71315369"/>
    <w:multiLevelType w:val="hybridMultilevel"/>
    <w:lvl w:ilvl="0">
      <w:lvlJc w:val="left"/>
      <w:lvlText w:val="%1."/>
      <w:numFmt w:val="decimal"/>
      <w:start w:val="18"/>
    </w:lvl>
  </w:abstractNum>
  <w:abstractNum w:abstractNumId="294">
    <w:nsid w:val="7BCFBAFC"/>
    <w:multiLevelType w:val="hybridMultilevel"/>
    <w:lvl w:ilvl="0">
      <w:lvlJc w:val="left"/>
      <w:lvlText w:val="%1."/>
      <w:numFmt w:val="decimal"/>
      <w:start w:val="19"/>
    </w:lvl>
    <w:lvl w:ilvl="1">
      <w:lvlJc w:val="left"/>
      <w:lvlText w:val="(%2)"/>
      <w:numFmt w:val="lowerLetter"/>
      <w:start w:val="1"/>
    </w:lvl>
  </w:abstractNum>
  <w:abstractNum w:abstractNumId="295">
    <w:nsid w:val="17859F72"/>
    <w:multiLevelType w:val="hybridMultilevel"/>
    <w:lvl w:ilvl="0">
      <w:lvlJc w:val="left"/>
      <w:lvlText w:val="%1."/>
      <w:numFmt w:val="decimal"/>
      <w:start w:val="3"/>
    </w:lvl>
  </w:abstractNum>
  <w:abstractNum w:abstractNumId="296">
    <w:nsid w:val="3AA10581"/>
    <w:multiLevelType w:val="hybridMultilevel"/>
    <w:lvl w:ilvl="0">
      <w:lvlJc w:val="left"/>
      <w:lvlText w:val="%1."/>
      <w:numFmt w:val="decimal"/>
      <w:start w:val="1"/>
    </w:lvl>
  </w:abstractNum>
  <w:abstractNum w:abstractNumId="297">
    <w:nsid w:val="63DE60CD"/>
    <w:multiLevelType w:val="hybridMultilevel"/>
    <w:lvl w:ilvl="0">
      <w:lvlJc w:val="left"/>
      <w:lvlText w:val="%1."/>
      <w:numFmt w:val="decimal"/>
      <w:start w:val="2"/>
    </w:lvl>
  </w:abstractNum>
  <w:abstractNum w:abstractNumId="298">
    <w:nsid w:val="621AF47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jpe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jpe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2019-12-12T04:50:53Z</dcterms:created>
  <dcterms:modified xsi:type="dcterms:W3CDTF">2019-12-12T04:50:53Z</dcterms:modified>
</cp:coreProperties>
</file>