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26, 2025</w:t>
      </w:r>
    </w:p>
    <w:p>
      <w:pPr>
        <w:spacing w:after="0" w:line="31" w:lineRule="exact"/>
        <w:rPr>
          <w:sz w:val="24"/>
          <w:szCs w:val="24"/>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2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85-0572194</w:t>
            </w:r>
          </w:p>
        </w:tc>
      </w:tr>
      <w:tr>
        <w:trPr>
          <w:trHeight w:val="148"/>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320 Park Avenue, 29</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(212) 277-7100</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Ajay Ayyappan, Esq.</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Corporate Secretary</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jc w:val="center"/>
        <w:ind w:right="-219"/>
        <w:spacing w:after="0" w:line="181" w:lineRule="auto"/>
        <w:rPr>
          <w:sz w:val="20"/>
          <w:szCs w:val="20"/>
          <w:color w:val="auto"/>
        </w:rPr>
      </w:pPr>
      <w:r>
        <w:rPr>
          <w:rFonts w:ascii="Times New Roman" w:cs="Times New Roman" w:eastAsia="Times New Roman" w:hAnsi="Times New Roman"/>
          <w:sz w:val="18"/>
          <w:szCs w:val="18"/>
          <w:b w:val="1"/>
          <w:bCs w:val="1"/>
          <w:color w:val="auto"/>
        </w:rPr>
        <w:t>320 Park Avenue, 29</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(212) 277-7100</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Rakesh Gopalan</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Troutman Pepper Locke LLP</w:t>
      </w:r>
    </w:p>
    <w:p>
      <w:pPr>
        <w:jc w:val="center"/>
        <w:ind w:right="-219"/>
        <w:spacing w:after="0" w:line="181" w:lineRule="auto"/>
        <w:rPr>
          <w:sz w:val="20"/>
          <w:szCs w:val="20"/>
          <w:color w:val="auto"/>
        </w:rPr>
      </w:pPr>
      <w:r>
        <w:rPr>
          <w:rFonts w:ascii="Times New Roman" w:cs="Times New Roman" w:eastAsia="Times New Roman" w:hAnsi="Times New Roman"/>
          <w:sz w:val="18"/>
          <w:szCs w:val="18"/>
          <w:b w:val="1"/>
          <w:bCs w:val="1"/>
          <w:color w:val="auto"/>
        </w:rPr>
        <w:t>301 S. College Street, 34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Charlotte, NC 28202</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(704) 998-4050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w:t>
      </w:r>
    </w:p>
    <w:p>
      <w:pPr>
        <w:spacing w:after="0" w:line="229" w:lineRule="exact"/>
        <w:rPr>
          <w:sz w:val="24"/>
          <w:szCs w:val="24"/>
          <w:color w:val="auto"/>
        </w:rPr>
      </w:pPr>
    </w:p>
    <w:p>
      <w:pPr>
        <w:ind w:left="120" w:right="34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120" w:right="6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120"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left="120" w:right="2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1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40"/>
          </w:cols>
          <w:pgMar w:left="320" w:top="225" w:right="539" w:bottom="0" w:gutter="0" w:footer="0" w:header="0"/>
        </w:sectPr>
      </w:pPr>
    </w:p>
    <w:bookmarkStart w:id="1" w:name="page2"/>
    <w:bookmarkEnd w:id="1"/>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196850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right="24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ExlService Holdings, Inc. (“we,” “us,” or “our”) is filing this registration statement solely to cover unsold securities covered by our prior registration statement on Form S-3 that we filed with the Securities and Exchange Commission on February 28, 2022 (</w:t>
      </w:r>
      <w:hyperlink r:id="rId19">
        <w:r>
          <w:rPr>
            <w:rFonts w:ascii="Times New Roman" w:cs="Times New Roman" w:eastAsia="Times New Roman" w:hAnsi="Times New Roman"/>
            <w:sz w:val="17"/>
            <w:szCs w:val="17"/>
            <w:u w:val="single" w:color="auto"/>
            <w:color w:val="0000EE"/>
          </w:rPr>
          <w:t>File No. 333-263076</w:t>
        </w:r>
      </w:hyperlink>
      <w:r>
        <w:rPr>
          <w:rFonts w:ascii="Times New Roman" w:cs="Times New Roman" w:eastAsia="Times New Roman" w:hAnsi="Times New Roman"/>
          <w:sz w:val="17"/>
          <w:szCs w:val="17"/>
          <w:color w:val="auto"/>
        </w:rPr>
        <w:t>). In accordance</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with Rule 415(a)(5) under the Securities Act of 1933, as amended, securities registered on the prior registration statement may be offered and sold if not more than three years have elapsed since the initial effective date of that registration statement. Accordingly, we are filing this registration statement to cover unsold securities covered by that prior registration statement. In accordance with Rule 415(a)(6), effectiveness of this registration statement will be deemed to terminate the offering of securities on that prior registration statement.</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173990</wp:posOffset>
            </wp:positionV>
            <wp:extent cx="80581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0581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1,551,970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August 27, 2021, ExlService Holdings, Inc. (“we,” “us,” “our” or the “Company”) entered into a Payoff and Termination Agreement (the “Payoff and Termination Agreement”) with Orogen Echo LLC (“Orogen” or the “selling securityholder”), an affiliate of The Orogen Group, pursuant to which we agreed to (i) a negotiated private exchange and prepayment of the Company’s $150,000,000 aggregate principal amount of 3.50% Convertible Senior Notes due October 1, 2024 (the “Notes”) and (ii) except as set forth in the Payoff and Termination Agreement, terminate the Investment Agreement, dated as of October 1, 2018, between the Company and Orogen related to the initial issuance of the Notes and other matters set forth therein. In accordance with the terms of the Payoff and Termination Agreement, we settled our outstanding obligations under the Notes by making a cash payment plus an issuance directly to Orogen of 1,551,970 shares of our common stock, par value $0.001 per share (“common stock”). Unless otherwise indicated, all information contained in this prospectus, including the number of our shares of common stock outstanding, gives effect to the 5-for-1 forward stock split effective August 1, 2023.</w:t>
      </w:r>
    </w:p>
    <w:p>
      <w:pPr>
        <w:spacing w:after="0" w:line="186"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This prospectus relates to the resale by the selling securityholder from time to time, and in any manner described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of up to an aggregate of 1,551,970 shares of our common stock. We are registering the sale of these shares on behalf of the selling securityholder, to be offered and sold by it from time to time, to satisfy certain registration rights that we have granted to the selling securityholder.</w:t>
      </w:r>
    </w:p>
    <w:p>
      <w:pPr>
        <w:spacing w:after="0" w:line="17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selling securityholder may sell such shares of common stock in one or more transactions at fixed prices, at prevailing market prices at the time of sale, at prices related to such prevailing market prices, at varying prices determined at the time of sale or at privately negotiated prices directly to purchasers or through underwriters, broker-dealers or agents, who may receive compensation in the form of discounts, concessions or commissions. If the selling securityholder uses underwriters, broker-dealers or agents, we will name them and describe their compensation in a supplement to this prospectus as may be required. We will receive no proceeds from any sale by the selling securityholder of the securities offered by this prospectus, but in some cases we have agreed to pay certain registration expenses. Please read this prospectus and any applicable prospectus supplement carefully before you invest.</w:t>
      </w:r>
    </w:p>
    <w:p>
      <w:pPr>
        <w:spacing w:after="0" w:line="18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and trades under the symbol “EXLS”. On February 24, 2025, the closing sale price of our common stock on the Nasdaq Global Select Market was $48.21 per share.</w:t>
      </w:r>
    </w:p>
    <w:p>
      <w:pPr>
        <w:spacing w:after="0" w:line="148" w:lineRule="exact"/>
        <w:rPr>
          <w:sz w:val="20"/>
          <w:szCs w:val="20"/>
          <w:color w:val="auto"/>
        </w:rPr>
      </w:pPr>
    </w:p>
    <w:p>
      <w:pPr>
        <w:ind w:left="120" w:right="26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carefully read and consider the risk factors included in this prospectus under the section entitled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4 of this prospectus, in any applicable prospectus supplement relating to a specific offering of securities, in our periodic reports filed with the Securities and Exchange Commission (the “SEC”) and in any other documents we file with the SEC.</w:t>
      </w:r>
    </w:p>
    <w:p>
      <w:pPr>
        <w:spacing w:after="0" w:line="181"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or any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26, 2025</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6"/>
        </w:trPr>
        <w:tc>
          <w:tcPr>
            <w:tcW w:w="57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440" w:type="dxa"/>
            <w:vAlign w:val="bottom"/>
          </w:tcPr>
          <w:p>
            <w:pPr>
              <w:spacing w:after="0"/>
              <w:rPr>
                <w:sz w:val="23"/>
                <w:szCs w:val="2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196"/>
        </w:trPr>
        <w:tc>
          <w:tcPr>
            <w:tcW w:w="82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2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140" w:type="dxa"/>
            <w:vAlign w:val="bottom"/>
            <w:gridSpan w:val="7"/>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640" w:type="dxa"/>
            <w:vAlign w:val="bottom"/>
            <w:gridSpan w:val="9"/>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4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w:t>
            </w:r>
          </w:p>
        </w:tc>
        <w:tc>
          <w:tcPr>
            <w:tcW w:w="5820" w:type="dxa"/>
            <w:vAlign w:val="bottom"/>
            <w:gridSpan w:val="6"/>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2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8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360" w:type="dxa"/>
            <w:vAlign w:val="bottom"/>
            <w:gridSpan w:val="5"/>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82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CERTAIN MATERIAL U.S. FEDERAL INCOME TAX CONSIDERATIONS</w:t>
            </w:r>
          </w:p>
        </w:tc>
        <w:tc>
          <w:tcPr>
            <w:tcW w:w="2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4200" w:type="dxa"/>
            <w:vAlign w:val="bottom"/>
            <w:tcBorders>
              <w:top w:val="single" w:sz="8" w:color="0000EE"/>
            </w:tcBorders>
            <w:gridSpan w:val="8"/>
          </w:tcPr>
          <w:p>
            <w:pPr>
              <w:spacing w:after="0"/>
              <w:rPr>
                <w:sz w:val="17"/>
                <w:szCs w:val="17"/>
                <w:color w:val="auto"/>
              </w:rPr>
            </w:pPr>
          </w:p>
        </w:tc>
        <w:tc>
          <w:tcPr>
            <w:tcW w:w="2560" w:type="dxa"/>
            <w:vAlign w:val="bottom"/>
            <w:gridSpan w:val="2"/>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82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82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3800" w:type="dxa"/>
            <w:vAlign w:val="bottom"/>
            <w:gridSpan w:val="9"/>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4200" w:type="dxa"/>
            <w:vAlign w:val="bottom"/>
            <w:gridSpan w:val="3"/>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 “shelf” registration process. Under this shelf process, the selling securityholder identified in this prospectus may offer or sell shares of our common stock, as described in this prospectus, in one or more offerings from time to time.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also authorize one or more free writing prospectuses or prospectus supplements to be provided to you in connection with these offerings. Any related free writing prospectus or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any accompanying prospectus supplement or any related free writing prospectus or pursuant to any document hereafter incorporated by reference.</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Neither we nor the selling securityholder has authorized anyone to provide any information other than that contained or incorporated by reference in this prospectus, any applicable prospectus supplement or any related free writing prospectus that we have authorized for use in connection with this offering. Neither we nor the selling securityholder take any responsibility for, or can provide any assurance as to the reliability of, any other information that others may give you. This prospectus and any applicable prospectus supplement do not constitute an offer to sell, or a solicitation of an offer to purchase, the securities offered by this prospectus and any such prospectus supplement in any jurisdiction to or from any person to whom or from whom it is unlawful to make such offer or solicitation of an offer in such jurisdiction. The information contained in this prospectus, any applicable prospectus supplement, any free writing prospectus that we have authorized for use in connection with this offering, including the documents incorporated by reference herein or therein is accurate only as of the respective dates thereof, regardless of the time of delivery of this prospectus and any applicable prospectus supplement or of any sale of the securities offered hereby. Our business, financial condition, results of operations and prospects may have changed since that date.</w:t>
      </w:r>
    </w:p>
    <w:p>
      <w:pPr>
        <w:spacing w:after="0" w:line="194"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It is important for you to read and consider all information contained in this prospectus, any applicable prospectus supplement and any free writing prospectus that we have authorized for use in connection with this offering, including the documents incorporated by reference herein and therein, in making your investment decision.</w:t>
      </w:r>
    </w:p>
    <w:p>
      <w:pPr>
        <w:spacing w:after="0" w:line="174"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You should also read and consider the information in the documents to which we have referred you in the sections entitled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Information Incorporated by Reference</w:t>
      </w:r>
      <w:r>
        <w:rPr>
          <w:rFonts w:ascii="Times New Roman" w:cs="Times New Roman" w:eastAsia="Times New Roman" w:hAnsi="Times New Roman"/>
          <w:sz w:val="18"/>
          <w:szCs w:val="18"/>
          <w:color w:val="auto"/>
        </w:rPr>
        <w:t>” in this prospectus. Unless the context indicates otherwise, the terms “EXL,”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“we,” “us,” and “our” refer to ExlService Holdings, Inc., a Delaware corporation, and its consolidated subsidiaries.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100" w:lineRule="exact"/>
        <w:rPr>
          <w:sz w:val="20"/>
          <w:szCs w:val="20"/>
          <w:color w:val="auto"/>
        </w:rPr>
      </w:pPr>
    </w:p>
    <w:p>
      <w:pPr>
        <w:ind w:left="1080" w:right="8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client demand for our services and solutions, including anticipating and incorporating the latest technologies, for instance, artificial intelligence (“AI”), including generative AI into our offerings;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AI technology presents competitive, reputational and legal risks, and our use of AI technology may not be successful;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client demand by the selling cycle and terms of our client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 or any changes in the senior management team;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and/or manage costs;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pricing terms or effectively manage our asset utilization levels to meet the changing demands of our clients and potential clients;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incidents, data breaches, or other unauthorized disclosure of sensitive or confidential client and employee data;</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to deliver services and infrastructure for client critical services, and on third party data use rights for certain of our offerings;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wage increases;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and our ability to withstand the loss of a significant client;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rapid infrastructure and personnel growth across countries;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 including the impact from the impairment of goodwill and other intangible assets, if 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liability arising out of customer and third party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 or breaches, natural or other disasters, medical epidemics or pandemics or acts of violence or war;</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applicable tax authorities to transfer pricing determinations or the introduction of new or unfavorable tax legislation, including legal restrictions on repatriation of funds held abroad;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currency exchange rate fluctuations in the various currencies in which we do business including rising inflation, high interest rates and economic recessionary trends on currency exchange rates;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 and work permits;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enforcing judgments against our foreign subsidiaries or officers;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our ability to adhere to regulations or accreditation or licensing standards that govern our business;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debt or obtain additional financing on competitive terms, or exposure to interest rate fluctuations that are not fully hedged through interest rate swaps;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U.S. or elsewhere to offshore outsourcing;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political and economic conditions globally, particularly in the geographies where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accurate estimates and assumptions in connection with the preparation of our consolidated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fluctuations in the market values of our investment and derivatives portfolios;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sustainability-related initiatives.</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These and other factors are more fully discussed in our Annual Report on Form 10-K for the fiscal year ended December 31, 2024. These and other risks could cause actual results to differ materially from those implied by forward-looking statements in this prospectus.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by us in this prospectus, or elsewhere, speak only as of the date on which they were made. New risks and uncertainties may occur from time to time, and it is impossible for us to predict those events or how they may affect us. We have no obligation to update any forward-looking statements in this prospectus after the date of this prospectus, except as required by federal securities laws.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left="120" w:right="46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 this prospectus. As a result, it does not contain all the information that may be important to you. You should read this entire prospectus carefully, including the risk factors beginning on page 4 and the documents incorporated by reference into this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 global data and artificial intelligence (“AI”) company that offers services and solutions to reinvent client business models, drive better outcomes and unlock growth with speed. We harness the power of data, AI, and deep industry knowledge to transform businesses, including the world’s leading corporations in industries including insurance, healthcare, banking and capital markets, retail, communications and media, and energy and infrastructure, among others. We were founded in 1999 with the core values of innovation, collaboration, excellence, integrity and respect. We are headquartered in New York and have approximately 59,500 employees spanning six continents.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deliver data analytics and digital operations and solutions to our clients, driving enterprise-scale business transformation initiatives that leverage our deep domain expertise in advanced analytics, AI, generative AI and cloud technology. Data, AI, analytics and digital have become core to virtually every significant move a business makes to serve customers, optimize business processes, stay competitive and grow. Our vision of being an indispensable partner for data and AI-led transformation reflects the long-term priorities of our clients’ businesses across industry sectors, and we continue to evolve our offerings to drive business outcomes. Our data and AI-led value creation framework enables better and faster decision making, leveraging our end-to-end data, analytics, AI capabilities and deep industry knowledge to drive improved business outcomes, and re-designing of operating models to integrate advanced technology into operational workflows. We embed AI, digital operations and solutions into clients’ businesses and introduce our data and AI-led approach to transform operations with every new engagement, which helps our clients achieve better customer experience, higher productivity, cost efficiency and improved business outcomes.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principal executive offices are located at 320 Park Avenue, 29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10022. Our telephone number is</w:t>
      </w:r>
    </w:p>
    <w:p>
      <w:pPr>
        <w:ind w:left="120" w:hanging="4"/>
        <w:spacing w:after="0" w:line="258" w:lineRule="auto"/>
        <w:tabs>
          <w:tab w:leader="none" w:pos="5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277-7100. Our website address is www.exlservice.com. Information on our website does not constitute a part of, nor is it incorporated in any way, into this prospectus or any other report we file with or furnish to the SEC.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Orogen Transaction</w:t>
      </w:r>
    </w:p>
    <w:p>
      <w:pPr>
        <w:spacing w:after="0" w:line="121" w:lineRule="exact"/>
        <w:rPr>
          <w:sz w:val="20"/>
          <w:szCs w:val="20"/>
          <w:color w:val="auto"/>
        </w:rPr>
      </w:pPr>
    </w:p>
    <w:p>
      <w:pPr>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On August 27, 2021, we entered into a Payoff and Termination Agreement (the “Payoff and Termination Agreement”) with Orogen Echo LLC (“Orogen” or the “selling securityholder”), an affiliate of The Orogen Group, pursuant to which we agreed to (i) a negotiated private exchange and prepayment of the Company’s $150,000,000 aggregate principal amount of 3.50% Convertible Senior Notes due October 1, 2024 (the “Notes”) and</w:t>
      </w:r>
    </w:p>
    <w:p>
      <w:pPr>
        <w:spacing w:after="0" w:line="2" w:lineRule="exact"/>
        <w:rPr>
          <w:sz w:val="20"/>
          <w:szCs w:val="20"/>
          <w:color w:val="auto"/>
        </w:rPr>
      </w:pPr>
    </w:p>
    <w:p>
      <w:pPr>
        <w:ind w:left="120" w:right="580" w:hanging="4"/>
        <w:spacing w:after="0" w:line="260" w:lineRule="auto"/>
        <w:tabs>
          <w:tab w:leader="none" w:pos="3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Payoff and Termination Agreement, terminate the Investment Agreement, dated as of October 1, 2018, between the Company and Orogen (the “Investment Agreement”) related to the initial issuance of the Notes and other matters set forth therein.</w:t>
      </w:r>
    </w:p>
    <w:p>
      <w:pPr>
        <w:spacing w:after="0" w:line="18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Payoff and Termination Agreement, we settled our outstanding obligations under the Notes by making a cash payment to Orogen of $200 million, plus accrued and unpaid interest under the Notes through, and including, August 26, 2021, and by issuing directly to Orogen 1,551,970 shares of our common stock. In addition, subject to certain exceptions, Orogen agreed to a 90-day lock-up with respect to the transferability of shares of our common stock issued pursuant to the Payoff and Termination Agreement.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 Stock Split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June 20, 2023, subsequent to the approval and recommendation of our board of directors, our stockholders approved an amendment to our amended and restated certificate of incorporation, which upon filing with the Secretary of State of the State of Delaware on August 1, 2023, and effectiveness thereof, effected a 5-for-1 forward stock split of our common stock and an increase in the number of authorized shares of our common stock from 100,000,000 shares to 400,000,000 shares. The par value of each share of common stock, $0.001, remained unchanged. All share and per share information in this prospectus has been adjusted to reflect the forward stock split.</w:t>
      </w:r>
    </w:p>
    <w:p>
      <w:pPr>
        <w:spacing w:after="0" w:line="1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320" w:top="455" w:right="7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selling securityholder named in this prospectus may offer and sell up to an aggregate of 1,551,970 shares of our common stock. Our common stock is currently listed on the Nasdaq Global Select Market under the symbol “EXLS.” We will not receive any of the proceeds of sales by the selling securityholder of any of the shares covered by this prospectus. When we refer to the “selling securityholder” in this prospectus, we are referring to the holder of the foregoing securities, and its transferees, pledgees or donees, or its respective successors-in-interest that may be identified in a supplement to this prospectus or, if required, a post-effective amendment to the registration statement of which this prospectus is a part.</w:t>
      </w:r>
    </w:p>
    <w:p>
      <w:pPr>
        <w:sectPr>
          <w:pgSz w:w="11900" w:h="16838" w:orient="portrait"/>
          <w:cols w:equalWidth="0" w:num="1">
            <w:col w:w="11060"/>
          </w:cols>
          <w:pgMar w:left="320" w:top="455" w:right="519" w:bottom="1440" w:gutter="0" w:footer="0" w:header="0"/>
        </w:sect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Selling Securityholder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Orogen Echo LLC</w:t>
      </w:r>
    </w:p>
    <w:p>
      <w:pPr>
        <w:spacing w:after="0" w:line="125" w:lineRule="exact"/>
        <w:rPr>
          <w:sz w:val="20"/>
          <w:szCs w:val="20"/>
          <w:color w:val="auto"/>
        </w:rPr>
      </w:pPr>
    </w:p>
    <w:p>
      <w:pPr>
        <w:sectPr>
          <w:pgSz w:w="11900" w:h="16838" w:orient="portrait"/>
          <w:cols w:equalWidth="0" w:num="2">
            <w:col w:w="4360" w:space="720"/>
            <w:col w:w="5980"/>
          </w:cols>
          <w:pgMar w:left="320" w:top="455" w:right="5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Common stock offered by the selling securityholder herein: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1,551,970 shares</w:t>
      </w:r>
    </w:p>
    <w:p>
      <w:pPr>
        <w:spacing w:after="0" w:line="113" w:lineRule="exact"/>
        <w:rPr>
          <w:sz w:val="20"/>
          <w:szCs w:val="20"/>
          <w:color w:val="auto"/>
        </w:rPr>
      </w:pPr>
    </w:p>
    <w:p>
      <w:pPr>
        <w:sectPr>
          <w:pgSz w:w="11900" w:h="16838" w:orient="portrait"/>
          <w:cols w:equalWidth="0" w:num="2">
            <w:col w:w="4660" w:space="420"/>
            <w:col w:w="5980"/>
          </w:cols>
          <w:pgMar w:left="320" w:top="455" w:right="5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Common stock outstanding:</w:t>
      </w:r>
    </w:p>
    <w:p>
      <w:pPr>
        <w:spacing w:after="0" w:line="20" w:lineRule="exact"/>
        <w:rPr>
          <w:sz w:val="20"/>
          <w:szCs w:val="20"/>
          <w:color w:val="auto"/>
        </w:rPr>
      </w:pPr>
      <w:r>
        <w:rPr>
          <w:sz w:val="20"/>
          <w:szCs w:val="20"/>
          <w:color w:val="auto"/>
        </w:rPr>
        <w:br w:type="column"/>
      </w:r>
    </w:p>
    <w:p>
      <w:pPr>
        <w:jc w:val="center"/>
        <w:ind w:right="2820"/>
        <w:spacing w:after="0"/>
        <w:rPr>
          <w:sz w:val="20"/>
          <w:szCs w:val="20"/>
          <w:color w:val="auto"/>
        </w:rPr>
      </w:pPr>
      <w:r>
        <w:rPr>
          <w:rFonts w:ascii="Times New Roman" w:cs="Times New Roman" w:eastAsia="Times New Roman" w:hAnsi="Times New Roman"/>
          <w:sz w:val="18"/>
          <w:szCs w:val="18"/>
          <w:color w:val="auto"/>
        </w:rPr>
        <w:t>162,304,637 shares as of February 21, 2025</w:t>
      </w:r>
    </w:p>
    <w:p>
      <w:pPr>
        <w:spacing w:after="0" w:line="113" w:lineRule="exact"/>
        <w:rPr>
          <w:sz w:val="20"/>
          <w:szCs w:val="20"/>
          <w:color w:val="auto"/>
        </w:rPr>
      </w:pPr>
    </w:p>
    <w:p>
      <w:pPr>
        <w:sectPr>
          <w:pgSz w:w="11900" w:h="16838" w:orient="portrait"/>
          <w:cols w:equalWidth="0" w:num="2">
            <w:col w:w="4360" w:space="720"/>
            <w:col w:w="5980"/>
          </w:cols>
          <w:pgMar w:left="320" w:top="455" w:right="5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common stock by the selling securityholder.</w:t>
      </w:r>
    </w:p>
    <w:p>
      <w:pPr>
        <w:spacing w:after="0" w:line="50" w:lineRule="exact"/>
        <w:rPr>
          <w:sz w:val="20"/>
          <w:szCs w:val="20"/>
          <w:color w:val="auto"/>
        </w:rPr>
      </w:pPr>
    </w:p>
    <w:p>
      <w:pPr>
        <w:sectPr>
          <w:pgSz w:w="11900" w:h="16838" w:orient="portrait"/>
          <w:cols w:equalWidth="0" w:num="2">
            <w:col w:w="4360" w:space="720"/>
            <w:col w:w="5980"/>
          </w:cols>
          <w:pgMar w:left="320" w:top="455" w:right="5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The Offering Price:</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The selling securityholder may sell all or a portion of their shares in one or more transactions at fixed prices, at prevailing market prices at the time of sale, at prices related to such prevailing market prices, at varying prices determined at the time of sale or at privately negotiated prices.</w:t>
      </w:r>
    </w:p>
    <w:p>
      <w:pPr>
        <w:spacing w:after="0" w:line="68" w:lineRule="exact"/>
        <w:rPr>
          <w:sz w:val="20"/>
          <w:szCs w:val="20"/>
          <w:color w:val="auto"/>
        </w:rPr>
      </w:pPr>
    </w:p>
    <w:p>
      <w:pPr>
        <w:sectPr>
          <w:pgSz w:w="11900" w:h="16838" w:orient="portrait"/>
          <w:cols w:equalWidth="0" w:num="2">
            <w:col w:w="4360" w:space="720"/>
            <w:col w:w="5980"/>
          </w:cols>
          <w:pgMar w:left="320" w:top="455" w:right="5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EXLS</w:t>
      </w:r>
    </w:p>
    <w:p>
      <w:pPr>
        <w:spacing w:after="0" w:line="113" w:lineRule="exact"/>
        <w:rPr>
          <w:sz w:val="20"/>
          <w:szCs w:val="20"/>
          <w:color w:val="auto"/>
        </w:rPr>
      </w:pPr>
    </w:p>
    <w:p>
      <w:pPr>
        <w:sectPr>
          <w:pgSz w:w="11900" w:h="16838" w:orient="portrait"/>
          <w:cols w:equalWidth="0" w:num="2">
            <w:col w:w="4360" w:space="720"/>
            <w:col w:w="5980"/>
          </w:cols>
          <w:pgMar w:left="320" w:top="455" w:right="5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right="420"/>
        <w:spacing w:after="0" w:line="290" w:lineRule="auto"/>
        <w:rPr>
          <w:sz w:val="20"/>
          <w:szCs w:val="20"/>
          <w:color w:val="auto"/>
        </w:rPr>
      </w:pPr>
      <w:r>
        <w:rPr>
          <w:rFonts w:ascii="Times New Roman" w:cs="Times New Roman" w:eastAsia="Times New Roman" w:hAnsi="Times New Roman"/>
          <w:sz w:val="17"/>
          <w:szCs w:val="17"/>
          <w:color w:val="auto"/>
        </w:rPr>
        <w:t>An investment in our company involves risks.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other information included in this prospectus for a discussion of factors you should carefully consider before deciding to invest in shares of our common stock.</w:t>
      </w:r>
    </w:p>
    <w:p>
      <w:pPr>
        <w:spacing w:after="0" w:line="155" w:lineRule="exact"/>
        <w:rPr>
          <w:sz w:val="20"/>
          <w:szCs w:val="20"/>
          <w:color w:val="auto"/>
        </w:rPr>
      </w:pPr>
    </w:p>
    <w:p>
      <w:pPr>
        <w:sectPr>
          <w:pgSz w:w="11900" w:h="16838" w:orient="portrait"/>
          <w:cols w:equalWidth="0" w:num="2">
            <w:col w:w="4360" w:space="720"/>
            <w:col w:w="5980"/>
          </w:cols>
          <w:pgMar w:left="320" w:top="455" w:right="5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below for a more detailed summary of the terms of our common stock.</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risks. You should carefully consider the risk factors described below, as well as the risk factors in our Annual Report on Form 10-K for the fiscal year ended December 31, 2024, which are incorporated by reference into this prospectus, as the same may be amended, supplemented or superseded from time to time by our filings under the Securities Exchange Act of 1934, as amended (the “Exchange Act”), as well as any applicable prospectus supplement. Before making any investment decision, you should carefully consider these risks as well as other information we include or incorporate by reference in this prospectus or in any applicable prospectus supplement. For more information,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on page 19 of this prospectus. These risks could materially affect our business, results of operations or financial condition and affect the value of our securities. You could lose all or part of your investment. Additional risks and uncertainties not presently known to us or that we currently deem immaterial may also affect our business, results of operations or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continues to be volatile.</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common stock has at times experienced substantial price volatility as a result of, among other reasons, variations between our actual and anticipated financial results, announcements by us and our competitors, terrorist attacks, natural disasters, epidemics or pandemics, or other such events impacting countries where we or our clients have operations, loss of one or more significant clients, announcements of technological developments, projections or speculation about our business or that of our competitors by the media or investment analysts or uncertainty about current global economic conditions. The stock market, as a whole, experiences extreme price and volume fluctuations that affect the market price of many companies, including technology companies, in ways that may have been unrelated to these companies’ operating performance. Furthermore, we believe our stock price should reflect future growth and profitability expectations and, if we fail to meet these expectations, this may have a materially adverse effect on the trading price of our common stock.</w:t>
      </w:r>
    </w:p>
    <w:p>
      <w:pPr>
        <w:spacing w:after="0" w:line="296" w:lineRule="exact"/>
        <w:rPr>
          <w:sz w:val="20"/>
          <w:szCs w:val="20"/>
          <w:color w:val="auto"/>
        </w:rPr>
      </w:pPr>
    </w:p>
    <w:p>
      <w:pPr>
        <w:ind w:left="120" w:right="5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Delaware law and our fourth amended and restated certificate of incorporation and sixth amended and restated by-laws contain certain anti-takeover provisions that could delay or discourage business combinations and takeover attempts that stockholders may consider favorable.</w:t>
      </w:r>
    </w:p>
    <w:p>
      <w:pPr>
        <w:spacing w:after="0" w:line="2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sixth amended and restated by-laws contain provisions that may make it more difficult, expensive or otherwise discourage a tender offer or a change in control or takeover attempt by a third-party that is opposed by our board of directors. These provisions include provisions permitting the board of directors to fill vacancies created by its expansion, provisions permitting the removal of directors only for cause and with the vote of holders of two thirds of our common stock, provisions requiring the vote of holders of two thirds of our common stock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fourth amended and restated certificate of incorporation, sixth amended and restated by-laws and Delaware law could discourage potential takeover attempts and reduce the price that investors might be willing to pay for shares of our common stock in the future which could reduce the market price of our stock.</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and, because we are also a holding company, we may be unable to pay dividends.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Furthermore, because we are also a holding company, any dividend payments would also depend on the cash flow from our subsidiaries.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Accordingly, under certain circumstances, we may not be able to pay dividends even if our board of directors would otherwise deem it appropriate.</w:t>
      </w:r>
    </w:p>
    <w:p>
      <w:pPr>
        <w:spacing w:after="0" w:line="15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320" w:top="455" w:right="8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selling securityholder will receive all of the proceeds from its sale from time to time of common stock under this prospectus and any accompanying prospectus supplement. We will not receive any proceeds from these sales.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20"/>
          </w:cols>
          <w:pgMar w:left="320" w:top="455" w:right="11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SECURITYHOLDER</w:t>
      </w:r>
    </w:p>
    <w:p>
      <w:pPr>
        <w:spacing w:after="0" w:line="22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August 27, 2021, we entered into the Payoff and Termination Agreement pursuant to which the shares of common stock to be sold under this prospectus relates. We have filed with the SEC under the Securities Act of 1933, as amended (the “Securities Act”), the registration statement of which this prospectus forms a part pursuant to the Investment Agreement. Pursuant to the Investment Agreement, we have agreed to use our reasonable efforts to keep the shelf registration statement of which this prospectus is a part effective until the earlier of such time as all registrable securities (a) have been sold in accordance with the plan of distribution disclosed in this prospectus and (b) otherwise cease to be deemed “Registrable Securities” (as defined in the Investment Agreement).</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prospectus, “selling securityholder” includes Orogen and its permitted transferees, pledgees, assignees, distributees, donees or successors or others who later hold any of the selling securityholder’s interests. Our registration of the shares of our common stock does not necessarily mean that the selling securityholder will sell all or any of such common stock. Information about the selling securityholder may change over time. In particular, the selling securityholder identified below may have sold, transferred or otherwise disposed of all or a portion of its shares of common stock since the date on which it provided us with information regarding its ownership. Any changed or new information given to us by the selling securityholder will be set forth in supplements to this prospectus or amendments to the registration statement of which this prospectus is a part, if and when necessary.</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Except as described above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Prospectus Summary—Orogen Transaction</w:t>
      </w:r>
      <w:r>
        <w:rPr>
          <w:rFonts w:ascii="Times New Roman" w:cs="Times New Roman" w:eastAsia="Times New Roman" w:hAnsi="Times New Roman"/>
          <w:sz w:val="18"/>
          <w:szCs w:val="18"/>
          <w:color w:val="auto"/>
        </w:rPr>
        <w:t>,” or in the footnotes in the beneficial ownership table below, the selling securityholder has not held any position or office, or has otherwise had a material relationship, with us or any of our subsidiaries within the past three years other than as a result of the ownership of our shares or other securities. Unless otherwise indicated below, to our knowledge, all persons named in the table have sole voting and investment power with respect to their shares of common stock, except to the extent authority is shared by their spouses under applicable law.</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262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1880" w:type="dxa"/>
            <w:vAlign w:val="bottom"/>
            <w:gridSpan w:val="2"/>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Common Stock Owned</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8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8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tcPr>
          <w:p>
            <w:pPr>
              <w:spacing w:after="0"/>
              <w:rPr>
                <w:sz w:val="12"/>
                <w:szCs w:val="12"/>
                <w:color w:val="auto"/>
              </w:rPr>
            </w:pPr>
          </w:p>
        </w:tc>
        <w:tc>
          <w:tcPr>
            <w:tcW w:w="18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380" w:type="dxa"/>
            <w:vAlign w:val="bottom"/>
          </w:tcPr>
          <w:p>
            <w:pPr>
              <w:spacing w:after="0"/>
              <w:rPr>
                <w:sz w:val="12"/>
                <w:szCs w:val="12"/>
                <w:color w:val="auto"/>
              </w:rPr>
            </w:pPr>
          </w:p>
        </w:tc>
        <w:tc>
          <w:tcPr>
            <w:tcW w:w="15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Upon Completion of</w:t>
            </w:r>
          </w:p>
        </w:tc>
        <w:tc>
          <w:tcPr>
            <w:tcW w:w="0" w:type="dxa"/>
            <w:vAlign w:val="bottom"/>
          </w:tcPr>
          <w:p>
            <w:pPr>
              <w:spacing w:after="0"/>
              <w:rPr>
                <w:sz w:val="1"/>
                <w:szCs w:val="1"/>
                <w:color w:val="auto"/>
              </w:rPr>
            </w:pPr>
          </w:p>
        </w:tc>
      </w:tr>
      <w:tr>
        <w:trPr>
          <w:trHeight w:val="146"/>
        </w:trPr>
        <w:tc>
          <w:tcPr>
            <w:tcW w:w="2400" w:type="dxa"/>
            <w:vAlign w:val="bottom"/>
            <w:gridSpan w:val="2"/>
            <w:vMerge w:val="continue"/>
          </w:tcPr>
          <w:p>
            <w:pPr>
              <w:spacing w:after="0"/>
              <w:rPr>
                <w:sz w:val="12"/>
                <w:szCs w:val="12"/>
                <w:color w:val="auto"/>
              </w:rPr>
            </w:pPr>
          </w:p>
        </w:tc>
        <w:tc>
          <w:tcPr>
            <w:tcW w:w="2360" w:type="dxa"/>
            <w:vAlign w:val="bottom"/>
            <w:gridSpan w:val="2"/>
          </w:tcPr>
          <w:p>
            <w:pPr>
              <w:jc w:val="center"/>
              <w:ind w:left="788"/>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 Owned and</w:t>
            </w:r>
          </w:p>
        </w:tc>
        <w:tc>
          <w:tcPr>
            <w:tcW w:w="820" w:type="dxa"/>
            <w:vAlign w:val="bottom"/>
          </w:tcPr>
          <w:p>
            <w:pPr>
              <w:spacing w:after="0"/>
              <w:rPr>
                <w:sz w:val="12"/>
                <w:szCs w:val="12"/>
                <w:color w:val="auto"/>
              </w:rPr>
            </w:pPr>
          </w:p>
        </w:tc>
        <w:tc>
          <w:tcPr>
            <w:tcW w:w="1800" w:type="dxa"/>
            <w:vAlign w:val="bottom"/>
            <w:gridSpan w:val="2"/>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rPr>
              <w:t>and Offered</w:t>
            </w:r>
          </w:p>
        </w:tc>
        <w:tc>
          <w:tcPr>
            <w:tcW w:w="380" w:type="dxa"/>
            <w:vAlign w:val="bottom"/>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this</w:t>
            </w: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 Hereby</w:t>
            </w:r>
          </w:p>
        </w:tc>
        <w:tc>
          <w:tcPr>
            <w:tcW w:w="820" w:type="dxa"/>
            <w:vAlign w:val="bottom"/>
          </w:tcPr>
          <w:p>
            <w:pPr>
              <w:spacing w:after="0"/>
              <w:rPr>
                <w:sz w:val="14"/>
                <w:szCs w:val="14"/>
                <w:color w:val="auto"/>
              </w:rPr>
            </w:pPr>
          </w:p>
        </w:tc>
        <w:tc>
          <w:tcPr>
            <w:tcW w:w="18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Hereby</w:t>
            </w:r>
            <w:r>
              <w:rPr>
                <w:rFonts w:ascii="Times New Roman" w:cs="Times New Roman" w:eastAsia="Times New Roman" w:hAnsi="Times New Roman"/>
                <w:sz w:val="10"/>
                <w:szCs w:val="10"/>
                <w:b w:val="1"/>
                <w:bCs w:val="1"/>
                <w:color w:val="auto"/>
              </w:rPr>
              <w:t>(1)</w:t>
            </w:r>
          </w:p>
        </w:tc>
        <w:tc>
          <w:tcPr>
            <w:tcW w:w="3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0"/>
        </w:trPr>
        <w:tc>
          <w:tcPr>
            <w:tcW w:w="2400" w:type="dxa"/>
            <w:vAlign w:val="bottom"/>
            <w:gridSpan w:val="2"/>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Orogen Echo LLC</w:t>
            </w:r>
            <w:r>
              <w:rPr>
                <w:rFonts w:ascii="Times New Roman" w:cs="Times New Roman" w:eastAsia="Times New Roman" w:hAnsi="Times New Roman"/>
                <w:sz w:val="25"/>
                <w:szCs w:val="25"/>
                <w:color w:val="auto"/>
                <w:vertAlign w:val="superscript"/>
              </w:rPr>
              <w:t>(3)</w:t>
            </w:r>
          </w:p>
        </w:tc>
        <w:tc>
          <w:tcPr>
            <w:tcW w:w="88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1,551,970</w:t>
            </w:r>
          </w:p>
        </w:tc>
        <w:tc>
          <w:tcPr>
            <w:tcW w:w="820" w:type="dxa"/>
            <w:vAlign w:val="bottom"/>
            <w:vMerge w:val="continue"/>
            <w:shd w:val="clear" w:color="auto" w:fill="CCEEFF"/>
          </w:tcPr>
          <w:p>
            <w:pPr>
              <w:spacing w:after="0"/>
              <w:rPr>
                <w:sz w:val="17"/>
                <w:szCs w:val="17"/>
                <w:color w:val="auto"/>
              </w:rPr>
            </w:pPr>
          </w:p>
        </w:tc>
        <w:tc>
          <w:tcPr>
            <w:tcW w:w="1800" w:type="dxa"/>
            <w:vAlign w:val="bottom"/>
            <w:gridSpan w:val="2"/>
            <w:shd w:val="clear" w:color="auto" w:fill="CCEEFF"/>
          </w:tcPr>
          <w:p>
            <w:pPr>
              <w:jc w:val="right"/>
              <w:ind w:right="3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7"/>
                <w:szCs w:val="17"/>
                <w:color w:val="auto"/>
              </w:rPr>
            </w:pPr>
          </w:p>
        </w:tc>
        <w:tc>
          <w:tcPr>
            <w:tcW w:w="1500" w:type="dxa"/>
            <w:vAlign w:val="bottom"/>
            <w:tcBorders>
              <w:right w:val="single" w:sz="8" w:color="CCEEFF"/>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Less than 1%</w:t>
      </w:r>
    </w:p>
    <w:p>
      <w:pPr>
        <w:spacing w:after="0" w:line="131"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reflects 162,304,637 shares of common stock outstanding as of February 21, 2025.</w:t>
      </w:r>
    </w:p>
    <w:p>
      <w:pPr>
        <w:spacing w:after="0" w:line="27"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when or in what amounts the selling securityholder may offer the securities for sale. The selling securityholder may decide not to sell any or all of the securities offered by this prospectus. Because the selling securityholder may offer all or some of the securities pursuant to this offering, we cannot estimate the number of securities that will be held by the selling securityholder after completion of the offering. However, for purposes of this table, we have assumed that, after completion of the offering, none of the securities covered by this prospectus will be held by the selling securityholder.</w:t>
      </w:r>
    </w:p>
    <w:p>
      <w:pPr>
        <w:spacing w:after="0" w:line="1" w:lineRule="exact"/>
        <w:rPr>
          <w:rFonts w:ascii="Times New Roman" w:cs="Times New Roman" w:eastAsia="Times New Roman" w:hAnsi="Times New Roman"/>
          <w:sz w:val="18"/>
          <w:szCs w:val="18"/>
          <w:color w:val="auto"/>
        </w:rPr>
      </w:pPr>
    </w:p>
    <w:p>
      <w:pPr>
        <w:ind w:left="540" w:right="160" w:hanging="424"/>
        <w:spacing w:after="0" w:line="25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Orogen Echo LLC (“OE”) directly owns the reported securities. Vikram S. Pandit serves as Lead Independent Director of our board of directors. Mr. Pandit is the Chief Executive Officer of OE. Orogen Holdings LLC and Atairos-Orogen Holdings, LLC are the sole members with joint investment control of The Orogen Group LLC (“Orogen”), which is the sole member of OE. Mr. Pandit has majority voting control of Orogen Holdings LLC. Atairos Group, Inc. (“Atairos”)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descriptions of our capital stock and of certain provisions of our fourth amended and restated certificate of incorporation (“certificate of incorporation”) and sixth amended and restated by-laws (“by-laws”) and certain provisions of Delaware law do not purport to be complete and are subject to and qualified in their entirety by reference to the full text of our certificate of incorporation and our by-laws and the General Corporation Law of the State of Delaware (the “DGCL”). Our certificate of incorporation and by-laws are filed herewith and incorporated herein by reference. References in this section to the “Company,” “EXL,” “we,” “us” and “our” refer to ExlService Holdings, Inc. and not to any of its subsidiaries.</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400,000,000 shares of common stock and 15,000,000 of preferred stock. As of February 21, 2025, we had 162,304,673 shares of our common stock issued and outstanding. No shares of preferred stock are outstanding.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all matters submitted to a vote of stockholders, including the election of directors. Holders of the common stock do not have cumulative voting rights, which means that the holders of a majority of the shares of common stock cast in the election of a director in an uncontested election (as defined in our by-laws) can elect each director then being elected.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the common stock do not have any preemptive rights under our certificate of incorporation or by-laws.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 Liquidation Rights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conversion, redemption or sinking fund provisions apply to our common stock, and all of the outstanding shares of common stock are fully paid and nonassessable. The rights, preferences and privileges of holders of common stock are subject to the rights of the holders of shares of any series of preferred stock that may be issued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authorized, without shareholder approval,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common stock.</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Certificate of Incorporation, By-Law and Statutory Provisions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of the provisions of our certificate of incorporation and by-laws and of the DGCL summarized below may have an anti-takeover effect and may delay, defer or prevent a tender offer or takeover attempt that a holder of shares of our common stock might consider in its interest, including an attempt that might result in a receipt of a premium over the market price for such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Liability; Indemnification of Directors and Officers</w:t>
      </w:r>
    </w:p>
    <w:p>
      <w:pPr>
        <w:spacing w:after="0" w:line="121"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Our certificate of incorporation provides that a director or officer will not be personally liable to us or our stockholders for monetary damages for breach of fiduciary duty as a director or officer, except that under Section 102(b)(7) of the DGCL, this provision will not eliminate or limit liability:</w:t>
      </w:r>
    </w:p>
    <w:p>
      <w:pPr>
        <w:spacing w:after="0" w:line="45"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duty of loyalty;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knowing violations of law;</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directors, for liability under Section 174 of the DGCL (relating to unlawful dividends, stock repurchases, or stock redemptions);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any improper personal benefit;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officers, in any action by or in the right of the Company (i.e., derivative actions).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provision does not limit or eliminate our rights or those of any stockholder to seek non-monetary relief such as an injunction or rescission in the event of a breach of a director’s or officer’s duty of care. The provisions do not alter the liability of directors or officers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Meetings of Stockholders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Action; Advance Notice Requirements for Stockholder Proposals and Director Nominations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8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nominate candidates for election as a director;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propose topics for consideration at stockholders’ meetings.</w:t>
      </w:r>
    </w:p>
    <w:p>
      <w:pPr>
        <w:spacing w:after="0" w:line="225" w:lineRule="exact"/>
        <w:rPr>
          <w:sz w:val="20"/>
          <w:szCs w:val="20"/>
          <w:color w:val="auto"/>
        </w:rPr>
      </w:pPr>
    </w:p>
    <w:p>
      <w:pPr>
        <w:ind w:left="120" w:right="140" w:firstLine="440"/>
        <w:spacing w:after="0" w:line="241" w:lineRule="auto"/>
        <w:rPr>
          <w:sz w:val="20"/>
          <w:szCs w:val="20"/>
          <w:color w:val="auto"/>
        </w:rPr>
      </w:pPr>
      <w:r>
        <w:rPr>
          <w:rFonts w:ascii="Times New Roman" w:cs="Times New Roman" w:eastAsia="Times New Roman" w:hAnsi="Times New Roman"/>
          <w:sz w:val="18"/>
          <w:szCs w:val="18"/>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annual meeting and not later than the later of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 These provisions may preclude some stockholders from bringing matters before the stockholders at an annual or special meeting or from nominating candidates for director at an annual or special meeting.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do not have a classified board of directors. All of our directors are elected annually. The number of directors comprising our board of directors is fixed from time to time by the board of directors. Our certificate of incorporation and by-laws provide that our stockholders may remove directors with or without cause by the affirmative vote of the holders of at least a majority of the total voting power of our issued and outstanding capital stock entitled to vote in the election of directors. Our board of directors may elect a director to fill a vacancy, including vacancies created by the expansion of the board of directors. This system of electing and removing directors may discourage a third party from making a tender offer or otherwise attempting to obtain control of us, because it generally makes it more difficult for stockholders to replace a majority of our directors by limiting the methods available for removing directors.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certificate of incorporation and by-laws do not provide for cumulative voting in the election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the Certificate of Incorporation and By-Laws</w:t>
      </w:r>
    </w:p>
    <w:p>
      <w:pPr>
        <w:spacing w:after="0" w:line="31" w:lineRule="exact"/>
        <w:rPr>
          <w:sz w:val="20"/>
          <w:szCs w:val="20"/>
          <w:color w:val="auto"/>
        </w:rPr>
      </w:pPr>
    </w:p>
    <w:p>
      <w:pPr>
        <w:ind w:left="120" w:right="280" w:firstLine="440"/>
        <w:spacing w:after="0" w:line="310" w:lineRule="auto"/>
        <w:rPr>
          <w:sz w:val="20"/>
          <w:szCs w:val="20"/>
          <w:color w:val="auto"/>
        </w:rPr>
      </w:pPr>
      <w:r>
        <w:rPr>
          <w:rFonts w:ascii="Times New Roman" w:cs="Times New Roman" w:eastAsia="Times New Roman" w:hAnsi="Times New Roman"/>
          <w:sz w:val="17"/>
          <w:szCs w:val="17"/>
          <w:color w:val="auto"/>
        </w:rPr>
        <w:t>Our certificate of incorporation provides that the affirmative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of the voting power of our issued and outstanding capital stock entitled to vote in the election of directors, is required to amend the following provisions of our certificate of incorporation:</w:t>
      </w:r>
    </w:p>
    <w:p>
      <w:pPr>
        <w:spacing w:after="0" w:line="19" w:lineRule="exact"/>
        <w:rPr>
          <w:sz w:val="20"/>
          <w:szCs w:val="20"/>
          <w:color w:val="auto"/>
        </w:rPr>
      </w:pPr>
    </w:p>
    <w:p>
      <w:pPr>
        <w:ind w:left="1080" w:right="10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number and election of directors, the appointment of directors upon an increase in the number of directors or vacancy, and the provisions relating to the removal of directors;</w:t>
      </w:r>
    </w:p>
    <w:p>
      <w:pPr>
        <w:ind w:left="1080" w:right="380" w:hanging="424"/>
        <w:spacing w:after="0" w:line="295"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requiring a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stockholder vote for the amendment of certain provisions of our articles of incorporation and for the adoption, amendment or repeal of our by-laws;</w:t>
      </w:r>
    </w:p>
    <w:p>
      <w:pPr>
        <w:spacing w:after="0" w:line="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restrictions on stockholder actions by written consent;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calling of meetings of stockholders.</w:t>
      </w:r>
    </w:p>
    <w:p>
      <w:pPr>
        <w:spacing w:after="0" w:line="225" w:lineRule="exact"/>
        <w:rPr>
          <w:sz w:val="20"/>
          <w:szCs w:val="20"/>
          <w:color w:val="auto"/>
        </w:rPr>
      </w:pPr>
    </w:p>
    <w:p>
      <w:pPr>
        <w:jc w:val="both"/>
        <w:ind w:left="120" w:right="20" w:firstLine="440"/>
        <w:spacing w:after="0" w:line="224" w:lineRule="auto"/>
        <w:rPr>
          <w:sz w:val="20"/>
          <w:szCs w:val="20"/>
          <w:color w:val="auto"/>
        </w:rPr>
      </w:pPr>
      <w:r>
        <w:rPr>
          <w:rFonts w:ascii="Times New Roman" w:cs="Times New Roman" w:eastAsia="Times New Roman" w:hAnsi="Times New Roman"/>
          <w:sz w:val="18"/>
          <w:szCs w:val="18"/>
          <w:color w:val="auto"/>
        </w:rPr>
        <w:t>In addition, the board of directors is permitted to alter our by-laws without obtaining stockholder approval and the affirmative vote of holders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voting power of our issued and outstanding capital stock entitled to vote in the election of directors is required for any amendment to our by-laws by the stockholders.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prevents an interested stockholder (defined generally as a person owning 15% or more of the corporation’s outstanding capital stock entitled to vote generally in the election of directors) of a Delaware corporation from engaging in a business combination (as defined) for three years following the date that person became an interested stockholder unless various conditions are satisfied.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will be the sole and exclusive forum for any state law claim for (i) any derivative action or proceeding brought on our behalf; (ii) any action or proceeding asserting a claim of breach of a fiduciary duty owed by, or other wrongdoing by, any of our directors, officers, employees and agents to us or our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stockholders; (iii) any action or proceeding asserting a claim arising pursuant to any provision of the DGCL, our certificate of incorporation or our by-laws; (iv) any action or proceeding as to which the DGCL confers jurisdiction on the Court of Chancery; or (v) any action or proceeding asserting a claim that is governed by the internal affairs doctrine (the “Delaware Forum Provision”). In the event that the Court of Chancery does not have jurisdiction, the United States District Court for the District of Delaware shall be the sole and exclusive forum for each of the actions or proceedings described above. In the event that the United States District Court for the District of Delaware does not have jurisdiction, any competent state court of the State of Delaware shall be the sole and exclusive forum for each of the actions or proceedings described above. The Delaware Forum Provision will not apply to any causes of action arising under the Securities Act or the Exchange Act.</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Further, our by-laws provide that, unless we consent in writing to the selection of an alternative forum, the federal district courts of the United States of America will be the exclusive forum for resolving any complaint asserting a cause of action arising under the Securities Act (the “Federal Forum Provision”).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The Delaware Forum Provision and the Federal Forum Provision may impose additional costs on stockholders, may limit our stockholders’ ability to bring a claim in a forum they find favorable, and the designated courts may reach different judgments or results than other courts. However, it is possible that a court could find our forum selection provisions to be inapplicable or unenforceable.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“EXLS.”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40"/>
          </w:cols>
          <w:pgMar w:left="320" w:top="455" w:right="5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securityholder, including its pledgees, donees, transferees, distributees, beneficiaries or other successors in interest, may from time to time offer some or all of the shares of common stock (the “Securities”) covered by this prospectus. To the extent required, this prospectus may be amended and supplemented from time to time to describe a specific plan of distribution designated by the selling securityholder.</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securityholder will not pay any of the costs, expenses and fees in connection with the registration and sale of the Securities covered by this prospectus, but it will pay any and all underwriting discounts, selling commissions and stock transfer taxes, if any, attributable to sales of the Securities. We will not receive any proceeds from the sale of the Securities covered hereby.</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selling securityholder may sell the Securities covered by this prospectus from time to time, and may also decide not to sell all or any of the Securities that it is allowed to sell under this prospectus. The selling securityholder will act independently of us in making decisions regarding the timing, manner and size of each sale. These dispositions may be at fixed prices, at market prices prevailing at the time of sale, at prices related to such prevailing market prices, at varying prices determined at the time of sale, or at privately negotiated prices. Sales may be made by the selling securityholder in one or more types of transactions, which may include:</w:t>
      </w:r>
    </w:p>
    <w:p>
      <w:pPr>
        <w:spacing w:after="0" w:line="89" w:lineRule="exact"/>
        <w:rPr>
          <w:sz w:val="20"/>
          <w:szCs w:val="20"/>
          <w:color w:val="auto"/>
        </w:rPr>
      </w:pPr>
    </w:p>
    <w:p>
      <w:pPr>
        <w:ind w:left="1080" w:right="5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underwriters, dealers and agents who may receive compensation in the form of underwriting discounts, concessions or commissions from the selling securityholder and/or the purchasers of the Securities for whom they may act as agent;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block transactions, including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or transactions in which a broker solicits purchases;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or market maker,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Securities for any loan or obligation, including pledges to brokers or dealers who may from time to time effect distributions of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or transactions to cover short sales relating to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exchanges or over the counter market transactions;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distribution by a selling securityholder or its successor in interest to its members, general or limited partners or shareholders (or their respective members, general or limited partners or shareholders);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writing of options, whether the options are listed on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creditors and equity holders of the selling securityholder;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or any other available means allowable under applicable law.</w:t>
      </w:r>
    </w:p>
    <w:p>
      <w:pPr>
        <w:spacing w:after="0" w:line="225"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securityholder may also resell all or a portion of its Securities in open market transactions in reliance upon Rule 144 under the Securities Act, provided the selling securityholder meets the criteria and conforms to the requirements of Rule 144 and all applicable laws and regulations.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selling securityholder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securities covered by this prospectus, including in short sale transactions and by issuing securities that are not covered by this prospectus but are exchangeable for or represent beneficial interests in the common stock. The third parties also may use shares received under those sale, forward sale or derivative arrangements or shares pledged by the selling securityholder or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borrowed from the selling securityholder or others to settle such third-party sales or to close out any related open borrowings of common stock. The third parties may deliver this prospectus in connection with any such transactions. Any third party in such sale transactions will be an underwriter and will be identified in a supplement or a post-effective amendment to the registration statement of which this prospectus is a part as may be required.</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the selling securityholder may engage in hedging transactions with broker-dealers in connection with distributions of Securities or otherwise. In those transactions, broker-dealers may engage in short sales of securities in the course of hedging the positions they assume with the selling securityholder. The selling securityholder may also sell securities short and redeliver securities to close out such short positions. The selling securityholder may also enter into option or other transactions with broker-dealers which require the delivery of securities to the broker-dealer. The broker-dealer may then resell or otherwise transfer such securities pursuant to this prospectus. The selling securityholder also may loan or pledge shares, and the borrower or pledgee may sell or otherwise transfer the Securities so loaned or pledged pursuant to this prospectus. Such borrower or pledgee also may transfer those Securities to investors in our securities or the selling securityholder’s securities or in connection with the offering of other securities not covered by this prospectus.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the extent necessary, the specific terms of the offering of Securities, the name of the selling securityholder, the respective purchase prices and public offering prices, the names of any underwriter, broker-dealer or agent, if any, and any applicable compensation in the form of discounts, concessions or commissions paid to underwriters or agents or paid or allowed to dealers will be set forth in a supplement to this prospectus or a post-effective amendment to this registration statement of which this prospectus forms a part. The selling securityholder may, or may authorize underwriters, dealers and agents to, solicit offers from specified institutions to purchase Securities from the selling securityholder. These sales may be made under “delayed delivery contracts” or other purchase contracts that provide for payment and delivery on a specified future date. If necessary, any such contracts will be described and be subject to the conditions set forth in a supplement to this prospectus or a post-effective amendment to this registration statement of which this prospectus forms a part.</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Broker-dealers or agents may receive compensation in the form of commissions, discounts or concessions from the selling securityholder. Broker-dealers or agents may also receive compensation from the purchasers of Securities for whom they act as agents or to whom they sell as principals, or both. Compensation as to a particular broker-dealer might be in excess of customary commissions and will be in amounts to be negotiated in connection with transactions involving Securities. In effecting sales, broker-dealers engaged by the selling securityholder may arrange for other broker-dealers to participate in the resales.</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sales of Securities covered hereby, the selling securityholder and any underwriter, broker-dealer or agent and any other participating broker-dealer that executes sales for the selling securityholder may be deemed to be an “underwriter” within the meaning of the Securities Act. Accordingly, any profits realized by the selling securityholder and any compensation earned by such underwriter, broker-dealer or agent may be deemed to be underwriting discounts and commissions. If the selling securityholder is an “underwriter” under the Securities Act, it must deliver this prospectus in the manner required by the Securities Act. This prospectus delivery requirement may be satisfied through the facilities of the NASDAQ Stock Market in accordance with Rule 153 under the Securities Act or satisfied in accordance with Rule 174 under the Securities Act.</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an offering of Securities under this prospectus, the underwriters may purchase and sell securities of the Company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certain bids or purchases made for the purpose of preventing or retarding a decline in the market price of the securities while an offering is in progress.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 transactions.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by the underwriters may stabilize, maintain or otherwise affect the market price of the Securities offered under this prospectus. As a result, the price of the Securities may be higher than the price that otherwise might exist in the open market. If these activities are commenced, they may be discontinued by the underwriters at any time. These transactions may be effected on the NASDAQ Stock Market or another securities exchange or automated quotation system, or in the over-the-counter market or otherwise.</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and the selling securityholder have agreed to indemnify each other against certain liabilities, including liabilities under the Securities Act. In addition, we or the selling securityholder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 securityholder or its affiliates in the ordinary course of business.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 will be subject to applicable provisions of Regulation M of the Exchange Act and the rules and regulations thereunder, which provisions may limit the timing of purchases and sales of any of the Securities by the selling securityholder. Regulation M may also restrict the ability of any person engaged in the distribution of the Securities to engage in market-making activities with respect to the Securities. These restrictions may affect the marketability of such Securities.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order to comply with applicable securities laws of some states or countries, the Securities may only be sold in those jurisdictions through registered or licensed brokers or dealers and in compliance with applicable laws and regulations. In addition, in certain states or countries the Securities may not be sold unless they have been registered or qualified for sale in the applicable state or country or an exemption from the registration or qualification requirements is available. In addition, any Securities of a selling securityholder covered by this prospectus that qualify for sale pursuant to Rule 144 under the Securities Act may be sold in open market transactions under Rule 144 rather than pursuant to this prospectus.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is a general summary of certain material U.S. federal income tax consequences of the purchase, ownership and disposition of shares of our common stock by Non-U.S. Holders (as defined below), as of the date of this prospectus. This summary does not purport to be a comprehensive description of all the potential tax considerations that may be relevant to a holder’s decision to purchase our common stock, including any tax consequences that arise from rules of general application to all taxpayers or certain classes of taxpayers. This summary is based upon the provisions of the U.S. Internal Revenue Code of 1986, as amended (the “Code”), U.S. Treasury regulations (including proposed Treasury regulations) promulgated thereunder, administrative rulings and judicial decisions, each as of the date hereof. These authorities may be changed, or subject to differing interpretations, perhaps retroactively, so as to result in U.S. federal income tax consequences different from those set forth below. We have not sought any ruling from the U.S. Internal Revenue Service (the “IRS”) with respect to the matters discussed below, and there can be no assurance that the IRS or a court will not take a contrary position regarding the tax consequences of the purchase, ownership or disposition of our common stock.</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summary assumes that our common stock will be held as “capital assets” within the meaning of Section 1221 of the Code (generally, property held for investment). This discussion does not address all aspects of U.S. federal income taxes that may be relevant to Non-U.S. Holders in light of their particular circumstances, does not deal with state or local taxes, U.S. federal gift and estate tax laws or any non-U.S. tax consequences. In addition, this discussion does not address all tax considerations that may be applicable to a Non-U.S. Holder’s particular circumstances or to holders that may be subject to special tax rules, including, without limitation:</w:t>
      </w:r>
    </w:p>
    <w:p>
      <w:pPr>
        <w:spacing w:after="0" w:line="89" w:lineRule="exact"/>
        <w:rPr>
          <w:sz w:val="20"/>
          <w:szCs w:val="20"/>
          <w:color w:val="auto"/>
        </w:rPr>
      </w:pPr>
    </w:p>
    <w:p>
      <w:pPr>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holders who may be subject to special tax treatment, including dealers in securities or currencies, banks, financial institutions, regulated investment companies, real estate investment trusts, tax-exempt entities, insurance companies, or traders in securities that elect to use a mark-to-market method of accounting for their securities;</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persons holding our common stock as a part of a hedging, integrated or conversion transaction or a straddle or persons deemed to sell our common stock under the constructive sale provisions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partnerships or other pass-through entities (and their partners, members or owners);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a holder who is a “controlled foreign corporation,” “passive foreign investment company,” “qualified foreign pension fund” or “U.S. expatriate;”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minimum tax consequences,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Medicare net investment income tax consequences;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 to any Non-U.S. Holder that owns, or is deemed to own, more than 5% of our common stock.</w:t>
      </w:r>
    </w:p>
    <w:p>
      <w:pPr>
        <w:spacing w:after="0" w:line="225"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If a partnership (or other entity or arrangement treated as a partnership for U.S. federal income tax purposes) holds our common stock, the U.S. federal income tax treatment of a partner in the partnership generally will depend on the activities of the partnership and the status of the partner. Prospective investors that are partners in partnerships (or entities or arrangements treated as partnerships for U.S. federal income tax purposes) should consult their tax advisors regarding the U.S. federal income tax consequences to them of the purchase, ownership and disposition of our common stock.</w:t>
      </w:r>
    </w:p>
    <w:p>
      <w:pPr>
        <w:spacing w:after="0" w:line="160" w:lineRule="exact"/>
        <w:rPr>
          <w:sz w:val="20"/>
          <w:szCs w:val="20"/>
          <w:color w:val="auto"/>
        </w:rPr>
      </w:pPr>
    </w:p>
    <w:p>
      <w:pPr>
        <w:ind w:left="120" w:right="4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THIS SUMMARY OF CERTAIN MATERIAL U.S. FEDERAL INCOME TAX CONSIDERATIONS IS FOR GENERAL INFORMATION ONLY AND IS NOT TAX ADVICE. YOU SHOULD CONSULT YOUR TAX ADVISOR WITH RESPECT TO THE APPLICATION OF U.S. FEDERAL INCOME TAX LAWS TO YOUR PARTICULAR SITUATION AS WELL AS ANY TAX CONSEQUENCES OF THE PURCHASE, OWNERSHIP, AND DISPOSITION OF OUR COMMON STOCK ARISING UNDER U.S. FEDERAL ESTATE OR GIFT TAX RULES OR UNDER THE LAWS OF ANY STATE, LOCAL, NON-U.S. OR ANY OTHER TAXING JURISDICTION OR UNDER ANY APPLICABLE TAX TREATY.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“U.S. holder” means a beneficial owner of our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or any political subdivision thereof;</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312"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that (i) is subject to the primary supervision of a U.S. court and the control of one or more “United States persons” (within the meaning of the Code), or (ii) has a valid election in effect to be treated as a United States person for U.S. federal income tax purposes.</w:t>
      </w:r>
    </w:p>
    <w:p>
      <w:pPr>
        <w:spacing w:after="0" w:line="14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common stock that is neither a U.S. Holder nor a partnership for U.S.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Distributions of cash or property, if any, made on our common stock to a Non-U.S. Holder of our common stock generally will constitute dividends for U.S. federal income tax purposes to the extent made out of our current or accumulated earnings and profits (as determined under U.S. federal income tax principles) and will be subject to withholding tax at a 30% rate or such lower rate as may be specified by an applicable income tax treaty between the United States and such Non-U.S. Holder’s country of residence. A Non-U.S. Holder who claims the benefit of an applicable income tax treaty between the United States and such holder’s country of residence generally will be required to provide a properly executed IRS</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Form W-8BEN or W-8BEN-E (or successor form) and satisfy applicable certification and other requirements. Special certifications and requirements may apply to a Non-U.S. Holder that is an intermediary or that owns stock through an intermediary. A Non-U.S. Holder that is eligible for a reduced rate of U.S. withholding tax under an income tax treaty may generally obtain a refund or credit of any excess amounts withheld by timely filing an appropriate claim with the IRS. Non-U.S. Holders are urged to consult their tax advisors regarding their entitlement to benefits under a relevant income tax treaty.</w:t>
      </w:r>
    </w:p>
    <w:p>
      <w:pPr>
        <w:spacing w:after="0" w:line="187"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is taxed on a net income basis at the same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Non-U.S. Holder’s country of residence.</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the amount of a distribution exceeds our current and accumulated earnings and profits, such excess will be allocated ratably among each share of our common stock and will be treated as a tax-free return of capital to the extent of a Non-U.S. Holder’s adjusted tax basis in such share of our common stock, and thereafter will be treated as capital gain. See “—</w:t>
      </w:r>
      <w:r>
        <w:rPr>
          <w:rFonts w:ascii="Times New Roman" w:cs="Times New Roman" w:eastAsia="Times New Roman" w:hAnsi="Times New Roman"/>
          <w:sz w:val="18"/>
          <w:szCs w:val="18"/>
          <w:i w:val="1"/>
          <w:iCs w:val="1"/>
          <w:color w:val="auto"/>
        </w:rPr>
        <w:t>Gain on Sale or Other Taxable Disposition</w:t>
      </w:r>
      <w:r>
        <w:rPr>
          <w:rFonts w:ascii="Times New Roman" w:cs="Times New Roman" w:eastAsia="Times New Roman" w:hAnsi="Times New Roman"/>
          <w:sz w:val="18"/>
          <w:szCs w:val="18"/>
          <w:color w:val="auto"/>
        </w:rPr>
        <w:t>”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Sale or Other Taxable Disposition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 Non-U.S. Holder generally will not be subject to</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on gain recognized on a sale or other taxable disposition of our common stock unless:</w:t>
      </w:r>
    </w:p>
    <w:p>
      <w:pPr>
        <w:spacing w:after="0" w:line="112" w:lineRule="exact"/>
        <w:rPr>
          <w:sz w:val="20"/>
          <w:szCs w:val="20"/>
          <w:color w:val="auto"/>
        </w:rPr>
      </w:pPr>
    </w:p>
    <w:p>
      <w:pPr>
        <w:ind w:left="1080" w:right="40" w:hanging="424"/>
        <w:spacing w:after="0" w:line="25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same U.S. federal income tax rates applicable to United States persons (as defined in the Code), and if the Non-U.S. Holder is a foreign corporation, an additional branch profits tax at a 30% rate, or such lower rate as may be specified by an applicable income tax treaty, may also apply;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present in the United States for 183 days or more in the taxable year of the sale or other taxable disposition and certain other requirements are met, in which case the Non-U.S. Holder will be subject to a 30% tax (or such lower rate as may be specified by an applicable income tax treaty) on the net gain derived from the sale or other taxable disposition, which may be offset by U.S.-source capital losses of the Non-U.S. Holder, if any; provided the Non-U.S. Holder has timely filed U.S. federal income tax returns with respect to such losses; or</w:t>
      </w:r>
    </w:p>
    <w:p>
      <w:pPr>
        <w:spacing w:after="0" w:line="88"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sale or other taxable disposition (or the Non-U.S. Holder’s holding period, if shorter), a “United States real property holding corporation.” We believe that we are not currently, and we do not anticipate becoming, a “United States real property holding corporation.” Even if we are treated as a “U.S. real property holding corporation,” such treatment will not cause gain realized by a Non-U.S. Holder on a sale or other taxable disposition of our common stock to be subject to U.S. federal income tax so long as (1) the Non-U.S. Holder owned, directly, indirectly and constructively, no more than five percent of our common stock at all times within the shorter of (i) the five-year period preceding the sale or other taxable disposition or (ii) the holder’s holding period and (2) our common stock is regularly traded on an established securities market.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Generally, distributions in respect of our common stock to a Non-U.S. Holder, and the amount of any tax withheld from such payments must be reported annually to the IRS and to the Non-U.S. Holder. Copies of these information returns may be made available by the IRS to the tax authorities of the country in which the Non-U.S. Holder is a resident under the provisions of an applicable income tax treaty. Under certain circumstances, backup withholding of U.S. federal income tax may apply to distributions in respect of our common stock to a Non-U.S. Holder if the Non-U.S. Holder fails to certify under penalties of perjury that it is not a United States person.</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Payments of the proceeds of the sale or other disposition of our common stock to or through a foreign office of a U.S. broker or of a foreign broker with certain specified U.S. connections will be subject to information reporting requirements, unless (i) the broker has evidence in its records that the payee is not a United States person, and the broker has no actual knowledge or reason to know to the contrary, or (ii) the payee otherwise establishes an exemption; and generally will not be subject to backup withholding. Payments of the proceeds of a sale or other disposition of our common stock to or through the U.S. office of a broker will be subject to information reporting and backup withholding unless the payee certifies under penalties of perjury that it is not a United States person (and the payor has no actual knowledge or reason to know to the contrary) or otherwise establishes an exemption.</w:t>
      </w:r>
    </w:p>
    <w:p>
      <w:pPr>
        <w:spacing w:after="0" w:line="18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 withheld under the backup withholding rules generally will be allowed as a refund or credit against a Non-U.S. Holder’s U.S. federal income tax liability (if any); provided that the required information is timely furnished to the IRS. Non-U.S. Holders should consult their tax advisors about the filing of a U.S. federal income tax return in order to obtain a refund.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Foreign Account Tax Compliance Act (“FATCA”) imposes withholding at a 30% rate on certain types of “withholdable payments” (including interest paid on debt instruments and dividends paid on stock in a U.S. corporation) made to a “foreign financial institution” or to</w:t>
      </w:r>
    </w:p>
    <w:p>
      <w:pPr>
        <w:ind w:left="120"/>
        <w:spacing w:after="0" w:line="252" w:lineRule="auto"/>
        <w:rPr>
          <w:sz w:val="20"/>
          <w:szCs w:val="20"/>
          <w:color w:val="auto"/>
        </w:rPr>
      </w:pPr>
      <w:r>
        <w:rPr>
          <w:rFonts w:ascii="Times New Roman" w:cs="Times New Roman" w:eastAsia="Times New Roman" w:hAnsi="Times New Roman"/>
          <w:sz w:val="18"/>
          <w:szCs w:val="18"/>
          <w:color w:val="auto"/>
        </w:rPr>
        <w:t>a “non-financial foreign entity” (all as defined in the Code) (whether such foreign financial institution or non-financial foreign entity is the beneficial owner or an intermediary),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U.S. persons or U.S.-owned foreign entities (as defined in applicable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Treasury Regulations), annually report certain information about such accounts and withhold 30% on payments to noncompliant foreign financial institutions and certain other account holders. Foreign entities that hold our common stock generally will be subject to this tax unless they certify on an applicable IRS Form W-8 (generally, IRS Form W-8BEN-E) that they comply with, or are deemed to comply with, or are exempted from the application of, these rules.</w:t>
      </w:r>
    </w:p>
    <w:p>
      <w:pPr>
        <w:spacing w:after="0" w:line="180" w:lineRule="exact"/>
        <w:rPr>
          <w:sz w:val="20"/>
          <w:szCs w:val="20"/>
          <w:color w:val="auto"/>
        </w:rPr>
      </w:pPr>
    </w:p>
    <w:p>
      <w:pPr>
        <w:ind w:left="120" w:right="420" w:firstLine="440"/>
        <w:spacing w:after="0" w:line="257" w:lineRule="auto"/>
        <w:rPr>
          <w:sz w:val="20"/>
          <w:szCs w:val="20"/>
          <w:color w:val="auto"/>
        </w:rPr>
      </w:pPr>
      <w:r>
        <w:rPr>
          <w:rFonts w:ascii="Times New Roman" w:cs="Times New Roman" w:eastAsia="Times New Roman" w:hAnsi="Times New Roman"/>
          <w:sz w:val="18"/>
          <w:szCs w:val="18"/>
          <w:color w:val="auto"/>
        </w:rPr>
        <w:t>Various requirements and exceptions are provided under FATCA and additional requirements and exceptions may be provided in subsequent guidance. Further, the United States has entered into many intergovernmental agreements (“IGAs”) with foreign governments relating to the implementation of, and information sharing under, FATCA, and such IGAs may alter one or more of the FATCA information reporting</w:t>
      </w:r>
    </w:p>
    <w:p>
      <w:pPr>
        <w:spacing w:after="0" w:line="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rules. Non-U.S. Holders should consult their tax advisors regarding the potential application and impact of these requirements based on their particular circumstances. Particularly, Non-U.S. Holders should consult their tax advisors regarding the possible implications of FATCA on their investment in our common stock and the entities through which they hold our common stock.</w:t>
      </w:r>
    </w:p>
    <w:p>
      <w:pPr>
        <w:spacing w:after="0" w:line="182"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TAX CONSIDERATIONS IS FOR PROSPECTIVE INVESTORS’ INFORMATION ONLY. IT IS NOT TAX ADVICE. PROSPECTIVE INVESTORS SHOULD CONSULT THEIR OWN TAX ADVISORS REGARDING THE PARTICULAR U.S. FEDERAL, STATE, LOCAL, AND NON-U.S. TAX CONSEQUENCES OF THE PURCHASING, OWNING AND DISPOSING OF OUR COMMON STOCK, INCLUDING THE CONSEQUENCES OF ANY PROPOSED CHANGES IN APPLICABLE LAWS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securities being offered hereby will be passed upon for us by Troutman Pepper Locke LLP, Charlotte, North Carolina.</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The financial statements of ExlService Holdings, Inc. as of December 31, 2024 and 2023, and for each of the three years in the period ended December 31, 2024, incorporated by reference in this prospectus, and the effectiveness of ExlService Holdings,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3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filed a registration statement on Form S-3 under the Securities Act with the SEC to register the offering of securities by this prospectus. This prospectus, which constitutes a part of the registration statement, does not contain all of the information set forth in the registration statement or the exhibits and schedules which are a part of the registration statement. For further information with respect to us and our securities, please refer to the registration statement and the exhibits and schedules filed with it. We file annual, quarterly and current reports, proxy statements, and other information with the SEC under the Exchange Act. The SEC maintains an Internet site that contains reports, proxy and information statements and other information regarding issuers that file electronically with the SEC at http://www.sec.gov. We also maintain a website at http://www.exlservice.com. Information on our website does not constitute a part of, nor is it incorporated in any way, into this prospectus or any other report we file with or furnish to the SEC.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 Our website also includes announcements of investor conferences and events, information on our business strategies and results, corporate governance information, and other news and announcements that investors might find useful or interesting.</w:t>
      </w:r>
    </w:p>
    <w:p>
      <w:pPr>
        <w:spacing w:after="0" w:line="19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are also subject to the information and periodic reporting requirements of the Exchange Act. We file annual, quarterly and current reports, proxy statements, and other information with the SEC to comply with the Exchange Act.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the documents listed below and any future filings made with the SEC under Sections 13(a), 13(c), 14 or 15(d) of the Exchange Act. The documents we are incorporating by reference as of their respective dates of filing are as follows:</w:t>
      </w:r>
    </w:p>
    <w:p>
      <w:pPr>
        <w:spacing w:after="0" w:line="89"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8">
        <w:r>
          <w:rPr>
            <w:rFonts w:ascii="Times New Roman" w:cs="Times New Roman" w:eastAsia="Times New Roman" w:hAnsi="Times New Roman"/>
            <w:sz w:val="18"/>
            <w:szCs w:val="18"/>
            <w:u w:val="single" w:color="auto"/>
            <w:color w:val="0000EE"/>
          </w:rPr>
          <w:t>Annual Report on Form 10-K for the year ended December 31, 2024</w:t>
        </w:r>
      </w:hyperlink>
      <w:r>
        <w:rPr>
          <w:rFonts w:ascii="Times New Roman" w:cs="Times New Roman" w:eastAsia="Times New Roman" w:hAnsi="Times New Roman"/>
          <w:sz w:val="18"/>
          <w:szCs w:val="18"/>
          <w:color w:val="auto"/>
        </w:rPr>
        <w:t>, filed with the SEC on February 25, 2025;</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December 31, 2024, from our </w:t>
      </w:r>
      <w:hyperlink r:id="rId49">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2024 Annual Meeting of Stockholders, filed with the SEC on April 29, 2024; and</w:t>
      </w:r>
    </w:p>
    <w:p>
      <w:pPr>
        <w:spacing w:after="0" w:line="81"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filed pursuant to Section 12 of the Exchange Act and all amendments and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All documents we file with the SEC pursuant to Section 13(a), 13(c), 14 or 15(d) of the Exchange Act (other than any portion of such filings that are “furnished” under applicable SEC rules, rather than “filed”) after the date of this prospectus but before the filing of a post-effective amendment which indicates that all securities offered hereby have been sold or which deregisters all securities then remaining unsold, shall be deemed to be incorporated herein by reference and to be a part hereof from the date of the filing of those documents.</w:t>
      </w:r>
    </w:p>
    <w:p>
      <w:pPr>
        <w:spacing w:after="0" w:line="180"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herein shall be deemed to be modified or superseded for all purposes to the extent that a statement contained in this prospectus, or in any other subsequently filed document which is also incorporated or deemed to be incorporated by reference, modifies or supersedes such statement. Any statement so modified or superseded shall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ind w:left="120" w:right="260" w:firstLine="440"/>
        <w:spacing w:after="0" w:line="275" w:lineRule="auto"/>
        <w:rPr>
          <w:sz w:val="20"/>
          <w:szCs w:val="20"/>
          <w:color w:val="auto"/>
        </w:rPr>
      </w:pPr>
      <w:r>
        <w:rPr>
          <w:rFonts w:ascii="Times New Roman" w:cs="Times New Roman" w:eastAsia="Times New Roman" w:hAnsi="Times New Roman"/>
          <w:sz w:val="18"/>
          <w:szCs w:val="18"/>
          <w:color w:val="auto"/>
        </w:rPr>
        <w:t>You may request, orally or in writing, a copy of these documents, which will be provided to you at no cost, by contacting ExlService Holdings, Inc., 320 Park Avenue, 29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10022, phone number: (212) 277-7100.</w:t>
      </w:r>
    </w:p>
    <w:p>
      <w:pPr>
        <w:spacing w:after="0" w:line="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579120</wp:posOffset>
            </wp:positionV>
            <wp:extent cx="805815" cy="488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80581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429895</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5"/>
          <w:szCs w:val="25"/>
          <w:b w:val="1"/>
          <w:bCs w:val="1"/>
          <w:color w:val="auto"/>
        </w:rPr>
        <w:t>1,551,970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an estimate, subject to future contingencies of the expenses to be incurred by the Registrant in connection with the sale and distribution of the securities being registered:</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20,000</w:t>
            </w:r>
          </w:p>
        </w:tc>
      </w:tr>
      <w:tr>
        <w:trPr>
          <w:trHeight w:val="27"/>
        </w:trPr>
        <w:tc>
          <w:tcPr>
            <w:tcW w:w="4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40,000</w:t>
            </w:r>
          </w:p>
        </w:tc>
      </w:tr>
      <w:tr>
        <w:trPr>
          <w:trHeight w:val="20"/>
        </w:trPr>
        <w:tc>
          <w:tcPr>
            <w:tcW w:w="4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Estimated expenses are not presently known.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has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such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has the power to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any other enterprise, against any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Company’s fourth amended and restated certificate of incorporation and sixth amended and restated by-laws provide that the Company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the Company refers to as a proceeding, by reason of the fact that he or she, or a person for whom he or she is the legal representative, is or was a director or officer of the Company or, while a director or officer of the Company, is or was serving at the request of the Company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be required to indemnify a person in connection with a proceeding (or part thereof) initiated by such person only if the commencement of such proceeding (or part thereof) was authorized by the board of directors.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Section 102 of the DGCL permits, and the Company’s fourth amended and restated certificate of incorporation provides for, the limitation of directors’ or officers’ personal liability to the corporation or its stockholders for monetary damages for breach of fiduciary duties as a director or officer, except for (i) any breach of the director’s or officer’s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(iv) any transaction from which the director or officer derived an improper personal benefit, and (v) with respect to officers, in any action by or in the right of the Company (i.e., derivative actions).</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maintains directors’ and officers’ liability insurance for its officers and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Exhibits listed on the Exhibit Index of this Registration Statement are filed herewith or are incorporated herein by reference to other filings.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0" w:type="dxa"/>
            <w:vAlign w:val="bottom"/>
            <w:gridSpan w:val="6"/>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vMerge w:val="restart"/>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Form</w:t>
            </w:r>
          </w:p>
        </w:tc>
        <w:tc>
          <w:tcPr>
            <w:tcW w:w="240" w:type="dxa"/>
            <w:vAlign w:val="bottom"/>
            <w:vMerge w:val="restart"/>
          </w:tcPr>
          <w:p>
            <w:pPr>
              <w:spacing w:after="0"/>
              <w:rPr>
                <w:sz w:val="13"/>
                <w:szCs w:val="13"/>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60" w:type="dxa"/>
            <w:vAlign w:val="bottom"/>
            <w:vMerge w:val="restart"/>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60" w:type="dxa"/>
            <w:vAlign w:val="bottom"/>
            <w:vMerge w:val="restart"/>
          </w:tcPr>
          <w:p>
            <w:pPr>
              <w:spacing w:after="0"/>
              <w:rPr>
                <w:sz w:val="13"/>
                <w:szCs w:val="13"/>
                <w:color w:val="auto"/>
              </w:rPr>
            </w:pP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60" w:type="dxa"/>
            <w:vAlign w:val="bottom"/>
            <w:vMerge w:val="restart"/>
          </w:tcPr>
          <w:p>
            <w:pPr>
              <w:spacing w:after="0"/>
              <w:rPr>
                <w:sz w:val="13"/>
                <w:szCs w:val="13"/>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8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6"/>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380" w:type="dxa"/>
            <w:vAlign w:val="bottom"/>
          </w:tcPr>
          <w:p>
            <w:pPr>
              <w:spacing w:after="0"/>
              <w:rPr>
                <w:sz w:val="23"/>
                <w:szCs w:val="23"/>
                <w:color w:val="auto"/>
              </w:rPr>
            </w:pPr>
          </w:p>
        </w:tc>
        <w:tc>
          <w:tcPr>
            <w:tcW w:w="42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Fourth Amended and Restated Certificate of Incorporation</w:t>
              </w:r>
            </w:hyperlink>
          </w:p>
        </w:tc>
        <w:tc>
          <w:tcPr>
            <w:tcW w:w="1140" w:type="dxa"/>
            <w:vAlign w:val="bottom"/>
            <w:gridSpan w:val="4"/>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1-33089</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June 25, 2024</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380" w:type="dxa"/>
            <w:vAlign w:val="bottom"/>
          </w:tcPr>
          <w:p>
            <w:pPr>
              <w:spacing w:after="0"/>
              <w:rPr>
                <w:sz w:val="24"/>
                <w:szCs w:val="24"/>
                <w:color w:val="auto"/>
              </w:rPr>
            </w:pPr>
          </w:p>
        </w:tc>
        <w:tc>
          <w:tcPr>
            <w:tcW w:w="27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Sixth Amended and Restated By-laws</w:t>
              </w:r>
            </w:hyperlink>
          </w:p>
        </w:tc>
        <w:tc>
          <w:tcPr>
            <w:tcW w:w="2620" w:type="dxa"/>
            <w:vAlign w:val="bottom"/>
            <w:gridSpan w:val="5"/>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1-33089</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June 21, 2023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380" w:type="dxa"/>
            <w:vAlign w:val="bottom"/>
          </w:tcPr>
          <w:p>
            <w:pPr>
              <w:spacing w:after="0"/>
              <w:rPr>
                <w:sz w:val="24"/>
                <w:szCs w:val="24"/>
                <w:color w:val="auto"/>
              </w:rPr>
            </w:pPr>
          </w:p>
        </w:tc>
        <w:tc>
          <w:tcPr>
            <w:tcW w:w="5360" w:type="dxa"/>
            <w:vAlign w:val="bottom"/>
            <w:gridSpan w:val="9"/>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Specimen Stock Certificate</w:t>
              </w:r>
            </w:hyperlink>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333-121001</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October 4, 2006</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380" w:type="dxa"/>
            <w:vAlign w:val="bottom"/>
          </w:tcPr>
          <w:p>
            <w:pPr>
              <w:spacing w:after="0"/>
              <w:rPr>
                <w:sz w:val="24"/>
                <w:szCs w:val="24"/>
                <w:color w:val="auto"/>
              </w:rPr>
            </w:pPr>
          </w:p>
        </w:tc>
        <w:tc>
          <w:tcPr>
            <w:tcW w:w="53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Opinion of Troutman Pepper Locke LLP regarding legality of the</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securities being registered hereby</w:t>
            </w:r>
          </w:p>
        </w:tc>
        <w:tc>
          <w:tcPr>
            <w:tcW w:w="6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380" w:type="dxa"/>
            <w:vAlign w:val="bottom"/>
          </w:tcPr>
          <w:p>
            <w:pPr>
              <w:spacing w:after="0"/>
              <w:rPr>
                <w:sz w:val="24"/>
                <w:szCs w:val="24"/>
                <w:color w:val="auto"/>
              </w:rPr>
            </w:pPr>
          </w:p>
        </w:tc>
        <w:tc>
          <w:tcPr>
            <w:tcW w:w="43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100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Deloitte &amp; Touche LLP</w:t>
            </w:r>
          </w:p>
        </w:tc>
        <w:tc>
          <w:tcPr>
            <w:tcW w:w="366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0" w:hanging="84"/>
        <w:spacing w:after="0"/>
        <w:tabs>
          <w:tab w:leader="none" w:pos="2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23.2</w:t>
      </w:r>
      <w:r>
        <w:rPr>
          <w:rFonts w:ascii="Times New Roman" w:cs="Times New Roman" w:eastAsia="Times New Roman" w:hAnsi="Times New Roman"/>
          <w:sz w:val="17"/>
          <w:szCs w:val="17"/>
          <w:u w:val="single" w:color="auto"/>
          <w:color w:val="0000EE"/>
        </w:rPr>
        <w:t>Consent of Troutman Pepper Locke LLP (included in Exhibit 5.1 to</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29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this Registration Statement on Form S-3)</w:t>
            </w:r>
          </w:p>
        </w:tc>
        <w:tc>
          <w:tcPr>
            <w:tcW w:w="3720" w:type="dxa"/>
            <w:vAlign w:val="bottom"/>
            <w:gridSpan w:val="2"/>
          </w:tcPr>
          <w:p>
            <w:pPr>
              <w:spacing w:after="0"/>
              <w:rPr>
                <w:sz w:val="18"/>
                <w:szCs w:val="18"/>
                <w:color w:val="auto"/>
              </w:rPr>
            </w:pPr>
          </w:p>
        </w:tc>
        <w:tc>
          <w:tcPr>
            <w:tcW w:w="3400" w:type="dxa"/>
            <w:vAlign w:val="bottom"/>
          </w:tcPr>
          <w:p>
            <w:pPr>
              <w:ind w:left="3260"/>
              <w:spacing w:after="0"/>
              <w:rPr>
                <w:sz w:val="20"/>
                <w:szCs w:val="20"/>
                <w:color w:val="auto"/>
              </w:rPr>
            </w:pPr>
            <w:r>
              <w:rPr>
                <w:rFonts w:ascii="Times New Roman" w:cs="Times New Roman" w:eastAsia="Times New Roman" w:hAnsi="Times New Roman"/>
                <w:sz w:val="18"/>
                <w:szCs w:val="18"/>
                <w:color w:val="auto"/>
                <w:w w:val="91"/>
              </w:rPr>
              <w:t>X</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3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3240" w:type="dxa"/>
            <w:vAlign w:val="bottom"/>
          </w:tcPr>
          <w:p>
            <w:pPr>
              <w:spacing w:after="0"/>
              <w:rPr>
                <w:sz w:val="24"/>
                <w:szCs w:val="24"/>
                <w:color w:val="auto"/>
              </w:rPr>
            </w:pPr>
          </w:p>
        </w:tc>
        <w:tc>
          <w:tcPr>
            <w:tcW w:w="3400" w:type="dxa"/>
            <w:vAlign w:val="bottom"/>
          </w:tcPr>
          <w:p>
            <w:pPr>
              <w:ind w:left="3260"/>
              <w:spacing w:after="0"/>
              <w:rPr>
                <w:sz w:val="20"/>
                <w:szCs w:val="20"/>
                <w:color w:val="auto"/>
              </w:rPr>
            </w:pPr>
            <w:r>
              <w:rPr>
                <w:rFonts w:ascii="Times New Roman" w:cs="Times New Roman" w:eastAsia="Times New Roman" w:hAnsi="Times New Roman"/>
                <w:sz w:val="18"/>
                <w:szCs w:val="18"/>
                <w:color w:val="auto"/>
                <w:w w:val="91"/>
              </w:rPr>
              <w:t>X</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5500" w:type="dxa"/>
            <w:vAlign w:val="bottom"/>
            <w:gridSpan w:val="3"/>
          </w:tcPr>
          <w:p>
            <w:pPr>
              <w:spacing w:after="0"/>
              <w:rPr>
                <w:sz w:val="24"/>
                <w:szCs w:val="24"/>
                <w:color w:val="auto"/>
              </w:rPr>
            </w:pPr>
          </w:p>
        </w:tc>
        <w:tc>
          <w:tcPr>
            <w:tcW w:w="3400" w:type="dxa"/>
            <w:vAlign w:val="bottom"/>
          </w:tcPr>
          <w:p>
            <w:pPr>
              <w:ind w:left="326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registrants hereby undertakes:</w:t>
      </w:r>
    </w:p>
    <w:p>
      <w:pPr>
        <w:spacing w:after="0" w:line="131"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60" w:firstLine="419"/>
        <w:spacing w:after="0" w:line="255" w:lineRule="auto"/>
        <w:tabs>
          <w:tab w:leader="none" w:pos="12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560" w:right="80" w:firstLine="419"/>
        <w:spacing w:after="0" w:line="282" w:lineRule="auto"/>
        <w:tabs>
          <w:tab w:leader="none" w:pos="129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(i), (ii) and (iii) above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1080" w:right="40" w:hanging="532"/>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560" w:right="40" w:firstLine="419"/>
        <w:spacing w:after="0" w:line="282" w:lineRule="auto"/>
        <w:tabs>
          <w:tab w:leader="none" w:pos="119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w:t>
      </w:r>
    </w:p>
    <w:p>
      <w:pPr>
        <w:spacing w:after="0" w:line="27" w:lineRule="exact"/>
        <w:rPr>
          <w:sz w:val="20"/>
          <w:szCs w:val="20"/>
          <w:color w:val="auto"/>
        </w:rPr>
      </w:pPr>
    </w:p>
    <w:p>
      <w:pPr>
        <w:ind w:left="560"/>
        <w:spacing w:after="0" w:line="251" w:lineRule="auto"/>
        <w:rPr>
          <w:sz w:val="20"/>
          <w:szCs w:val="20"/>
          <w:color w:val="auto"/>
        </w:rPr>
      </w:pPr>
      <w:r>
        <w:rPr>
          <w:rFonts w:ascii="Times New Roman" w:cs="Times New Roman" w:eastAsia="Times New Roman" w:hAnsi="Times New Roman"/>
          <w:sz w:val="18"/>
          <w:szCs w:val="18"/>
          <w:color w:val="auto"/>
        </w:rPr>
        <w:t xml:space="preserve">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8" w:lineRule="exact"/>
        <w:rPr>
          <w:sz w:val="20"/>
          <w:szCs w:val="20"/>
          <w:color w:val="auto"/>
        </w:rPr>
      </w:pPr>
    </w:p>
    <w:p>
      <w:pPr>
        <w:ind w:left="1080" w:right="120" w:hanging="532"/>
        <w:spacing w:after="0" w:line="25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5480" w:right="40" w:hanging="4501"/>
        <w:spacing w:after="0" w:line="454" w:lineRule="auto"/>
        <w:tabs>
          <w:tab w:leader="none" w:pos="118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 II-3</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80" w:firstLine="419"/>
        <w:spacing w:after="0" w:line="282" w:lineRule="auto"/>
        <w:tabs>
          <w:tab w:leader="none" w:pos="12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560" w:right="760" w:firstLine="419"/>
        <w:spacing w:after="0" w:line="282" w:lineRule="auto"/>
        <w:tabs>
          <w:tab w:leader="none" w:pos="12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That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February 26, 2025.</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Executive Vice President and Chief Financial</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229"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KNOW ALL PERSONS BY THESE PRESENTS, that each individual whose signature appears below hereby constitutes and appoints each of Rohit Kapoor, Maurizio Nicolelli and Ajay Ayyappan, and each of them acting individually, as his or her true and lawful attorney-in-fact and agent, with power to act without any other and with full and several power of substitution, for him or her and in his or her name, place and stead, to sign, in his or her capacity or capacities as shown below, any and all amendments to this Registration Statement on Form S-3 (including post-effective amendments),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connection with any such amendments, as fully for all intents and purposes as he or she might or could do in person, and does hereby ratify and confirm all that said attorneys-in-fact and agents, or either of them, or their substitutes, may lawfully do or cause to be done by virtue hereof.</w:t>
      </w:r>
    </w:p>
    <w:p>
      <w:pPr>
        <w:spacing w:after="0" w:line="17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94"/>
        </w:trPr>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 ROHIT KAPOOR</w:t>
            </w: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 of Directors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4"/>
        </w:trPr>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Rohit Kapoor</w:t>
            </w: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20"/>
                <w:szCs w:val="20"/>
                <w:color w:val="auto"/>
              </w:rPr>
            </w:pPr>
          </w:p>
        </w:tc>
      </w:tr>
      <w:tr>
        <w:trPr>
          <w:trHeight w:val="427"/>
        </w:trPr>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 MAURIZIO NICOLELLI</w:t>
            </w: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4"/>
        </w:trPr>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Maurizio Nicolelli</w:t>
            </w: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60" w:type="dxa"/>
            <w:vAlign w:val="bottom"/>
          </w:tcPr>
          <w:p>
            <w:pPr>
              <w:spacing w:after="0"/>
              <w:rPr>
                <w:sz w:val="20"/>
                <w:szCs w:val="20"/>
                <w:color w:val="auto"/>
              </w:rPr>
            </w:pPr>
          </w:p>
        </w:tc>
      </w:tr>
      <w:tr>
        <w:trPr>
          <w:trHeight w:val="427"/>
        </w:trPr>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 VIKRAM S. PANDIT</w:t>
            </w: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4"/>
        </w:trPr>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Vikram S. Pandit</w:t>
            </w: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27"/>
        </w:trPr>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 THOMAS BARTLETT</w:t>
            </w: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4"/>
        </w:trPr>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Thomas Bartlett</w:t>
            </w: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27"/>
        </w:trPr>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 ANDREAS FIBIG</w:t>
            </w: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4"/>
        </w:trPr>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Andreas Fibig</w:t>
            </w: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27"/>
        </w:trPr>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 KRISTY PIPES</w:t>
            </w: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4"/>
        </w:trPr>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Kristy Pipes</w:t>
            </w: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27"/>
        </w:trPr>
        <w:tc>
          <w:tcPr>
            <w:tcW w:w="4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 NITIN SAHNEY</w:t>
            </w: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34"/>
        </w:trPr>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Nitin Sahney</w:t>
            </w: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II-5</w:t>
            </w:r>
          </w:p>
        </w:tc>
        <w:tc>
          <w:tcPr>
            <w:tcW w:w="17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92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529"/>
        </w:trPr>
        <w:tc>
          <w:tcPr>
            <w:tcW w:w="4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JAYNIE M. STUDENMUND</w:t>
            </w:r>
          </w:p>
        </w:tc>
        <w:tc>
          <w:tcPr>
            <w:tcW w:w="39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February 26, 2025</w:t>
            </w:r>
          </w:p>
        </w:tc>
      </w:tr>
      <w:tr>
        <w:trPr>
          <w:trHeight w:val="234"/>
        </w:trPr>
        <w:tc>
          <w:tcPr>
            <w:tcW w:w="1360" w:type="dxa"/>
            <w:vAlign w:val="bottom"/>
          </w:tcPr>
          <w:p>
            <w:pPr>
              <w:spacing w:after="0"/>
              <w:rPr>
                <w:sz w:val="20"/>
                <w:szCs w:val="20"/>
                <w:color w:val="auto"/>
              </w:rPr>
            </w:pPr>
          </w:p>
        </w:tc>
        <w:tc>
          <w:tcPr>
            <w:tcW w:w="308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w w:val="99"/>
              </w:rPr>
              <w:t>Jaynie M. Studenmund</w:t>
            </w:r>
          </w:p>
        </w:tc>
        <w:tc>
          <w:tcPr>
            <w:tcW w:w="39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27"/>
        </w:trPr>
        <w:tc>
          <w:tcPr>
            <w:tcW w:w="4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SARAH WILLIAMSON</w:t>
            </w:r>
          </w:p>
        </w:tc>
        <w:tc>
          <w:tcPr>
            <w:tcW w:w="39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February 26, 2025</w:t>
            </w:r>
          </w:p>
        </w:tc>
      </w:tr>
      <w:tr>
        <w:trPr>
          <w:trHeight w:val="234"/>
        </w:trPr>
        <w:tc>
          <w:tcPr>
            <w:tcW w:w="1360" w:type="dxa"/>
            <w:vAlign w:val="bottom"/>
          </w:tcPr>
          <w:p>
            <w:pPr>
              <w:spacing w:after="0"/>
              <w:rPr>
                <w:sz w:val="20"/>
                <w:szCs w:val="20"/>
                <w:color w:val="auto"/>
              </w:rPr>
            </w:pPr>
          </w:p>
        </w:tc>
        <w:tc>
          <w:tcPr>
            <w:tcW w:w="308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Sarah Williamson</w:t>
            </w:r>
          </w:p>
        </w:tc>
        <w:tc>
          <w:tcPr>
            <w:tcW w:w="39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378"/>
        </w:trPr>
        <w:tc>
          <w:tcPr>
            <w:tcW w:w="1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9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II-6</w:t>
            </w:r>
          </w:p>
        </w:tc>
        <w:tc>
          <w:tcPr>
            <w:tcW w:w="2560" w:type="dxa"/>
            <w:vAlign w:val="bottom"/>
          </w:tcPr>
          <w:p>
            <w:pPr>
              <w:spacing w:after="0"/>
              <w:rPr>
                <w:sz w:val="24"/>
                <w:szCs w:val="24"/>
                <w:color w:val="auto"/>
              </w:rPr>
            </w:pPr>
          </w:p>
        </w:tc>
      </w:tr>
    </w:tbl>
    <w:p>
      <w:pPr>
        <w:sectPr>
          <w:pgSz w:w="11900" w:h="16838" w:orient="portrait"/>
          <w:cols w:equalWidth="0" w:num="1">
            <w:col w:w="10920"/>
          </w:cols>
          <w:pgMar w:left="320" w:top="446" w:right="6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5466715</wp:posOffset>
            </wp:positionH>
            <wp:positionV relativeFrom="paragraph">
              <wp:posOffset>-119380</wp:posOffset>
            </wp:positionV>
            <wp:extent cx="1525905" cy="4972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525905" cy="4972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 S. College Street, 34th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196" w:lineRule="auto"/>
        <w:rPr>
          <w:sz w:val="20"/>
          <w:szCs w:val="20"/>
          <w:color w:val="auto"/>
        </w:rPr>
      </w:pPr>
      <w:r>
        <w:rPr>
          <w:rFonts w:ascii="Times New Roman" w:cs="Times New Roman" w:eastAsia="Times New Roman" w:hAnsi="Times New Roman"/>
          <w:sz w:val="18"/>
          <w:szCs w:val="18"/>
          <w:color w:val="auto"/>
        </w:rPr>
        <w:t>280 Park Avenue, 29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 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acted as counsel to ExlService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Company’s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including the prospectus that is part of the Registration Statement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filed on the date hereof,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Registration Statement relates to the registration of the resale by the selling stockholder named in the Prospectus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up to 1,551,970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Shares are described in the Registration Statement and may be sold from time to time by the Selling Stockholder.</w:t>
      </w:r>
    </w:p>
    <w:p>
      <w:pPr>
        <w:spacing w:after="0" w:line="187"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This opinion letter is being furnished in accordance with the requirements of Item 16 of Form S-3 and Item 601(b)(5)(i) of Regulation S-K promulgated under the Securities Act. Capitalized terms used and not defined herein shall have the meanings assigned to them in the Registration Statement.</w:t>
      </w:r>
    </w:p>
    <w:p>
      <w:pPr>
        <w:spacing w:after="0" w:line="14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reviewed the corporate proceedings taken by the Company with respect to the issue and sale, and registration of the resale of, the Shares. We have also examined and relied upon originals or copies of such corporate records, documents, agreements or other instruments of the Company, and such certificates and records of public officials, and such other documents, as we have deemed necessary or appropriate in connection herewith, including, but not limited to, the Company’s Fourth Amended and Restated Certificate of Incorporation and the Company’s Sixth Amended and Restated By-laws. As to all matters of fact (including, without limitation, factual conclusions and characterizations and descriptions of purpose, intention or other state of mind) we have relied entirely upon a certificate of an officer of the Company, and have assumed, without independent inquiry, the accuracy of that certificate.</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rendering this opinion, we have assumed the genuineness and authenticity of all signatures on the original documents; the legal capacity of all natural persons; the authenticity of all documents submitted to us as originals; the conformity to originals of all documents submitted to us as certified or photocopies; the accuracy and completeness of all documents and records reviewed by us; the accuracy, completeness and authenticity of certificates issued by any governmental</w:t>
      </w:r>
    </w:p>
    <w:p>
      <w:pPr>
        <w:sectPr>
          <w:pgSz w:w="11900" w:h="16838" w:orient="portrait"/>
          <w:cols w:equalWidth="0" w:num="1">
            <w:col w:w="11020"/>
          </w:cols>
          <w:pgMar w:left="440" w:top="117"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-119380</wp:posOffset>
            </wp:positionV>
            <wp:extent cx="1543050" cy="514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1543050" cy="514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365760</wp:posOffset>
            </wp:positionV>
            <wp:extent cx="6995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official, office or agency and the absence of change in the information contained therein from the effective date of any such certificate; and the due authorization, execution and delivery of all documents where authorization, execution and delivery are prerequisites to the effectiveness of such documents, except that we make no such assumption with respect to the Company.</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are not opining as to the applicability thereto, or the effect thereon, of the laws of any other jurisdiction or, in the case of Delaware, any other laws, or as to matters of municipal law or the laws of any local agencies within any states (including “blue sky” or other state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we are of the opinion that the Shares were validly issued, fully paid and non-assessable.</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assume no obligation to supplement this opinion if any applicable law changes after the date hereof or if we become aware of any fact that might change the opinion expressed herein after the date hereof.</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 part of the Registration Statement and to the reference of our firm under the caption “Legal Matters” in the Prospectus. In giving such consent, we do not hereby admit that we are in the category of persons whose consent is required under Section 7 of the Securities Act or the rules and regulations of the Commission. Except as otherwise set forth herein, this opinion may not be used, circulated, quoted or otherwise referred to for any purpose or relied upon by any other person without the express written permission of this firm.</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reports dated February 25, 2025 relating to the financial statements of EXLService Holdings, Inc. and the effectiveness of EXLService Holdings, Inc.’s internal control over financial reporting, appearing in the Annual Report on Form 10-K of EXLService Holdings, Inc. for the year ended December 31, 2024. We also consent to the reference to us under the heading “Experts” in such Registration Statement.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ectPr>
          <w:pgSz w:w="11900" w:h="16838" w:orient="portrait"/>
          <w:cols w:equalWidth="0" w:num="1">
            <w:col w:w="11020"/>
          </w:cols>
          <w:pgMar w:left="440" w:top="117" w:right="4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2"/>
        </w:trPr>
        <w:tc>
          <w:tcPr>
            <w:tcW w:w="132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44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Filing Fee</w:t>
            </w: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Previously</w:t>
            </w: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Paid in</w:t>
            </w: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76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Connection</w:t>
            </w: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760" w:type="dxa"/>
            <w:vAlign w:val="bottom"/>
            <w:tcBorders>
              <w:right w:val="single" w:sz="8" w:color="auto"/>
            </w:tcBorders>
          </w:tcPr>
          <w:p>
            <w:pPr>
              <w:jc w:val="center"/>
              <w:ind w:left="8"/>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Carry</w:t>
            </w:r>
          </w:p>
        </w:tc>
        <w:tc>
          <w:tcPr>
            <w:tcW w:w="1080" w:type="dxa"/>
            <w:vAlign w:val="bottom"/>
            <w:tcBorders>
              <w:right w:val="single" w:sz="8" w:color="auto"/>
            </w:tcBorders>
          </w:tcPr>
          <w:p>
            <w:pPr>
              <w:jc w:val="center"/>
              <w:ind w:left="12"/>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with Unsold</w:t>
            </w: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Carry</w:t>
            </w: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1080" w:type="dxa"/>
            <w:vAlign w:val="bottom"/>
            <w:tcBorders>
              <w:right w:val="single" w:sz="8" w:color="auto"/>
            </w:tcBorders>
          </w:tcPr>
          <w:p>
            <w:pPr>
              <w:jc w:val="center"/>
              <w:ind w:left="12"/>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Initial</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to</w:t>
            </w: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Security</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Class</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740" w:type="dxa"/>
            <w:vAlign w:val="bottom"/>
            <w:tcBorders>
              <w:right w:val="single" w:sz="8" w:color="auto"/>
            </w:tcBorders>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1080" w:type="dxa"/>
            <w:vAlign w:val="bottom"/>
            <w:tcBorders>
              <w:right w:val="single" w:sz="8" w:color="auto"/>
            </w:tcBorders>
          </w:tcPr>
          <w:p>
            <w:pPr>
              <w:jc w:val="center"/>
              <w:ind w:left="12"/>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File</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Effective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 Carried</w:t>
            </w:r>
          </w:p>
        </w:tc>
        <w:tc>
          <w:tcPr>
            <w:tcW w:w="0" w:type="dxa"/>
            <w:vAlign w:val="bottom"/>
          </w:tcPr>
          <w:p>
            <w:pPr>
              <w:spacing w:after="0"/>
              <w:rPr>
                <w:sz w:val="1"/>
                <w:szCs w:val="1"/>
                <w:color w:val="auto"/>
              </w:rPr>
            </w:pPr>
          </w:p>
        </w:tc>
      </w:tr>
      <w:tr>
        <w:trPr>
          <w:trHeight w:val="167"/>
        </w:trPr>
        <w:tc>
          <w:tcPr>
            <w:tcW w:w="132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Type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Registered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76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08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Forward</w:t>
            </w:r>
          </w:p>
        </w:tc>
        <w:tc>
          <w:tcPr>
            <w:tcW w:w="0" w:type="dxa"/>
            <w:vAlign w:val="bottom"/>
          </w:tcPr>
          <w:p>
            <w:pPr>
              <w:spacing w:after="0"/>
              <w:rPr>
                <w:sz w:val="1"/>
                <w:szCs w:val="1"/>
                <w:color w:val="auto"/>
              </w:rPr>
            </w:pPr>
          </w:p>
        </w:tc>
      </w:tr>
      <w:tr>
        <w:trPr>
          <w:trHeight w:val="235"/>
        </w:trPr>
        <w:tc>
          <w:tcPr>
            <w:tcW w:w="2800" w:type="dxa"/>
            <w:vAlign w:val="bottom"/>
            <w:tcBorders>
              <w:left w:val="single" w:sz="8" w:color="auto"/>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8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3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Fees to be</w:t>
            </w:r>
          </w:p>
        </w:tc>
        <w:tc>
          <w:tcPr>
            <w:tcW w:w="6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Paid</w:t>
            </w:r>
          </w:p>
        </w:tc>
        <w:tc>
          <w:tcPr>
            <w:tcW w:w="6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320" w:type="dxa"/>
            <w:vAlign w:val="bottom"/>
            <w:tcBorders>
              <w:left w:val="single" w:sz="8" w:color="auto"/>
              <w:right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Fees</w:t>
            </w:r>
          </w:p>
        </w:tc>
        <w:tc>
          <w:tcPr>
            <w:tcW w:w="6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Previously</w:t>
            </w:r>
          </w:p>
        </w:tc>
        <w:tc>
          <w:tcPr>
            <w:tcW w:w="6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Paid</w:t>
            </w:r>
          </w:p>
        </w:tc>
        <w:tc>
          <w:tcPr>
            <w:tcW w:w="6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800" w:type="dxa"/>
            <w:vAlign w:val="bottom"/>
            <w:tcBorders>
              <w:left w:val="single" w:sz="8" w:color="auto"/>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Carry Forward Securities</w:t>
            </w:r>
          </w:p>
        </w:tc>
        <w:tc>
          <w:tcPr>
            <w:tcW w:w="8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3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Carry Forward</w:t>
            </w:r>
          </w:p>
        </w:tc>
        <w:tc>
          <w:tcPr>
            <w:tcW w:w="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Equity</w:t>
            </w:r>
          </w:p>
        </w:tc>
        <w:tc>
          <w:tcPr>
            <w:tcW w:w="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w:t>
            </w:r>
          </w:p>
        </w:tc>
        <w:tc>
          <w:tcPr>
            <w:tcW w:w="8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415(a)(6)</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1,551,970</w:t>
            </w: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8"/>
                <w:szCs w:val="18"/>
                <w:color w:val="auto"/>
              </w:rPr>
              <w:t>$ 0.00</w:t>
            </w: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S-3</w:t>
            </w:r>
          </w:p>
        </w:tc>
        <w:tc>
          <w:tcPr>
            <w:tcW w:w="108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333-263076</w:t>
            </w:r>
          </w:p>
        </w:tc>
        <w:tc>
          <w:tcPr>
            <w:tcW w:w="98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02/28/2022</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$ 3,282.48</w:t>
            </w: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620" w:type="dxa"/>
            <w:vAlign w:val="bottom"/>
            <w:tcBorders>
              <w:right w:val="single" w:sz="8" w:color="auto"/>
            </w:tcBorders>
            <w:vMerge w:val="continue"/>
          </w:tcPr>
          <w:p>
            <w:pPr>
              <w:spacing w:after="0"/>
              <w:rPr>
                <w:sz w:val="20"/>
                <w:szCs w:val="20"/>
                <w:color w:val="auto"/>
              </w:rPr>
            </w:pPr>
          </w:p>
        </w:tc>
        <w:tc>
          <w:tcPr>
            <w:tcW w:w="8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840" w:type="dxa"/>
            <w:vAlign w:val="bottom"/>
            <w:tcBorders>
              <w:right w:val="single" w:sz="8" w:color="auto"/>
            </w:tcBorders>
            <w:vMerge w:val="continue"/>
          </w:tcPr>
          <w:p>
            <w:pPr>
              <w:spacing w:after="0"/>
              <w:rPr>
                <w:sz w:val="20"/>
                <w:szCs w:val="20"/>
                <w:color w:val="auto"/>
              </w:rPr>
            </w:pPr>
          </w:p>
        </w:tc>
        <w:tc>
          <w:tcPr>
            <w:tcW w:w="860" w:type="dxa"/>
            <w:vAlign w:val="bottom"/>
            <w:tcBorders>
              <w:right w:val="single" w:sz="8" w:color="auto"/>
            </w:tcBorders>
            <w:vMerge w:val="continue"/>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vMerge w:val="continue"/>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vMerge w:val="continue"/>
          </w:tcPr>
          <w:p>
            <w:pPr>
              <w:spacing w:after="0"/>
              <w:rPr>
                <w:sz w:val="20"/>
                <w:szCs w:val="20"/>
                <w:color w:val="auto"/>
              </w:rPr>
            </w:pPr>
          </w:p>
        </w:tc>
        <w:tc>
          <w:tcPr>
            <w:tcW w:w="1080" w:type="dxa"/>
            <w:vAlign w:val="bottom"/>
            <w:tcBorders>
              <w:right w:val="single" w:sz="8" w:color="auto"/>
            </w:tcBorders>
            <w:vMerge w:val="continue"/>
          </w:tcPr>
          <w:p>
            <w:pPr>
              <w:spacing w:after="0"/>
              <w:rPr>
                <w:sz w:val="20"/>
                <w:szCs w:val="20"/>
                <w:color w:val="auto"/>
              </w:rPr>
            </w:pPr>
          </w:p>
        </w:tc>
        <w:tc>
          <w:tcPr>
            <w:tcW w:w="980" w:type="dxa"/>
            <w:vAlign w:val="bottom"/>
            <w:tcBorders>
              <w:right w:val="single" w:sz="8" w:color="auto"/>
            </w:tcBorders>
            <w:vMerge w:val="continue"/>
          </w:tcPr>
          <w:p>
            <w:pPr>
              <w:spacing w:after="0"/>
              <w:rPr>
                <w:sz w:val="20"/>
                <w:szCs w:val="20"/>
                <w:color w:val="auto"/>
              </w:rPr>
            </w:pPr>
          </w:p>
        </w:tc>
        <w:tc>
          <w:tcPr>
            <w:tcW w:w="9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23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Offering Amounts: </w:t>
            </w:r>
          </w:p>
        </w:tc>
        <w:tc>
          <w:tcPr>
            <w:tcW w:w="8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8"/>
                <w:szCs w:val="18"/>
                <w:color w:val="auto"/>
              </w:rPr>
              <w:t>$ 0.00</w:t>
            </w:r>
          </w:p>
        </w:tc>
        <w:tc>
          <w:tcPr>
            <w:tcW w:w="4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right"/>
              <w:ind w:right="262"/>
              <w:spacing w:after="0"/>
              <w:rPr>
                <w:sz w:val="20"/>
                <w:szCs w:val="20"/>
                <w:color w:val="auto"/>
              </w:rPr>
            </w:pPr>
            <w:r>
              <w:rPr>
                <w:rFonts w:ascii="Times New Roman" w:cs="Times New Roman" w:eastAsia="Times New Roman" w:hAnsi="Times New Roman"/>
                <w:sz w:val="18"/>
                <w:szCs w:val="18"/>
                <w:color w:val="auto"/>
              </w:rPr>
              <w:t>$ 0.00</w:t>
            </w:r>
          </w:p>
        </w:tc>
        <w:tc>
          <w:tcPr>
            <w:tcW w:w="6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23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8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right"/>
              <w:ind w:right="262"/>
              <w:spacing w:after="0"/>
              <w:rPr>
                <w:sz w:val="20"/>
                <w:szCs w:val="20"/>
                <w:color w:val="auto"/>
              </w:rPr>
            </w:pPr>
            <w:r>
              <w:rPr>
                <w:rFonts w:ascii="Times New Roman" w:cs="Times New Roman" w:eastAsia="Times New Roman" w:hAnsi="Times New Roman"/>
                <w:sz w:val="18"/>
                <w:szCs w:val="18"/>
                <w:color w:val="auto"/>
              </w:rPr>
              <w:t>$ 0.00</w:t>
            </w:r>
          </w:p>
        </w:tc>
        <w:tc>
          <w:tcPr>
            <w:tcW w:w="6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9"/>
              </w:rPr>
              <w:t>Total Fee Offsets: </w:t>
            </w:r>
          </w:p>
        </w:tc>
        <w:tc>
          <w:tcPr>
            <w:tcW w:w="8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right"/>
              <w:ind w:right="262"/>
              <w:spacing w:after="0"/>
              <w:rPr>
                <w:sz w:val="20"/>
                <w:szCs w:val="20"/>
                <w:color w:val="auto"/>
              </w:rPr>
            </w:pPr>
            <w:r>
              <w:rPr>
                <w:rFonts w:ascii="Times New Roman" w:cs="Times New Roman" w:eastAsia="Times New Roman" w:hAnsi="Times New Roman"/>
                <w:sz w:val="18"/>
                <w:szCs w:val="18"/>
                <w:color w:val="auto"/>
              </w:rPr>
              <w:t>$ 0.00</w:t>
            </w:r>
          </w:p>
        </w:tc>
        <w:tc>
          <w:tcPr>
            <w:tcW w:w="6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Net Fee Due: </w:t>
            </w:r>
          </w:p>
        </w:tc>
        <w:tc>
          <w:tcPr>
            <w:tcW w:w="8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right"/>
              <w:ind w:right="262"/>
              <w:spacing w:after="0"/>
              <w:rPr>
                <w:sz w:val="20"/>
                <w:szCs w:val="20"/>
                <w:color w:val="auto"/>
              </w:rPr>
            </w:pPr>
            <w:r>
              <w:rPr>
                <w:rFonts w:ascii="Times New Roman" w:cs="Times New Roman" w:eastAsia="Times New Roman" w:hAnsi="Times New Roman"/>
                <w:sz w:val="18"/>
                <w:szCs w:val="18"/>
                <w:color w:val="auto"/>
              </w:rPr>
              <w:t>$ 0.00</w:t>
            </w:r>
          </w:p>
        </w:tc>
        <w:tc>
          <w:tcPr>
            <w:tcW w:w="6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0" w:hanging="424"/>
        <w:spacing w:after="0" w:line="261"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maximum of 1,551,970 shares of common stock to be sold by Orogen Echo LLC. Pursuant to Rule 416 under the Securities Act of 1933, as amended (the “Securities Act”), this registration statement shall also cover any additional shares of the registrant’s common stock that shall become issuable by reason of any stock dividend, stock split, recapitalization, or other similar transaction effected without the receipt of consideration that results in an increase in the number of the outstanding shares of the registrant’s common stock.</w:t>
      </w:r>
    </w:p>
    <w:p>
      <w:pPr>
        <w:spacing w:after="0" w:line="180"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color w:val="auto"/>
        </w:rPr>
        <w:t>In accordance with Rule 415(a)(6) under the Securities Act, the securities registered under this registration statement consist solely of 1,551,970 unsold shares of common stock that were previously registered on expiring registration statement (File No. 333-263076), filed on February 28, 2022, and were not sold thereunder. The registrant is carrying forward to this registration statement the unsold securities that were previously registered under the prior registration statement, and the filing fees of approximately $3,282.48 previously paid in connection with those securities will continue to be applied to the unsold securities that are being carried forward to this registration statement under Rule 457(a). In accordance with Rule 415(a)(6), no registration fee is due and the expiring registration statement (File No. 333-263076) will be deemed terminated as of the date of effectiveness of this replacement registration statement.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12"/>
    </w:lvl>
  </w:abstractNum>
  <w:abstractNum w:abstractNumId="3">
    <w:nsid w:val="140E0F76"/>
    <w:multiLevelType w:val="hybridMultilevel"/>
    <w:lvl w:ilvl="0">
      <w:lvlJc w:val="left"/>
      <w:lvlText w:val="(%1)"/>
      <w:numFmt w:val="lowerRoman"/>
      <w:start w:val="2"/>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 "/>
      <w:numFmt w:val="bullet"/>
      <w:start w:val="1"/>
    </w:lvl>
  </w:abstractNum>
  <w:abstractNum w:abstractNumId="15">
    <w:nsid w:val="3F2DBA31"/>
    <w:multiLevelType w:val="hybridMultilevel"/>
    <w:lvl w:ilvl="0">
      <w:lvlJc w:val="left"/>
      <w:lvlText w:val="(%1)"/>
      <w:numFmt w:val="decimal"/>
      <w:start w:val="1"/>
    </w:lvl>
    <w:lvl w:ilvl="1">
      <w:lvlJc w:val="left"/>
      <w:lvlText w:val="(%2)"/>
      <w:numFmt w:val="lowerRoman"/>
      <w:start w:val="1"/>
    </w:lvl>
  </w:abstractNum>
  <w:abstractNum w:abstractNumId="16">
    <w:nsid w:val="7C83E458"/>
    <w:multiLevelType w:val="hybridMultilevel"/>
    <w:lvl w:ilvl="0">
      <w:lvlJc w:val="left"/>
      <w:lvlText w:val="(%1)"/>
      <w:numFmt w:val="lowerRoman"/>
      <w:start w:val="2"/>
    </w:lvl>
  </w:abstractNum>
  <w:abstractNum w:abstractNumId="17">
    <w:nsid w:val="257130A3"/>
    <w:multiLevelType w:val="hybridMultilevel"/>
    <w:lvl w:ilvl="0">
      <w:lvlJc w:val="left"/>
      <w:lvlText w:val="(%1)"/>
      <w:numFmt w:val="decimal"/>
      <w:start w:val="2"/>
    </w:lvl>
    <w:lvl w:ilvl="1">
      <w:lvlJc w:val="left"/>
      <w:lvlText w:val="(%2)"/>
      <w:numFmt w:val="lowerRoman"/>
      <w:start w:val="1"/>
    </w:lvl>
  </w:abstractNum>
  <w:abstractNum w:abstractNumId="18">
    <w:nsid w:val="62BBD95A"/>
    <w:multiLevelType w:val="hybridMultilevel"/>
    <w:lvl w:ilvl="0">
      <w:lvlJc w:val="left"/>
      <w:lvlText w:val="(%1)"/>
      <w:numFmt w:val="decimal"/>
      <w:start w:val="5"/>
    </w:lvl>
    <w:lvl w:ilvl="1">
      <w:lvlJc w:val="left"/>
      <w:lvlText w:val="(%2)"/>
      <w:numFmt w:val="lowerRoman"/>
      <w:start w:val="1"/>
    </w:lvl>
  </w:abstractNum>
  <w:abstractNum w:abstractNumId="19">
    <w:nsid w:val="436C6125"/>
    <w:multiLevelType w:val="hybridMultilevel"/>
    <w:lvl w:ilvl="0">
      <w:lvlJc w:val="left"/>
      <w:lvlText w:val="(%1)"/>
      <w:numFmt w:val="lowerRoman"/>
      <w:start w:val="2"/>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jpe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jpe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jpeg"/><Relationship Id="rId73" Type="http://schemas.openxmlformats.org/officeDocument/2006/relationships/image" Target="media/image60.png"/><Relationship Id="rId74" Type="http://schemas.openxmlformats.org/officeDocument/2006/relationships/image" Target="media/image61.png"/><Relationship Id="rId19" Type="http://schemas.openxmlformats.org/officeDocument/2006/relationships/hyperlink" Target="http://www.sec.gov/Archives/edgar/data/1297989/000119312522057844/d304614ds3asr.htm" TargetMode="External"/><Relationship Id="rId48" Type="http://schemas.openxmlformats.org/officeDocument/2006/relationships/hyperlink" Target="http://www.sec.gov/ix?doc=/Archives/edgar/data/0001297989/000129798925000002/exls-20241231.htm" TargetMode="External"/><Relationship Id="rId49" Type="http://schemas.openxmlformats.org/officeDocument/2006/relationships/hyperlink" Target="http://www.sec.gov/ix?doc=/Archives/edgar/data/1297989/000119312524121970/d12981ddef14a.htm" TargetMode="External"/><Relationship Id="rId61" Type="http://schemas.openxmlformats.org/officeDocument/2006/relationships/hyperlink" Target="http://www.sec.gov/Archives/edgar/data/1297989/000110465924074734/tm2417789d1_ex3-1.htm" TargetMode="External"/><Relationship Id="rId62" Type="http://schemas.openxmlformats.org/officeDocument/2006/relationships/hyperlink" Target="http://www.sec.gov/Archives/edgar/data/1297989/000119312523171321/d523950dex32.htm" TargetMode="External"/><Relationship Id="rId63" Type="http://schemas.openxmlformats.org/officeDocument/2006/relationships/hyperlink" Target="http://www.sec.gov/Archives/edgar/data/1297989/00011931250620216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2025-02-26T15:38:15Z</dcterms:created>
  <dcterms:modified xsi:type="dcterms:W3CDTF">2025-02-26T15:38:15Z</dcterms:modified>
</cp:coreProperties>
</file>