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02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4008755</wp:posOffset>
            </wp:positionH>
            <wp:positionV relativeFrom="paragraph">
              <wp:posOffset>-10160</wp:posOffset>
            </wp:positionV>
            <wp:extent cx="1329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69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560" w:type="dxa"/>
        <w:tblCellMar>
          <w:top w:w="0" w:type="dxa"/>
          <w:left w:w="0" w:type="dxa"/>
          <w:bottom w:w="0" w:type="dxa"/>
          <w:right w:w="0" w:type="dxa"/>
        </w:tblCellMar>
      </w:tblPr>
      <w:tr>
        <w:trPr>
          <w:trHeight w:val="218"/>
        </w:trPr>
        <w:tc>
          <w:tcPr>
            <w:tcW w:w="6120" w:type="dxa"/>
            <w:vAlign w:val="bottom"/>
          </w:tcPr>
          <w:p>
            <w:pPr>
              <w:jc w:val="center"/>
              <w:ind w:right="3382"/>
              <w:spacing w:after="0"/>
              <w:rPr>
                <w:sz w:val="20"/>
                <w:szCs w:val="20"/>
                <w:color w:val="auto"/>
              </w:rPr>
            </w:pPr>
            <w:r>
              <w:rPr>
                <w:rFonts w:ascii="Arial" w:cs="Arial" w:eastAsia="Arial" w:hAnsi="Arial"/>
                <w:sz w:val="18"/>
                <w:szCs w:val="18"/>
                <w:b w:val="1"/>
                <w:bCs w:val="1"/>
                <w:color w:val="auto"/>
                <w:w w:val="94"/>
              </w:rPr>
              <w:t>DELAWARE</w:t>
            </w:r>
          </w:p>
        </w:tc>
        <w:tc>
          <w:tcPr>
            <w:tcW w:w="1500" w:type="dxa"/>
            <w:vAlign w:val="bottom"/>
          </w:tcPr>
          <w:p>
            <w:pPr>
              <w:jc w:val="right"/>
              <w:ind w:right="2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120" w:type="dxa"/>
            <w:vAlign w:val="bottom"/>
          </w:tcPr>
          <w:p>
            <w:pPr>
              <w:jc w:val="center"/>
              <w:ind w:right="33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50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120" w:type="dxa"/>
            <w:vAlign w:val="bottom"/>
          </w:tcPr>
          <w:p>
            <w:pPr>
              <w:jc w:val="center"/>
              <w:ind w:right="3362"/>
              <w:spacing w:after="0"/>
              <w:rPr>
                <w:sz w:val="20"/>
                <w:szCs w:val="20"/>
                <w:color w:val="auto"/>
              </w:rPr>
            </w:pPr>
            <w:r>
              <w:rPr>
                <w:rFonts w:ascii="Arial" w:cs="Arial" w:eastAsia="Arial" w:hAnsi="Arial"/>
                <w:sz w:val="14"/>
                <w:szCs w:val="14"/>
                <w:b w:val="1"/>
                <w:bCs w:val="1"/>
                <w:color w:val="auto"/>
                <w:w w:val="88"/>
              </w:rPr>
              <w:t>incorporation or organization)</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120" w:type="dxa"/>
            <w:vAlign w:val="bottom"/>
          </w:tcPr>
          <w:p>
            <w:pPr>
              <w:jc w:val="center"/>
              <w:ind w:right="3382"/>
              <w:spacing w:after="0"/>
              <w:rPr>
                <w:sz w:val="20"/>
                <w:szCs w:val="20"/>
                <w:color w:val="auto"/>
              </w:rPr>
            </w:pPr>
            <w:r>
              <w:rPr>
                <w:rFonts w:ascii="Arial" w:cs="Arial" w:eastAsia="Arial" w:hAnsi="Arial"/>
                <w:sz w:val="18"/>
                <w:szCs w:val="18"/>
                <w:b w:val="1"/>
                <w:bCs w:val="1"/>
                <w:color w:val="auto"/>
                <w:w w:val="95"/>
              </w:rPr>
              <w:t>280 PARK AVENUE, 38</w:t>
            </w:r>
            <w:r>
              <w:rPr>
                <w:rFonts w:ascii="Arial" w:cs="Arial" w:eastAsia="Arial" w:hAnsi="Arial"/>
                <w:sz w:val="11"/>
                <w:szCs w:val="11"/>
                <w:b w:val="1"/>
                <w:bCs w:val="1"/>
                <w:color w:val="auto"/>
                <w:w w:val="95"/>
              </w:rPr>
              <w:t>TH</w:t>
            </w:r>
            <w:r>
              <w:rPr>
                <w:rFonts w:ascii="Arial" w:cs="Arial" w:eastAsia="Arial" w:hAnsi="Arial"/>
                <w:sz w:val="18"/>
                <w:szCs w:val="18"/>
                <w:b w:val="1"/>
                <w:bCs w:val="1"/>
                <w:color w:val="auto"/>
                <w:w w:val="95"/>
              </w:rPr>
              <w:t xml:space="preserve"> FLOOR</w:t>
            </w:r>
          </w:p>
        </w:tc>
        <w:tc>
          <w:tcPr>
            <w:tcW w:w="1500" w:type="dxa"/>
            <w:vAlign w:val="bottom"/>
          </w:tcPr>
          <w:p>
            <w:pPr>
              <w:spacing w:after="0"/>
              <w:rPr>
                <w:sz w:val="24"/>
                <w:szCs w:val="24"/>
                <w:color w:val="auto"/>
              </w:rPr>
            </w:pPr>
          </w:p>
        </w:tc>
      </w:tr>
      <w:tr>
        <w:trPr>
          <w:trHeight w:val="231"/>
        </w:trPr>
        <w:tc>
          <w:tcPr>
            <w:tcW w:w="6120" w:type="dxa"/>
            <w:vAlign w:val="bottom"/>
          </w:tcPr>
          <w:p>
            <w:pPr>
              <w:jc w:val="center"/>
              <w:ind w:right="3382"/>
              <w:spacing w:after="0"/>
              <w:rPr>
                <w:sz w:val="20"/>
                <w:szCs w:val="20"/>
                <w:color w:val="auto"/>
              </w:rPr>
            </w:pPr>
            <w:r>
              <w:rPr>
                <w:rFonts w:ascii="Arial" w:cs="Arial" w:eastAsia="Arial" w:hAnsi="Arial"/>
                <w:sz w:val="18"/>
                <w:szCs w:val="18"/>
                <w:b w:val="1"/>
                <w:bCs w:val="1"/>
                <w:color w:val="auto"/>
                <w:w w:val="99"/>
              </w:rPr>
              <w:t>NEW YORK, NEW YORK</w:t>
            </w:r>
          </w:p>
        </w:tc>
        <w:tc>
          <w:tcPr>
            <w:tcW w:w="1500" w:type="dxa"/>
            <w:vAlign w:val="bottom"/>
          </w:tcPr>
          <w:p>
            <w:pPr>
              <w:jc w:val="right"/>
              <w:ind w:right="224"/>
              <w:spacing w:after="0"/>
              <w:rPr>
                <w:sz w:val="20"/>
                <w:szCs w:val="20"/>
                <w:color w:val="auto"/>
              </w:rPr>
            </w:pPr>
            <w:r>
              <w:rPr>
                <w:rFonts w:ascii="Arial" w:cs="Arial" w:eastAsia="Arial" w:hAnsi="Arial"/>
                <w:sz w:val="18"/>
                <w:szCs w:val="18"/>
                <w:b w:val="1"/>
                <w:bCs w:val="1"/>
                <w:color w:val="auto"/>
              </w:rPr>
              <w:t>10017</w:t>
            </w:r>
          </w:p>
        </w:tc>
      </w:tr>
      <w:tr>
        <w:trPr>
          <w:trHeight w:val="174"/>
        </w:trPr>
        <w:tc>
          <w:tcPr>
            <w:tcW w:w="6120" w:type="dxa"/>
            <w:vAlign w:val="bottom"/>
          </w:tcPr>
          <w:p>
            <w:pPr>
              <w:jc w:val="center"/>
              <w:ind w:right="33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6"/>
              </w:rPr>
              <w:t>(Zip code)</w:t>
            </w:r>
          </w:p>
        </w:tc>
      </w:tr>
      <w:tr>
        <w:trPr>
          <w:trHeight w:val="352"/>
        </w:trPr>
        <w:tc>
          <w:tcPr>
            <w:tcW w:w="6120" w:type="dxa"/>
            <w:vAlign w:val="bottom"/>
          </w:tcPr>
          <w:p>
            <w:pPr>
              <w:jc w:val="right"/>
              <w:ind w:right="1342"/>
              <w:spacing w:after="0"/>
              <w:rPr>
                <w:sz w:val="20"/>
                <w:szCs w:val="20"/>
                <w:color w:val="auto"/>
              </w:rPr>
            </w:pPr>
            <w:r>
              <w:rPr>
                <w:rFonts w:ascii="Arial" w:cs="Arial" w:eastAsia="Arial" w:hAnsi="Arial"/>
                <w:sz w:val="18"/>
                <w:szCs w:val="18"/>
                <w:b w:val="1"/>
                <w:bCs w:val="1"/>
                <w:color w:val="auto"/>
              </w:rPr>
              <w:t>(212) 277-7100</w:t>
            </w:r>
          </w:p>
        </w:tc>
        <w:tc>
          <w:tcPr>
            <w:tcW w:w="1500" w:type="dxa"/>
            <w:vAlign w:val="bottom"/>
          </w:tcPr>
          <w:p>
            <w:pPr>
              <w:spacing w:after="0"/>
              <w:rPr>
                <w:sz w:val="24"/>
                <w:szCs w:val="24"/>
                <w:color w:val="auto"/>
              </w:rPr>
            </w:pPr>
          </w:p>
        </w:tc>
      </w:tr>
      <w:tr>
        <w:trPr>
          <w:trHeight w:val="174"/>
        </w:trPr>
        <w:tc>
          <w:tcPr>
            <w:tcW w:w="6120" w:type="dxa"/>
            <w:vAlign w:val="bottom"/>
          </w:tcPr>
          <w:p>
            <w:pPr>
              <w:jc w:val="center"/>
              <w:ind w:left="210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60"/>
            <w:col w:w="600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5">
            <w:col w:w="8440" w:space="160"/>
            <w:col w:w="260" w:space="100"/>
            <w:col w:w="140" w:space="200"/>
            <w:col w:w="200" w:space="100"/>
            <w:col w:w="1820"/>
          </w:cols>
          <w:pgMar w:left="240" w:top="230" w:right="239" w:bottom="1440" w:gutter="0" w:footer="0" w:header="0"/>
          <w:type w:val="continuous"/>
        </w:sectPr>
      </w:pPr>
    </w:p>
    <w:p>
      <w:pPr>
        <w:spacing w:after="0" w:line="6" w:lineRule="exact"/>
        <w:rPr>
          <w:sz w:val="24"/>
          <w:szCs w:val="24"/>
          <w:color w:val="auto"/>
        </w:rPr>
      </w:pPr>
    </w:p>
    <w:p>
      <w:pPr>
        <w:ind w:right="460" w:firstLine="456"/>
        <w:spacing w:after="0" w:line="268" w:lineRule="auto"/>
        <w:rPr>
          <w:sz w:val="20"/>
          <w:szCs w:val="20"/>
          <w:color w:val="auto"/>
        </w:rPr>
      </w:pPr>
      <w:r>
        <w:rPr>
          <w:rFonts w:ascii="Arial" w:cs="Arial" w:eastAsia="Arial" w:hAnsi="Arial"/>
          <w:sz w:val="18"/>
          <w:szCs w:val="18"/>
          <w:color w:val="auto"/>
        </w:rPr>
        <w:t>As of July 26, 2013, there were 32,733,951 shares of the registrant’s common stock outstanding (excluding 349,280 shares held in treasury and 4,434 shares of restricted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5" w:lineRule="exact"/>
        <w:rPr>
          <w:sz w:val="20"/>
          <w:szCs w:val="20"/>
          <w:color w:val="auto"/>
        </w:rPr>
      </w:pPr>
    </w:p>
    <w:p>
      <w:pPr>
        <w:ind w:left="10980"/>
        <w:spacing w:after="0"/>
        <w:rPr>
          <w:sz w:val="20"/>
          <w:szCs w:val="20"/>
          <w:color w:val="auto"/>
        </w:rPr>
      </w:pPr>
      <w:r>
        <w:rPr>
          <w:rFonts w:ascii="Arial" w:cs="Arial" w:eastAsia="Arial" w:hAnsi="Arial"/>
          <w:sz w:val="12"/>
          <w:szCs w:val="12"/>
          <w:u w:val="single" w:color="auto"/>
          <w:color w:val="auto"/>
        </w:rPr>
        <w:t>PAGE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ITEM</w:t>
      </w:r>
    </w:p>
    <w:tbl>
      <w:tblPr>
        <w:tblLayout w:type="fixed"/>
        <w:tblInd w:w="660" w:type="dxa"/>
        <w:tblCellMar>
          <w:top w:w="0" w:type="dxa"/>
          <w:left w:w="0" w:type="dxa"/>
          <w:bottom w:w="0" w:type="dxa"/>
          <w:right w:w="0" w:type="dxa"/>
        </w:tblCellMar>
      </w:tblPr>
      <w:tr>
        <w:trPr>
          <w:trHeight w:val="179"/>
        </w:trPr>
        <w:tc>
          <w:tcPr>
            <w:tcW w:w="2800" w:type="dxa"/>
            <w:vAlign w:val="bottom"/>
            <w:tcBorders>
              <w:bottom w:val="single" w:sz="8" w:color="0000EE"/>
            </w:tcBorders>
          </w:tcPr>
          <w:p>
            <w:pPr>
              <w:spacing w:after="0" w:line="179"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PART I. FINANCIAL INFORMATION</w:t>
              </w:r>
            </w:hyperlink>
          </w:p>
        </w:tc>
        <w:tc>
          <w:tcPr>
            <w:tcW w:w="7860" w:type="dxa"/>
            <w:vAlign w:val="bottom"/>
          </w:tcPr>
          <w:p>
            <w:pPr>
              <w:jc w:val="right"/>
              <w:spacing w:after="0" w:line="179" w:lineRule="exact"/>
              <w:rPr>
                <w:sz w:val="20"/>
                <w:szCs w:val="20"/>
                <w:color w:val="auto"/>
              </w:rPr>
            </w:pPr>
            <w:r>
              <w:rPr>
                <w:rFonts w:ascii="Arial" w:cs="Arial" w:eastAsia="Arial" w:hAnsi="Arial"/>
                <w:sz w:val="18"/>
                <w:szCs w:val="18"/>
                <w:color w:val="auto"/>
              </w:rPr>
              <w:t>3</w:t>
            </w:r>
          </w:p>
        </w:tc>
      </w:tr>
    </w:tbl>
    <w:p>
      <w:pPr>
        <w:spacing w:after="0" w:line="12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720" w:type="dxa"/>
            <w:vAlign w:val="bottom"/>
            <w:gridSpan w:val="19"/>
          </w:tcPr>
          <w:p>
            <w:pPr>
              <w:spacing w:after="0" w:line="193"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June 30, 2013 (Unaudited) and December 31, 2012</w:t>
              </w:r>
            </w:hyperlink>
          </w:p>
        </w:tc>
        <w:tc>
          <w:tcPr>
            <w:tcW w:w="520" w:type="dxa"/>
            <w:vAlign w:val="bottom"/>
          </w:tcPr>
          <w:p>
            <w:pPr>
              <w:jc w:val="right"/>
              <w:spacing w:after="0" w:line="193" w:lineRule="exact"/>
              <w:rPr>
                <w:sz w:val="20"/>
                <w:szCs w:val="20"/>
                <w:color w:val="auto"/>
              </w:rPr>
            </w:pPr>
            <w:r>
              <w:rPr>
                <w:rFonts w:ascii="Arial" w:cs="Arial" w:eastAsia="Arial" w:hAnsi="Arial"/>
                <w:sz w:val="18"/>
                <w:szCs w:val="18"/>
                <w:color w:val="auto"/>
              </w:rPr>
              <w:t>3</w:t>
            </w: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20" w:type="dxa"/>
            <w:vAlign w:val="bottom"/>
            <w:gridSpan w:val="19"/>
          </w:tcPr>
          <w:p>
            <w:pPr>
              <w:spacing w:after="0" w:line="19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Consolidated Statements of Income (Unaudited) for the Three Months Ended and Six Months Ended June 30, 2013 and 2012</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Comprehensive Income/(Loss) (Unaudited) for the Three Months Ended and Six Months Ended June 30,</w:t>
              </w:r>
            </w:hyperlink>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50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2013 and 2012</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3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 (Unaudited) for the Six Months Ended June 30, 2013 and 2012</w:t>
              </w:r>
            </w:hyperlink>
          </w:p>
        </w:tc>
        <w:tc>
          <w:tcPr>
            <w:tcW w:w="240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Consolidated Financial Statements (Unaudited)</w:t>
              </w:r>
            </w:hyperlink>
          </w:p>
        </w:tc>
        <w:tc>
          <w:tcPr>
            <w:tcW w:w="5740" w:type="dxa"/>
            <w:vAlign w:val="bottom"/>
            <w:gridSpan w:val="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2.</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Management’s Discussion and Analysis of Financial Condition and Results of Operations</w:t>
              </w:r>
            </w:hyperlink>
          </w:p>
        </w:tc>
        <w:tc>
          <w:tcPr>
            <w:tcW w:w="384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3.</w:t>
            </w:r>
          </w:p>
        </w:tc>
        <w:tc>
          <w:tcPr>
            <w:tcW w:w="4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Quantitative and Qualitative Disclosures About Market Risk</w:t>
              </w:r>
            </w:hyperlink>
          </w:p>
        </w:tc>
        <w:tc>
          <w:tcPr>
            <w:tcW w:w="588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4.</w:t>
            </w:r>
          </w:p>
        </w:tc>
        <w:tc>
          <w:tcPr>
            <w:tcW w:w="17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35">
              <w:r>
                <w:rPr>
                  <w:rFonts w:ascii="Arial" w:cs="Arial" w:eastAsia="Arial" w:hAnsi="Arial"/>
                  <w:sz w:val="18"/>
                  <w:szCs w:val="18"/>
                  <w:color w:val="0000EE"/>
                  <w:w w:val="86"/>
                </w:rPr>
                <w:t>Controls and Procedures</w:t>
              </w:r>
            </w:hyperlink>
          </w:p>
        </w:tc>
        <w:tc>
          <w:tcPr>
            <w:tcW w:w="840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60" w:type="dxa"/>
            <w:vAlign w:val="bottom"/>
          </w:tcPr>
          <w:p>
            <w:pPr>
              <w:spacing w:after="0"/>
              <w:rPr>
                <w:sz w:val="24"/>
                <w:szCs w:val="24"/>
                <w:color w:val="auto"/>
              </w:rPr>
            </w:pPr>
          </w:p>
        </w:tc>
        <w:tc>
          <w:tcPr>
            <w:tcW w:w="1014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PART II. OTHER INFORMATION</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1.</w:t>
            </w:r>
          </w:p>
        </w:tc>
        <w:tc>
          <w:tcPr>
            <w:tcW w:w="13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Legal Proceedings</w:t>
              </w:r>
            </w:hyperlink>
          </w:p>
        </w:tc>
        <w:tc>
          <w:tcPr>
            <w:tcW w:w="1200" w:type="dxa"/>
            <w:vAlign w:val="bottom"/>
            <w:tcBorders>
              <w:top w:val="single" w:sz="8" w:color="0000EE"/>
            </w:tcBorders>
            <w:gridSpan w:val="5"/>
          </w:tcPr>
          <w:p>
            <w:pPr>
              <w:spacing w:after="0"/>
              <w:rPr>
                <w:sz w:val="24"/>
                <w:szCs w:val="24"/>
                <w:color w:val="auto"/>
              </w:rPr>
            </w:pPr>
          </w:p>
        </w:tc>
        <w:tc>
          <w:tcPr>
            <w:tcW w:w="764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1A.</w:t>
            </w:r>
          </w:p>
        </w:tc>
        <w:tc>
          <w:tcPr>
            <w:tcW w:w="88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Risk Factors</w:t>
              </w:r>
            </w:hyperlink>
          </w:p>
        </w:tc>
        <w:tc>
          <w:tcPr>
            <w:tcW w:w="9260" w:type="dxa"/>
            <w:vAlign w:val="bottom"/>
            <w:gridSpan w:val="1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2.</w:t>
            </w:r>
          </w:p>
        </w:tc>
        <w:tc>
          <w:tcPr>
            <w:tcW w:w="42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Unregistered Sales of Equity Securities and Use of Proceeds</w:t>
              </w:r>
            </w:hyperlink>
          </w:p>
        </w:tc>
        <w:tc>
          <w:tcPr>
            <w:tcW w:w="590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3.</w:t>
            </w:r>
          </w:p>
        </w:tc>
        <w:tc>
          <w:tcPr>
            <w:tcW w:w="1014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4.</w:t>
            </w:r>
          </w:p>
        </w:tc>
        <w:tc>
          <w:tcPr>
            <w:tcW w:w="2260" w:type="dxa"/>
            <w:vAlign w:val="bottom"/>
            <w:tcBorders>
              <w:top w:val="single" w:sz="8" w:color="0000EE"/>
            </w:tcBorders>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788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5.</w:t>
            </w:r>
          </w:p>
        </w:tc>
        <w:tc>
          <w:tcPr>
            <w:tcW w:w="12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42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6.</w:t>
            </w:r>
          </w:p>
        </w:tc>
        <w:tc>
          <w:tcPr>
            <w:tcW w:w="1014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9560" w:type="dxa"/>
            <w:vAlign w:val="bottom"/>
            <w:gridSpan w:val="1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800" w:type="dxa"/>
            <w:vAlign w:val="bottom"/>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83"/>
        </w:trPr>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20" w:type="dxa"/>
            <w:vAlign w:val="bottom"/>
            <w:gridSpan w:val="15"/>
          </w:tcPr>
          <w:p>
            <w:pPr>
              <w:jc w:val="right"/>
              <w:ind w:right="1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(Recasted)</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114,569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103,037</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5,628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6,137</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76,214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72,443</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5,072</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4,236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7,460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income tax,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4,317</w:t>
            </w: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217,070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206,104</w:t>
            </w:r>
          </w:p>
        </w:tc>
        <w:tc>
          <w:tcPr>
            <w:tcW w:w="100" w:type="dxa"/>
            <w:vAlign w:val="bottom"/>
            <w:shd w:val="clear" w:color="auto" w:fill="CCEEFF"/>
          </w:tcPr>
          <w:p>
            <w:pPr>
              <w:spacing w:after="0"/>
              <w:rPr>
                <w:sz w:val="18"/>
                <w:szCs w:val="18"/>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35,656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39,356</w:t>
            </w: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15,387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14,123</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40,711</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108,730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110,948</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18,628</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20,860</w:t>
            </w:r>
          </w:p>
        </w:tc>
        <w:tc>
          <w:tcPr>
            <w:tcW w:w="100" w:type="dxa"/>
            <w:vAlign w:val="bottom"/>
            <w:shd w:val="clear" w:color="auto" w:fill="CCEEFF"/>
          </w:tcPr>
          <w:p>
            <w:pPr>
              <w:spacing w:after="0"/>
              <w:rPr>
                <w:sz w:val="18"/>
                <w:szCs w:val="18"/>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436,324</w:t>
            </w:r>
          </w:p>
        </w:tc>
        <w:tc>
          <w:tcPr>
            <w:tcW w:w="4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435,854</w:t>
            </w: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7,946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7,922</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29,393</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32,409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31,737</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8"/>
                <w:szCs w:val="18"/>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65,257</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w:t>
            </w: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16,136</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91,337</w:t>
            </w: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15)</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Common stock, $0.001 par value; 100,000,000 shares authorized, 33,066,381 shares issued and 32,717,101 shares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outstanding as of June 30, 2013 and 32,540,082 shares issued and 32,203,820 shares outstanding as of December 31,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204,209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195,248</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207,880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188,882</w:t>
            </w: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(55,774)</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(36,647)</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356,348</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347,516</w:t>
            </w:r>
          </w:p>
        </w:tc>
        <w:tc>
          <w:tcPr>
            <w:tcW w:w="100" w:type="dxa"/>
            <w:vAlign w:val="bottom"/>
            <w:shd w:val="clear" w:color="auto" w:fill="CCEEFF"/>
          </w:tcPr>
          <w:p>
            <w:pPr>
              <w:spacing w:after="0"/>
              <w:rPr>
                <w:sz w:val="18"/>
                <w:szCs w:val="18"/>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Less: 349,280 shares as of June 30, 2013 and 336,262 shares as of December 31, 2012, held in treasury, at cost</w:t>
            </w:r>
          </w:p>
        </w:tc>
        <w:tc>
          <w:tcPr>
            <w:tcW w:w="1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(3,413)</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(3,024)</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352,935</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344,492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352,962</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344,517</w:t>
            </w:r>
          </w:p>
        </w:tc>
        <w:tc>
          <w:tcPr>
            <w:tcW w:w="100" w:type="dxa"/>
            <w:vAlign w:val="bottom"/>
            <w:shd w:val="clear" w:color="auto" w:fill="CCEEFF"/>
          </w:tcPr>
          <w:p>
            <w:pPr>
              <w:spacing w:after="0"/>
              <w:rPr>
                <w:sz w:val="18"/>
                <w:szCs w:val="18"/>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436,324</w:t>
            </w:r>
          </w:p>
        </w:tc>
        <w:tc>
          <w:tcPr>
            <w:tcW w:w="4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435,854</w:t>
            </w: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5"/>
              </w:rPr>
              <w:t>Three months ended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108,030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73,930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146,843</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42,078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85,171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79,921</w:t>
            </w:r>
          </w:p>
        </w:tc>
        <w:tc>
          <w:tcPr>
            <w:tcW w:w="0" w:type="dxa"/>
            <w:vAlign w:val="bottom"/>
          </w:tcPr>
          <w:p>
            <w:pPr>
              <w:spacing w:after="0"/>
              <w:rPr>
                <w:sz w:val="1"/>
                <w:szCs w:val="1"/>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13,753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28,474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9,136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7,694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18,891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12,874</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29,251</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60,239</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12,827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24,932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12,851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25,610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18,998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17,970</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32,778,800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31,970,881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32,650,852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31,708,237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33,899,097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33,096,607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33,810,156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32,940,231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1"/>
              </w:rPr>
              <w:t>Three months ended</w:t>
            </w:r>
          </w:p>
        </w:tc>
        <w:tc>
          <w:tcPr>
            <w:tcW w:w="80" w:type="dxa"/>
            <w:vAlign w:val="bottom"/>
          </w:tcPr>
          <w:p>
            <w:pPr>
              <w:spacing w:after="0"/>
              <w:rPr>
                <w:sz w:val="14"/>
                <w:szCs w:val="14"/>
                <w:color w:val="auto"/>
              </w:rPr>
            </w:pPr>
          </w:p>
        </w:tc>
        <w:tc>
          <w:tcPr>
            <w:tcW w:w="15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18,998</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420"/>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5"/>
              </w:rPr>
              <w:t>Unrealized loss on effective cash flow hedges, net of taxes ($2,315), ($3,590), ($1,689) and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($1,490), respectively</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(8,734)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(9,840)</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(7,287)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(15,297)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(12,601)</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(13,606)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Reclassification adjustments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860"/>
              <w:spacing w:after="0"/>
              <w:rPr>
                <w:sz w:val="20"/>
                <w:szCs w:val="20"/>
                <w:color w:val="auto"/>
              </w:rPr>
            </w:pPr>
            <w:r>
              <w:rPr>
                <w:rFonts w:ascii="Arial" w:cs="Arial" w:eastAsia="Arial" w:hAnsi="Arial"/>
                <w:sz w:val="18"/>
                <w:szCs w:val="18"/>
                <w:color w:val="auto"/>
              </w:rPr>
              <w:t>Realized loss on cash flow hedges, net of taxes $361, $1,328, $789 and $1,432</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3,554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1,709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Retirement benefits, net of taxes $9, $7, $17 and $14, respectively</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other comprehensive loss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(23,221)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(18,863)</w:t>
            </w: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(19,127)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(loss)/income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(13,985)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00" w:hanging="452"/>
        <w:spacing w:after="0" w:line="254"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foreign exchange loss in the unaudited consolidated statements of income. See Note 7 to the unaudited consolidated financial statements.</w:t>
      </w:r>
    </w:p>
    <w:p>
      <w:pPr>
        <w:ind w:left="460" w:right="120" w:hanging="452"/>
        <w:spacing w:after="0" w:line="261"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computation of net periodic pension costs in the unaudited consolidated statements of income. See Note 10 to the unaudited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4"/>
              </w:rPr>
              <w:t>Six months ended June 30,</w:t>
            </w:r>
          </w:p>
        </w:tc>
      </w:tr>
      <w:tr>
        <w:trPr>
          <w:trHeight w:val="142"/>
        </w:trPr>
        <w:tc>
          <w:tcPr>
            <w:tcW w:w="20" w:type="dxa"/>
            <w:vAlign w:val="bottom"/>
          </w:tcPr>
          <w:p>
            <w:pPr>
              <w:spacing w:after="0"/>
              <w:rPr>
                <w:sz w:val="12"/>
                <w:szCs w:val="12"/>
                <w:color w:val="auto"/>
              </w:rPr>
            </w:pPr>
          </w:p>
        </w:tc>
        <w:tc>
          <w:tcPr>
            <w:tcW w:w="95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18,998</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17,970</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12,874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12,399</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5,458</w:t>
            </w: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Amortization of debt issuance cost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Non-employee stock options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Unrealized foreign exchange gain</w:t>
            </w:r>
          </w:p>
        </w:tc>
        <w:tc>
          <w:tcPr>
            <w:tcW w:w="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(4,788)</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(1,793)</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(1,271)</w:t>
            </w: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Non-controlling interest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(3,896)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(5,948)</w:t>
            </w: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(3,875)</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w:t>
            </w: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(1,393)</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(6,599)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(7,282)</w:t>
            </w: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income tax, net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w:t>
            </w:r>
          </w:p>
        </w:tc>
      </w:tr>
      <w:tr>
        <w:trPr>
          <w:trHeight w:val="223"/>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19,453</w:t>
            </w:r>
          </w:p>
        </w:tc>
      </w:tr>
      <w:tr>
        <w:trPr>
          <w:trHeight w:val="329"/>
        </w:trPr>
        <w:tc>
          <w:tcPr>
            <w:tcW w:w="96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(10,281)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(13,199)</w:t>
            </w: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Business acquisition (net of cash acquired)</w:t>
            </w:r>
          </w:p>
        </w:tc>
        <w:tc>
          <w:tcPr>
            <w:tcW w:w="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(3,292)</w:t>
            </w:r>
          </w:p>
        </w:tc>
      </w:tr>
      <w:tr>
        <w:trPr>
          <w:trHeight w:val="223"/>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Proceeds from redemption of short-term investments</w:t>
            </w: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(11,349)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(12,170)</w:t>
            </w:r>
          </w:p>
        </w:tc>
      </w:tr>
      <w:tr>
        <w:trPr>
          <w:trHeight w:val="329"/>
        </w:trPr>
        <w:tc>
          <w:tcPr>
            <w:tcW w:w="96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w:t>
            </w: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100" w:type="dxa"/>
            <w:vAlign w:val="bottom"/>
            <w:shd w:val="clear" w:color="auto" w:fill="CCEEFF"/>
          </w:tcPr>
          <w:p>
            <w:pPr>
              <w:spacing w:after="0"/>
              <w:rPr>
                <w:sz w:val="18"/>
                <w:szCs w:val="18"/>
                <w:color w:val="auto"/>
              </w:rPr>
            </w:pPr>
          </w:p>
        </w:tc>
      </w:tr>
      <w:tr>
        <w:trPr>
          <w:trHeight w:val="230"/>
        </w:trPr>
        <w:tc>
          <w:tcPr>
            <w:tcW w:w="96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w:t>
            </w:r>
          </w:p>
        </w:tc>
      </w:tr>
      <w:tr>
        <w:trPr>
          <w:trHeight w:val="221"/>
        </w:trPr>
        <w:tc>
          <w:tcPr>
            <w:tcW w:w="96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11,532</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12,127</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103,037</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82,393</w:t>
            </w:r>
          </w:p>
        </w:tc>
        <w:tc>
          <w:tcPr>
            <w:tcW w:w="100" w:type="dxa"/>
            <w:vAlign w:val="bottom"/>
            <w:shd w:val="clear" w:color="auto" w:fill="CCEEFF"/>
          </w:tcPr>
          <w:p>
            <w:pPr>
              <w:spacing w:after="0"/>
              <w:rPr>
                <w:sz w:val="18"/>
                <w:szCs w:val="18"/>
                <w:color w:val="auto"/>
              </w:rPr>
            </w:pP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114,569</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94,520</w:t>
            </w: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ind w:left="240" w:right="8260" w:hanging="232"/>
        <w:spacing w:after="0" w:line="347" w:lineRule="auto"/>
        <w:tabs>
          <w:tab w:leader="none" w:pos="187"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outsourcing and transformation services. The Company’s clients are located principally in the U.S. and the U.K.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500" w:firstLine="438"/>
        <w:spacing w:after="0" w:line="298" w:lineRule="auto"/>
        <w:rPr>
          <w:sz w:val="20"/>
          <w:szCs w:val="20"/>
          <w:color w:val="auto"/>
        </w:rPr>
      </w:pPr>
      <w:r>
        <w:rPr>
          <w:rFonts w:ascii="Arial" w:cs="Arial" w:eastAsia="Arial" w:hAnsi="Arial"/>
          <w:sz w:val="16"/>
          <w:szCs w:val="16"/>
          <w:color w:val="auto"/>
        </w:rPr>
        <w:t>The unaudited interim consolidated financial statements have been prepared in accordance with U.S.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2012.</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13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non-controlling interest represents the minority partner’s interest in the operation of exl Service.com (India) Private Limited (“Exl India”) and the profits associated with the minority partner’s interest in those operations in the unaudited consolidated balance sheets and unaudited consolidated statements of income, respectively. This non-controlling interest in these operations for the three and six months ended June 30, 2013 and 2012 was insignificant and is included under general and administrative expenses in the unaudited consolidated statements of income.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receivables, service tax receivables, assets and obligations related to employee benefit plans, deferred tax valuation allowances, income-tax uncertainties and other contingencies, valuation of derivative financial instruments, stock-based compensation expense, depreciation and amortization periods, recoverability of long-term assets including goodwill and intangibles, and estimates to complete fixed price contracts.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2011, the Financial Accounting Standards Board (“FASB”) issued Accounting Standard Update (ASU) No. 2011-11, “</w:t>
      </w:r>
      <w:r>
        <w:rPr>
          <w:rFonts w:ascii="Arial" w:cs="Arial" w:eastAsia="Arial" w:hAnsi="Arial"/>
          <w:sz w:val="16"/>
          <w:szCs w:val="16"/>
          <w:i w:val="1"/>
          <w:iCs w:val="1"/>
          <w:color w:val="auto"/>
        </w:rPr>
        <w:t>Disclosures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Offsetting Assets and Liabilities,</w:t>
      </w:r>
      <w:r>
        <w:rPr>
          <w:rFonts w:ascii="Arial" w:cs="Arial" w:eastAsia="Arial" w:hAnsi="Arial"/>
          <w:sz w:val="16"/>
          <w:szCs w:val="16"/>
          <w:color w:val="auto"/>
        </w:rPr>
        <w:t>” (ASU No. 2011-11) which is effective for annual reporting periods beginning on or after January 1, 2013, and interim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those annual periods. This authoritative guidance was issued to enhance disclosure requirements on offsetting financial assets and liabilities. The new rules require companies to disclose both gross and net information about instruments and transactions eligible for offset in the statement of financial position, as well as instruments and transactions subject to a netting arrangement. In January 2013, the FASB further issued ASU No. 2013-01, “</w:t>
      </w:r>
      <w:r>
        <w:rPr>
          <w:rFonts w:ascii="Arial" w:cs="Arial" w:eastAsia="Arial" w:hAnsi="Arial"/>
          <w:sz w:val="16"/>
          <w:szCs w:val="16"/>
          <w:i w:val="1"/>
          <w:iCs w:val="1"/>
          <w:color w:val="auto"/>
        </w:rPr>
        <w:t>Clarifying the Scope of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Offsetting Assets and Liabilities</w:t>
      </w:r>
      <w:r>
        <w:rPr>
          <w:rFonts w:ascii="Arial" w:cs="Arial" w:eastAsia="Arial" w:hAnsi="Arial"/>
          <w:sz w:val="16"/>
          <w:szCs w:val="16"/>
          <w:color w:val="auto"/>
        </w:rPr>
        <w:t>” to address implementation issues surrounding the scope of ASU No. 2011-11 and to clarify the scope of the offsetting</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and address any unintended consequences. The adoption of this guidance from January 2013 did not have a material impact on the Company’s unaudited consolidated financial statements.</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July 2012, the FASB issued ASU No. 2012-02, “</w:t>
      </w:r>
      <w:r>
        <w:rPr>
          <w:rFonts w:ascii="Arial" w:cs="Arial" w:eastAsia="Arial" w:hAnsi="Arial"/>
          <w:sz w:val="16"/>
          <w:szCs w:val="16"/>
          <w:i w:val="1"/>
          <w:iCs w:val="1"/>
          <w:color w:val="auto"/>
        </w:rPr>
        <w:t>Testing Indefinite-Lived Intangible Assets for Impairment</w:t>
      </w:r>
      <w:r>
        <w:rPr>
          <w:rFonts w:ascii="Arial" w:cs="Arial" w:eastAsia="Arial" w:hAnsi="Arial"/>
          <w:sz w:val="16"/>
          <w:szCs w:val="16"/>
          <w:color w:val="auto"/>
        </w:rPr>
        <w:t>” (ASU No. 2012-02), which simplifies the guidance for testing the impairment of indefinite-lived intangible assets other than goodwill. Examples of intangible assets subject to the guidance include indefinite-lived trademarks, licenses and distribution rights. The amendment provides the option to first assess qualitative factors to determine whether it is necessary to perform the quantitative impairment test. Under the option, an entity is no longer required to calculate the fair value of an indefinite-lived intangible asset unless the entity determines, based on a qualitative assessment, that it is more likely than not that its fair value is less than its carrying amount. This amendment is effective for fiscal years beginning after September 15, 2012, with early adoption permitted. The Company does not expect the new guidance to have an impact on its 2013 impairment test results.</w:t>
      </w:r>
    </w:p>
    <w:p>
      <w:pPr>
        <w:spacing w:after="0" w:line="118"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 xml:space="preserve">In October 2012, the FASB issued ASU No. 2012-04 </w:t>
      </w:r>
      <w:r>
        <w:rPr>
          <w:rFonts w:ascii="Arial" w:cs="Arial" w:eastAsia="Arial" w:hAnsi="Arial"/>
          <w:sz w:val="18"/>
          <w:szCs w:val="18"/>
          <w:i w:val="1"/>
          <w:iCs w:val="1"/>
          <w:color w:val="auto"/>
        </w:rPr>
        <w:t>.</w:t>
      </w:r>
      <w:r>
        <w:rPr>
          <w:rFonts w:ascii="Arial" w:cs="Arial" w:eastAsia="Arial" w:hAnsi="Arial"/>
          <w:sz w:val="18"/>
          <w:szCs w:val="18"/>
          <w:color w:val="auto"/>
        </w:rPr>
        <w:t xml:space="preserve"> This ASU makes technical corrections and improvements to a variety of topics in the FASB Accounting Standards Codification (the “Codification”). The changes include source literature amendments, guidance clarification, reference corrections and relocated guidance. The ASU also includes conforming amendments to the Codification to reflect ASC 820’s fair value measurement and disclosure requirements. The adoption of this standard effective January 1, 2013 did not have a material impact on the Company’s unaudited consolidated financial statements.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In February 2013, the FASB issued ASU No. 2013-02, </w:t>
      </w:r>
      <w:r>
        <w:rPr>
          <w:rFonts w:ascii="Arial" w:cs="Arial" w:eastAsia="Arial" w:hAnsi="Arial"/>
          <w:sz w:val="16"/>
          <w:szCs w:val="16"/>
          <w:i w:val="1"/>
          <w:iCs w:val="1"/>
          <w:color w:val="auto"/>
        </w:rPr>
        <w:t>“Reporting of Amounts Reclassified out of Accumulated Other Comprehensive Income”</w:t>
      </w:r>
      <w:r>
        <w:rPr>
          <w:rFonts w:ascii="Arial" w:cs="Arial" w:eastAsia="Arial" w:hAnsi="Arial"/>
          <w:sz w:val="16"/>
          <w:szCs w:val="16"/>
          <w:color w:val="auto"/>
        </w:rPr>
        <w:t xml:space="preserve"> (ASU No. 2013-02). Under ASU No. 2013-02, an entity is required to provide information about the amounts reclassified out of accumulated other comprehensive income (“AOCI”) by component. In addition, an entity is required to present, either on the face of the financial statements or in the notes, significant amounts reclassified out of AOCI by the respective line items of net income, but only if the amount reclassified is required to be reclassified in its entirety in the same reporting period. For amounts that are not required to be reclassified in their entirety to net income, an entity is required to cross-reference to other disclosures that provide additional details about those amounts. ASU No. 2013-02 does not change the current requirements for reporting net income or other comprehensive income in the financial statements. ASU No. 2013-02 became effective from January 1, 2013 and the new guidance did not have any material impact on the Company’s unaudited consolidated financial statements.</w:t>
      </w:r>
    </w:p>
    <w:p>
      <w:pPr>
        <w:spacing w:after="0" w:line="118"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In March 2013, the FASB issued ASU No. 2013-05, “</w:t>
      </w:r>
      <w:r>
        <w:rPr>
          <w:rFonts w:ascii="Arial" w:cs="Arial" w:eastAsia="Arial" w:hAnsi="Arial"/>
          <w:sz w:val="16"/>
          <w:szCs w:val="16"/>
          <w:i w:val="1"/>
          <w:iCs w:val="1"/>
          <w:color w:val="auto"/>
        </w:rPr>
        <w:t>Parent’s Accounting for the Cumulative Translation Adjustment upon Derecognition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subsidiaries or Groups of Assets within a Foreign Entity or of an Investment in a Foreign Entity</w:t>
      </w:r>
      <w:r>
        <w:rPr>
          <w:rFonts w:ascii="Arial" w:cs="Arial" w:eastAsia="Arial" w:hAnsi="Arial"/>
          <w:sz w:val="16"/>
          <w:szCs w:val="16"/>
          <w:color w:val="auto"/>
        </w:rPr>
        <w:t>” (ASU 2013-05). It applies to the release of the CTA into net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when a parent either sells a part of all of its investment in a foreign entity or no longer holds a controlling financial interest in a subsidiary or group of assets that is a nonprofit activity or a business within a foreign entity. For public entities, the amendments are effective for fiscal years and interim reporting periods beginning after December 15, 2013. The Company is currently assessing the impact, if any, on its unaudited consolidated financial statements.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July 2013, the FASB issued ASU No. 2013-11, “</w:t>
      </w:r>
      <w:r>
        <w:rPr>
          <w:rFonts w:ascii="Arial" w:cs="Arial" w:eastAsia="Arial" w:hAnsi="Arial"/>
          <w:sz w:val="16"/>
          <w:szCs w:val="16"/>
          <w:i w:val="1"/>
          <w:iCs w:val="1"/>
          <w:color w:val="auto"/>
        </w:rPr>
        <w:t>Presentation of an Unrecognized Tax Benefit When a Net Operating Loss Carryforward, a Similar Tax</w:t>
      </w:r>
      <w:r>
        <w:rPr>
          <w:rFonts w:ascii="Arial" w:cs="Arial" w:eastAsia="Arial" w:hAnsi="Arial"/>
          <w:sz w:val="16"/>
          <w:szCs w:val="16"/>
          <w:color w:val="auto"/>
        </w:rPr>
        <w:t xml:space="preserve"> </w:t>
      </w:r>
      <w:r>
        <w:rPr>
          <w:rFonts w:ascii="Arial" w:cs="Arial" w:eastAsia="Arial" w:hAnsi="Arial"/>
          <w:sz w:val="16"/>
          <w:szCs w:val="16"/>
          <w:i w:val="1"/>
          <w:iCs w:val="1"/>
          <w:color w:val="auto"/>
        </w:rPr>
        <w:t>Loss, or a Tax Credit Carryforward Exists</w:t>
      </w:r>
      <w:r>
        <w:rPr>
          <w:rFonts w:ascii="Arial" w:cs="Arial" w:eastAsia="Arial" w:hAnsi="Arial"/>
          <w:sz w:val="16"/>
          <w:szCs w:val="16"/>
          <w:color w:val="auto"/>
        </w:rPr>
        <w:t>” (ASU No. 2013-11). The provisions of the rule require an unrecognized tax benefit to be presented as a reduction to a</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tax asset in the financial statements for an NOL carryforward, a similar tax loss, or a tax credit carryforward except in circumstances when the carryforward or tax loss is not available at the reporting date under the tax laws of the applicable jurisdiction to settle any additional income taxes or the tax law does not require the entity to use, and the entity does not intend to use, the deferred tax asset for such purposes. When those circumstances exist, the unrecognized tax benefit should be presented in the financial statements as a liability and should not be combined with deferred tax assets. The new financial statement presentation provisions relating to this update are prospective and effective for interim and annual periods beginning after December 15, 2013, with early adoption permitted. The Company is currently assessing the impact, if any, on its unaudited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2013</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$16,757</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Derivative instruments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9,485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00" w:type="dxa"/>
            <w:vAlign w:val="bottom"/>
            <w:gridSpan w:val="2"/>
          </w:tcPr>
          <w:p>
            <w:pPr>
              <w:ind w:left="1380"/>
              <w:spacing w:after="0"/>
              <w:rPr>
                <w:sz w:val="20"/>
                <w:szCs w:val="20"/>
                <w:color w:val="auto"/>
              </w:rPr>
            </w:pPr>
            <w:r>
              <w:rPr>
                <w:rFonts w:ascii="Arial" w:cs="Arial" w:eastAsia="Arial" w:hAnsi="Arial"/>
                <w:sz w:val="18"/>
                <w:szCs w:val="18"/>
                <w:color w:val="auto"/>
              </w:rPr>
              <w:t>Accrued expenses and other current liabilities</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32,409</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Non-current liabilities</w:t>
            </w: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00" w:type="dxa"/>
            <w:vAlign w:val="bottom"/>
            <w:gridSpan w:val="2"/>
          </w:tcPr>
          <w:p>
            <w:pPr>
              <w:ind w:left="460"/>
              <w:spacing w:after="0"/>
              <w:rPr>
                <w:sz w:val="20"/>
                <w:szCs w:val="20"/>
                <w:color w:val="auto"/>
              </w:rPr>
            </w:pPr>
            <w:r>
              <w:rPr>
                <w:rFonts w:ascii="Arial" w:cs="Arial" w:eastAsia="Arial" w:hAnsi="Arial"/>
                <w:sz w:val="18"/>
                <w:szCs w:val="18"/>
                <w:color w:val="auto"/>
              </w:rPr>
              <w:t>Non-current liabilities consist of the following:</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2013</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Derivative instruments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$ 5,283</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2,593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Retirement benefits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2,391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gridSpan w:val="2"/>
          </w:tcPr>
          <w:p>
            <w:pPr>
              <w:ind w:left="1380"/>
              <w:spacing w:after="0"/>
              <w:rPr>
                <w:sz w:val="20"/>
                <w:szCs w:val="20"/>
                <w:color w:val="auto"/>
              </w:rPr>
            </w:pPr>
            <w:r>
              <w:rPr>
                <w:rFonts w:ascii="Arial" w:cs="Arial" w:eastAsia="Arial" w:hAnsi="Arial"/>
                <w:sz w:val="18"/>
                <w:szCs w:val="18"/>
                <w:color w:val="auto"/>
              </w:rPr>
              <w:t>Non-current liabilities</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16,136</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w w:val="98"/>
              </w:rPr>
              <w:t>Three months ended June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9,236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9,054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18,998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w w:val="98"/>
              </w:rPr>
              <w:t>Basic weighted average common shares outstanding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84"/>
              </w:rPr>
              <w:t>32,778,800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31,970,881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32,650,852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31,708,237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effect of share based awards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1,120,297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1,125,726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1,159,304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1,231,994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common shares outstanding</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84"/>
              </w:rPr>
              <w:t>33,899,097</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33,096,607</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33,810,156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32,940,231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0.58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3"/>
              </w:rPr>
              <w:t>Weighted average common shares considered anti-dilutive in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computing diluted earnings per share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150,902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539,818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253,810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439,028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96"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The Company is organized around its outsourcing services and transformation services segments. The Company’s acquisition of Landacorp, Inc. (“Landacorp”) is classified within the outsourcing services segment. See note 5 for further details regarding the acquisition of Landacorp (the “Landacorp Acquisition”).</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chief operating decision maker generally reviews financial information at the consolidated statement of income level but does not review any information except for revenues and cost of revenues of the individual segments. Therefore, the Company does not allocate or evaluate operating expenses, interest expense or income, capital expenditures, and income taxes to its operating segments. Consequently, it is not practical to show assets, capital expenditures, depreciation or amortization by segment.</w:t>
      </w:r>
    </w:p>
    <w:p>
      <w:pPr>
        <w:sectPr>
          <w:pgSz w:w="11900" w:h="16838" w:orient="portrait"/>
          <w:cols w:equalWidth="0" w:num="1">
            <w:col w:w="11380"/>
          </w:cols>
          <w:pgMar w:left="240" w:top="459" w:right="279" w:bottom="1440" w:gutter="0" w:footer="0" w:header="0"/>
        </w:sectPr>
      </w:pP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80"/>
          </w:cols>
          <w:pgMar w:left="240" w:top="459" w:right="2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Revenues and cost of revenues for each of the three months ended June 30, 2013 and 2012 for the Company’s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8"/>
          </w:tcPr>
          <w:p>
            <w:pPr>
              <w:jc w:val="right"/>
              <w:ind w:right="375"/>
              <w:spacing w:after="0"/>
              <w:rPr>
                <w:sz w:val="20"/>
                <w:szCs w:val="20"/>
                <w:color w:val="auto"/>
              </w:rPr>
            </w:pPr>
            <w:r>
              <w:rPr>
                <w:rFonts w:ascii="Arial" w:cs="Arial" w:eastAsia="Arial" w:hAnsi="Arial"/>
                <w:sz w:val="14"/>
                <w:szCs w:val="14"/>
                <w:b w:val="1"/>
                <w:bCs w:val="1"/>
                <w:color w:val="auto"/>
                <w:w w:val="99"/>
              </w:rPr>
              <w:t>Three months ended June 30, 2013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9"/>
          </w:tcPr>
          <w:p>
            <w:pPr>
              <w:jc w:val="right"/>
              <w:ind w:right="560"/>
              <w:spacing w:after="0"/>
              <w:rPr>
                <w:sz w:val="20"/>
                <w:szCs w:val="20"/>
                <w:color w:val="auto"/>
              </w:rPr>
            </w:pPr>
            <w:r>
              <w:rPr>
                <w:rFonts w:ascii="Arial" w:cs="Arial" w:eastAsia="Arial" w:hAnsi="Arial"/>
                <w:sz w:val="14"/>
                <w:szCs w:val="14"/>
                <w:b w:val="1"/>
                <w:bCs w:val="1"/>
                <w:color w:val="auto"/>
              </w:rPr>
              <w:t>Three months ended June 30,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w w:val="84"/>
              </w:rPr>
              <w:t>Outsourcing</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Outsourcing</w:t>
            </w:r>
          </w:p>
        </w:tc>
        <w:tc>
          <w:tcPr>
            <w:tcW w:w="3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Transformation</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Services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4"/>
                <w:szCs w:val="14"/>
                <w:b w:val="1"/>
                <w:bCs w:val="1"/>
                <w:color w:val="auto"/>
                <w:w w:val="83"/>
              </w:rPr>
              <w:t>Services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97,328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18,680</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116,008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88,922</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108,030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6"/>
              </w:rPr>
              <w:t>Cost of revenues (exclusive of depreciation and amortization)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59,483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14,447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54,501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11,544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66,045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37,845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41,985</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27,592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tax provision</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Revenues and cost of revenues for each of the six months ended June 30, 2013 and 2012 for the Company’s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8"/>
          </w:tcPr>
          <w:p>
            <w:pPr>
              <w:jc w:val="right"/>
              <w:ind w:right="455"/>
              <w:spacing w:after="0"/>
              <w:rPr>
                <w:sz w:val="20"/>
                <w:szCs w:val="20"/>
                <w:color w:val="auto"/>
              </w:rPr>
            </w:pPr>
            <w:r>
              <w:rPr>
                <w:rFonts w:ascii="Arial" w:cs="Arial" w:eastAsia="Arial" w:hAnsi="Arial"/>
                <w:sz w:val="14"/>
                <w:szCs w:val="14"/>
                <w:b w:val="1"/>
                <w:bCs w:val="1"/>
                <w:color w:val="auto"/>
              </w:rPr>
              <w:t>Six months ended June 30, 2013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Six months ended June 30,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7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Outsourcing</w:t>
            </w:r>
          </w:p>
        </w:tc>
        <w:tc>
          <w:tcPr>
            <w:tcW w:w="3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Transformation</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Outsourcing</w:t>
            </w:r>
          </w:p>
        </w:tc>
        <w:tc>
          <w:tcPr>
            <w:tcW w:w="3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4"/>
                <w:szCs w:val="14"/>
                <w:b w:val="1"/>
                <w:bCs w:val="1"/>
                <w:color w:val="auto"/>
                <w:w w:val="83"/>
              </w:rPr>
              <w:t>Services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4"/>
                <w:szCs w:val="14"/>
                <w:b w:val="1"/>
                <w:bCs w:val="1"/>
                <w:color w:val="auto"/>
                <w:w w:val="83"/>
              </w:rPr>
              <w:t>Services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194,900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232,014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178,656</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212,638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118,959</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146,843</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110,979</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132,717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85,171</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67,677</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79,921</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60,239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55,097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October 12, 2012, the Company acquired Landacorp, a leading provider of healthcare solutions and technology. Landacorp has more than 50 million lives under management on its software platforms and has developed services and technology solutions that share vital clinical data with payers, providers, plan participants and accountable care organizations. The Landacorp Acquisition furthers the Company’s strategic intent to continue investing in the healthcare domain and strengthen its capabilities to serve the U.S. healthcare industry and continue to invest in building processes, analytics and platform capabilities in its focused verticals. Accordingly, the Company paid a premium for the acquisition which is being reflected in the goodwill recognized from the purchase price allocation of the total purchase consideration paid by the Company.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80" w:type="dxa"/>
            <w:vAlign w:val="bottom"/>
            <w:gridSpan w:val="3"/>
          </w:tcPr>
          <w:p>
            <w:pPr>
              <w:ind w:left="460"/>
              <w:spacing w:after="0"/>
              <w:rPr>
                <w:sz w:val="20"/>
                <w:szCs w:val="20"/>
                <w:color w:val="auto"/>
              </w:rPr>
            </w:pPr>
            <w:r>
              <w:rPr>
                <w:rFonts w:ascii="Arial" w:cs="Arial" w:eastAsia="Arial" w:hAnsi="Arial"/>
                <w:sz w:val="18"/>
                <w:szCs w:val="18"/>
                <w:color w:val="auto"/>
              </w:rPr>
              <w:t>The total purchase price of the acquisition is as follows:</w:t>
            </w:r>
          </w:p>
        </w:tc>
        <w:tc>
          <w:tcPr>
            <w:tcW w:w="2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160" w:type="dxa"/>
            <w:vAlign w:val="bottom"/>
            <w:vMerge w:val="restart"/>
          </w:tcPr>
          <w:p>
            <w:pPr>
              <w:spacing w:after="0"/>
              <w:rPr>
                <w:sz w:val="17"/>
                <w:szCs w:val="17"/>
                <w:color w:val="auto"/>
              </w:rPr>
            </w:pPr>
          </w:p>
        </w:tc>
        <w:tc>
          <w:tcPr>
            <w:tcW w:w="2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Add: Working capital adjustments*</w:t>
            </w:r>
          </w:p>
        </w:tc>
        <w:tc>
          <w:tcPr>
            <w:tcW w:w="2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Paid in January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After the December 31, 2012 consolidated financial statements were issued, the Company received further information including a revised valuation report from a third party valuation firm with respect to the Landacorp Acquisition. After considering the results of the additional information, the Company revised its estimates related to certain of its acquired intangibles and other assets as of the date of acquisition as follows: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4"/>
              </w:rPr>
              <w:t>Revised Allocation</w:t>
            </w:r>
          </w:p>
        </w:tc>
        <w:tc>
          <w:tcPr>
            <w:tcW w:w="1940" w:type="dxa"/>
            <w:vAlign w:val="bottom"/>
            <w:gridSpan w:val="4"/>
          </w:tcPr>
          <w:p>
            <w:pPr>
              <w:ind w:left="860"/>
              <w:spacing w:after="0"/>
              <w:rPr>
                <w:sz w:val="20"/>
                <w:szCs w:val="20"/>
                <w:color w:val="auto"/>
              </w:rPr>
            </w:pPr>
            <w:r>
              <w:rPr>
                <w:rFonts w:ascii="Arial" w:cs="Arial" w:eastAsia="Arial" w:hAnsi="Arial"/>
                <w:sz w:val="14"/>
                <w:szCs w:val="14"/>
                <w:b w:val="1"/>
                <w:bCs w:val="1"/>
                <w:color w:val="auto"/>
                <w:w w:val="97"/>
              </w:rPr>
              <w:t>Initial Allocation</w:t>
            </w: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Identifiable intangible assets: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Customer relationships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860"/>
              <w:spacing w:after="0"/>
              <w:rPr>
                <w:sz w:val="20"/>
                <w:szCs w:val="20"/>
                <w:color w:val="auto"/>
              </w:rPr>
            </w:pPr>
            <w:r>
              <w:rPr>
                <w:rFonts w:ascii="Arial" w:cs="Arial" w:eastAsia="Arial" w:hAnsi="Arial"/>
                <w:sz w:val="18"/>
                <w:szCs w:val="18"/>
                <w:color w:val="auto"/>
              </w:rPr>
              <w:t>Developed technology</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3,881</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5,313</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Trade names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Net tangible assets</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9,261</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10,727</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19,276</w:t>
            </w:r>
          </w:p>
        </w:tc>
        <w:tc>
          <w:tcPr>
            <w:tcW w:w="8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14,999</w:t>
            </w:r>
          </w:p>
        </w:tc>
        <w:tc>
          <w:tcPr>
            <w:tcW w:w="100" w:type="dxa"/>
            <w:vAlign w:val="bottom"/>
            <w:shd w:val="clear" w:color="auto" w:fill="CCEEFF"/>
          </w:tcPr>
          <w:p>
            <w:pPr>
              <w:spacing w:after="0"/>
              <w:rPr>
                <w:sz w:val="18"/>
                <w:szCs w:val="18"/>
                <w:color w:val="auto"/>
              </w:rPr>
            </w:pPr>
          </w:p>
        </w:tc>
      </w:tr>
      <w:tr>
        <w:trPr>
          <w:trHeight w:val="222"/>
        </w:trPr>
        <w:tc>
          <w:tcPr>
            <w:tcW w:w="5660" w:type="dxa"/>
            <w:vAlign w:val="bottom"/>
          </w:tcPr>
          <w:p>
            <w:pPr>
              <w:ind w:left="440"/>
              <w:spacing w:after="0"/>
              <w:rPr>
                <w:sz w:val="20"/>
                <w:szCs w:val="20"/>
                <w:color w:val="auto"/>
              </w:rPr>
            </w:pPr>
            <w:r>
              <w:rPr>
                <w:rFonts w:ascii="Arial" w:cs="Arial" w:eastAsia="Arial" w:hAnsi="Arial"/>
                <w:sz w:val="18"/>
                <w:szCs w:val="18"/>
                <w:color w:val="auto"/>
              </w:rPr>
              <w:t>Total purchase price*</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38,683</w:t>
            </w: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38,683</w:t>
            </w:r>
          </w:p>
        </w:tc>
        <w:tc>
          <w:tcPr>
            <w:tcW w:w="10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Includes $4,500 deposited in escrow accounts in connection with the acquisition.</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revision did not have a material impact on the Company’s consolidated earnings for the year ended December 31, 2012. As required by the accounting guidance for business combinations, this adjustment was recorded by the Company retrospectively as of the acquisition date resulting in changes to the preliminary amounts as set forth in the Company’s December 31, 2012 consolidated balance sheet included in its Annual Report on Form 10-K for the year ended December 31, 2012.</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preliminary allocation of the purchase price to the tangible and intangible assets and liabilities acquired may change up to a period of one year from the date of acquisition. Accordingly, the Company may adjust the amounts recorded as of June 30, 2013 to reflect any revised valuations of the assets acquired or liabilities assumed. The Company’s purchase accounting as of June 30, 2013 was incomplete primarily due to the pending final assessment of the realizability of the Landacorp’s federal and state net operating losses in the U.S. as of October 12, 2012. The total amount of deferred tax assets recognized for the acquired federal and state net operating losses is $5,486 as of June 30, 2013 and is included under “deferred tax assets” in the unaudited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June 30,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Outsourcing</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Transformation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3"/>
              </w:rPr>
              <w:t>Services</w:t>
            </w: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10"/>
        </w:trPr>
        <w:tc>
          <w:tcPr>
            <w:tcW w:w="920" w:type="dxa"/>
            <w:vAlign w:val="bottom"/>
          </w:tcPr>
          <w:p>
            <w:pPr>
              <w:spacing w:after="0"/>
              <w:rPr>
                <w:sz w:val="18"/>
                <w:szCs w:val="18"/>
                <w:color w:val="auto"/>
              </w:rPr>
            </w:pPr>
          </w:p>
        </w:tc>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2012</w:t>
            </w: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75,502</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3"/>
              </w:rPr>
              <w:t>16,785</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Goodwill arising from Landacorp acquisition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19,276</w:t>
            </w:r>
          </w:p>
        </w:tc>
        <w:tc>
          <w:tcPr>
            <w:tcW w:w="16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19,276</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Purchase accounting adjustments </w:t>
            </w:r>
            <w:r>
              <w:rPr>
                <w:rFonts w:ascii="Arial" w:cs="Arial" w:eastAsia="Arial" w:hAnsi="Arial"/>
                <w:sz w:val="11"/>
                <w:szCs w:val="11"/>
                <w:color w:val="auto"/>
              </w:rPr>
              <w:t>(1)</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Currency translation adjustments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(1,037)</w:t>
            </w:r>
          </w:p>
        </w:tc>
        <w:tc>
          <w:tcPr>
            <w:tcW w:w="16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(1,037)</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2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94,163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16,785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110,948</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Currency translation adjustments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(2,218)</w:t>
            </w:r>
          </w:p>
        </w:tc>
        <w:tc>
          <w:tcPr>
            <w:tcW w:w="16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(2,218)</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2013</w:t>
            </w:r>
          </w:p>
        </w:tc>
        <w:tc>
          <w:tcPr>
            <w:tcW w:w="12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91,945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16,785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108,730</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38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Relates to the acquisition of Business Process Outsourcing Inc. (“OPI”) on May 31, 2011 (the “OPI Acquisition”) pertaining to service tax receivables included under “other current assets” in the consolidated balance sheet as of December 31,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As of June 30, 2013</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8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8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780" w:type="dxa"/>
            <w:vAlign w:val="bottom"/>
          </w:tcPr>
          <w:p>
            <w:pPr>
              <w:spacing w:after="0"/>
              <w:rPr>
                <w:sz w:val="12"/>
                <w:szCs w:val="12"/>
                <w:color w:val="auto"/>
              </w:rPr>
            </w:pPr>
          </w:p>
        </w:tc>
        <w:tc>
          <w:tcPr>
            <w:tcW w:w="13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r>
      <w:tr>
        <w:trPr>
          <w:trHeight w:val="161"/>
        </w:trPr>
        <w:tc>
          <w:tcPr>
            <w:tcW w:w="58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tcPr>
          <w:p>
            <w:pPr>
              <w:spacing w:after="0"/>
              <w:rPr>
                <w:sz w:val="14"/>
                <w:szCs w:val="14"/>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6"/>
              </w:rPr>
              <w:t>Amortization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5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$38,652</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(10,027)</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Leasehold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3,106</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(1,367)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Non-compete agreements</w:t>
            </w:r>
          </w:p>
        </w:tc>
        <w:tc>
          <w:tcPr>
            <w:tcW w:w="580" w:type="dxa"/>
            <w:vAlign w:val="bottom"/>
          </w:tcPr>
          <w:p>
            <w:pPr>
              <w:jc w:val="right"/>
              <w:spacing w:after="0"/>
              <w:rPr>
                <w:sz w:val="20"/>
                <w:szCs w:val="20"/>
                <w:color w:val="auto"/>
              </w:rPr>
            </w:pPr>
            <w:r>
              <w:rPr>
                <w:rFonts w:ascii="Arial" w:cs="Arial" w:eastAsia="Arial" w:hAnsi="Arial"/>
                <w:sz w:val="18"/>
                <w:szCs w:val="18"/>
                <w:color w:val="auto"/>
              </w:rPr>
              <w:t>1,316</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(1,316)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8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52,409</w:t>
            </w:r>
          </w:p>
        </w:tc>
        <w:tc>
          <w:tcPr>
            <w:tcW w:w="94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(15,126)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37,283</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58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As of December 31, 2012</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8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8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780" w:type="dxa"/>
            <w:vAlign w:val="bottom"/>
          </w:tcPr>
          <w:p>
            <w:pPr>
              <w:spacing w:after="0"/>
              <w:rPr>
                <w:sz w:val="12"/>
                <w:szCs w:val="12"/>
                <w:color w:val="auto"/>
              </w:rPr>
            </w:pPr>
          </w:p>
        </w:tc>
        <w:tc>
          <w:tcPr>
            <w:tcW w:w="13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r>
      <w:tr>
        <w:trPr>
          <w:trHeight w:val="161"/>
        </w:trPr>
        <w:tc>
          <w:tcPr>
            <w:tcW w:w="58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tcPr>
          <w:p>
            <w:pPr>
              <w:spacing w:after="0"/>
              <w:rPr>
                <w:sz w:val="14"/>
                <w:szCs w:val="14"/>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6"/>
              </w:rPr>
              <w:t>Amortization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5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$38,728</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Leasehold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3,355</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(1,213)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Non-compete agreements</w:t>
            </w:r>
          </w:p>
        </w:tc>
        <w:tc>
          <w:tcPr>
            <w:tcW w:w="580" w:type="dxa"/>
            <w:vAlign w:val="bottom"/>
          </w:tcPr>
          <w:p>
            <w:pPr>
              <w:jc w:val="right"/>
              <w:spacing w:after="0"/>
              <w:rPr>
                <w:sz w:val="20"/>
                <w:szCs w:val="20"/>
                <w:color w:val="auto"/>
              </w:rPr>
            </w:pPr>
            <w:r>
              <w:rPr>
                <w:rFonts w:ascii="Arial" w:cs="Arial" w:eastAsia="Arial" w:hAnsi="Arial"/>
                <w:sz w:val="18"/>
                <w:szCs w:val="18"/>
                <w:color w:val="auto"/>
              </w:rPr>
              <w:t>1,316</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(1,316)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8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52,734</w:t>
            </w:r>
          </w:p>
        </w:tc>
        <w:tc>
          <w:tcPr>
            <w:tcW w:w="94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(12,023)</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40,711</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Amortization expense for the three months ended June 30, 2013 and 2012 was $1,596 and $1,365, respectively. Amortization expense for the six months ended June 30, 2013 and 2012 was $3,230 and $2,759, respectively. The weighted average life of intangible assets was 8.8 years for customer relationships, 6.8 years for leasehold benefits, 8.0 years for developed technology, 1.5 years for non-compete agreements and 3.5 years for trade names and trademarks excluding indefinite life trade names and trademarks. The Company had $900 of indefinite life trade names and trademarks as of June 30, 2013 and December 31, 2012.</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Estimated amortization of intangible assets during the year ending June 30,</w:t>
      </w:r>
    </w:p>
    <w:p>
      <w:pPr>
        <w:spacing w:after="0" w:line="22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60" w:type="dxa"/>
            <w:vAlign w:val="bottom"/>
            <w:shd w:val="clear" w:color="auto" w:fill="CCEEFF"/>
          </w:tcPr>
          <w:p>
            <w:pPr>
              <w:jc w:val="right"/>
              <w:ind w:right="1632"/>
              <w:spacing w:after="0"/>
              <w:rPr>
                <w:sz w:val="20"/>
                <w:szCs w:val="20"/>
                <w:color w:val="auto"/>
              </w:rPr>
            </w:pPr>
            <w:r>
              <w:rPr>
                <w:rFonts w:ascii="Arial" w:cs="Arial" w:eastAsia="Arial" w:hAnsi="Arial"/>
                <w:sz w:val="18"/>
                <w:szCs w:val="18"/>
                <w:color w:val="auto"/>
                <w:w w:val="79"/>
              </w:rPr>
              <w:t>2014</w:t>
            </w:r>
          </w:p>
        </w:tc>
        <w:tc>
          <w:tcPr>
            <w:tcW w:w="5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$6,109</w:t>
            </w:r>
          </w:p>
        </w:tc>
      </w:tr>
      <w:tr>
        <w:trPr>
          <w:trHeight w:val="216"/>
        </w:trPr>
        <w:tc>
          <w:tcPr>
            <w:tcW w:w="2060" w:type="dxa"/>
            <w:vAlign w:val="bottom"/>
          </w:tcPr>
          <w:p>
            <w:pPr>
              <w:jc w:val="right"/>
              <w:ind w:right="1632"/>
              <w:spacing w:after="0"/>
              <w:rPr>
                <w:sz w:val="20"/>
                <w:szCs w:val="20"/>
                <w:color w:val="auto"/>
              </w:rPr>
            </w:pPr>
            <w:r>
              <w:rPr>
                <w:rFonts w:ascii="Arial" w:cs="Arial" w:eastAsia="Arial" w:hAnsi="Arial"/>
                <w:sz w:val="18"/>
                <w:szCs w:val="18"/>
                <w:color w:val="auto"/>
                <w:w w:val="79"/>
              </w:rPr>
              <w:t>2015</w:t>
            </w:r>
          </w:p>
        </w:tc>
        <w:tc>
          <w:tcPr>
            <w:tcW w:w="5700" w:type="dxa"/>
            <w:vAlign w:val="bottom"/>
          </w:tcPr>
          <w:p>
            <w:pPr>
              <w:jc w:val="right"/>
              <w:ind w:right="12"/>
              <w:spacing w:after="0"/>
              <w:rPr>
                <w:sz w:val="20"/>
                <w:szCs w:val="20"/>
                <w:color w:val="auto"/>
              </w:rPr>
            </w:pPr>
            <w:r>
              <w:rPr>
                <w:rFonts w:ascii="Arial" w:cs="Arial" w:eastAsia="Arial" w:hAnsi="Arial"/>
                <w:sz w:val="18"/>
                <w:szCs w:val="18"/>
                <w:color w:val="auto"/>
              </w:rPr>
              <w:t>$5,559</w:t>
            </w:r>
          </w:p>
        </w:tc>
      </w:tr>
      <w:tr>
        <w:trPr>
          <w:trHeight w:val="216"/>
        </w:trPr>
        <w:tc>
          <w:tcPr>
            <w:tcW w:w="2060" w:type="dxa"/>
            <w:vAlign w:val="bottom"/>
            <w:shd w:val="clear" w:color="auto" w:fill="CCEEFF"/>
          </w:tcPr>
          <w:p>
            <w:pPr>
              <w:jc w:val="right"/>
              <w:ind w:right="1632"/>
              <w:spacing w:after="0"/>
              <w:rPr>
                <w:sz w:val="20"/>
                <w:szCs w:val="20"/>
                <w:color w:val="auto"/>
              </w:rPr>
            </w:pPr>
            <w:r>
              <w:rPr>
                <w:rFonts w:ascii="Arial" w:cs="Arial" w:eastAsia="Arial" w:hAnsi="Arial"/>
                <w:sz w:val="18"/>
                <w:szCs w:val="18"/>
                <w:color w:val="auto"/>
                <w:w w:val="79"/>
              </w:rPr>
              <w:t>2016</w:t>
            </w:r>
          </w:p>
        </w:tc>
        <w:tc>
          <w:tcPr>
            <w:tcW w:w="5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$5,559</w:t>
            </w:r>
          </w:p>
        </w:tc>
      </w:tr>
      <w:tr>
        <w:trPr>
          <w:trHeight w:val="216"/>
        </w:trPr>
        <w:tc>
          <w:tcPr>
            <w:tcW w:w="2060" w:type="dxa"/>
            <w:vAlign w:val="bottom"/>
          </w:tcPr>
          <w:p>
            <w:pPr>
              <w:jc w:val="right"/>
              <w:ind w:right="1632"/>
              <w:spacing w:after="0"/>
              <w:rPr>
                <w:sz w:val="20"/>
                <w:szCs w:val="20"/>
                <w:color w:val="auto"/>
              </w:rPr>
            </w:pPr>
            <w:r>
              <w:rPr>
                <w:rFonts w:ascii="Arial" w:cs="Arial" w:eastAsia="Arial" w:hAnsi="Arial"/>
                <w:sz w:val="18"/>
                <w:szCs w:val="18"/>
                <w:color w:val="auto"/>
                <w:w w:val="79"/>
              </w:rPr>
              <w:t>2017</w:t>
            </w:r>
          </w:p>
        </w:tc>
        <w:tc>
          <w:tcPr>
            <w:tcW w:w="5700" w:type="dxa"/>
            <w:vAlign w:val="bottom"/>
          </w:tcPr>
          <w:p>
            <w:pPr>
              <w:jc w:val="right"/>
              <w:ind w:right="12"/>
              <w:spacing w:after="0"/>
              <w:rPr>
                <w:sz w:val="20"/>
                <w:szCs w:val="20"/>
                <w:color w:val="auto"/>
              </w:rPr>
            </w:pPr>
            <w:r>
              <w:rPr>
                <w:rFonts w:ascii="Arial" w:cs="Arial" w:eastAsia="Arial" w:hAnsi="Arial"/>
                <w:sz w:val="18"/>
                <w:szCs w:val="18"/>
                <w:color w:val="auto"/>
              </w:rPr>
              <w:t>$5,553</w:t>
            </w:r>
          </w:p>
        </w:tc>
      </w:tr>
      <w:tr>
        <w:trPr>
          <w:trHeight w:val="216"/>
        </w:trPr>
        <w:tc>
          <w:tcPr>
            <w:tcW w:w="2060" w:type="dxa"/>
            <w:vAlign w:val="bottom"/>
            <w:shd w:val="clear" w:color="auto" w:fill="CCEEFF"/>
          </w:tcPr>
          <w:p>
            <w:pPr>
              <w:jc w:val="right"/>
              <w:ind w:right="1632"/>
              <w:spacing w:after="0"/>
              <w:rPr>
                <w:sz w:val="20"/>
                <w:szCs w:val="20"/>
                <w:color w:val="auto"/>
              </w:rPr>
            </w:pPr>
            <w:r>
              <w:rPr>
                <w:rFonts w:ascii="Arial" w:cs="Arial" w:eastAsia="Arial" w:hAnsi="Arial"/>
                <w:sz w:val="18"/>
                <w:szCs w:val="18"/>
                <w:color w:val="auto"/>
                <w:w w:val="79"/>
              </w:rPr>
              <w:t>2018</w:t>
            </w:r>
          </w:p>
        </w:tc>
        <w:tc>
          <w:tcPr>
            <w:tcW w:w="5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$5,464</w:t>
            </w:r>
          </w:p>
        </w:tc>
      </w:tr>
      <w:tr>
        <w:trPr>
          <w:trHeight w:val="363"/>
        </w:trPr>
        <w:tc>
          <w:tcPr>
            <w:tcW w:w="2060" w:type="dxa"/>
            <w:vAlign w:val="bottom"/>
          </w:tcPr>
          <w:p>
            <w:pPr>
              <w:spacing w:after="0"/>
              <w:rPr>
                <w:sz w:val="24"/>
                <w:szCs w:val="24"/>
                <w:color w:val="auto"/>
              </w:rPr>
            </w:pPr>
          </w:p>
        </w:tc>
        <w:tc>
          <w:tcPr>
            <w:tcW w:w="5700" w:type="dxa"/>
            <w:vAlign w:val="bottom"/>
          </w:tcPr>
          <w:p>
            <w:pPr>
              <w:jc w:val="right"/>
              <w:ind w:right="3712"/>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table sets forth the Company’s assets and liabilities that were accounted for at fair value on a recurring basis as of June 30, 2013 and December 31, 2012. The table excludes short-term investments, accounts receivable, accounts payable and accrued expenses for which fair values approximate their carrying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gridSpan w:val="2"/>
          </w:tcPr>
          <w:p>
            <w:pPr>
              <w:spacing w:after="0"/>
              <w:rPr>
                <w:sz w:val="20"/>
                <w:szCs w:val="20"/>
                <w:color w:val="auto"/>
              </w:rPr>
            </w:pPr>
            <w:r>
              <w:rPr>
                <w:rFonts w:ascii="Arial" w:cs="Arial" w:eastAsia="Arial" w:hAnsi="Arial"/>
                <w:sz w:val="14"/>
                <w:szCs w:val="14"/>
                <w:b w:val="1"/>
                <w:bCs w:val="1"/>
                <w:color w:val="auto"/>
              </w:rPr>
              <w:t>As of June 30, 2013</w:t>
            </w: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ind w:left="20"/>
              <w:spacing w:after="0"/>
              <w:rPr>
                <w:sz w:val="20"/>
                <w:szCs w:val="20"/>
                <w:color w:val="auto"/>
              </w:rPr>
            </w:pPr>
            <w:r>
              <w:rPr>
                <w:rFonts w:ascii="Arial" w:cs="Arial" w:eastAsia="Arial" w:hAnsi="Arial"/>
                <w:sz w:val="18"/>
                <w:szCs w:val="18"/>
                <w:color w:val="auto"/>
                <w:w w:val="83"/>
              </w:rPr>
              <w:t>66,581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ind w:left="20"/>
              <w:spacing w:after="0"/>
              <w:rPr>
                <w:sz w:val="20"/>
                <w:szCs w:val="20"/>
                <w:color w:val="auto"/>
              </w:rPr>
            </w:pPr>
            <w:r>
              <w:rPr>
                <w:rFonts w:ascii="Arial" w:cs="Arial" w:eastAsia="Arial" w:hAnsi="Arial"/>
                <w:sz w:val="18"/>
                <w:szCs w:val="18"/>
                <w:color w:val="auto"/>
                <w:w w:val="83"/>
              </w:rPr>
              <w:t>66,581</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645</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67,226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14,768</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14,768</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4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2012</w:t>
            </w: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ind w:left="20"/>
              <w:spacing w:after="0"/>
              <w:rPr>
                <w:sz w:val="20"/>
                <w:szCs w:val="20"/>
                <w:color w:val="auto"/>
              </w:rPr>
            </w:pPr>
            <w:r>
              <w:rPr>
                <w:rFonts w:ascii="Arial" w:cs="Arial" w:eastAsia="Arial" w:hAnsi="Arial"/>
                <w:sz w:val="18"/>
                <w:szCs w:val="18"/>
                <w:color w:val="auto"/>
                <w:w w:val="83"/>
              </w:rPr>
              <w:t>64,766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64,766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ind w:left="20"/>
              <w:spacing w:after="0"/>
              <w:rPr>
                <w:sz w:val="20"/>
                <w:szCs w:val="20"/>
                <w:color w:val="auto"/>
              </w:rPr>
            </w:pPr>
            <w:r>
              <w:rPr>
                <w:rFonts w:ascii="Arial" w:cs="Arial" w:eastAsia="Arial" w:hAnsi="Arial"/>
                <w:sz w:val="18"/>
                <w:szCs w:val="18"/>
                <w:color w:val="auto"/>
                <w:w w:val="83"/>
              </w:rPr>
              <w:t>64,766</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1,730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9,861</w:t>
            </w:r>
          </w:p>
        </w:tc>
        <w:tc>
          <w:tcPr>
            <w:tcW w:w="160" w:type="dxa"/>
            <w:vAlign w:val="bottom"/>
          </w:tcPr>
          <w:p>
            <w:pPr>
              <w:spacing w:after="0"/>
              <w:rPr>
                <w:sz w:val="18"/>
                <w:szCs w:val="18"/>
                <w:color w:val="auto"/>
              </w:rPr>
            </w:pPr>
          </w:p>
        </w:tc>
        <w:tc>
          <w:tcPr>
            <w:tcW w:w="4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Company’s derivative financial instruments consist of foreign currency forward exchange contracts. Fair values for derivative financial instruments are based on independent sources including highly rated financial institutions and are classified as Level 2. See Note 7 for further details on Derivatives and Hedge Accounting.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 forward foreign exchange contracts that are designated effective and that qualify as cash flow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No. 815). The Company also uses derivatives consisting of foreign currency exchange contracts not designated as hedging instruments under ASC No. 815 to hedge intercompany balances and other monetary assets or liabilities denominated in currencies other than the Company’s functional currency. The Company’s primary exchange rate exposure is with the U.K. pound sterling and the Indian rupee. The Company also has exposure in Philippine pesos, Czech koruna and other local currencies in which it operates.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had outstanding foreign exchange contracts totaling $250,848 and GBP 12,580 as of June 30, 2013 and totaling $221,255 and GBP 11,544 as of December 31, 2012. The Company estimates that approximately $9,230 of net derivative losses included in AOCI could be reclassified into earnings within the next twelve months based on exchange rates prevailing as of June 30, 2013. As of June 30, 2013, the maximum outstanding term of derivative instruments that hedge forecasted transactions was thirty-three months.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evaluates the hedge effectiveness at the time a contract is entered into as well as on an ongoing basis. If during this time a contract is deemed ineffective, the change in the fair value is recorded in the unaudited consolidated statements of income and is included in foreign exchange loss. For hedging positions that are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as a result of forecasted transactions that failed to occur during the three and six months ended June 30, 2013 and 2012.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674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3"/>
              </w:rPr>
              <w:t>2013</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40" w:type="dxa"/>
            <w:vAlign w:val="bottom"/>
          </w:tcPr>
          <w:p>
            <w:pPr>
              <w:jc w:val="center"/>
              <w:ind w:right="3192"/>
              <w:spacing w:after="0"/>
              <w:rPr>
                <w:sz w:val="20"/>
                <w:szCs w:val="20"/>
                <w:color w:val="auto"/>
              </w:rPr>
            </w:pPr>
            <w:r>
              <w:rPr>
                <w:rFonts w:ascii="Arial" w:cs="Arial" w:eastAsia="Arial" w:hAnsi="Arial"/>
                <w:sz w:val="18"/>
                <w:szCs w:val="18"/>
                <w:color w:val="auto"/>
                <w:w w:val="87"/>
              </w:rPr>
              <w:t>Foreign currency exchange contracts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260"/>
              <w:spacing w:after="0"/>
              <w:rPr>
                <w:sz w:val="20"/>
                <w:szCs w:val="20"/>
                <w:color w:val="auto"/>
              </w:rPr>
            </w:pPr>
            <w:r>
              <w:rPr>
                <w:rFonts w:ascii="Arial" w:cs="Arial" w:eastAsia="Arial" w:hAnsi="Arial"/>
                <w:sz w:val="18"/>
                <w:szCs w:val="18"/>
                <w:color w:val="auto"/>
              </w:rPr>
              <w:t>255</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jc w:val="center"/>
              <w:ind w:right="3192"/>
              <w:spacing w:after="0"/>
              <w:rPr>
                <w:sz w:val="20"/>
                <w:szCs w:val="20"/>
                <w:color w:val="auto"/>
              </w:rPr>
            </w:pPr>
            <w:r>
              <w:rPr>
                <w:rFonts w:ascii="Arial" w:cs="Arial" w:eastAsia="Arial" w:hAnsi="Arial"/>
                <w:sz w:val="18"/>
                <w:szCs w:val="18"/>
                <w:color w:val="auto"/>
                <w:w w:val="87"/>
              </w:rPr>
              <w:t>Foreign currency exchange contracts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260"/>
              <w:spacing w:after="0"/>
              <w:rPr>
                <w:sz w:val="20"/>
                <w:szCs w:val="20"/>
                <w:color w:val="auto"/>
              </w:rPr>
            </w:pPr>
            <w:r>
              <w:rPr>
                <w:rFonts w:ascii="Arial" w:cs="Arial" w:eastAsia="Arial" w:hAnsi="Arial"/>
                <w:sz w:val="18"/>
                <w:szCs w:val="18"/>
                <w:color w:val="auto"/>
              </w:rPr>
              <w:t>58</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jc w:val="center"/>
              <w:ind w:right="3152"/>
              <w:spacing w:after="0"/>
              <w:rPr>
                <w:sz w:val="20"/>
                <w:szCs w:val="20"/>
                <w:color w:val="auto"/>
              </w:rPr>
            </w:pPr>
            <w:r>
              <w:rPr>
                <w:rFonts w:ascii="Arial" w:cs="Arial" w:eastAsia="Arial" w:hAnsi="Arial"/>
                <w:sz w:val="18"/>
                <w:szCs w:val="18"/>
                <w:b w:val="1"/>
                <w:bCs w:val="1"/>
                <w:color w:val="auto"/>
                <w:w w:val="87"/>
              </w:rPr>
              <w:t>Accrued expenses and other current liabilities: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jc w:val="center"/>
              <w:ind w:right="3192"/>
              <w:spacing w:after="0"/>
              <w:rPr>
                <w:sz w:val="20"/>
                <w:szCs w:val="20"/>
                <w:color w:val="auto"/>
              </w:rPr>
            </w:pPr>
            <w:r>
              <w:rPr>
                <w:rFonts w:ascii="Arial" w:cs="Arial" w:eastAsia="Arial" w:hAnsi="Arial"/>
                <w:sz w:val="18"/>
                <w:szCs w:val="18"/>
                <w:color w:val="auto"/>
                <w:w w:val="87"/>
              </w:rPr>
              <w:t>Foreign currency exchange contracts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260"/>
              <w:spacing w:after="0"/>
              <w:rPr>
                <w:sz w:val="20"/>
                <w:szCs w:val="20"/>
                <w:color w:val="auto"/>
              </w:rPr>
            </w:pPr>
            <w:r>
              <w:rPr>
                <w:rFonts w:ascii="Arial" w:cs="Arial" w:eastAsia="Arial" w:hAnsi="Arial"/>
                <w:sz w:val="18"/>
                <w:szCs w:val="18"/>
                <w:color w:val="auto"/>
                <w:w w:val="84"/>
              </w:rPr>
              <w:t>9,485</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6,249</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740" w:type="dxa"/>
            <w:vAlign w:val="bottom"/>
          </w:tcPr>
          <w:p>
            <w:pPr>
              <w:jc w:val="center"/>
              <w:ind w:right="3192"/>
              <w:spacing w:after="0"/>
              <w:rPr>
                <w:sz w:val="20"/>
                <w:szCs w:val="20"/>
                <w:color w:val="auto"/>
              </w:rPr>
            </w:pPr>
            <w:r>
              <w:rPr>
                <w:rFonts w:ascii="Arial" w:cs="Arial" w:eastAsia="Arial" w:hAnsi="Arial"/>
                <w:sz w:val="18"/>
                <w:szCs w:val="18"/>
                <w:color w:val="auto"/>
                <w:w w:val="87"/>
              </w:rPr>
              <w:t>Foreign currency exchange contracts</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260"/>
              <w:spacing w:after="0"/>
              <w:rPr>
                <w:sz w:val="20"/>
                <w:szCs w:val="20"/>
                <w:color w:val="auto"/>
              </w:rPr>
            </w:pPr>
            <w:r>
              <w:rPr>
                <w:rFonts w:ascii="Arial" w:cs="Arial" w:eastAsia="Arial" w:hAnsi="Arial"/>
                <w:sz w:val="18"/>
                <w:szCs w:val="18"/>
                <w:color w:val="auto"/>
                <w:w w:val="84"/>
              </w:rPr>
              <w:t>5,283</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19"/>
                <w:szCs w:val="19"/>
                <w:color w:val="auto"/>
              </w:rPr>
            </w:pPr>
          </w:p>
        </w:tc>
      </w:tr>
      <w:tr>
        <w:trPr>
          <w:trHeight w:val="451"/>
        </w:trPr>
        <w:tc>
          <w:tcPr>
            <w:tcW w:w="6740" w:type="dxa"/>
            <w:vAlign w:val="bottom"/>
          </w:tcPr>
          <w:p>
            <w:pPr>
              <w:ind w:left="460"/>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6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674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w w:val="83"/>
              </w:rPr>
              <w:t>2013</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40" w:type="dxa"/>
            <w:vAlign w:val="bottom"/>
          </w:tcPr>
          <w:p>
            <w:pPr>
              <w:jc w:val="center"/>
              <w:ind w:right="3192"/>
              <w:spacing w:after="0"/>
              <w:rPr>
                <w:sz w:val="20"/>
                <w:szCs w:val="20"/>
                <w:color w:val="auto"/>
              </w:rPr>
            </w:pPr>
            <w:r>
              <w:rPr>
                <w:rFonts w:ascii="Arial" w:cs="Arial" w:eastAsia="Arial" w:hAnsi="Arial"/>
                <w:sz w:val="18"/>
                <w:szCs w:val="18"/>
                <w:color w:val="auto"/>
                <w:w w:val="87"/>
              </w:rPr>
              <w:t>Foreign currency exchange contracts</w:t>
            </w:r>
          </w:p>
        </w:tc>
        <w:tc>
          <w:tcPr>
            <w:tcW w:w="2680" w:type="dxa"/>
            <w:vAlign w:val="bottom"/>
            <w:gridSpan w:val="2"/>
          </w:tcPr>
          <w:p>
            <w:pPr>
              <w:ind w:left="2580"/>
              <w:spacing w:after="0"/>
              <w:rPr>
                <w:sz w:val="20"/>
                <w:szCs w:val="20"/>
                <w:color w:val="auto"/>
              </w:rPr>
            </w:pPr>
            <w:r>
              <w:rPr>
                <w:rFonts w:ascii="Arial" w:cs="Arial" w:eastAsia="Arial" w:hAnsi="Arial"/>
                <w:sz w:val="18"/>
                <w:szCs w:val="18"/>
                <w:color w:val="auto"/>
                <w:w w:val="79"/>
              </w:rPr>
              <w:t>$</w:t>
            </w:r>
          </w:p>
        </w:tc>
        <w:tc>
          <w:tcPr>
            <w:tcW w:w="400" w:type="dxa"/>
            <w:vAlign w:val="bottom"/>
            <w:gridSpan w:val="3"/>
          </w:tcPr>
          <w:p>
            <w:pPr>
              <w:ind w:left="120"/>
              <w:spacing w:after="0"/>
              <w:rPr>
                <w:sz w:val="20"/>
                <w:szCs w:val="20"/>
                <w:color w:val="auto"/>
              </w:rPr>
            </w:pPr>
            <w:r>
              <w:rPr>
                <w:rFonts w:ascii="Arial" w:cs="Arial" w:eastAsia="Arial" w:hAnsi="Arial"/>
                <w:sz w:val="18"/>
                <w:szCs w:val="18"/>
                <w:color w:val="auto"/>
                <w:w w:val="86"/>
              </w:rPr>
              <w:t>332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jc w:val="center"/>
              <w:ind w:right="3152"/>
              <w:spacing w:after="0"/>
              <w:rPr>
                <w:sz w:val="20"/>
                <w:szCs w:val="20"/>
                <w:color w:val="auto"/>
              </w:rPr>
            </w:pPr>
            <w:r>
              <w:rPr>
                <w:rFonts w:ascii="Arial" w:cs="Arial" w:eastAsia="Arial" w:hAnsi="Arial"/>
                <w:sz w:val="18"/>
                <w:szCs w:val="18"/>
                <w:b w:val="1"/>
                <w:bCs w:val="1"/>
                <w:color w:val="auto"/>
                <w:w w:val="87"/>
              </w:rPr>
              <w:t>Accrued expenses and other current liabilities: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740" w:type="dxa"/>
            <w:vAlign w:val="bottom"/>
          </w:tcPr>
          <w:p>
            <w:pPr>
              <w:jc w:val="center"/>
              <w:ind w:right="3192"/>
              <w:spacing w:after="0"/>
              <w:rPr>
                <w:sz w:val="20"/>
                <w:szCs w:val="20"/>
                <w:color w:val="auto"/>
              </w:rPr>
            </w:pPr>
            <w:r>
              <w:rPr>
                <w:rFonts w:ascii="Arial" w:cs="Arial" w:eastAsia="Arial" w:hAnsi="Arial"/>
                <w:sz w:val="18"/>
                <w:szCs w:val="18"/>
                <w:color w:val="auto"/>
                <w:w w:val="87"/>
              </w:rPr>
              <w:t>Foreign currency exchange contracts</w:t>
            </w:r>
          </w:p>
        </w:tc>
        <w:tc>
          <w:tcPr>
            <w:tcW w:w="2680" w:type="dxa"/>
            <w:vAlign w:val="bottom"/>
            <w:gridSpan w:val="2"/>
          </w:tcPr>
          <w:p>
            <w:pPr>
              <w:ind w:left="258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760" w:type="dxa"/>
            <w:vAlign w:val="bottom"/>
            <w:gridSpan w:val="4"/>
          </w:tcPr>
          <w:p>
            <w:pPr>
              <w:ind w:left="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June 30, 2013 and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Location of</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Gain/(Loss)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Income on</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Derivative</w:t>
            </w:r>
          </w:p>
        </w:tc>
        <w:tc>
          <w:tcPr>
            <w:tcW w:w="100" w:type="dxa"/>
            <w:vAlign w:val="bottom"/>
          </w:tcPr>
          <w:p>
            <w:pPr>
              <w:spacing w:after="0"/>
              <w:rPr>
                <w:sz w:val="12"/>
                <w:szCs w:val="12"/>
                <w:color w:val="auto"/>
              </w:rPr>
            </w:pPr>
          </w:p>
        </w:tc>
        <w:tc>
          <w:tcPr>
            <w:tcW w:w="1280" w:type="dxa"/>
            <w:vAlign w:val="bottom"/>
            <w:gridSpan w:val="6"/>
          </w:tcPr>
          <w:p>
            <w:pPr>
              <w:jc w:val="center"/>
              <w:ind w:left="109"/>
              <w:spacing w:after="0" w:line="149" w:lineRule="exact"/>
              <w:rPr>
                <w:sz w:val="20"/>
                <w:szCs w:val="20"/>
                <w:color w:val="auto"/>
              </w:rPr>
            </w:pPr>
            <w:r>
              <w:rPr>
                <w:rFonts w:ascii="Arial" w:cs="Arial" w:eastAsia="Arial" w:hAnsi="Arial"/>
                <w:sz w:val="14"/>
                <w:szCs w:val="14"/>
                <w:b w:val="1"/>
                <w:bCs w:val="1"/>
                <w:color w:val="auto"/>
                <w:w w:val="88"/>
              </w:rPr>
              <w:t>Amount of</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center"/>
              <w:ind w:right="387"/>
              <w:spacing w:after="0" w:line="149" w:lineRule="exact"/>
              <w:rPr>
                <w:sz w:val="20"/>
                <w:szCs w:val="20"/>
                <w:color w:val="auto"/>
              </w:rPr>
            </w:pPr>
            <w:r>
              <w:rPr>
                <w:rFonts w:ascii="Arial" w:cs="Arial" w:eastAsia="Arial" w:hAnsi="Arial"/>
                <w:sz w:val="14"/>
                <w:szCs w:val="14"/>
                <w:b w:val="1"/>
                <w:bCs w:val="1"/>
                <w:color w:val="auto"/>
                <w:w w:val="87"/>
              </w:rPr>
              <w:t>Location of</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(Ineffective</w:t>
            </w:r>
          </w:p>
        </w:tc>
        <w:tc>
          <w:tcPr>
            <w:tcW w:w="7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Gain/(Loss)</w:t>
            </w:r>
          </w:p>
        </w:tc>
        <w:tc>
          <w:tcPr>
            <w:tcW w:w="98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w w:val="98"/>
              </w:rPr>
              <w:t>Recognized in</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Gain/(Loss)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Portion and</w:t>
            </w:r>
          </w:p>
        </w:tc>
        <w:tc>
          <w:tcPr>
            <w:tcW w:w="100" w:type="dxa"/>
            <w:vAlign w:val="bottom"/>
          </w:tcPr>
          <w:p>
            <w:pPr>
              <w:spacing w:after="0"/>
              <w:rPr>
                <w:sz w:val="12"/>
                <w:szCs w:val="12"/>
                <w:color w:val="auto"/>
              </w:rPr>
            </w:pPr>
          </w:p>
        </w:tc>
        <w:tc>
          <w:tcPr>
            <w:tcW w:w="1640" w:type="dxa"/>
            <w:vAlign w:val="bottom"/>
            <w:gridSpan w:val="9"/>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Income on Derivative</w:t>
            </w:r>
          </w:p>
        </w:tc>
        <w:tc>
          <w:tcPr>
            <w:tcW w:w="0" w:type="dxa"/>
            <w:vAlign w:val="bottom"/>
          </w:tcPr>
          <w:p>
            <w:pPr>
              <w:spacing w:after="0"/>
              <w:rPr>
                <w:sz w:val="1"/>
                <w:szCs w:val="1"/>
                <w:color w:val="auto"/>
              </w:rPr>
            </w:pPr>
          </w:p>
        </w:tc>
      </w:tr>
      <w:tr>
        <w:trPr>
          <w:trHeight w:val="149"/>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Pr>
          <w:p>
            <w:pPr>
              <w:spacing w:after="0"/>
              <w:rPr>
                <w:sz w:val="12"/>
                <w:szCs w:val="12"/>
                <w:color w:val="auto"/>
              </w:rPr>
            </w:pPr>
          </w:p>
        </w:tc>
        <w:tc>
          <w:tcPr>
            <w:tcW w:w="18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Amount of Gain/(Loss)</w:t>
            </w: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Reclassified from</w:t>
            </w:r>
          </w:p>
        </w:tc>
        <w:tc>
          <w:tcPr>
            <w:tcW w:w="180" w:type="dxa"/>
            <w:vAlign w:val="bottom"/>
          </w:tcPr>
          <w:p>
            <w:pPr>
              <w:spacing w:after="0"/>
              <w:rPr>
                <w:sz w:val="12"/>
                <w:szCs w:val="12"/>
                <w:color w:val="auto"/>
              </w:rPr>
            </w:pPr>
          </w:p>
        </w:tc>
        <w:tc>
          <w:tcPr>
            <w:tcW w:w="1100" w:type="dxa"/>
            <w:vAlign w:val="bottom"/>
            <w:gridSpan w:val="4"/>
          </w:tcPr>
          <w:p>
            <w:pPr>
              <w:jc w:val="center"/>
              <w:ind w:left="372"/>
              <w:spacing w:after="0" w:line="149" w:lineRule="exact"/>
              <w:rPr>
                <w:sz w:val="20"/>
                <w:szCs w:val="20"/>
                <w:color w:val="auto"/>
              </w:rPr>
            </w:pPr>
            <w:r>
              <w:rPr>
                <w:rFonts w:ascii="Arial" w:cs="Arial" w:eastAsia="Arial" w:hAnsi="Arial"/>
                <w:sz w:val="14"/>
                <w:szCs w:val="14"/>
                <w:b w:val="1"/>
                <w:bCs w:val="1"/>
                <w:color w:val="auto"/>
                <w:w w:val="88"/>
              </w:rPr>
              <w:t>Amount of</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1280" w:type="dxa"/>
            <w:vAlign w:val="bottom"/>
            <w:gridSpan w:val="6"/>
          </w:tcPr>
          <w:p>
            <w:pPr>
              <w:jc w:val="center"/>
              <w:ind w:left="89"/>
              <w:spacing w:after="0" w:line="149" w:lineRule="exact"/>
              <w:rPr>
                <w:sz w:val="20"/>
                <w:szCs w:val="20"/>
                <w:color w:val="auto"/>
              </w:rPr>
            </w:pPr>
            <w:r>
              <w:rPr>
                <w:rFonts w:ascii="Arial" w:cs="Arial" w:eastAsia="Arial" w:hAnsi="Arial"/>
                <w:sz w:val="14"/>
                <w:szCs w:val="14"/>
                <w:b w:val="1"/>
                <w:bCs w:val="1"/>
                <w:color w:val="auto"/>
                <w:w w:val="88"/>
              </w:rPr>
              <w:t>(Ineffective Portion</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4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1880" w:type="dxa"/>
            <w:vAlign w:val="bottom"/>
            <w:gridSpan w:val="4"/>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Recognized in AOCI on</w:t>
            </w:r>
          </w:p>
        </w:tc>
        <w:tc>
          <w:tcPr>
            <w:tcW w:w="460" w:type="dxa"/>
            <w:vAlign w:val="bottom"/>
          </w:tcPr>
          <w:p>
            <w:pPr>
              <w:spacing w:after="0"/>
              <w:rPr>
                <w:sz w:val="11"/>
                <w:szCs w:val="11"/>
                <w:color w:val="auto"/>
              </w:rPr>
            </w:pPr>
          </w:p>
        </w:tc>
        <w:tc>
          <w:tcPr>
            <w:tcW w:w="1120" w:type="dxa"/>
            <w:vAlign w:val="bottom"/>
          </w:tcPr>
          <w:p>
            <w:pPr>
              <w:jc w:val="center"/>
              <w:ind w:right="407"/>
              <w:spacing w:after="0" w:line="135" w:lineRule="exact"/>
              <w:rPr>
                <w:sz w:val="20"/>
                <w:szCs w:val="20"/>
                <w:color w:val="auto"/>
              </w:rPr>
            </w:pPr>
            <w:r>
              <w:rPr>
                <w:rFonts w:ascii="Arial" w:cs="Arial" w:eastAsia="Arial" w:hAnsi="Arial"/>
                <w:sz w:val="14"/>
                <w:szCs w:val="14"/>
                <w:b w:val="1"/>
                <w:bCs w:val="1"/>
                <w:color w:val="auto"/>
                <w:w w:val="92"/>
              </w:rPr>
              <w:t>AOCI into</w:t>
            </w:r>
          </w:p>
        </w:tc>
        <w:tc>
          <w:tcPr>
            <w:tcW w:w="180" w:type="dxa"/>
            <w:vAlign w:val="bottom"/>
          </w:tcPr>
          <w:p>
            <w:pPr>
              <w:spacing w:after="0"/>
              <w:rPr>
                <w:sz w:val="11"/>
                <w:szCs w:val="11"/>
                <w:color w:val="auto"/>
              </w:rPr>
            </w:pPr>
          </w:p>
        </w:tc>
        <w:tc>
          <w:tcPr>
            <w:tcW w:w="1860" w:type="dxa"/>
            <w:vAlign w:val="bottom"/>
            <w:gridSpan w:val="6"/>
          </w:tcPr>
          <w:p>
            <w:pPr>
              <w:jc w:val="center"/>
              <w:ind w:right="300"/>
              <w:spacing w:after="0" w:line="135" w:lineRule="exact"/>
              <w:rPr>
                <w:sz w:val="20"/>
                <w:szCs w:val="20"/>
                <w:color w:val="auto"/>
              </w:rPr>
            </w:pPr>
            <w:r>
              <w:rPr>
                <w:rFonts w:ascii="Arial" w:cs="Arial" w:eastAsia="Arial" w:hAnsi="Arial"/>
                <w:sz w:val="14"/>
                <w:szCs w:val="14"/>
                <w:b w:val="1"/>
                <w:bCs w:val="1"/>
                <w:color w:val="auto"/>
                <w:w w:val="86"/>
              </w:rPr>
              <w:t>Gain/(Loss) Reclassified</w:t>
            </w:r>
          </w:p>
        </w:tc>
        <w:tc>
          <w:tcPr>
            <w:tcW w:w="144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Excluded from</w:t>
            </w:r>
          </w:p>
        </w:tc>
        <w:tc>
          <w:tcPr>
            <w:tcW w:w="100" w:type="dxa"/>
            <w:vAlign w:val="bottom"/>
          </w:tcPr>
          <w:p>
            <w:pPr>
              <w:spacing w:after="0"/>
              <w:rPr>
                <w:sz w:val="11"/>
                <w:szCs w:val="11"/>
                <w:color w:val="auto"/>
              </w:rPr>
            </w:pPr>
          </w:p>
        </w:tc>
        <w:tc>
          <w:tcPr>
            <w:tcW w:w="1640" w:type="dxa"/>
            <w:vAlign w:val="bottom"/>
            <w:gridSpan w:val="9"/>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and Amount Excluded</w:t>
            </w:r>
          </w:p>
        </w:tc>
        <w:tc>
          <w:tcPr>
            <w:tcW w:w="0" w:type="dxa"/>
            <w:vAlign w:val="bottom"/>
          </w:tcPr>
          <w:p>
            <w:pPr>
              <w:spacing w:after="0"/>
              <w:rPr>
                <w:sz w:val="1"/>
                <w:szCs w:val="1"/>
                <w:color w:val="auto"/>
              </w:rPr>
            </w:pPr>
          </w:p>
        </w:tc>
      </w:tr>
      <w:tr>
        <w:trPr>
          <w:trHeight w:val="149"/>
        </w:trPr>
        <w:tc>
          <w:tcPr>
            <w:tcW w:w="2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Cash Flow</w:t>
            </w:r>
          </w:p>
        </w:tc>
        <w:tc>
          <w:tcPr>
            <w:tcW w:w="400" w:type="dxa"/>
            <w:vAlign w:val="bottom"/>
          </w:tcPr>
          <w:p>
            <w:pPr>
              <w:spacing w:after="0"/>
              <w:rPr>
                <w:sz w:val="12"/>
                <w:szCs w:val="12"/>
                <w:color w:val="auto"/>
              </w:rPr>
            </w:pPr>
          </w:p>
        </w:tc>
        <w:tc>
          <w:tcPr>
            <w:tcW w:w="18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Derivative</w:t>
            </w:r>
          </w:p>
        </w:tc>
        <w:tc>
          <w:tcPr>
            <w:tcW w:w="460" w:type="dxa"/>
            <w:vAlign w:val="bottom"/>
          </w:tcPr>
          <w:p>
            <w:pPr>
              <w:spacing w:after="0"/>
              <w:rPr>
                <w:sz w:val="12"/>
                <w:szCs w:val="12"/>
                <w:color w:val="auto"/>
              </w:rPr>
            </w:pPr>
          </w:p>
        </w:tc>
        <w:tc>
          <w:tcPr>
            <w:tcW w:w="1120" w:type="dxa"/>
            <w:vAlign w:val="bottom"/>
          </w:tcPr>
          <w:p>
            <w:pPr>
              <w:jc w:val="center"/>
              <w:ind w:right="407"/>
              <w:spacing w:after="0" w:line="149" w:lineRule="exact"/>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2"/>
                <w:szCs w:val="12"/>
                <w:color w:val="auto"/>
              </w:rPr>
            </w:pPr>
          </w:p>
        </w:tc>
        <w:tc>
          <w:tcPr>
            <w:tcW w:w="186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from AOCI into Income</w:t>
            </w:r>
          </w:p>
        </w:tc>
        <w:tc>
          <w:tcPr>
            <w:tcW w:w="14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Effectiveness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5"/>
          </w:tcPr>
          <w:p>
            <w:pPr>
              <w:jc w:val="center"/>
              <w:ind w:right="272"/>
              <w:spacing w:after="0" w:line="149" w:lineRule="exact"/>
              <w:rPr>
                <w:sz w:val="20"/>
                <w:szCs w:val="20"/>
                <w:color w:val="auto"/>
              </w:rPr>
            </w:pPr>
            <w:r>
              <w:rPr>
                <w:rFonts w:ascii="Arial" w:cs="Arial" w:eastAsia="Arial" w:hAnsi="Arial"/>
                <w:sz w:val="14"/>
                <w:szCs w:val="14"/>
                <w:b w:val="1"/>
                <w:bCs w:val="1"/>
                <w:color w:val="auto"/>
                <w:w w:val="89"/>
              </w:rPr>
              <w:t>from</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Hedging Relationships</w:t>
            </w:r>
          </w:p>
        </w:tc>
        <w:tc>
          <w:tcPr>
            <w:tcW w:w="400" w:type="dxa"/>
            <w:vAlign w:val="bottom"/>
          </w:tcPr>
          <w:p>
            <w:pPr>
              <w:spacing w:after="0"/>
              <w:rPr>
                <w:sz w:val="12"/>
                <w:szCs w:val="12"/>
                <w:color w:val="auto"/>
              </w:rPr>
            </w:pPr>
          </w:p>
        </w:tc>
        <w:tc>
          <w:tcPr>
            <w:tcW w:w="1880" w:type="dxa"/>
            <w:vAlign w:val="bottom"/>
            <w:gridSpan w:val="4"/>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15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180" w:type="dxa"/>
            <w:vAlign w:val="bottom"/>
          </w:tcPr>
          <w:p>
            <w:pPr>
              <w:spacing w:after="0"/>
              <w:rPr>
                <w:sz w:val="12"/>
                <w:szCs w:val="12"/>
                <w:color w:val="auto"/>
              </w:rPr>
            </w:pPr>
          </w:p>
        </w:tc>
        <w:tc>
          <w:tcPr>
            <w:tcW w:w="1860" w:type="dxa"/>
            <w:vAlign w:val="bottom"/>
            <w:gridSpan w:val="6"/>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144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Testing)</w:t>
            </w:r>
          </w:p>
        </w:tc>
        <w:tc>
          <w:tcPr>
            <w:tcW w:w="100" w:type="dxa"/>
            <w:vAlign w:val="bottom"/>
          </w:tcPr>
          <w:p>
            <w:pPr>
              <w:spacing w:after="0"/>
              <w:rPr>
                <w:sz w:val="12"/>
                <w:szCs w:val="12"/>
                <w:color w:val="auto"/>
              </w:rPr>
            </w:pPr>
          </w:p>
        </w:tc>
        <w:tc>
          <w:tcPr>
            <w:tcW w:w="1640" w:type="dxa"/>
            <w:vAlign w:val="bottom"/>
            <w:gridSpan w:val="9"/>
          </w:tcPr>
          <w:p>
            <w:pPr>
              <w:jc w:val="center"/>
              <w:ind w:right="200"/>
              <w:spacing w:after="0" w:line="129" w:lineRule="exact"/>
              <w:rPr>
                <w:sz w:val="20"/>
                <w:szCs w:val="20"/>
                <w:color w:val="auto"/>
              </w:rPr>
            </w:pPr>
            <w:r>
              <w:rPr>
                <w:rFonts w:ascii="Arial" w:cs="Arial" w:eastAsia="Arial" w:hAnsi="Arial"/>
                <w:sz w:val="14"/>
                <w:szCs w:val="14"/>
                <w:b w:val="1"/>
                <w:bCs w:val="1"/>
                <w:color w:val="auto"/>
                <w:w w:val="83"/>
              </w:rPr>
              <w:t>Effectiveness Testing)</w:t>
            </w:r>
          </w:p>
        </w:tc>
        <w:tc>
          <w:tcPr>
            <w:tcW w:w="0" w:type="dxa"/>
            <w:vAlign w:val="bottom"/>
          </w:tcPr>
          <w:p>
            <w:pPr>
              <w:spacing w:after="0"/>
              <w:rPr>
                <w:sz w:val="1"/>
                <w:szCs w:val="1"/>
                <w:color w:val="auto"/>
              </w:rPr>
            </w:pPr>
          </w:p>
        </w:tc>
      </w:tr>
      <w:tr>
        <w:trPr>
          <w:trHeight w:val="20"/>
        </w:trPr>
        <w:tc>
          <w:tcPr>
            <w:tcW w:w="14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8"/>
                <w:szCs w:val="18"/>
                <w:color w:val="auto"/>
              </w:rPr>
            </w:pPr>
          </w:p>
        </w:tc>
        <w:tc>
          <w:tcPr>
            <w:tcW w:w="660" w:type="dxa"/>
            <w:vAlign w:val="bottom"/>
          </w:tcPr>
          <w:p>
            <w:pPr>
              <w:jc w:val="right"/>
              <w:ind w:right="122"/>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109"/>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center"/>
              <w:ind w:left="147"/>
              <w:spacing w:after="0"/>
              <w:rPr>
                <w:sz w:val="20"/>
                <w:szCs w:val="20"/>
                <w:color w:val="auto"/>
              </w:rPr>
            </w:pPr>
            <w:r>
              <w:rPr>
                <w:rFonts w:ascii="Arial" w:cs="Arial" w:eastAsia="Arial" w:hAnsi="Arial"/>
                <w:sz w:val="14"/>
                <w:szCs w:val="14"/>
                <w:b w:val="1"/>
                <w:bCs w:val="1"/>
                <w:color w:val="auto"/>
                <w:w w:val="83"/>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340" w:type="dxa"/>
            <w:vAlign w:val="bottom"/>
            <w:tcBorders>
              <w:top w:val="single" w:sz="8" w:color="CCEEFF"/>
            </w:tcBorders>
            <w:gridSpan w:val="3"/>
            <w:shd w:val="clear" w:color="auto" w:fill="CCEEFF"/>
          </w:tcPr>
          <w:p>
            <w:pPr>
              <w:spacing w:after="0" w:line="188" w:lineRule="exact"/>
              <w:rPr>
                <w:sz w:val="20"/>
                <w:szCs w:val="20"/>
                <w:color w:val="auto"/>
              </w:rPr>
            </w:pPr>
            <w:r>
              <w:rPr>
                <w:rFonts w:ascii="Arial" w:cs="Arial" w:eastAsia="Arial" w:hAnsi="Arial"/>
                <w:sz w:val="18"/>
                <w:szCs w:val="18"/>
                <w:color w:val="auto"/>
              </w:rPr>
              <w:t>Foreign exchange contracts</w:t>
            </w:r>
          </w:p>
        </w:tc>
        <w:tc>
          <w:tcPr>
            <w:tcW w:w="4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CCEEFF"/>
            </w:tcBorders>
            <w:gridSpan w:val="3"/>
            <w:shd w:val="clear" w:color="auto" w:fill="CCEEFF"/>
          </w:tcPr>
          <w:p>
            <w:pPr>
              <w:jc w:val="center"/>
              <w:ind w:right="200"/>
              <w:spacing w:after="0" w:line="188" w:lineRule="exact"/>
              <w:rPr>
                <w:sz w:val="20"/>
                <w:szCs w:val="20"/>
                <w:color w:val="auto"/>
              </w:rPr>
            </w:pPr>
            <w:r>
              <w:rPr>
                <w:rFonts w:ascii="Arial" w:cs="Arial" w:eastAsia="Arial" w:hAnsi="Arial"/>
                <w:sz w:val="18"/>
                <w:szCs w:val="18"/>
                <w:color w:val="auto"/>
                <w:w w:val="86"/>
              </w:rPr>
              <w:t>Foreign exchange</w:t>
            </w: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$(11,049)</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 (13,430)</w:t>
            </w:r>
          </w:p>
        </w:tc>
        <w:tc>
          <w:tcPr>
            <w:tcW w:w="1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Foreign exchange loss</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(1,144)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(4,882)</w:t>
            </w:r>
          </w:p>
        </w:tc>
        <w:tc>
          <w:tcPr>
            <w:tcW w:w="1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90"/>
              </w:rPr>
              <w:t>Amount of Gain/(Loss)</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6"/>
          </w:tcPr>
          <w:p>
            <w:pPr>
              <w:jc w:val="center"/>
              <w:ind w:left="189"/>
              <w:spacing w:after="0" w:line="149" w:lineRule="exact"/>
              <w:rPr>
                <w:sz w:val="20"/>
                <w:szCs w:val="20"/>
                <w:color w:val="auto"/>
              </w:rPr>
            </w:pPr>
            <w:r>
              <w:rPr>
                <w:rFonts w:ascii="Arial" w:cs="Arial" w:eastAsia="Arial" w:hAnsi="Arial"/>
                <w:sz w:val="14"/>
                <w:szCs w:val="14"/>
                <w:b w:val="1"/>
                <w:bCs w:val="1"/>
                <w:color w:val="auto"/>
                <w:w w:val="83"/>
              </w:rPr>
              <w:t>recognized</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6"/>
          </w:tcPr>
          <w:p>
            <w:pPr>
              <w:jc w:val="center"/>
              <w:ind w:left="189"/>
              <w:spacing w:after="0" w:line="149" w:lineRule="exact"/>
              <w:rPr>
                <w:sz w:val="20"/>
                <w:szCs w:val="20"/>
                <w:color w:val="auto"/>
              </w:rPr>
            </w:pPr>
            <w:r>
              <w:rPr>
                <w:rFonts w:ascii="Arial" w:cs="Arial" w:eastAsia="Arial" w:hAnsi="Arial"/>
                <w:sz w:val="14"/>
                <w:szCs w:val="14"/>
                <w:b w:val="1"/>
                <w:bCs w:val="1"/>
                <w:color w:val="auto"/>
                <w:w w:val="90"/>
              </w:rPr>
              <w:t>in Income on</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not designated</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auto"/>
            </w:tcBorders>
            <w:gridSpan w:val="6"/>
          </w:tcPr>
          <w:p>
            <w:pPr>
              <w:jc w:val="center"/>
              <w:ind w:left="169"/>
              <w:spacing w:after="0"/>
              <w:rPr>
                <w:sz w:val="20"/>
                <w:szCs w:val="20"/>
                <w:color w:val="auto"/>
              </w:rPr>
            </w:pPr>
            <w:r>
              <w:rPr>
                <w:rFonts w:ascii="Arial" w:cs="Arial" w:eastAsia="Arial" w:hAnsi="Arial"/>
                <w:sz w:val="14"/>
                <w:szCs w:val="14"/>
                <w:b w:val="1"/>
                <w:bCs w:val="1"/>
                <w:color w:val="auto"/>
                <w:w w:val="85"/>
              </w:rPr>
              <w:t>Derivatives</w:t>
            </w:r>
          </w:p>
        </w:tc>
        <w:tc>
          <w:tcPr>
            <w:tcW w:w="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34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 Hedging</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80" w:type="dxa"/>
            <w:vAlign w:val="bottom"/>
            <w:gridSpan w:val="10"/>
          </w:tcPr>
          <w:p>
            <w:pPr>
              <w:jc w:val="center"/>
              <w:ind w:right="1240"/>
              <w:spacing w:after="0" w:line="149" w:lineRule="exact"/>
              <w:rPr>
                <w:sz w:val="20"/>
                <w:szCs w:val="20"/>
                <w:color w:val="auto"/>
              </w:rPr>
            </w:pPr>
            <w:r>
              <w:rPr>
                <w:rFonts w:ascii="Arial" w:cs="Arial" w:eastAsia="Arial" w:hAnsi="Arial"/>
                <w:sz w:val="14"/>
                <w:szCs w:val="14"/>
                <w:b w:val="1"/>
                <w:bCs w:val="1"/>
                <w:color w:val="auto"/>
                <w:w w:val="86"/>
              </w:rPr>
              <w:t>Location of Gain/(Loss) recognized in</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Instruments</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6"/>
          </w:tcPr>
          <w:p>
            <w:pPr>
              <w:jc w:val="center"/>
              <w:spacing w:after="0" w:line="141" w:lineRule="exact"/>
              <w:rPr>
                <w:sz w:val="20"/>
                <w:szCs w:val="20"/>
                <w:color w:val="auto"/>
              </w:rPr>
            </w:pPr>
            <w:r>
              <w:rPr>
                <w:rFonts w:ascii="Arial" w:cs="Arial" w:eastAsia="Arial" w:hAnsi="Arial"/>
                <w:sz w:val="14"/>
                <w:szCs w:val="14"/>
                <w:b w:val="1"/>
                <w:bCs w:val="1"/>
                <w:color w:val="auto"/>
                <w:w w:val="87"/>
              </w:rPr>
              <w:t>Income on Derivatives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29"/>
              <w:spacing w:after="0" w:line="141"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center"/>
              <w:ind w:left="167"/>
              <w:spacing w:after="0" w:line="141"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Foreign exchange contracts</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100" w:type="dxa"/>
            <w:vAlign w:val="bottom"/>
            <w:gridSpan w:val="4"/>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w w:val="85"/>
              </w:rPr>
              <w:t>Foreign exchange loss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7"/>
              </w:rPr>
              <w:t>$ (4,837)</w:t>
            </w: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620" w:type="dxa"/>
            <w:vAlign w:val="bottom"/>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w w:val="85"/>
              </w:rPr>
              <w:t>$ (2,596)</w:t>
            </w:r>
          </w:p>
        </w:tc>
        <w:tc>
          <w:tcPr>
            <w:tcW w:w="1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2"/>
          </w:tcPr>
          <w:p>
            <w:pPr>
              <w:jc w:val="right"/>
              <w:ind w:right="327"/>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six months ended June 30, 2013 and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Gain/(Loss)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Recognized</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 Income on</w:t>
            </w:r>
          </w:p>
        </w:tc>
        <w:tc>
          <w:tcPr>
            <w:tcW w:w="160" w:type="dxa"/>
            <w:vAlign w:val="bottom"/>
          </w:tcPr>
          <w:p>
            <w:pPr>
              <w:spacing w:after="0"/>
              <w:rPr>
                <w:sz w:val="12"/>
                <w:szCs w:val="12"/>
                <w:color w:val="auto"/>
              </w:rPr>
            </w:pPr>
          </w:p>
        </w:tc>
        <w:tc>
          <w:tcPr>
            <w:tcW w:w="14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Location of</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Derivative</w:t>
            </w:r>
          </w:p>
        </w:tc>
        <w:tc>
          <w:tcPr>
            <w:tcW w:w="160" w:type="dxa"/>
            <w:vAlign w:val="bottom"/>
          </w:tcPr>
          <w:p>
            <w:pPr>
              <w:spacing w:after="0"/>
              <w:rPr>
                <w:sz w:val="12"/>
                <w:szCs w:val="12"/>
                <w:color w:val="auto"/>
              </w:rPr>
            </w:pPr>
          </w:p>
        </w:tc>
        <w:tc>
          <w:tcPr>
            <w:tcW w:w="14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Gain/(Loss)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Gain/(Loss)</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(Ineffective</w:t>
            </w:r>
          </w:p>
        </w:tc>
        <w:tc>
          <w:tcPr>
            <w:tcW w:w="160" w:type="dxa"/>
            <w:vAlign w:val="bottom"/>
          </w:tcPr>
          <w:p>
            <w:pPr>
              <w:spacing w:after="0"/>
              <w:rPr>
                <w:sz w:val="12"/>
                <w:szCs w:val="12"/>
                <w:color w:val="auto"/>
              </w:rPr>
            </w:pPr>
          </w:p>
        </w:tc>
        <w:tc>
          <w:tcPr>
            <w:tcW w:w="14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Portion and</w:t>
            </w:r>
          </w:p>
        </w:tc>
        <w:tc>
          <w:tcPr>
            <w:tcW w:w="160" w:type="dxa"/>
            <w:vAlign w:val="bottom"/>
          </w:tcPr>
          <w:p>
            <w:pPr>
              <w:spacing w:after="0"/>
              <w:rPr>
                <w:sz w:val="12"/>
                <w:szCs w:val="12"/>
                <w:color w:val="auto"/>
              </w:rPr>
            </w:pPr>
          </w:p>
        </w:tc>
        <w:tc>
          <w:tcPr>
            <w:tcW w:w="14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Income on Derivative</w:t>
            </w:r>
          </w:p>
        </w:tc>
        <w:tc>
          <w:tcPr>
            <w:tcW w:w="0" w:type="dxa"/>
            <w:vAlign w:val="bottom"/>
          </w:tcPr>
          <w:p>
            <w:pPr>
              <w:spacing w:after="0"/>
              <w:rPr>
                <w:sz w:val="1"/>
                <w:szCs w:val="1"/>
                <w:color w:val="auto"/>
              </w:rPr>
            </w:pPr>
          </w:p>
        </w:tc>
      </w:tr>
      <w:tr>
        <w:trPr>
          <w:trHeight w:val="149"/>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from</w:t>
            </w:r>
          </w:p>
        </w:tc>
        <w:tc>
          <w:tcPr>
            <w:tcW w:w="1080" w:type="dxa"/>
            <w:vAlign w:val="bottom"/>
            <w:gridSpan w:val="3"/>
          </w:tcPr>
          <w:p>
            <w:pPr>
              <w:jc w:val="center"/>
              <w:ind w:left="390"/>
              <w:spacing w:after="0" w:line="149" w:lineRule="exact"/>
              <w:rPr>
                <w:sz w:val="20"/>
                <w:szCs w:val="20"/>
                <w:color w:val="auto"/>
              </w:rPr>
            </w:pPr>
            <w:r>
              <w:rPr>
                <w:rFonts w:ascii="Arial" w:cs="Arial" w:eastAsia="Arial" w:hAnsi="Arial"/>
                <w:sz w:val="14"/>
                <w:szCs w:val="14"/>
                <w:b w:val="1"/>
                <w:bCs w:val="1"/>
                <w:color w:val="auto"/>
                <w:w w:val="88"/>
              </w:rPr>
              <w:t>Amount of</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4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(Ineffective Portion</w:t>
            </w:r>
          </w:p>
        </w:tc>
        <w:tc>
          <w:tcPr>
            <w:tcW w:w="0" w:type="dxa"/>
            <w:vAlign w:val="bottom"/>
          </w:tcPr>
          <w:p>
            <w:pPr>
              <w:spacing w:after="0"/>
              <w:rPr>
                <w:sz w:val="1"/>
                <w:szCs w:val="1"/>
                <w:color w:val="auto"/>
              </w:rPr>
            </w:pPr>
          </w:p>
        </w:tc>
      </w:tr>
      <w:tr>
        <w:trPr>
          <w:trHeight w:val="134"/>
        </w:trPr>
        <w:tc>
          <w:tcPr>
            <w:tcW w:w="426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AOCI into</w:t>
            </w:r>
          </w:p>
        </w:tc>
        <w:tc>
          <w:tcPr>
            <w:tcW w:w="1820" w:type="dxa"/>
            <w:vAlign w:val="bottom"/>
            <w:gridSpan w:val="5"/>
          </w:tcPr>
          <w:p>
            <w:pPr>
              <w:jc w:val="center"/>
              <w:ind w:right="280"/>
              <w:spacing w:after="0" w:line="135" w:lineRule="exact"/>
              <w:rPr>
                <w:sz w:val="20"/>
                <w:szCs w:val="20"/>
                <w:color w:val="auto"/>
              </w:rPr>
            </w:pPr>
            <w:r>
              <w:rPr>
                <w:rFonts w:ascii="Arial" w:cs="Arial" w:eastAsia="Arial" w:hAnsi="Arial"/>
                <w:sz w:val="14"/>
                <w:szCs w:val="14"/>
                <w:b w:val="1"/>
                <w:bCs w:val="1"/>
                <w:color w:val="auto"/>
                <w:w w:val="87"/>
              </w:rPr>
              <w:t>Gain/(Loss) Reclassified</w:t>
            </w: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Excluded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3"/>
          </w:tcPr>
          <w:p>
            <w:pPr>
              <w:jc w:val="center"/>
              <w:ind w:right="600"/>
              <w:spacing w:after="0" w:line="135"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Cash Flow</w:t>
            </w:r>
          </w:p>
        </w:tc>
        <w:tc>
          <w:tcPr>
            <w:tcW w:w="2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Amount of Gain/(Loss)</w:t>
            </w: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Income</w:t>
            </w:r>
          </w:p>
        </w:tc>
        <w:tc>
          <w:tcPr>
            <w:tcW w:w="18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from AOCI into</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160" w:type="dxa"/>
            <w:vAlign w:val="bottom"/>
          </w:tcPr>
          <w:p>
            <w:pPr>
              <w:spacing w:after="0"/>
              <w:rPr>
                <w:sz w:val="12"/>
                <w:szCs w:val="12"/>
                <w:color w:val="auto"/>
              </w:rPr>
            </w:pPr>
          </w:p>
        </w:tc>
        <w:tc>
          <w:tcPr>
            <w:tcW w:w="14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Amount Excluded</w:t>
            </w: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Hedging</w:t>
            </w:r>
          </w:p>
        </w:tc>
        <w:tc>
          <w:tcPr>
            <w:tcW w:w="2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Recognized in AOCI on</w:t>
            </w:r>
          </w:p>
        </w:tc>
        <w:tc>
          <w:tcPr>
            <w:tcW w:w="10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(Effective</w:t>
            </w:r>
          </w:p>
        </w:tc>
        <w:tc>
          <w:tcPr>
            <w:tcW w:w="18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Income (Effective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2000" w:type="dxa"/>
            <w:vAlign w:val="bottom"/>
            <w:gridSpan w:val="4"/>
          </w:tcPr>
          <w:p>
            <w:pPr>
              <w:ind w:left="60"/>
              <w:spacing w:after="0" w:line="129" w:lineRule="exact"/>
              <w:rPr>
                <w:sz w:val="20"/>
                <w:szCs w:val="20"/>
                <w:color w:val="auto"/>
              </w:rPr>
            </w:pPr>
            <w:r>
              <w:rPr>
                <w:rFonts w:ascii="Arial" w:cs="Arial" w:eastAsia="Arial" w:hAnsi="Arial"/>
                <w:sz w:val="14"/>
                <w:szCs w:val="14"/>
                <w:b w:val="1"/>
                <w:bCs w:val="1"/>
                <w:color w:val="auto"/>
              </w:rPr>
              <w:t>Derivative (Effective Portion)</w:t>
            </w:r>
          </w:p>
        </w:tc>
        <w:tc>
          <w:tcPr>
            <w:tcW w:w="100" w:type="dxa"/>
            <w:vAlign w:val="bottom"/>
          </w:tcPr>
          <w:p>
            <w:pPr>
              <w:spacing w:after="0"/>
              <w:rPr>
                <w:sz w:val="12"/>
                <w:szCs w:val="12"/>
                <w:color w:val="auto"/>
              </w:rPr>
            </w:pPr>
          </w:p>
        </w:tc>
        <w:tc>
          <w:tcPr>
            <w:tcW w:w="8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Portion)</w:t>
            </w:r>
          </w:p>
        </w:tc>
        <w:tc>
          <w:tcPr>
            <w:tcW w:w="1080" w:type="dxa"/>
            <w:vAlign w:val="bottom"/>
            <w:gridSpan w:val="3"/>
          </w:tcPr>
          <w:p>
            <w:pPr>
              <w:jc w:val="center"/>
              <w:ind w:left="370"/>
              <w:spacing w:after="0" w:line="129" w:lineRule="exact"/>
              <w:rPr>
                <w:sz w:val="20"/>
                <w:szCs w:val="20"/>
                <w:color w:val="auto"/>
              </w:rPr>
            </w:pPr>
            <w:r>
              <w:rPr>
                <w:rFonts w:ascii="Arial" w:cs="Arial" w:eastAsia="Arial" w:hAnsi="Arial"/>
                <w:sz w:val="14"/>
                <w:szCs w:val="14"/>
                <w:b w:val="1"/>
                <w:bCs w:val="1"/>
                <w:color w:val="auto"/>
                <w:w w:val="89"/>
              </w:rPr>
              <w:t>Portion)</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Testing)</w:t>
            </w:r>
          </w:p>
        </w:tc>
        <w:tc>
          <w:tcPr>
            <w:tcW w:w="160" w:type="dxa"/>
            <w:vAlign w:val="bottom"/>
          </w:tcPr>
          <w:p>
            <w:pPr>
              <w:spacing w:after="0"/>
              <w:rPr>
                <w:sz w:val="12"/>
                <w:szCs w:val="12"/>
                <w:color w:val="auto"/>
              </w:rPr>
            </w:pPr>
          </w:p>
        </w:tc>
        <w:tc>
          <w:tcPr>
            <w:tcW w:w="1440" w:type="dxa"/>
            <w:vAlign w:val="bottom"/>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83"/>
              </w:rPr>
              <w:t>Effectiveness Testing)</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8"/>
                <w:szCs w:val="18"/>
                <w:color w:val="auto"/>
              </w:rPr>
            </w:pPr>
          </w:p>
        </w:tc>
        <w:tc>
          <w:tcPr>
            <w:tcW w:w="780" w:type="dxa"/>
            <w:vAlign w:val="bottom"/>
          </w:tcPr>
          <w:p>
            <w:pPr>
              <w:jc w:val="right"/>
              <w:ind w:right="18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8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40" w:type="dxa"/>
            <w:vAlign w:val="bottom"/>
            <w:tcBorders>
              <w:top w:val="single" w:sz="8" w:color="CCEEFF"/>
            </w:tcBorders>
            <w:shd w:val="clear" w:color="auto" w:fill="CCEEFF"/>
          </w:tcPr>
          <w:p>
            <w:pPr>
              <w:spacing w:after="0"/>
              <w:rPr>
                <w:sz w:val="16"/>
                <w:szCs w:val="16"/>
                <w:color w:val="auto"/>
              </w:rPr>
            </w:pPr>
          </w:p>
        </w:tc>
        <w:tc>
          <w:tcPr>
            <w:tcW w:w="34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gridSpan w:val="3"/>
            <w:shd w:val="clear" w:color="auto" w:fill="CCEEFF"/>
          </w:tcPr>
          <w:p>
            <w:pPr>
              <w:ind w:left="100"/>
              <w:spacing w:after="0" w:line="188" w:lineRule="exact"/>
              <w:rPr>
                <w:sz w:val="20"/>
                <w:szCs w:val="20"/>
                <w:color w:val="auto"/>
              </w:rPr>
            </w:pPr>
            <w:r>
              <w:rPr>
                <w:rFonts w:ascii="Arial" w:cs="Arial" w:eastAsia="Arial" w:hAnsi="Arial"/>
                <w:sz w:val="18"/>
                <w:szCs w:val="18"/>
                <w:color w:val="auto"/>
              </w:rPr>
              <w:t>Foreign</w:t>
            </w:r>
          </w:p>
        </w:tc>
        <w:tc>
          <w:tcPr>
            <w:tcW w:w="6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Foreign</w:t>
            </w: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exchange</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4"/>
              </w:rPr>
              <w:t>exchange</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(8,976)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(5,121)</w:t>
            </w:r>
          </w:p>
        </w:tc>
        <w:tc>
          <w:tcPr>
            <w:tcW w:w="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loss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(2,498)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(5,263)</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6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ind w:left="48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6"/>
          </w:tcPr>
          <w:p>
            <w:pPr>
              <w:ind w:left="100"/>
              <w:spacing w:after="0" w:line="149" w:lineRule="exact"/>
              <w:rPr>
                <w:sz w:val="20"/>
                <w:szCs w:val="20"/>
                <w:color w:val="auto"/>
              </w:rPr>
            </w:pPr>
            <w:r>
              <w:rPr>
                <w:rFonts w:ascii="Arial" w:cs="Arial" w:eastAsia="Arial" w:hAnsi="Arial"/>
                <w:sz w:val="14"/>
                <w:szCs w:val="14"/>
                <w:b w:val="1"/>
                <w:bCs w:val="1"/>
                <w:color w:val="auto"/>
              </w:rPr>
              <w:t>Gain/(Loss) Recognized</w:t>
            </w:r>
          </w:p>
        </w:tc>
        <w:tc>
          <w:tcPr>
            <w:tcW w:w="0" w:type="dxa"/>
            <w:vAlign w:val="bottom"/>
          </w:tcPr>
          <w:p>
            <w:pPr>
              <w:spacing w:after="0"/>
              <w:rPr>
                <w:sz w:val="1"/>
                <w:szCs w:val="1"/>
                <w:color w:val="auto"/>
              </w:rPr>
            </w:pPr>
          </w:p>
        </w:tc>
      </w:tr>
      <w:tr>
        <w:trPr>
          <w:trHeight w:val="161"/>
        </w:trPr>
        <w:tc>
          <w:tcPr>
            <w:tcW w:w="57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Derivatives not designated</w:t>
            </w:r>
          </w:p>
        </w:tc>
        <w:tc>
          <w:tcPr>
            <w:tcW w:w="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ind w:left="80"/>
              <w:spacing w:after="0"/>
              <w:rPr>
                <w:sz w:val="20"/>
                <w:szCs w:val="20"/>
                <w:color w:val="auto"/>
              </w:rPr>
            </w:pPr>
            <w:r>
              <w:rPr>
                <w:rFonts w:ascii="Arial" w:cs="Arial" w:eastAsia="Arial" w:hAnsi="Arial"/>
                <w:sz w:val="14"/>
                <w:szCs w:val="14"/>
                <w:b w:val="1"/>
                <w:bCs w:val="1"/>
                <w:color w:val="auto"/>
              </w:rPr>
              <w:t>in Income on Derivatives</w:t>
            </w:r>
          </w:p>
        </w:tc>
        <w:tc>
          <w:tcPr>
            <w:tcW w:w="0" w:type="dxa"/>
            <w:vAlign w:val="bottom"/>
          </w:tcPr>
          <w:p>
            <w:pPr>
              <w:spacing w:after="0"/>
              <w:rPr>
                <w:sz w:val="1"/>
                <w:szCs w:val="1"/>
                <w:color w:val="auto"/>
              </w:rPr>
            </w:pPr>
          </w:p>
        </w:tc>
      </w:tr>
      <w:tr>
        <w:trPr>
          <w:trHeight w:val="129"/>
        </w:trPr>
        <w:tc>
          <w:tcPr>
            <w:tcW w:w="5780" w:type="dxa"/>
            <w:vAlign w:val="bottom"/>
            <w:gridSpan w:val="4"/>
            <w:vMerge w:val="continue"/>
          </w:tcPr>
          <w:p>
            <w:pPr>
              <w:spacing w:after="0"/>
              <w:rPr>
                <w:sz w:val="11"/>
                <w:szCs w:val="11"/>
                <w:color w:val="auto"/>
              </w:rPr>
            </w:pPr>
          </w:p>
        </w:tc>
        <w:tc>
          <w:tcPr>
            <w:tcW w:w="920" w:type="dxa"/>
            <w:vAlign w:val="bottom"/>
          </w:tcPr>
          <w:p>
            <w:pPr>
              <w:spacing w:after="0"/>
              <w:rPr>
                <w:sz w:val="11"/>
                <w:szCs w:val="11"/>
                <w:color w:val="auto"/>
              </w:rPr>
            </w:pPr>
          </w:p>
        </w:tc>
        <w:tc>
          <w:tcPr>
            <w:tcW w:w="1700" w:type="dxa"/>
            <w:vAlign w:val="bottom"/>
            <w:gridSpan w:val="3"/>
          </w:tcPr>
          <w:p>
            <w:pPr>
              <w:jc w:val="center"/>
              <w:ind w:right="23"/>
              <w:spacing w:after="0" w:line="129" w:lineRule="exact"/>
              <w:rPr>
                <w:sz w:val="20"/>
                <w:szCs w:val="20"/>
                <w:color w:val="auto"/>
              </w:rPr>
            </w:pPr>
            <w:r>
              <w:rPr>
                <w:rFonts w:ascii="Arial" w:cs="Arial" w:eastAsia="Arial" w:hAnsi="Arial"/>
                <w:sz w:val="14"/>
                <w:szCs w:val="14"/>
                <w:b w:val="1"/>
                <w:bCs w:val="1"/>
                <w:color w:val="auto"/>
                <w:w w:val="87"/>
              </w:rPr>
              <w:t>Location of Gain or (Loss)</w:t>
            </w: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80" w:type="dxa"/>
            <w:vAlign w:val="bottom"/>
            <w:gridSpan w:val="4"/>
          </w:tcPr>
          <w:p>
            <w:pPr>
              <w:ind w:left="460"/>
              <w:spacing w:after="0" w:line="149" w:lineRule="exact"/>
              <w:rPr>
                <w:sz w:val="20"/>
                <w:szCs w:val="20"/>
                <w:color w:val="auto"/>
              </w:rPr>
            </w:pPr>
            <w:r>
              <w:rPr>
                <w:rFonts w:ascii="Arial" w:cs="Arial" w:eastAsia="Arial" w:hAnsi="Arial"/>
                <w:sz w:val="14"/>
                <w:szCs w:val="14"/>
                <w:b w:val="1"/>
                <w:bCs w:val="1"/>
                <w:color w:val="auto"/>
              </w:rPr>
              <w:t>as Hedging</w:t>
            </w:r>
          </w:p>
        </w:tc>
        <w:tc>
          <w:tcPr>
            <w:tcW w:w="920" w:type="dxa"/>
            <w:vAlign w:val="bottom"/>
          </w:tcPr>
          <w:p>
            <w:pPr>
              <w:spacing w:after="0"/>
              <w:rPr>
                <w:sz w:val="12"/>
                <w:szCs w:val="12"/>
                <w:color w:val="auto"/>
              </w:rPr>
            </w:pPr>
          </w:p>
        </w:tc>
        <w:tc>
          <w:tcPr>
            <w:tcW w:w="1700" w:type="dxa"/>
            <w:vAlign w:val="bottom"/>
            <w:gridSpan w:val="3"/>
          </w:tcPr>
          <w:p>
            <w:pPr>
              <w:jc w:val="center"/>
              <w:ind w:right="63"/>
              <w:spacing w:after="0" w:line="149" w:lineRule="exact"/>
              <w:rPr>
                <w:sz w:val="20"/>
                <w:szCs w:val="20"/>
                <w:color w:val="auto"/>
              </w:rPr>
            </w:pPr>
            <w:r>
              <w:rPr>
                <w:rFonts w:ascii="Arial" w:cs="Arial" w:eastAsia="Arial" w:hAnsi="Arial"/>
                <w:sz w:val="14"/>
                <w:szCs w:val="14"/>
                <w:b w:val="1"/>
                <w:bCs w:val="1"/>
                <w:color w:val="auto"/>
                <w:w w:val="85"/>
              </w:rPr>
              <w:t>Recognized in Income on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gridSpan w:val="4"/>
          </w:tcPr>
          <w:p>
            <w:pPr>
              <w:ind w:left="460"/>
              <w:spacing w:after="0" w:line="129" w:lineRule="exact"/>
              <w:rPr>
                <w:sz w:val="20"/>
                <w:szCs w:val="20"/>
                <w:color w:val="auto"/>
              </w:rPr>
            </w:pPr>
            <w:r>
              <w:rPr>
                <w:rFonts w:ascii="Arial" w:cs="Arial" w:eastAsia="Arial" w:hAnsi="Arial"/>
                <w:sz w:val="14"/>
                <w:szCs w:val="14"/>
                <w:b w:val="1"/>
                <w:bCs w:val="1"/>
                <w:color w:val="auto"/>
              </w:rPr>
              <w:t>Instruments</w:t>
            </w:r>
          </w:p>
        </w:tc>
        <w:tc>
          <w:tcPr>
            <w:tcW w:w="920" w:type="dxa"/>
            <w:vAlign w:val="bottom"/>
          </w:tcPr>
          <w:p>
            <w:pPr>
              <w:spacing w:after="0"/>
              <w:rPr>
                <w:sz w:val="12"/>
                <w:szCs w:val="12"/>
                <w:color w:val="auto"/>
              </w:rPr>
            </w:pPr>
          </w:p>
        </w:tc>
        <w:tc>
          <w:tcPr>
            <w:tcW w:w="1700" w:type="dxa"/>
            <w:vAlign w:val="bottom"/>
            <w:gridSpan w:val="3"/>
          </w:tcPr>
          <w:p>
            <w:pPr>
              <w:jc w:val="center"/>
              <w:ind w:right="23"/>
              <w:spacing w:after="0" w:line="129" w:lineRule="exact"/>
              <w:rPr>
                <w:sz w:val="20"/>
                <w:szCs w:val="20"/>
                <w:color w:val="auto"/>
              </w:rPr>
            </w:pPr>
            <w:r>
              <w:rPr>
                <w:rFonts w:ascii="Arial" w:cs="Arial" w:eastAsia="Arial" w:hAnsi="Arial"/>
                <w:sz w:val="14"/>
                <w:szCs w:val="14"/>
                <w:b w:val="1"/>
                <w:bCs w:val="1"/>
                <w:color w:val="auto"/>
                <w:w w:val="85"/>
              </w:rPr>
              <w:t>Derivatives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10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 w:type="dxa"/>
            <w:vAlign w:val="bottom"/>
          </w:tcPr>
          <w:p>
            <w:pPr>
              <w:spacing w:after="0"/>
              <w:rPr>
                <w:sz w:val="17"/>
                <w:szCs w:val="17"/>
                <w:color w:val="auto"/>
              </w:rPr>
            </w:pPr>
          </w:p>
        </w:tc>
        <w:tc>
          <w:tcPr>
            <w:tcW w:w="53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Foreign exchange contracts</w:t>
            </w:r>
          </w:p>
        </w:tc>
        <w:tc>
          <w:tcPr>
            <w:tcW w:w="92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Foreign exchange loss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w w:val="70"/>
              </w:rPr>
              <w:t>(2,539)</w:t>
            </w: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302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5780" w:type="dxa"/>
            <w:vAlign w:val="bottom"/>
            <w:gridSpan w:val="4"/>
          </w:tcPr>
          <w:p>
            <w:pPr>
              <w:spacing w:after="0"/>
              <w:rPr>
                <w:sz w:val="20"/>
                <w:szCs w:val="20"/>
                <w:color w:val="auto"/>
              </w:rPr>
            </w:pPr>
            <w:r>
              <w:rPr>
                <w:rFonts w:ascii="Arial" w:cs="Arial" w:eastAsia="Arial" w:hAnsi="Arial"/>
                <w:sz w:val="18"/>
                <w:szCs w:val="18"/>
                <w:b w:val="1"/>
                <w:bCs w:val="1"/>
                <w:color w:val="auto"/>
              </w:rPr>
              <w:t>8. Fixed Assets</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0" w:type="dxa"/>
            <w:vAlign w:val="bottom"/>
            <w:gridSpan w:val="8"/>
          </w:tcPr>
          <w:p>
            <w:pPr>
              <w:ind w:left="460"/>
              <w:spacing w:after="0"/>
              <w:rPr>
                <w:sz w:val="20"/>
                <w:szCs w:val="20"/>
                <w:color w:val="auto"/>
              </w:rPr>
            </w:pPr>
            <w:r>
              <w:rPr>
                <w:rFonts w:ascii="Arial" w:cs="Arial" w:eastAsia="Arial" w:hAnsi="Arial"/>
                <w:sz w:val="18"/>
                <w:szCs w:val="18"/>
                <w:color w:val="auto"/>
              </w:rPr>
              <w:t>The components of fixed assets, net of accumulated depreciation, consisted of the following:</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24"/>
                <w:szCs w:val="2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Owned Assets:</w:t>
            </w:r>
          </w:p>
        </w:tc>
        <w:tc>
          <w:tcPr>
            <w:tcW w:w="9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2"/>
          </w:tcPr>
          <w:p>
            <w:pPr>
              <w:ind w:left="440"/>
              <w:spacing w:after="0"/>
              <w:rPr>
                <w:sz w:val="20"/>
                <w:szCs w:val="20"/>
                <w:color w:val="auto"/>
              </w:rPr>
            </w:pPr>
            <w:r>
              <w:rPr>
                <w:rFonts w:ascii="Arial" w:cs="Arial" w:eastAsia="Arial" w:hAnsi="Arial"/>
                <w:sz w:val="18"/>
                <w:szCs w:val="18"/>
                <w:color w:val="auto"/>
              </w:rPr>
              <w:t>Network equipment, computers and software</w:t>
            </w:r>
          </w:p>
        </w:tc>
        <w:tc>
          <w:tcPr>
            <w:tcW w:w="26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62,998</w:t>
            </w:r>
          </w:p>
        </w:tc>
        <w:tc>
          <w:tcPr>
            <w:tcW w:w="100" w:type="dxa"/>
            <w:vAlign w:val="bottom"/>
          </w:tcPr>
          <w:p>
            <w:pPr>
              <w:spacing w:after="0"/>
              <w:rPr>
                <w:sz w:val="18"/>
                <w:szCs w:val="18"/>
                <w:color w:val="auto"/>
              </w:rPr>
            </w:pP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
              <w:spacing w:after="0"/>
              <w:rPr>
                <w:sz w:val="20"/>
                <w:szCs w:val="20"/>
                <w:color w:val="auto"/>
              </w:rPr>
            </w:pPr>
            <w:r>
              <w:rPr>
                <w:rFonts w:ascii="Arial" w:cs="Arial" w:eastAsia="Arial" w:hAnsi="Arial"/>
                <w:sz w:val="18"/>
                <w:szCs w:val="18"/>
                <w:color w:val="auto"/>
              </w:rPr>
              <w:t>62,580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Buildings</w:t>
            </w:r>
          </w:p>
        </w:tc>
        <w:tc>
          <w:tcPr>
            <w:tcW w:w="9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1,447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2"/>
          </w:tcPr>
          <w:p>
            <w:pPr>
              <w:ind w:left="440"/>
              <w:spacing w:after="0"/>
              <w:rPr>
                <w:sz w:val="20"/>
                <w:szCs w:val="20"/>
                <w:color w:val="auto"/>
              </w:rPr>
            </w:pPr>
            <w:r>
              <w:rPr>
                <w:rFonts w:ascii="Arial" w:cs="Arial" w:eastAsia="Arial" w:hAnsi="Arial"/>
                <w:sz w:val="18"/>
                <w:szCs w:val="18"/>
                <w:color w:val="auto"/>
              </w:rPr>
              <w:t>Land</w:t>
            </w: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8"/>
                <w:szCs w:val="18"/>
                <w:color w:val="auto"/>
              </w:rPr>
              <w:t>946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Leasehold improvements</w:t>
            </w:r>
          </w:p>
        </w:tc>
        <w:tc>
          <w:tcPr>
            <w:tcW w:w="9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22,941</w:t>
            </w: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23,919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2"/>
          </w:tcPr>
          <w:p>
            <w:pPr>
              <w:ind w:left="440"/>
              <w:spacing w:after="0"/>
              <w:rPr>
                <w:sz w:val="20"/>
                <w:szCs w:val="20"/>
                <w:color w:val="auto"/>
              </w:rPr>
            </w:pPr>
            <w:r>
              <w:rPr>
                <w:rFonts w:ascii="Arial" w:cs="Arial" w:eastAsia="Arial" w:hAnsi="Arial"/>
                <w:sz w:val="18"/>
                <w:szCs w:val="18"/>
                <w:color w:val="auto"/>
              </w:rPr>
              <w:t>Office furniture and equipment</w:t>
            </w: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10,534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8"/>
                <w:szCs w:val="18"/>
                <w:color w:val="auto"/>
              </w:rPr>
              <w:t>10,695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Motor vehicles</w:t>
            </w:r>
          </w:p>
        </w:tc>
        <w:tc>
          <w:tcPr>
            <w:tcW w:w="9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638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60" w:type="dxa"/>
            <w:vAlign w:val="bottom"/>
            <w:gridSpan w:val="2"/>
          </w:tcPr>
          <w:p>
            <w:pPr>
              <w:ind w:left="440"/>
              <w:spacing w:after="0"/>
              <w:rPr>
                <w:sz w:val="20"/>
                <w:szCs w:val="20"/>
                <w:color w:val="auto"/>
              </w:rPr>
            </w:pPr>
            <w:r>
              <w:rPr>
                <w:rFonts w:ascii="Arial" w:cs="Arial" w:eastAsia="Arial" w:hAnsi="Arial"/>
                <w:sz w:val="18"/>
                <w:szCs w:val="18"/>
                <w:color w:val="auto"/>
              </w:rPr>
              <w:t>Capital work in progress</w:t>
            </w:r>
          </w:p>
        </w:tc>
        <w:tc>
          <w:tcPr>
            <w:tcW w:w="9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101,307</w:t>
            </w: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5"/>
              </w:rPr>
              <w:t>101,932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2"/>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(67,786)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(65,581)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33,521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36,351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Assets under capital leases:</w:t>
            </w:r>
          </w:p>
        </w:tc>
        <w:tc>
          <w:tcPr>
            <w:tcW w:w="9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Network equipment, computers and software</w:t>
            </w:r>
          </w:p>
        </w:tc>
        <w:tc>
          <w:tcPr>
            <w:tcW w:w="2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361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2"/>
          </w:tcPr>
          <w:p>
            <w:pPr>
              <w:ind w:left="440"/>
              <w:spacing w:after="0"/>
              <w:rPr>
                <w:sz w:val="20"/>
                <w:szCs w:val="20"/>
                <w:color w:val="auto"/>
              </w:rPr>
            </w:pPr>
            <w:r>
              <w:rPr>
                <w:rFonts w:ascii="Arial" w:cs="Arial" w:eastAsia="Arial" w:hAnsi="Arial"/>
                <w:sz w:val="18"/>
                <w:szCs w:val="18"/>
                <w:color w:val="auto"/>
              </w:rPr>
              <w:t>Leasehold improvements</w:t>
            </w: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8"/>
                <w:szCs w:val="18"/>
                <w:color w:val="auto"/>
              </w:rPr>
              <w:t>2,454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Office furniture and equipment</w:t>
            </w:r>
          </w:p>
        </w:tc>
        <w:tc>
          <w:tcPr>
            <w:tcW w:w="9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1,432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60" w:type="dxa"/>
            <w:vAlign w:val="bottom"/>
            <w:gridSpan w:val="2"/>
          </w:tcPr>
          <w:p>
            <w:pPr>
              <w:ind w:left="440"/>
              <w:spacing w:after="0"/>
              <w:rPr>
                <w:sz w:val="20"/>
                <w:szCs w:val="20"/>
                <w:color w:val="auto"/>
              </w:rPr>
            </w:pPr>
            <w:r>
              <w:rPr>
                <w:rFonts w:ascii="Arial" w:cs="Arial" w:eastAsia="Arial" w:hAnsi="Arial"/>
                <w:sz w:val="18"/>
                <w:szCs w:val="18"/>
                <w:color w:val="auto"/>
              </w:rPr>
              <w:t>Motor vehicles</w:t>
            </w:r>
          </w:p>
        </w:tc>
        <w:tc>
          <w:tcPr>
            <w:tcW w:w="9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5,201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2"/>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(2,640)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(2,196)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3,005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60" w:type="dxa"/>
            <w:vAlign w:val="bottom"/>
            <w:gridSpan w:val="2"/>
            <w:vMerge w:val="restart"/>
          </w:tcPr>
          <w:p>
            <w:pPr>
              <w:ind w:left="440"/>
              <w:spacing w:after="0"/>
              <w:rPr>
                <w:sz w:val="20"/>
                <w:szCs w:val="20"/>
                <w:color w:val="auto"/>
              </w:rPr>
            </w:pPr>
            <w:r>
              <w:rPr>
                <w:rFonts w:ascii="Arial" w:cs="Arial" w:eastAsia="Arial" w:hAnsi="Arial"/>
                <w:sz w:val="18"/>
                <w:szCs w:val="18"/>
                <w:color w:val="auto"/>
              </w:rPr>
              <w:t>Fixed assets, net</w:t>
            </w:r>
          </w:p>
        </w:tc>
        <w:tc>
          <w:tcPr>
            <w:tcW w:w="252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60" w:type="dxa"/>
            <w:vAlign w:val="bottom"/>
            <w:gridSpan w:val="2"/>
            <w:vMerge w:val="continue"/>
          </w:tcPr>
          <w:p>
            <w:pPr>
              <w:spacing w:after="0"/>
              <w:rPr>
                <w:sz w:val="19"/>
                <w:szCs w:val="19"/>
                <w:color w:val="auto"/>
              </w:rPr>
            </w:pPr>
          </w:p>
        </w:tc>
        <w:tc>
          <w:tcPr>
            <w:tcW w:w="2520" w:type="dxa"/>
            <w:vAlign w:val="bottom"/>
            <w:gridSpan w:val="3"/>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35,656</w:t>
            </w:r>
          </w:p>
        </w:tc>
        <w:tc>
          <w:tcPr>
            <w:tcW w:w="100" w:type="dxa"/>
            <w:vAlign w:val="bottom"/>
          </w:tcPr>
          <w:p>
            <w:pPr>
              <w:spacing w:after="0"/>
              <w:rPr>
                <w:sz w:val="19"/>
                <w:szCs w:val="19"/>
                <w:color w:val="auto"/>
              </w:rPr>
            </w:pP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
              <w:spacing w:after="0"/>
              <w:rPr>
                <w:sz w:val="20"/>
                <w:szCs w:val="20"/>
                <w:color w:val="auto"/>
              </w:rPr>
            </w:pPr>
            <w:r>
              <w:rPr>
                <w:rFonts w:ascii="Arial" w:cs="Arial" w:eastAsia="Arial" w:hAnsi="Arial"/>
                <w:sz w:val="18"/>
                <w:szCs w:val="18"/>
                <w:color w:val="auto"/>
              </w:rPr>
              <w:t>39,356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Depreciation and amortization expense excluding amortization of acquisition-related intangibles for the three months ended June 30, 2013 and 2012 was $4,766 and $4,675, respectively, and $9,644 and $9,640 for the six months ended June 30, 2013 and 2012, respectively.</w:t>
      </w:r>
    </w:p>
    <w:p>
      <w:pPr>
        <w:sectPr>
          <w:pgSz w:w="11900" w:h="16838" w:orient="portrait"/>
          <w:cols w:equalWidth="0" w:num="1">
            <w:col w:w="11420"/>
          </w:cols>
          <w:pgMar w:left="240" w:top="459" w:right="239" w:bottom="1440" w:gutter="0" w:footer="0" w:header="0"/>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 work in progress represents advances paid toward acquisitions of fixed assets and the cost of fixed assets not yet ready to be placed in service.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 outstanding.</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three months ended June 30, 2013, the Company did not acquire any shares of common stock from employees in connection with withholding tax payments related to the vesting of restricted stock. During the six months ended June 30, 2013, the Company acquired 13,018 shares of common stock from employees in connection with withholding tax payments related to the vesting of restricted stock for a total consideration of $389. The purchase price of $29.89 per share was the average of the high and low price of the Company’s shares of common stock on the Nasdaq Global Select Market on the trading day prior to the vesting date of the shares of restricted stock.</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three months ended June 30, 2012, the Company acquired 5,410 shares of common stock from employees in connection with withholding tax payments related to the vesting of restricted stock for a total consideration of $149. The purchase price of $27.62 per share was the average of the high and low price of the Company’s shares of common stock on the Nasdaq Global Select Market on the trading day prior to the vesting date of the shares of restricted stock. During the six months ended June 30, 2012, the Company acquired 12,865 shares of common stock from employees in connection with withholding tax payments related to the vesting of restricted stock for a total consideration of $331.</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shares acquired are held as treasury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Company’s Gratuity Plans in India and the Philippines provide a lump-sum payment to vested employees on retirement or 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Plans are accrued in the year to which they relate. Actuarial gains or losses or prior service costs, if any, resulting from amendments to the plans are recognized and amortized over the remaining period of service of the employees.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w w:val="89"/>
              </w:rPr>
              <w:t>Three months ended June 30,</w:t>
            </w:r>
          </w:p>
        </w:tc>
        <w:tc>
          <w:tcPr>
            <w:tcW w:w="120" w:type="dxa"/>
            <w:vAlign w:val="bottom"/>
          </w:tcPr>
          <w:p>
            <w:pPr>
              <w:spacing w:after="0"/>
              <w:rPr>
                <w:sz w:val="14"/>
                <w:szCs w:val="14"/>
                <w:color w:val="auto"/>
              </w:rPr>
            </w:pPr>
          </w:p>
        </w:tc>
        <w:tc>
          <w:tcPr>
            <w:tcW w:w="19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9"/>
              </w:rPr>
              <w:t>Six months ended June 30,</w:t>
            </w:r>
          </w:p>
        </w:tc>
      </w:tr>
      <w:tr>
        <w:trPr>
          <w:trHeight w:val="142"/>
        </w:trPr>
        <w:tc>
          <w:tcPr>
            <w:tcW w:w="20" w:type="dxa"/>
            <w:vAlign w:val="bottom"/>
          </w:tcPr>
          <w:p>
            <w:pPr>
              <w:spacing w:after="0"/>
              <w:rPr>
                <w:sz w:val="12"/>
                <w:szCs w:val="12"/>
                <w:color w:val="auto"/>
              </w:rPr>
            </w:pPr>
          </w:p>
        </w:tc>
        <w:tc>
          <w:tcPr>
            <w:tcW w:w="43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7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2013</w:t>
            </w:r>
          </w:p>
        </w:tc>
        <w:tc>
          <w:tcPr>
            <w:tcW w:w="4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Interest cost</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Actuarial loss</w:t>
            </w:r>
          </w:p>
        </w:tc>
        <w:tc>
          <w:tcPr>
            <w:tcW w:w="2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w:t>
            </w: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Gratuity Plans in India are partially funded and are managed and administered by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of approximately 9.5% on these Gratuity Plans for the year ended March 31, 2013.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6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2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Plan assets at January 1, 2013</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Actual return</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24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June 30, 2013</w:t>
            </w:r>
          </w:p>
        </w:tc>
        <w:tc>
          <w:tcPr>
            <w:tcW w:w="246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2,151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maintains the ExlService.com LLC. 401(k) Plan under Section 401(k) of the Internal Revenue Code of 1986, covering all eligible employees, as defined. The Company may make discretionary contributions of up to a maximum of 3% of employee compensation within certain limits. The Company has made provisions for contributions to the 401(k) Plan amounting to $354 and $303 during the three month periods ended June 30, 2013 and June 30, 2012, respectively, and $973 and $680 during the six month periods ended June 30, 2013 and June 30, 2012, respectively, under the plans as applicable for these years.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the three and six month periods ended June 30, 2013 and 2012, the Company contributed the following amounts to various defined contribution plans on behalf of its employees in India, the Philippines, Romania, Bulgaria, Malaysia and the Czech Republic:</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2013</w:t>
            </w:r>
          </w:p>
        </w:tc>
        <w:tc>
          <w:tcPr>
            <w:tcW w:w="2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$1,413</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Three months ended June 30, 2012</w:t>
            </w:r>
          </w:p>
        </w:tc>
        <w:tc>
          <w:tcPr>
            <w:tcW w:w="2960" w:type="dxa"/>
            <w:vAlign w:val="bottom"/>
          </w:tcPr>
          <w:p>
            <w:pPr>
              <w:jc w:val="right"/>
              <w:ind w:right="12"/>
              <w:spacing w:after="0"/>
              <w:rPr>
                <w:sz w:val="20"/>
                <w:szCs w:val="20"/>
                <w:color w:val="auto"/>
              </w:rPr>
            </w:pPr>
            <w:r>
              <w:rPr>
                <w:rFonts w:ascii="Arial" w:cs="Arial" w:eastAsia="Arial" w:hAnsi="Arial"/>
                <w:sz w:val="18"/>
                <w:szCs w:val="18"/>
                <w:color w:val="auto"/>
              </w:rPr>
              <w:t>$1,362</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2013</w:t>
            </w:r>
          </w:p>
        </w:tc>
        <w:tc>
          <w:tcPr>
            <w:tcW w:w="2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$2,860</w:t>
            </w: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Six months ended June 30, 2012</w:t>
            </w:r>
          </w:p>
        </w:tc>
        <w:tc>
          <w:tcPr>
            <w:tcW w:w="2960" w:type="dxa"/>
            <w:vAlign w:val="bottom"/>
          </w:tcPr>
          <w:p>
            <w:pPr>
              <w:jc w:val="right"/>
              <w:ind w:right="12"/>
              <w:spacing w:after="0"/>
              <w:rPr>
                <w:sz w:val="20"/>
                <w:szCs w:val="20"/>
                <w:color w:val="auto"/>
              </w:rPr>
            </w:pPr>
            <w:r>
              <w:rPr>
                <w:rFonts w:ascii="Arial" w:cs="Arial" w:eastAsia="Arial" w:hAnsi="Arial"/>
                <w:sz w:val="18"/>
                <w:szCs w:val="18"/>
                <w:color w:val="auto"/>
              </w:rPr>
              <w:t>$2,843</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96" w:lineRule="exact"/>
        <w:rPr>
          <w:sz w:val="20"/>
          <w:szCs w:val="20"/>
          <w:color w:val="auto"/>
        </w:rPr>
      </w:pPr>
    </w:p>
    <w:p>
      <w:pPr>
        <w:jc w:val="both"/>
        <w:ind w:right="420" w:firstLine="456"/>
        <w:spacing w:after="0" w:line="370" w:lineRule="auto"/>
        <w:rPr>
          <w:sz w:val="20"/>
          <w:szCs w:val="20"/>
          <w:color w:val="auto"/>
        </w:rPr>
      </w:pPr>
      <w:r>
        <w:rPr>
          <w:rFonts w:ascii="Arial" w:cs="Arial" w:eastAsia="Arial" w:hAnsi="Arial"/>
          <w:sz w:val="15"/>
          <w:szCs w:val="15"/>
          <w:color w:val="auto"/>
        </w:rPr>
        <w:t>The Company finances its use of certain computer hardware, leasehold improvements, furniture, fixtures, office equipment and motor vehicles under various lease arrangements provided by financial institutions. Future minimum lease payments under these capital leases as of June 30, 2013 are as follows:</w:t>
      </w:r>
    </w:p>
    <w:p>
      <w:pPr>
        <w:spacing w:after="0" w:line="11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Year ending June 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$1,734</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2016</w:t>
            </w:r>
          </w:p>
        </w:tc>
        <w:tc>
          <w:tcPr>
            <w:tcW w:w="50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r>
      <w:tr>
        <w:trPr>
          <w:trHeight w:val="221"/>
        </w:trPr>
        <w:tc>
          <w:tcPr>
            <w:tcW w:w="716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500" w:type="dxa"/>
            <w:vAlign w:val="bottom"/>
          </w:tcPr>
          <w:p>
            <w:pPr>
              <w:jc w:val="right"/>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19"/>
                <w:szCs w:val="19"/>
                <w:color w:val="auto"/>
              </w:rPr>
            </w:pPr>
          </w:p>
        </w:tc>
      </w:tr>
      <w:tr>
        <w:trPr>
          <w:trHeight w:val="218"/>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r>
      <w:tr>
        <w:trPr>
          <w:trHeight w:val="221"/>
        </w:trPr>
        <w:tc>
          <w:tcPr>
            <w:tcW w:w="716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500" w:type="dxa"/>
            <w:vAlign w:val="bottom"/>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19"/>
                <w:szCs w:val="19"/>
                <w:color w:val="auto"/>
              </w:rPr>
            </w:pPr>
          </w:p>
        </w:tc>
      </w:tr>
      <w:tr>
        <w:trPr>
          <w:trHeight w:val="218"/>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Long term capital lease obligation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1,969</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conducts its operations using facilities leased under non-cancelable operating lease agreements that expire at various dates. Future minimum lease payments under non-cancelable operating lease agreements expiring after more than twelve months are as follows:</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Year ending June 30,</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2014</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2016</w:t>
            </w:r>
          </w:p>
        </w:tc>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2018</w:t>
            </w:r>
          </w:p>
        </w:tc>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2019 and thereafter</w:t>
            </w:r>
          </w:p>
        </w:tc>
        <w:tc>
          <w:tcPr>
            <w:tcW w:w="4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620" w:type="dxa"/>
            <w:vAlign w:val="bottom"/>
          </w:tcPr>
          <w:p>
            <w:pPr>
              <w:spacing w:after="0"/>
              <w:rPr>
                <w:sz w:val="19"/>
                <w:szCs w:val="19"/>
                <w:color w:val="auto"/>
              </w:rPr>
            </w:pPr>
          </w:p>
        </w:tc>
        <w:tc>
          <w:tcPr>
            <w:tcW w:w="4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4460" w:type="dxa"/>
            <w:vAlign w:val="bottom"/>
            <w:vMerge w:val="restart"/>
          </w:tcPr>
          <w:p>
            <w:pPr>
              <w:jc w:val="right"/>
              <w:ind w:right="3032"/>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operating leases are subject to renewal periodically and have scheduled rent increases. The Company accounts for scheduled rent on a straight-line basis over the lease period. Rent expense under both cancelable and non-cancelable operating leases was $4,448 and $4,302 for the three months ended June 30, 2013 and 2012, respectively, and $8,785 and $8,984 for the six months ended June 30, 2013 and 2012, respectively. Deferred rent as of June 30, 2013 and December 31, 2012 was $5,219 and $4,893, respectively, and is included under “Accrued expenses and other current liabilities” and “Non-current liabilities” in the consolidated balance sheets.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recorded income tax expense of $3,615 and $3,626 for the three months ended June 30, 2013 and 2012, respectively, and $6,612 and $6,646 for the six months ended June 30, 2013 and 2012, respectively. The effective rate of taxes decreased from 28.6% during the three months ended June 30, 2012 to 28.1% during the three months ended June 30, 2013. The effective rate of taxes decreased from 27.0% during the six months ended June 30, 2012 to 25.8% during the six months ended June 30, 2013. The decrease in effective tax rate is primarily due to the extension of a one-year tax holiday period for one of the operating centers in the Philippines retroactively from May 2012 and other immaterial items, partially offset by the expiration of a portion of the tax holiday in our Bengaluru center in India as mentioned below.</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benefited from a four-year income tax holiday for one of its operations centers in the Philippines that expired in May 2012. The tax benefit was extendable by two successive one-year periods on fulfillment of certain performance and investment criteria. The Company fulfilled such obligations and extensions have been granted by the Philippines Economic Zone Authority (“PEZA”) in February 2013 retroactively from May 2012 and in May 2013 for an additional one year which will expire in May 2014. Other operations centers in the Philippines, which began operations in January 2012 and in May 2013, respectively, benefit from a separate four-year income tax holiday from the date of their starting operations that can be extended at PEZA’s discretion for two successive one-year periods. While the Company is reasonably certain that these benefits will continue to be available for the expected period, it is possible that such tax holidays or extensions may be conditioned or removed entirely due to changes in applicable legislation by the government of the Philippines. Should any of these events occur, the Company’s tax liability in the Philippines would likely increase.</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Company’s operations centers in Jaipur and Noida, India, which were established in Special Economic Zones (“SEZs”) in 2010, are eligible for tax incentives until 2020. As part of the OPI Acquisition, the Company also acquired operations centers in Bengaluru and Kochi, India that are also established in SEZs. The operations center in Bengaluru completed its first five years of operations on March 31, 2012 during which such operations were entitled to a 100% tax exemption on export profits. Under Indian tax regulations, the Bengaluru operations center is entitled to a 50% tax exemption on export profits for five years from April 1, 2012. The Company’s tax expense for the Bengaluru center increased after April 1, 2012 and will further increase after the expiration of the current five-year term in 2017. The Company also established a new operations center in Pune, India in June 2012 and in Kochi, India in May 2013, which are located in SEZs. The Company anticipates establishing additional operations centers in SEZs or other tax advantaged locations in the future.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June 30, 2013 and December 31, 2012, the Company performed an analysis of the deferred tax asset valuation allowance for net operating loss carry forward for its domestic entities. Based on this analysis, the Company continues to carry a valuation allowance on the deferred tax assets on net operating loss carry forwards. Accordingly, the Company had recorded a valuation allowance of $665 for each of June 30, 2013 and December 31, 2012, respectively.</w:t>
      </w:r>
    </w:p>
    <w:p>
      <w:pPr>
        <w:spacing w:after="0" w:line="116"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The Company’s Indian subsidiaries are liable to pay the Minimum Alternative Tax (“MAT”) under India’s domestic tax laws. As of June 30, 2013 and December 31, 2012, deferred income taxes related to the MAT were approximately $2,933 and $2,932, respectively, expiring through various years until 2024.</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Company’s provision for income taxes also includes the impact of provisions established for uncertain income tax positions determined in accordance with ASC No. 740, “</w:t>
      </w:r>
      <w:r>
        <w:rPr>
          <w:rFonts w:ascii="Arial" w:cs="Arial" w:eastAsia="Arial" w:hAnsi="Arial"/>
          <w:sz w:val="16"/>
          <w:szCs w:val="16"/>
          <w:i w:val="1"/>
          <w:iCs w:val="1"/>
          <w:color w:val="auto"/>
        </w:rPr>
        <w:t>Income Taxes</w:t>
      </w:r>
      <w:r>
        <w:rPr>
          <w:rFonts w:ascii="Arial" w:cs="Arial" w:eastAsia="Arial" w:hAnsi="Arial"/>
          <w:sz w:val="16"/>
          <w:szCs w:val="16"/>
          <w:color w:val="auto"/>
        </w:rPr>
        <w:t>,” as well as the related net interest. Tax exposures can involve complex issues and may require an extended resolution period.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provision for income taxes in the period in which such determination is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related to the gross unrecognized tax benefits from January 1, 2013 through June 30, 2013:</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19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1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19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current year tax positions</w:t>
            </w:r>
          </w:p>
        </w:tc>
        <w:tc>
          <w:tcPr>
            <w:tcW w:w="1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9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2013</w:t>
            </w:r>
          </w:p>
        </w:tc>
        <w:tc>
          <w:tcPr>
            <w:tcW w:w="196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2,869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unrecognized tax benefits as of June 30, 2013 of $2,869, if recognized, would impact the effective tax rate. The unrecognized tax benefits may increase or decrease in the next twelve months depending on the Company’s tax positions.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has recognized interest and penalties of $56 and $117 during the three and six months ended June 30, 2013, respectively, which are included in the income tax provision in the consolidated statements of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costs related to the Company’s stock-based compensation plan are included in the unaudited consolidated statements of income:</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86"/>
              </w:rPr>
              <w:t>Three months ended 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ind w:left="40"/>
              <w:spacing w:after="0"/>
              <w:rPr>
                <w:sz w:val="20"/>
                <w:szCs w:val="20"/>
                <w:color w:val="auto"/>
              </w:rPr>
            </w:pPr>
            <w:r>
              <w:rPr>
                <w:rFonts w:ascii="Arial" w:cs="Arial" w:eastAsia="Arial" w:hAnsi="Arial"/>
                <w:sz w:val="14"/>
                <w:szCs w:val="14"/>
                <w:b w:val="1"/>
                <w:bCs w:val="1"/>
                <w:color w:val="auto"/>
                <w:w w:val="96"/>
              </w:rPr>
              <w:t>Six months ended June 30,</w:t>
            </w: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2,816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2,860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2,715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6,505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with the following weighted average assumptions: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86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2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42"/>
        </w:trPr>
        <w:tc>
          <w:tcPr>
            <w:tcW w:w="54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2013</w:t>
            </w:r>
          </w:p>
        </w:tc>
        <w:tc>
          <w:tcPr>
            <w:tcW w:w="7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8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Expected life (years)</w:t>
            </w: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4.50</w:t>
            </w:r>
          </w:p>
        </w:tc>
        <w:tc>
          <w:tcPr>
            <w:tcW w:w="560" w:type="dxa"/>
            <w:vAlign w:val="bottom"/>
          </w:tcPr>
          <w:p>
            <w:pPr>
              <w:jc w:val="right"/>
              <w:spacing w:after="0"/>
              <w:rPr>
                <w:sz w:val="20"/>
                <w:szCs w:val="20"/>
                <w:color w:val="auto"/>
              </w:rPr>
            </w:pPr>
            <w:r>
              <w:rPr>
                <w:rFonts w:ascii="Arial" w:cs="Arial" w:eastAsia="Arial" w:hAnsi="Arial"/>
                <w:sz w:val="18"/>
                <w:szCs w:val="18"/>
                <w:color w:val="auto"/>
              </w:rPr>
              <w:t>5.50</w:t>
            </w: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5.38</w:t>
            </w:r>
          </w:p>
        </w:tc>
        <w:tc>
          <w:tcPr>
            <w:tcW w:w="2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4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0.74%</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0.87%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0.97%</w:t>
            </w: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Volatility</w:t>
            </w: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40%</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40%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estimated expected term of options granted has been based on historical experience since October 2006, which is representative of the expected term of the options. Volatility has been calculated based on the volatility of the Company’s common stock and the volatility of stock of comparative companies. The risk-free interest rate that the Company uses in the option valuation model is based on U.S. treasury zero-coupon bonds with a remaining term similar to the expected term of the options.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8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5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5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2,454,634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$ 27,554</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14,301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26.76</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(234,420)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2,234,515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15.88</w:t>
            </w:r>
          </w:p>
        </w:tc>
        <w:tc>
          <w:tcPr>
            <w:tcW w:w="8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5"/>
              </w:rPr>
              <w:t>$ 30,576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June 30, 2013</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gridSpan w:val="2"/>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1,560,450</w:t>
            </w:r>
          </w:p>
        </w:tc>
        <w:tc>
          <w:tcPr>
            <w:tcW w:w="30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13.29</w:t>
            </w:r>
          </w:p>
        </w:tc>
        <w:tc>
          <w:tcPr>
            <w:tcW w:w="880" w:type="dxa"/>
            <w:vAlign w:val="bottom"/>
            <w:gridSpan w:val="2"/>
          </w:tcPr>
          <w:p>
            <w:pPr>
              <w:jc w:val="center"/>
              <w:ind w:left="192"/>
              <w:spacing w:after="0"/>
              <w:rPr>
                <w:sz w:val="20"/>
                <w:szCs w:val="20"/>
                <w:color w:val="auto"/>
              </w:rPr>
            </w:pPr>
            <w:r>
              <w:rPr>
                <w:rFonts w:ascii="Arial" w:cs="Arial" w:eastAsia="Arial" w:hAnsi="Arial"/>
                <w:sz w:val="18"/>
                <w:szCs w:val="18"/>
                <w:color w:val="auto"/>
                <w:w w:val="85"/>
              </w:rPr>
              <w:t>$ 25,387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June 30, 2013</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1,740,671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unrecognized compensation cost for unvested options as of June 30, 2013 was $3,850, which is expected to be expensed over a weighted average period of 2.12 years. The weighted-average fair value of options granted during the three months ended June 30, 2013 and 2012 was $0 and $9.41, respectively. The weighted-average fair value of options granted during the six months ended June 30, 2013 and 2012 was $10.07 and $9.43, respectively. The total fair value of shares vested during the three months ended June 30, 2013 and 2012 was $205 and $311, respectively. The total fair value of shares vested during the six months ended June 30, 2013 and 2012 was $2,324 and $2,348,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560" w:type="dxa"/>
            <w:vAlign w:val="bottom"/>
            <w:gridSpan w:val="5"/>
          </w:tcPr>
          <w:p>
            <w:pPr>
              <w:jc w:val="right"/>
              <w:ind w:right="236"/>
              <w:spacing w:after="0"/>
              <w:rPr>
                <w:sz w:val="20"/>
                <w:szCs w:val="20"/>
                <w:color w:val="auto"/>
              </w:rPr>
            </w:pPr>
            <w:r>
              <w:rPr>
                <w:rFonts w:ascii="Arial" w:cs="Arial" w:eastAsia="Arial" w:hAnsi="Arial"/>
                <w:sz w:val="14"/>
                <w:szCs w:val="14"/>
                <w:b w:val="1"/>
                <w:bCs w:val="1"/>
                <w:color w:val="auto"/>
              </w:rPr>
              <w:t>Restricted Stock</w:t>
            </w:r>
          </w:p>
        </w:tc>
        <w:tc>
          <w:tcPr>
            <w:tcW w:w="460" w:type="dxa"/>
            <w:vAlign w:val="bottom"/>
          </w:tcPr>
          <w:p>
            <w:pPr>
              <w:spacing w:after="0"/>
              <w:rPr>
                <w:sz w:val="14"/>
                <w:szCs w:val="14"/>
                <w:color w:val="auto"/>
              </w:rPr>
            </w:pPr>
          </w:p>
        </w:tc>
        <w:tc>
          <w:tcPr>
            <w:tcW w:w="1940" w:type="dxa"/>
            <w:vAlign w:val="bottom"/>
            <w:gridSpan w:val="6"/>
          </w:tcPr>
          <w:p>
            <w:pPr>
              <w:ind w:left="2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4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Intrinsic</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Number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36"/>
              <w:spacing w:after="0"/>
              <w:rPr>
                <w:sz w:val="20"/>
                <w:szCs w:val="20"/>
                <w:color w:val="auto"/>
              </w:rPr>
            </w:pPr>
            <w:r>
              <w:rPr>
                <w:rFonts w:ascii="Arial" w:cs="Arial" w:eastAsia="Arial" w:hAnsi="Arial"/>
                <w:sz w:val="14"/>
                <w:szCs w:val="14"/>
                <w:b w:val="1"/>
                <w:bCs w:val="1"/>
                <w:color w:val="auto"/>
                <w:w w:val="85"/>
              </w:rPr>
              <w:t>Value</w:t>
            </w:r>
          </w:p>
        </w:tc>
        <w:tc>
          <w:tcPr>
            <w:tcW w:w="46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2012*</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1,025,911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gridSpan w:val="2"/>
          </w:tcPr>
          <w:p>
            <w:pPr>
              <w:ind w:left="44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500,430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(279,506)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gridSpan w:val="2"/>
          </w:tcPr>
          <w:p>
            <w:pPr>
              <w:ind w:left="440"/>
              <w:spacing w:after="0"/>
              <w:rPr>
                <w:sz w:val="20"/>
                <w:szCs w:val="20"/>
                <w:color w:val="auto"/>
              </w:rPr>
            </w:pPr>
            <w:r>
              <w:rPr>
                <w:rFonts w:ascii="Arial" w:cs="Arial" w:eastAsia="Arial" w:hAnsi="Arial"/>
                <w:sz w:val="18"/>
                <w:szCs w:val="18"/>
                <w:color w:val="auto"/>
              </w:rPr>
              <w:t>Forfeited</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17.72</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(25,384)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June 30, 2013*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1,221,451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hanging="212"/>
        <w:spacing w:after="0" w:line="268"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112,000 and 124,000 vested restricted stock units as of June 30, 2013 and December 31, 2012, respectively, for which the underlying common stock is yet to be issued.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2013, unrecognized compensation cost of $25,165 is expected to be expensed over a weighted average period of 2.77 years.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Geographical Information</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w w:val="84"/>
              </w:rPr>
              <w:t>Three months ended June 30,</w:t>
            </w:r>
          </w:p>
        </w:tc>
        <w:tc>
          <w:tcPr>
            <w:tcW w:w="380" w:type="dxa"/>
            <w:vAlign w:val="bottom"/>
          </w:tcPr>
          <w:p>
            <w:pPr>
              <w:spacing w:after="0"/>
              <w:rPr>
                <w:sz w:val="14"/>
                <w:szCs w:val="14"/>
                <w:color w:val="auto"/>
              </w:rPr>
            </w:pPr>
          </w:p>
        </w:tc>
        <w:tc>
          <w:tcPr>
            <w:tcW w:w="184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37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660" w:type="dxa"/>
            <w:vAlign w:val="bottom"/>
            <w:tcBorders>
              <w:top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2013</w:t>
            </w:r>
          </w:p>
        </w:tc>
        <w:tc>
          <w:tcPr>
            <w:tcW w:w="10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United States</w:t>
            </w:r>
          </w:p>
        </w:tc>
        <w:tc>
          <w:tcPr>
            <w:tcW w:w="2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84,638</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77,617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$167,774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$ 153,565</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42,985</w:t>
            </w:r>
          </w:p>
        </w:tc>
        <w:tc>
          <w:tcPr>
            <w:tcW w:w="100" w:type="dxa"/>
            <w:vAlign w:val="bottom"/>
            <w:shd w:val="clear" w:color="auto" w:fill="CCEEFF"/>
          </w:tcPr>
          <w:p>
            <w:pPr>
              <w:spacing w:after="0"/>
              <w:rPr>
                <w:sz w:val="18"/>
                <w:szCs w:val="18"/>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Rest of World</w:t>
            </w:r>
          </w:p>
        </w:tc>
        <w:tc>
          <w:tcPr>
            <w:tcW w:w="2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8,282</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8,342</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17,054</w:t>
            </w:r>
          </w:p>
        </w:tc>
        <w:tc>
          <w:tcPr>
            <w:tcW w:w="3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16,088</w:t>
            </w:r>
          </w:p>
        </w:tc>
        <w:tc>
          <w:tcPr>
            <w:tcW w:w="100" w:type="dxa"/>
            <w:vAlign w:val="bottom"/>
          </w:tcPr>
          <w:p>
            <w:pPr>
              <w:spacing w:after="0"/>
              <w:rPr>
                <w:sz w:val="19"/>
                <w:szCs w:val="19"/>
                <w:color w:val="auto"/>
              </w:rPr>
            </w:pPr>
          </w:p>
        </w:tc>
      </w:tr>
      <w:tr>
        <w:trPr>
          <w:trHeight w:val="216"/>
        </w:trPr>
        <w:tc>
          <w:tcPr>
            <w:tcW w:w="37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116,008</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108,030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232,014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$ 212,638</w:t>
            </w:r>
          </w:p>
        </w:tc>
        <w:tc>
          <w:tcPr>
            <w:tcW w:w="100" w:type="dxa"/>
            <w:vAlign w:val="bottom"/>
            <w:shd w:val="clear" w:color="auto" w:fill="CCEEFF"/>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74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Fixed assets, net</w:t>
            </w: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India</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$24,095</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29,539</w:t>
            </w: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Philippines</w:t>
            </w:r>
          </w:p>
        </w:tc>
        <w:tc>
          <w:tcPr>
            <w:tcW w:w="580" w:type="dxa"/>
            <w:vAlign w:val="bottom"/>
          </w:tcPr>
          <w:p>
            <w:pPr>
              <w:jc w:val="right"/>
              <w:spacing w:after="0"/>
              <w:rPr>
                <w:sz w:val="20"/>
                <w:szCs w:val="20"/>
                <w:color w:val="auto"/>
              </w:rPr>
            </w:pPr>
            <w:r>
              <w:rPr>
                <w:rFonts w:ascii="Arial" w:cs="Arial" w:eastAsia="Arial" w:hAnsi="Arial"/>
                <w:sz w:val="18"/>
                <w:szCs w:val="18"/>
                <w:color w:val="auto"/>
              </w:rPr>
              <w:t>6,456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8"/>
                <w:szCs w:val="18"/>
                <w:color w:val="auto"/>
              </w:rPr>
            </w:pPr>
          </w:p>
        </w:tc>
      </w:tr>
      <w:tr>
        <w:trPr>
          <w:trHeight w:val="222"/>
        </w:trPr>
        <w:tc>
          <w:tcPr>
            <w:tcW w:w="74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35,656</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39,356</w:t>
            </w:r>
          </w:p>
        </w:tc>
        <w:tc>
          <w:tcPr>
            <w:tcW w:w="10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right="8660" w:hanging="232"/>
        <w:spacing w:after="0" w:line="417" w:lineRule="auto"/>
        <w:tabs>
          <w:tab w:leader="none" w:pos="275"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June 30, 2013, the Company had committed to spend approximately $2,539 under agreements to purchase fixed assets. This amount is net of capital advances paid in respect of these purchases.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Certain units of the Company’s Indian subsidiaries were established as 100% Export-Oriented units under the Software Technology Parks of India (“STPI”) scheme promulgated by the Government of India, which provided the Company with certain incentives on imported and indigenous capital goods on fulfillment of certain conditions. Although the corporate tax incentives under the STPI scheme are no longer available to the Company, the units are required to fulfill such conditions for a limited time. In the event that these units are unable to meet the prescribed conditions over the specified period, the Company may be required to refund those incentives along with penalties and fines. The Company’s management believes, however, that these units have in the past satisfied and will continue to satisfy the required conditions.</w:t>
      </w:r>
    </w:p>
    <w:p>
      <w:pPr>
        <w:spacing w:after="0" w:line="14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Company’s operations centers in the Philippines are registered with PEZA. The registration provides the Company with certain fiscal incentives on the import of capital goods and requires Exl Philippines to meet certain performance and investment criteria. The Company’s management believes that these centers have in the past satisfied and will continue to satisfy the required criteria.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its U.S. subsidiary are engaged in tax litigation with the income-tax authorities in India on the issue of permanent establishment.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jc w:val="both"/>
        <w:ind w:right="160" w:firstLine="456"/>
        <w:spacing w:after="0" w:line="303" w:lineRule="auto"/>
        <w:rPr>
          <w:sz w:val="20"/>
          <w:szCs w:val="20"/>
          <w:color w:val="auto"/>
        </w:rPr>
      </w:pPr>
      <w:r>
        <w:rPr>
          <w:rFonts w:ascii="Arial" w:cs="Arial" w:eastAsia="Arial" w:hAnsi="Arial"/>
          <w:sz w:val="15"/>
          <w:szCs w:val="15"/>
          <w:color w:val="auto"/>
        </w:rPr>
        <w:t>The aggregate disputed amount demanded by Indian tax authorities from the Company related to its transfer pricing issues for various years ranging from tax years 2003 to 2007 and its permanent establishment issues ranging from tax years 2003 to 2006 as of June 30, 2013 and December 31, 2012 is $15,617 and $18,624, respectively, of which the Company has already made payments or provided bank guarantees to the extent of $13,626 and $14,715, respectively.</w:t>
      </w:r>
    </w:p>
    <w:p>
      <w:pPr>
        <w:spacing w:after="0" w:line="1"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Amounts paid as deposits in respect of such assessments aggregating to $11,395 and $12,307 as of June 30, 2013 and December 31, 2012, respectively, are included in “Other assets” and amounts deposited for bank guarantees aggregating to $2,231 and $2,408 as of June 30, 2013 and December 31, 2012, respectively, are included in “Restricted cash” in the non-current assets section of the Company’s consolidated balance sheets as of June 30, 2013 and December 31, 2012.</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Based on advice from its Indian tax advisors, the facts underlying its position and its experience with these types of assessments, the Company believes that the probability that the Company will ultimately be found liable for these assessments is remote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Even if these disputes are resolved, the Indian tax authorities may still serve additional orders or assessments.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2012. Some of the statements in the following discussion are forward looking statements. See “Forward Looking Statements.” Dollar amounts within Item 2 are presented as actual dollar amounts.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This Quarterly Report on Form 10-Q contains forward looking statements. You should not place undue reliance on these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on Form 10-Q.</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forward 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 looking statements in this Quarterly Report on Form 10-Q after the date of this Quarterly Report on Form 10-Q, except as required by federal securities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are a leading provider of outsourcing and transformation services and focus on providing our clients with a positive business impact and enhancing their long term financial value. We customize our services to improve the economics of business performance and transform organizations to be leaner and more flexible. Our outsourcing services provide front-, middle- and back-office processing for our clients, who are primarily Global 1000 Companies. We also offer a number of transformation services including decision analytics, finance transformation and operations and process excellence consulting.</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global delivery network, comprising highly trained industry and process specialists across the United States, Europe and Asia, is a key asset. We operate sixteen operations centers in India, six operations centers in the U.S., three operations centers in the Philippines, two operations centers in Bulgaria and one operations center in each of Romania, Malaysia and the Czech Republic.</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three months ended June 30, 2013, we had total revenues of $116.0 million compared to total revenues of $108.0 million for the three months ended June 30, 2012, an increase of $8.0 million or 7.4%. Revenues from outsourcing services increased from $88.9 million for the three months ended June 30, 2012, to $97.3 million for the three months ended June 30, 2013. Revenues from transformation services decreased from $19.1 million for the three months ended June 30, 2012 to $18.7 million for the three ended June 30, 2013.</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the six months ended June 30, 2013, we had total revenues of $232.0 million compared to total revenues of $212.6 million for the six months ended June 30, 2012, an increase of $19.4 million or 9.1%. Revenues from outsourcing services increased from $178.7 million for the six months ended June 30, 2012, to $194.9 million for the six months ended June 30, 2013. Revenues from transformation services increased from $34.0 million for the six months ended June 30, 2012 to $37.1 million for the six months ended June 30, 2013.</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serve clients mainly in the U.S. and the U.K., with these two regions generating 73.0% and 19.9%, respectively, of our total revenues for the three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2013 and 71.8% and 20.4%, respectively, of our total revenues for the three months ended June 30, 2012.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June 30, 2013, these two regions generated 72.3% and 20.3%, respectively, of our total revenues and 72.2% and 20.2%, respectively, of our total revenues for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2012.</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For the three months ended June 30, 2013 and 2012, total revenues from our top ten clients accounted for 59.6% and 57.6% of our total revenues, respectively. For the six months ended June 30, 2013 and 2012, total revenues from our top ten clients accounted for 59.6% and 58.2% of our total revenues, respectively. None of our clients accounted for more than 10% of our total revenues during the three and six months ended June 30, 2013 compared to one client during each of the three and six months ended June 30, 2012, respectively. Although we are continually increasing and diversifying our customer base, we expect in the near future that a significant portion of our revenue will continue to be contributed by a limited number of large clients.</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derived revenues from three and ten new clients for our services in the three and six months ended June 30, 2013, respectively, compared to nine and twenty new clients for our services in the three and six months ended June 30, 2012, respectively. One client acquired during the quarter ended June 30, 2013 did not generate any revenues but is expected to start generating revenues next quarter.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EXL is organized into two business segments: Outsourcing Services and Transformation Services. We market our services to our existing and prospective clients through our sales and client management teams, which are aligned by key industry verticals and cross-industry domains such as finance and accounting. Our sales and client management teams operate from the U.S. and Europe.</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Outsourcing Services: </w:t>
      </w:r>
      <w:r>
        <w:rPr>
          <w:rFonts w:ascii="Arial" w:cs="Arial" w:eastAsia="Arial" w:hAnsi="Arial"/>
          <w:sz w:val="18"/>
          <w:szCs w:val="18"/>
          <w:color w:val="auto"/>
        </w:rPr>
        <w:t>We provide our clients with a range of outsourcing services principally in the insurance, healthcare, utilities, banking and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travel, and transportation and logistics sectors, as well as cross-industry outsourcing services, such as finance and accounting services. We primarily serve the needs of Global 1000 companies in these sectors.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outsourcing services involve the transfer to us of select business operations of a client, such as claims processing, policy administration and finance and accounting, after which we administer and manage the operations for our client on an ongoing basis.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most outsourcing services, we enter into long-term agreements with our clients with typical initial terms ranging from three to eight years. These contracts also usually contain provisions permitting termination of the contract after a short notice period.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To the extent our client contracts do not contain provisions to the contrary, we bear the risk of inflation and fluctuations in currency exchange rates with respect to our contracts. We hedge a substantial portion of our Indian rupee/U.S. dollar, Philippine peso/U.S. dollar and U.K. pound sterling/U.S. dollar foreign currency exposure.</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observed a shift in industry pricing models toward transaction-based pricing and other pricing models. We believe this trend will continue and we have begun to use transaction-based and other pricing models with some of our current clients and are seeking to move certain other clients from a billing rate model to a transaction-based or other pricing model. Such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relationships with such clients.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Within our outsourcing services, we also offer platform technology services. We have added these capabilities through acquisitions over the last few years. Key platform technology offerings include CareRadius</w:t>
      </w:r>
      <w:r>
        <w:rPr>
          <w:rFonts w:ascii="Arial" w:cs="Arial" w:eastAsia="Arial" w:hAnsi="Arial"/>
          <w:sz w:val="11"/>
          <w:szCs w:val="11"/>
          <w:color w:val="auto"/>
        </w:rPr>
        <w:t>®</w:t>
      </w:r>
      <w:r>
        <w:rPr>
          <w:rFonts w:ascii="Arial" w:cs="Arial" w:eastAsia="Arial" w:hAnsi="Arial"/>
          <w:sz w:val="18"/>
          <w:szCs w:val="18"/>
          <w:color w:val="auto"/>
        </w:rPr>
        <w:t xml:space="preserve"> and MaxMC</w:t>
      </w:r>
      <w:r>
        <w:rPr>
          <w:rFonts w:ascii="Arial" w:cs="Arial" w:eastAsia="Arial" w:hAnsi="Arial"/>
          <w:sz w:val="11"/>
          <w:szCs w:val="11"/>
          <w:color w:val="auto"/>
        </w:rPr>
        <w:t>®</w:t>
      </w:r>
      <w:r>
        <w:rPr>
          <w:rFonts w:ascii="Arial" w:cs="Arial" w:eastAsia="Arial" w:hAnsi="Arial"/>
          <w:sz w:val="18"/>
          <w:szCs w:val="18"/>
          <w:color w:val="auto"/>
        </w:rPr>
        <w:t xml:space="preserve"> (care management platforms for health insurers and providers), LifePRO</w:t>
      </w:r>
      <w:r>
        <w:rPr>
          <w:rFonts w:ascii="Arial" w:cs="Arial" w:eastAsia="Arial" w:hAnsi="Arial"/>
          <w:sz w:val="11"/>
          <w:szCs w:val="11"/>
          <w:color w:val="auto"/>
        </w:rPr>
        <w:t>®</w:t>
      </w:r>
      <w:r>
        <w:rPr>
          <w:rFonts w:ascii="Arial" w:cs="Arial" w:eastAsia="Arial" w:hAnsi="Arial"/>
          <w:sz w:val="18"/>
          <w:szCs w:val="18"/>
          <w:color w:val="auto"/>
        </w:rPr>
        <w:t xml:space="preserve"> (an insurance policy administration platform) and SubroSource</w:t>
      </w:r>
      <w:r>
        <w:rPr>
          <w:rFonts w:ascii="Arial" w:cs="Arial" w:eastAsia="Arial" w:hAnsi="Arial"/>
          <w:sz w:val="11"/>
          <w:szCs w:val="11"/>
          <w:color w:val="auto"/>
        </w:rPr>
        <w:t>™</w:t>
      </w:r>
      <w:r>
        <w:rPr>
          <w:rFonts w:ascii="Arial" w:cs="Arial" w:eastAsia="Arial" w:hAnsi="Arial"/>
          <w:sz w:val="18"/>
          <w:szCs w:val="18"/>
          <w:color w:val="auto"/>
        </w:rPr>
        <w:t xml:space="preserve"> (a subrogation services platform for property and casualty insurers). Depending on the platform, the fees derived from our platform technologies may be based on licenses, installation, support and maintenance, and/or recoveries from claims. We believe our proprietary platform technology will be an important source of growth in the future as clients choose to transfer certain business functions to a third-party-owned technology provider.</w:t>
      </w:r>
    </w:p>
    <w:p>
      <w:pPr>
        <w:spacing w:after="0" w:line="14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and are generally recognized ratably over the terms of the contracts. New license sales and implementation projects have a long selling cycle and it is difficult to predict the timing of signing of such new contracts which may lead to fluctuations in our short term revenues.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anticipate that revenues from our outsourcing services will grow as we expand our service offerings and client base, both organically and through acquisitions.</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Transformation Services: </w:t>
      </w:r>
      <w:r>
        <w:rPr>
          <w:rFonts w:ascii="Arial" w:cs="Arial" w:eastAsia="Arial" w:hAnsi="Arial"/>
          <w:sz w:val="18"/>
          <w:szCs w:val="18"/>
          <w:color w:val="auto"/>
        </w:rPr>
        <w:t>Our transformation services offer positive business change for our clients. By utilizing sophisticated tools and techniques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highly trained analysts, we provide insight into our clients’ current and future financial and operational results using analytics; improve clients’ operating environments through cost reduction and increased efficiency and productivity initiatives; and enhance the risk and control environments within our clients’ operations whether or not they are outsourced to us. Our key areas of transformation services are decision analytics, finance transformation and operations and process excellence consulting.</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transformation services consist primarily of specific projects with contract terms generally not exceeding one to three years and may not produce ongoing or recurring business for us once the project is completed.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 Our transformation services can be significantly affected by variations in business cycles. We have experienced a significant increase in demand for our annuity-based transformation services, which are engagements that are contracted for one- to three-year terms.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 description of our critical accounting policies and estimates, refer to “Management’s Discussion and Analysis of Financial Condition and Results of Operations —Critical Accounting Policies and Estimates” and Note 1 of the Notes to the Consolidated Financial Statements included in our 2012 Annual Report on form 10-K for the year ended December 31, 2012.</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three and six months ended on June 30, 2013 and June 30,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6"/>
              </w:rPr>
              <w:t>Three months ended June 30,</w:t>
            </w:r>
          </w:p>
        </w:tc>
        <w:tc>
          <w:tcPr>
            <w:tcW w:w="120" w:type="dxa"/>
            <w:vAlign w:val="bottom"/>
          </w:tcPr>
          <w:p>
            <w:pPr>
              <w:spacing w:after="0"/>
              <w:rPr>
                <w:sz w:val="14"/>
                <w:szCs w:val="14"/>
                <w:color w:val="auto"/>
              </w:rPr>
            </w:pPr>
          </w:p>
        </w:tc>
        <w:tc>
          <w:tcPr>
            <w:tcW w:w="17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4"/>
          </w:tcPr>
          <w:p>
            <w:pPr>
              <w:jc w:val="center"/>
              <w:ind w:right="74"/>
              <w:spacing w:after="0" w:line="142" w:lineRule="exact"/>
              <w:rPr>
                <w:sz w:val="20"/>
                <w:szCs w:val="20"/>
                <w:color w:val="auto"/>
              </w:rPr>
            </w:pPr>
            <w:r>
              <w:rPr>
                <w:rFonts w:ascii="Arial" w:cs="Arial" w:eastAsia="Arial" w:hAnsi="Arial"/>
                <w:sz w:val="14"/>
                <w:szCs w:val="14"/>
                <w:b w:val="1"/>
                <w:bCs w:val="1"/>
                <w:color w:val="auto"/>
                <w:w w:val="87"/>
              </w:rPr>
              <w:t>(dollars in millions)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4"/>
          </w:tcPr>
          <w:p>
            <w:pPr>
              <w:jc w:val="right"/>
              <w:ind w:right="194"/>
              <w:spacing w:after="0" w:line="142" w:lineRule="exact"/>
              <w:rPr>
                <w:sz w:val="20"/>
                <w:szCs w:val="20"/>
                <w:color w:val="auto"/>
              </w:rPr>
            </w:pPr>
            <w:r>
              <w:rPr>
                <w:rFonts w:ascii="Arial" w:cs="Arial" w:eastAsia="Arial" w:hAnsi="Arial"/>
                <w:sz w:val="14"/>
                <w:szCs w:val="14"/>
                <w:b w:val="1"/>
                <w:bCs w:val="1"/>
                <w:color w:val="auto"/>
                <w:w w:val="96"/>
              </w:rPr>
              <w:t>(dollars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gridSpan w:val="2"/>
            <w:vMerge w:val="continue"/>
          </w:tcPr>
          <w:p>
            <w:pPr>
              <w:spacing w:after="0"/>
              <w:rPr>
                <w:sz w:val="19"/>
                <w:szCs w:val="19"/>
                <w:color w:val="auto"/>
              </w:rPr>
            </w:pPr>
          </w:p>
        </w:tc>
        <w:tc>
          <w:tcPr>
            <w:tcW w:w="2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29.3</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income/(expense):</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(loss)/gain</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Income tax provision</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520" w:type="dxa"/>
            <w:vAlign w:val="bottom"/>
            <w:vMerge w:val="restart"/>
          </w:tcPr>
          <w:p>
            <w:pPr>
              <w:jc w:val="right"/>
              <w:ind w:right="1612"/>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2013 Compared to Three Months Ended June 30,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w w:val="87"/>
              </w:rPr>
              <w:t>Three months ended June 30,</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Change</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4"/>
          </w:tcPr>
          <w:p>
            <w:pPr>
              <w:jc w:val="right"/>
              <w:ind w:right="377"/>
              <w:spacing w:after="0" w:line="142" w:lineRule="exact"/>
              <w:rPr>
                <w:sz w:val="20"/>
                <w:szCs w:val="20"/>
                <w:color w:val="auto"/>
              </w:rPr>
            </w:pPr>
            <w:r>
              <w:rPr>
                <w:rFonts w:ascii="Arial" w:cs="Arial" w:eastAsia="Arial" w:hAnsi="Arial"/>
                <w:sz w:val="14"/>
                <w:szCs w:val="14"/>
                <w:b w:val="1"/>
                <w:bCs w:val="1"/>
                <w:color w:val="auto"/>
              </w:rPr>
              <w:t>(dollars in millions)</w:t>
            </w: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Outsourcing services</w:t>
            </w:r>
          </w:p>
        </w:tc>
        <w:tc>
          <w:tcPr>
            <w:tcW w:w="2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Transformation services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(0.4)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116.0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r>
              <w:rPr>
                <w:rFonts w:ascii="Arial" w:cs="Arial" w:eastAsia="Arial" w:hAnsi="Arial"/>
                <w:sz w:val="18"/>
                <w:szCs w:val="18"/>
                <w:u w:val="single" w:color="auto"/>
                <w:color w:val="auto"/>
              </w:rPr>
              <w:t>0</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increase in revenues from outsourcing services of $8.4 million was primarily driven by revenues of $4.4 million from the Landacorp Acquisition and net volume increases from existing and new clients aggregating to $5.1 million. These increases were partially offset by a net decrease in revenues of $1.0 million, primarily due to net impact of the depreciation of each of the Indian rupee and U.K. pound sterling against the U.S. dollar during the three months ended June 30, 2013 compared to the three months ended June 30, 2012.</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decrease in revenues from transformation services was primarily due to lower discretionary spend on project-based engagements. Revenues from new clients for transformation services were $0.3 million and $1.4 million during the three months ended June 30, 2013 and 2012, respectively.</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the three months ended June 30, 2013 and 2012, 4.1% and 4.9%, respectively, of our revenues represented telecommunication and travel-related costs billed to and reimbursed by our clients.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w w:val="89"/>
              </w:rPr>
              <w:t>Three months ended June 30,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83"/>
              </w:rPr>
              <w:t>2012</w:t>
            </w:r>
          </w:p>
        </w:tc>
        <w:tc>
          <w:tcPr>
            <w:tcW w:w="68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580" w:type="dxa"/>
            <w:vAlign w:val="bottom"/>
          </w:tcPr>
          <w:p>
            <w:pPr>
              <w:spacing w:after="0"/>
              <w:rPr>
                <w:sz w:val="12"/>
                <w:szCs w:val="12"/>
                <w:color w:val="auto"/>
              </w:rPr>
            </w:pP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48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116.0</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73.9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w:t>
            </w:r>
            <w:r>
              <w:rPr>
                <w:rFonts w:ascii="Arial" w:cs="Arial" w:eastAsia="Arial" w:hAnsi="Arial"/>
                <w:sz w:val="18"/>
                <w:szCs w:val="18"/>
                <w:u w:val="single" w:color="auto"/>
                <w:color w:val="auto"/>
              </w:rPr>
              <w:t>1</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r>
              <w:rPr>
                <w:rFonts w:ascii="Arial" w:cs="Arial" w:eastAsia="Arial" w:hAnsi="Arial"/>
                <w:sz w:val="18"/>
                <w:szCs w:val="18"/>
                <w:u w:val="single" w:color="auto"/>
                <w:color w:val="auto"/>
              </w:rPr>
              <w:t>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36.3%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increase in cost of revenues was primarily due to an increase in employee-related costs of $7.7 million as a result of an increase in the number of our personnel directly involved in providing services to our clients, including $1.9 million of employee-related costs related to the Landacorp Acquisition. We also experienced an increase in facilities, technology and other operating expenses of $2.0 million (primarily due to the Landacorp Acquisition and new operations centers to support business growth). These increases were partially offset by a decrease of $0.6 million in reimbursable expenses (resulting in a decrease in revenues) and $1.3 million due to the net effect of depreciation of the Indian rupee and appreciation of the Philippine peso against the U.S. dollar during the three months ended June 30, 2013 compared to the three months ended June 30, 2012.</w:t>
      </w:r>
    </w:p>
    <w:p>
      <w:pPr>
        <w:spacing w:after="0" w:line="12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The decrease in gross profit as a percentage of revenues is primarily due to higher employee-related and other operating costs and lower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utilization in our transformation business, partially offset by higher gross margins from our Landacorp Acquisition and the depreciation of the Indian rupee against the U.S. dollar during the three months ended June 30, 2013 compared to the three months ended June 30, 2012.</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89"/>
              </w:rPr>
              <w:t>Three months ended June 30,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2013</w:t>
            </w:r>
          </w:p>
        </w:tc>
        <w:tc>
          <w:tcPr>
            <w:tcW w:w="4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2012</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Change</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5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(0.1)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1.4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6</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The increase in SG&amp;A expenses was primarily due to an increase in employee-related costs of $2.2 million, including $1.5 million of employee-related costs related to the Landacorp Acquisition and our continued investment in sales and client management personnel. We also experienced a decrease in other SG&amp;A expenses of $0.6 million, primarily due to a Business Employment Incentive Program (“BEIP”) grant of $0.4 million received from the New Jersey government during the three months ended June 30, 2013. These net increases were partially offset by a decrease of $0.2 million due to the net effect of depreciation of the Indian rupee and appreciation of the Philippine peso and the Czech koruna against the U.S. dollar during the three months ended June 30, 2013 compared to the three months ended June 30, 2012.</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86"/>
              </w:rPr>
              <w:t>Three months ended June 30,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640" w:type="dxa"/>
            <w:vAlign w:val="bottom"/>
          </w:tcPr>
          <w:p>
            <w:pPr>
              <w:spacing w:after="0"/>
              <w:rPr>
                <w:sz w:val="12"/>
                <w:szCs w:val="12"/>
                <w:color w:val="auto"/>
              </w:rPr>
            </w:pP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center"/>
              <w:ind w:left="281"/>
              <w:spacing w:after="0" w:line="142" w:lineRule="exact"/>
              <w:rPr>
                <w:sz w:val="20"/>
                <w:szCs w:val="20"/>
                <w:color w:val="auto"/>
              </w:rPr>
            </w:pPr>
            <w:r>
              <w:rPr>
                <w:rFonts w:ascii="Arial" w:cs="Arial" w:eastAsia="Arial" w:hAnsi="Arial"/>
                <w:sz w:val="14"/>
                <w:szCs w:val="14"/>
                <w:b w:val="1"/>
                <w:bCs w:val="1"/>
                <w:color w:val="auto"/>
                <w:w w:val="87"/>
              </w:rPr>
              <w:t>(dollars in millions)</w:t>
            </w:r>
          </w:p>
        </w:tc>
        <w:tc>
          <w:tcPr>
            <w:tcW w:w="5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4.8</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4.7</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Intangible amortization expense</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79"/>
              </w:rPr>
              <w:t>1.6</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ind w:left="280"/>
              <w:spacing w:after="0"/>
              <w:rPr>
                <w:sz w:val="20"/>
                <w:szCs w:val="20"/>
                <w:color w:val="auto"/>
              </w:rPr>
            </w:pPr>
            <w:r>
              <w:rPr>
                <w:rFonts w:ascii="Arial" w:cs="Arial" w:eastAsia="Arial" w:hAnsi="Arial"/>
                <w:sz w:val="18"/>
                <w:szCs w:val="18"/>
                <w:color w:val="auto"/>
                <w:w w:val="79"/>
              </w:rPr>
              <w:t>1.3</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0.3</w:t>
            </w:r>
          </w:p>
        </w:tc>
        <w:tc>
          <w:tcPr>
            <w:tcW w:w="6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4</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6.0</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increase in depreciation and amortization expense is primarily due to an increase in amortization of acquisition-related intangibles of $0.3 million and depreciation related to our new operations centers of $0.2 million offset by a decrease of $0.1 million due to the net effect of depreciation of the Indian rupee and appreciation of the Philippines peso and the Czech koruna against the U.S. dollar during the three months ended June 30, 2013 compared to the three months ended June 30, 2012.</w:t>
      </w:r>
    </w:p>
    <w:p>
      <w:pPr>
        <w:spacing w:after="0" w:line="143" w:lineRule="exact"/>
        <w:rPr>
          <w:sz w:val="20"/>
          <w:szCs w:val="20"/>
          <w:color w:val="auto"/>
        </w:rPr>
      </w:pPr>
    </w:p>
    <w:p>
      <w:pPr>
        <w:ind w:right="160" w:firstLine="456"/>
        <w:spacing w:after="0" w:line="305" w:lineRule="auto"/>
        <w:rPr>
          <w:sz w:val="20"/>
          <w:szCs w:val="20"/>
          <w:color w:val="auto"/>
        </w:rPr>
      </w:pPr>
      <w:r>
        <w:rPr>
          <w:rFonts w:ascii="Arial" w:cs="Arial" w:eastAsia="Arial" w:hAnsi="Arial"/>
          <w:sz w:val="15"/>
          <w:szCs w:val="15"/>
          <w:b w:val="1"/>
          <w:bCs w:val="1"/>
          <w:i w:val="1"/>
          <w:iCs w:val="1"/>
          <w:color w:val="auto"/>
        </w:rPr>
        <w:t xml:space="preserve">Income from Operations. </w:t>
      </w:r>
      <w:r>
        <w:rPr>
          <w:rFonts w:ascii="Arial" w:cs="Arial" w:eastAsia="Arial" w:hAnsi="Arial"/>
          <w:sz w:val="15"/>
          <w:szCs w:val="15"/>
          <w:color w:val="auto"/>
        </w:rPr>
        <w:t>Income from operations decreased 10.9% from $14.4 million for the three months ended June 30, 2012 to $12.8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June 30, 2013. As a percentage of revenues, income from operations decreased from 13.3% for the three months ended June 30, 2012 to</w:t>
      </w:r>
    </w:p>
    <w:p>
      <w:pPr>
        <w:ind w:right="180"/>
        <w:spacing w:after="0" w:line="261" w:lineRule="auto"/>
        <w:rPr>
          <w:sz w:val="20"/>
          <w:szCs w:val="20"/>
          <w:color w:val="auto"/>
        </w:rPr>
      </w:pPr>
      <w:r>
        <w:rPr>
          <w:rFonts w:ascii="Arial" w:cs="Arial" w:eastAsia="Arial" w:hAnsi="Arial"/>
          <w:sz w:val="18"/>
          <w:szCs w:val="18"/>
          <w:color w:val="auto"/>
        </w:rPr>
        <w:t>11.1% for the three months ended June 30, 2013. The decrease in income from operations as a percentage of revenues was primarily due to lower gross margins during the three months ended June 30, 2013.</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88"/>
              </w:rPr>
              <w:t>Three months ended June 30,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w w:val="96"/>
              </w:rPr>
              <w:t>2013</w:t>
            </w: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580" w:type="dxa"/>
            <w:vAlign w:val="bottom"/>
          </w:tcPr>
          <w:p>
            <w:pPr>
              <w:spacing w:after="0"/>
              <w:rPr>
                <w:sz w:val="12"/>
                <w:szCs w:val="12"/>
                <w:color w:val="auto"/>
              </w:rPr>
            </w:pP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4"/>
          </w:tcPr>
          <w:p>
            <w:pPr>
              <w:jc w:val="right"/>
              <w:ind w:right="417"/>
              <w:spacing w:after="0" w:line="142" w:lineRule="exact"/>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gains/(losses)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interest and other income</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Net foreign exchange gains/(losses) are attributable to movement of the U.S. dollar against the Indian rupee and the Philippine peso. The average exchange rate of the Indian rupee against the U.S. dollar increased from 54.81 during the three months ended June 30, 2012 to 56.56 during the three months ended June 30, 2013.</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remained flat at $3.6 million during the three months ended June 30, 2013 and 2012. The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of taxes decreased from 28.6% during the three months ended June 30, 2012 to 28.1% during the three months ended June 30, 2013. Refer to Note 12 to the unaudited consolidated financial statements for further details.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Net income increased marginally from $9.1 million for the three months ended June 30, 2012 to $9.2 million for the three months ended</w:t>
      </w:r>
    </w:p>
    <w:p>
      <w:pPr>
        <w:spacing w:after="0" w:line="38"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June 30, 2013, primarily due to an increase in other income of $1.7 million, offset by a decrease in operating income of $1.6 million. As a percentage of revenues, net income decreased from 8.4% for the three months ended June 30, 2012 to 8.0% for the three months ended June 30,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Compared to Six Months Ended June 30, 2012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w w:val="86"/>
              </w:rPr>
              <w:t>Six months ended June 30,</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w w:val="96"/>
              </w:rPr>
              <w:t>2013</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2012</w:t>
            </w:r>
          </w:p>
        </w:tc>
        <w:tc>
          <w:tcPr>
            <w:tcW w:w="52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Change</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right"/>
              <w:ind w:right="297"/>
              <w:spacing w:after="0" w:line="142" w:lineRule="exact"/>
              <w:rPr>
                <w:sz w:val="20"/>
                <w:szCs w:val="20"/>
                <w:color w:val="auto"/>
              </w:rPr>
            </w:pPr>
            <w:r>
              <w:rPr>
                <w:rFonts w:ascii="Arial" w:cs="Arial" w:eastAsia="Arial" w:hAnsi="Arial"/>
                <w:sz w:val="14"/>
                <w:szCs w:val="14"/>
                <w:b w:val="1"/>
                <w:bCs w:val="1"/>
                <w:color w:val="auto"/>
              </w:rPr>
              <w:t>(dollars in millions)</w:t>
            </w:r>
          </w:p>
        </w:tc>
        <w:tc>
          <w:tcPr>
            <w:tcW w:w="5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Outsourcing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$ 16.2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Transformation services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34.0</w:t>
            </w: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$ 19.4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increase in revenues from outsourcing services of $16.2 million was primarily driven by revenues of $8.6 million from the Landacorp Acquisition and net volume increases from existing and new clients aggregating to $11.0 million. These increases were partially offset by a net decrease in revenues of $3.4 million, primarily due to the depreciation of the Indian rupee and the U.K. pound sterling against the U.S. dollar during the six months ended June 30, 2013 compared to the six months ended June 30, 2012.</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increase in revenues from transformation services was primarily due to a combination of increased revenues in recurring or annuity decision analytics services and an increase in project-based engagements both in our decision analytics and finance transformation services. Revenues from new clients for transformation services were $0.8 million and $2.4 million during the six months ended June 30, 2013 and 2012, respectively.</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the six months ended June 30, 2013 and 2012, 3.9% and 4.4%, respectively, of our revenues represented telecommunication and travel-related costs billed to and reimbursed by our clients.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87"/>
              </w:rPr>
              <w:t>Six months ended June 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2013</w:t>
            </w: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2012</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Change</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5"/>
          </w:tcPr>
          <w:p>
            <w:pPr>
              <w:jc w:val="right"/>
              <w:ind w:right="296"/>
              <w:spacing w:after="0" w:line="142" w:lineRule="exact"/>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19.4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146.8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132.7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14.1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36.7%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increase in cost of revenues was primarily due to an increase in employee-related costs of $16.5 million as a result of an increase in the number of our personnel directly involved in providing services to our clients, including $3.7 million of employee-related costs related to the Landacorp Acquisition. We also experienced an increase in facilities, technology and other operating expenses of $2.6 million (primarily due to the Landacorp Acquisition and new operations centers to support business growth). These increases were partially offset by a decrease of $0.3 million in reimbursable expenses (resulting in a decrease in revenues) and $4.6 million due to the net effect of depreciation of the Indian rupee and appreciation of the Philippine peso against the U.S. dollar during the six months ended June 30, 2013 compared to the six months ended June 30, 2012.</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The decrease in gross profit as a percentage of revenues was primarily due to higher employee-related and other operating costs and lower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utilization in our transformation business partially offset by higher gross margins from our Landacorp Acquisition and the depreciation of the Indian rupee against the U.S. dollar during the six months ended June 30, 2013 compared to the six months ended June 30, 2012.</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SG&amp;A Expenses.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w w:val="81"/>
              </w:rPr>
              <w:t>Change</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5"/>
          </w:tcPr>
          <w:p>
            <w:pPr>
              <w:ind w:left="300"/>
              <w:spacing w:after="0" w:line="142" w:lineRule="exact"/>
              <w:rPr>
                <w:sz w:val="20"/>
                <w:szCs w:val="20"/>
                <w:color w:val="auto"/>
              </w:rPr>
            </w:pPr>
            <w:r>
              <w:rPr>
                <w:rFonts w:ascii="Arial" w:cs="Arial" w:eastAsia="Arial" w:hAnsi="Arial"/>
                <w:sz w:val="14"/>
                <w:szCs w:val="14"/>
                <w:b w:val="1"/>
                <w:bCs w:val="1"/>
                <w:color w:val="auto"/>
              </w:rPr>
              <w:t>(dollars in millions)</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28.5</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27.2</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20" w:type="dxa"/>
            <w:vAlign w:val="bottom"/>
          </w:tcPr>
          <w:p>
            <w:pPr>
              <w:spacing w:after="0"/>
              <w:rPr>
                <w:sz w:val="18"/>
                <w:szCs w:val="18"/>
                <w:color w:val="auto"/>
              </w:rPr>
            </w:pPr>
          </w:p>
        </w:tc>
        <w:tc>
          <w:tcPr>
            <w:tcW w:w="440" w:type="dxa"/>
            <w:vAlign w:val="bottom"/>
          </w:tcPr>
          <w:p>
            <w:pPr>
              <w:ind w:left="140"/>
              <w:spacing w:after="0"/>
              <w:rPr>
                <w:sz w:val="20"/>
                <w:szCs w:val="20"/>
                <w:color w:val="auto"/>
              </w:rPr>
            </w:pPr>
            <w:r>
              <w:rPr>
                <w:rFonts w:ascii="Arial" w:cs="Arial" w:eastAsia="Arial" w:hAnsi="Arial"/>
                <w:sz w:val="18"/>
                <w:szCs w:val="18"/>
                <w:color w:val="auto"/>
                <w:w w:val="79"/>
              </w:rPr>
              <w:t>18.9</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8"/>
                <w:szCs w:val="18"/>
                <w:color w:val="auto"/>
              </w:rPr>
              <w:t>3.4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47.4</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42.7</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increase in SG&amp;A expenses was primarily due to an increase in employee-related costs of $5.8 million, including $3.1 million of employee-related costs related to the Landacorp Acquisition. We also experienced a decrease in other SG&amp;A expenses of $0.3 million, primarily due to BEIP grants of $0.7 million from the New Jersey government during the six months ended June 30, 2013, partially offset by an increase in other SG&amp;A expenses of $0.4 million. These net increases were partially offset by a decrease of $0.8 million due to the net effect of depreciation of the Indian rupee and Czech koruna and appreciation of the Philippine peso against the U.S. dollar during the six months ended June 30, 2013 compared to the six months ended June 30, 2012.</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w w:val="89"/>
              </w:rPr>
              <w:t>Six months ended June 30,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89"/>
              </w:rPr>
              <w:t>2013</w:t>
            </w: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2012</w:t>
            </w:r>
          </w:p>
        </w:tc>
        <w:tc>
          <w:tcPr>
            <w:tcW w:w="68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580" w:type="dxa"/>
            <w:vAlign w:val="bottom"/>
          </w:tcPr>
          <w:p>
            <w:pPr>
              <w:spacing w:after="0"/>
              <w:rPr>
                <w:sz w:val="12"/>
                <w:szCs w:val="12"/>
                <w:color w:val="auto"/>
              </w:rPr>
            </w:pP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right"/>
              <w:ind w:right="316"/>
              <w:spacing w:after="0" w:line="142" w:lineRule="exact"/>
              <w:rPr>
                <w:sz w:val="20"/>
                <w:szCs w:val="20"/>
                <w:color w:val="auto"/>
              </w:rPr>
            </w:pPr>
            <w:r>
              <w:rPr>
                <w:rFonts w:ascii="Arial" w:cs="Arial" w:eastAsia="Arial" w:hAnsi="Arial"/>
                <w:sz w:val="14"/>
                <w:szCs w:val="14"/>
                <w:b w:val="1"/>
                <w:bCs w:val="1"/>
                <w:color w:val="auto"/>
              </w:rPr>
              <w:t>(dollars in millions)</w:t>
            </w:r>
          </w:p>
        </w:tc>
        <w:tc>
          <w:tcPr>
            <w:tcW w:w="6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Intangible amortization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0.4</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8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Depreciation and amortization increased 3.8% from $12.4 million for the six months ended June 30, 2012 to $12.9 million for the six months ended June 30, 2013. The increase is primarily due to an increase in amortization of acquisition-related intangibles of $0.4 million and depreciation related to our new operations centers of $0.5 million offset by a decrease of $0.4 million due to the net effect of depreciation of the Indian rupee and the Czech koruna and appreciation of the Philippines peso against the U.S. dollar during the six months ended June 30, 2013 compared to the six months ended June 30, 2012.</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Income from operations increased marginally from $24.8 million for the six months ended June 30, 2012 to $24.9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months ended June 30, 2013. As a percentage of revenues, income from operations decreased from 11.7% for the six months ended June 30, 2012 to 10.7% for the six months ended June 30, 2013. The decrease in income from operations as a percentage of revenues was primarily due to lower gross margins and higher SG&amp;A expenses as a percentage of revenues during the six months ended June 30, 2013.</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89"/>
              </w:rPr>
              <w:t>Six months ended June 30,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89"/>
              </w:rPr>
              <w:t>2013</w:t>
            </w: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w w:val="81"/>
              </w:rPr>
              <w:t>Change</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357"/>
              <w:spacing w:after="0" w:line="142" w:lineRule="exact"/>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gains/(losses)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interest and other income</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0.5</w:t>
            </w:r>
          </w:p>
        </w:tc>
        <w:tc>
          <w:tcPr>
            <w:tcW w:w="5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foreign exchange gains/(losses) are attributable to movement of the U.S. dollar against the Indian rupee and the Philippine peso. The average exchange rate of the Indian rupee against the U.S. dollar increased from 52.30 during the six months ended June 30, 2012 to 55.26 during the six months ended June 30, 2013.</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remain flat at $6.6 million for the six months ended June 30, 2013 and 2012. The effective rate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decreased from 27.0% during the six months ended June 30, 2012 to 25.8% during the six months ended June 30, 2013. Refer to Note 12 to the unaudited consolidated financial statements for further details.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Net income increased from $18.0 million for the six months ended June 30, 2012 to $19.0 million for the six months ended June 30, 2013,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due to an increase in other income of $0.9 million and an increase in operating income of $0.1 million. As a percentage of revenues, net income decreased from 8.5% for the six months ended June 30, 2012 to 8.2% for the six months ended June 30, 2013.</w:t>
      </w:r>
    </w:p>
    <w:p>
      <w:pPr>
        <w:spacing w:after="0" w:line="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240" w:top="459" w:right="5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5"/>
          </w:tcPr>
          <w:p>
            <w:pPr>
              <w:jc w:val="right"/>
              <w:ind w:right="315"/>
              <w:spacing w:after="0" w:line="142" w:lineRule="exact"/>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Opening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Closing cash and cash equivalents</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114.6</w:t>
            </w:r>
          </w:p>
        </w:tc>
        <w:tc>
          <w:tcPr>
            <w:tcW w:w="34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94.</w:t>
            </w:r>
            <w:r>
              <w:rPr>
                <w:rFonts w:ascii="Arial" w:cs="Arial" w:eastAsia="Arial" w:hAnsi="Arial"/>
                <w:sz w:val="18"/>
                <w:szCs w:val="18"/>
                <w:u w:val="single" w:color="auto"/>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As of June 30, 2013, we had $120.2 million in cash and cash equivalents and short-term investments (including $66.7 million held by our foreign subsidiaries). We do not intend to repatriate our overseas funds since our future growth partially depends upon the continued infrastructure and technology investments, geographical expansions and acquisitions outside of the U.S. Therefore, we need to continuously and permanently reinvest the earnings generated outside of the U.S. If we were to repatriate our overseas funds, we would accrue and pay applicable taxes.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flows provided by operating activities increased from $19.5 million for the six months ended June 30, 2012 to $25.4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six months ended June 30, 2013. The increase in cash flows provided by operations for the six months ended June 30, 2013 was predominantly due to an increase in net income adjusted for non-cash items by $3.2 million along with a net decrease in working capital of $2.8 million. The increase in net income adjusted for non-cash items is primarily due to an increase in net income of $1.0 million, deferred income taxes of $3.6 million, stock-based compensation expense of $1.0 million and depreciation and amortization expense of $0.5 million, offset by an increase in unrealized foreign exchange gain of $3.0 million.</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Changes in operating assets and liabilities are primarily due to an increase in cash provided by accrued expenses and other liabilities of $1.8 million, accounts receivable of $2.1 million and prepaid expenses and other current assets of $1.5 million offset by decrease in cash paid for accounts payable by $0.6 million and advance income tax, net by $2.7 million during the six months ended June 30, 2013 compared to the six months ended June 30, 2012. Our days’ sales outstanding were 59 days as of June 30, 2013 compared to 56 days as of December 31, 2012.</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flows used for investing activities decreased from $12.2 million for the six months ended June 30, 2012 to $11.3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2013. The decrease is primarily due to decrease in capital expenditure of $2.9 million partially offset by net purchase of short term investments of $0.9 million and payment of working capital adjustment for the Landacorp Acquisition of $1.2 million during the six months ended June 30, 2013 compared to the six months ended June 30, 2012.</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flows provided by financing activities decreased from $6.1 million for the six months ended June 30, 2012 to $1.3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2013. The decrease is primarily due to proceeds from the exercise of stock options of $2.5 million during the six months ended June 30, 2013 compared to $7.3 million during the six months ended June 30, 2012.</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the purchase of telecommunications equipment and computer hardware and software in connection with managing client operations. We incurred $10.3 million of capital expenditures in the six months ended June 30, 2013. We expect to incur capital expenditures of between $10.0 million to $15.0 million in the remainder of 2013, primarily to meet the growth requirements of our clients, including additions to our facilities as well as investments in technology applications and infrastructure. The timing and volume of such capital expenditures in the future will be affected by new client contracts we may enter into or the expansion of business under our existing client contracts.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firstLine="456"/>
        <w:spacing w:after="0" w:line="370" w:lineRule="auto"/>
        <w:rPr>
          <w:sz w:val="20"/>
          <w:szCs w:val="20"/>
          <w:color w:val="auto"/>
        </w:rPr>
      </w:pPr>
      <w:r>
        <w:rPr>
          <w:rFonts w:ascii="Arial" w:cs="Arial" w:eastAsia="Arial" w:hAnsi="Arial"/>
          <w:sz w:val="15"/>
          <w:szCs w:val="15"/>
          <w:color w:val="auto"/>
        </w:rPr>
        <w:t>In connection with any tax assessment orders that have been issued or may be issued against us or our subsidiaries, we may be required to deposit additional amounts with respect to such assessment orders. Refer to Note 15 to our unaudited consolidated financial statements for further details.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May 26, 2011, we entered into a three-year credit agreement with certain lenders and JPMorgan Chase Bank, N.A., as Administrative Agent. Borrowings under the Credit Facility may be used for working capital and general corporate purposes. Originally a $50.0 million revolving facility (the “Credit Facility”), including a letter of credit sub-facility, the availability under the Credit Facility was reduced to $15.0 million in June 2012. Upon our request, however, and the fulfillment of certain conditions, the Credit Facility may be increased back to $50.0 million. As of June 30, 2013, we did not have any borrowings under the Credit Facility.</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2013 and December 31, 2012, we had no off-balance sheet arrangements or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June 30,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88"/>
              </w:rPr>
              <w:t>Payment Due by Period</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7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w w:val="88"/>
              </w:rPr>
              <w:t>1-3</w:t>
            </w:r>
          </w:p>
        </w:tc>
        <w:tc>
          <w:tcPr>
            <w:tcW w:w="660" w:type="dxa"/>
            <w:vAlign w:val="bottom"/>
            <w:gridSpan w:val="2"/>
          </w:tcPr>
          <w:p>
            <w:pPr>
              <w:jc w:val="right"/>
              <w:ind w:right="2"/>
              <w:spacing w:after="0" w:line="129" w:lineRule="exact"/>
              <w:rPr>
                <w:sz w:val="20"/>
                <w:szCs w:val="20"/>
                <w:color w:val="auto"/>
              </w:rPr>
            </w:pPr>
            <w:r>
              <w:rPr>
                <w:rFonts w:ascii="Arial" w:cs="Arial" w:eastAsia="Arial" w:hAnsi="Arial"/>
                <w:sz w:val="14"/>
                <w:szCs w:val="14"/>
                <w:b w:val="1"/>
                <w:bCs w:val="1"/>
                <w:color w:val="auto"/>
              </w:rPr>
              <w:t>4-5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rPr>
              <w:t>After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1 year</w:t>
            </w:r>
          </w:p>
        </w:tc>
        <w:tc>
          <w:tcPr>
            <w:tcW w:w="1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years</w:t>
            </w:r>
          </w:p>
        </w:tc>
        <w:tc>
          <w:tcPr>
            <w:tcW w:w="140" w:type="dxa"/>
            <w:vAlign w:val="bottom"/>
          </w:tcPr>
          <w:p>
            <w:pPr>
              <w:spacing w:after="0"/>
              <w:rPr>
                <w:sz w:val="14"/>
                <w:szCs w:val="14"/>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2"/>
              </w:rPr>
              <w:t>5 years</w:t>
            </w:r>
          </w:p>
        </w:tc>
        <w:tc>
          <w:tcPr>
            <w:tcW w:w="140" w:type="dxa"/>
            <w:vAlign w:val="bottom"/>
          </w:tcPr>
          <w:p>
            <w:pPr>
              <w:spacing w:after="0"/>
              <w:rPr>
                <w:sz w:val="14"/>
                <w:szCs w:val="14"/>
                <w:color w:val="auto"/>
              </w:rPr>
            </w:pPr>
          </w:p>
        </w:tc>
        <w:tc>
          <w:tcPr>
            <w:tcW w:w="5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6"/>
          </w:tcPr>
          <w:p>
            <w:pPr>
              <w:jc w:val="right"/>
              <w:ind w:right="72"/>
              <w:spacing w:after="0" w:line="155" w:lineRule="exact"/>
              <w:rPr>
                <w:sz w:val="20"/>
                <w:szCs w:val="20"/>
                <w:color w:val="auto"/>
              </w:rPr>
            </w:pPr>
            <w:r>
              <w:rPr>
                <w:rFonts w:ascii="Arial" w:cs="Arial" w:eastAsia="Arial" w:hAnsi="Arial"/>
                <w:sz w:val="14"/>
                <w:szCs w:val="14"/>
                <w:b w:val="1"/>
                <w:bCs w:val="1"/>
                <w:color w:val="auto"/>
                <w:w w:val="98"/>
              </w:rPr>
              <w:t>(dollars in millions)</w:t>
            </w: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14.2</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Other obligations</w:t>
            </w:r>
            <w:r>
              <w:rPr>
                <w:rFonts w:ascii="Arial" w:cs="Arial" w:eastAsia="Arial" w:hAnsi="Arial"/>
                <w:sz w:val="11"/>
                <w:szCs w:val="11"/>
                <w:color w:val="auto"/>
              </w:rPr>
              <w:t>(a)</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11"/>
                <w:szCs w:val="11"/>
                <w:color w:val="auto"/>
              </w:rPr>
              <w:t>(b)</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19.2</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estimated payments under the Company’s Gratuity Plan.</w:t>
      </w:r>
    </w:p>
    <w:p>
      <w:pPr>
        <w:spacing w:after="0" w:line="15" w:lineRule="exact"/>
        <w:rPr>
          <w:rFonts w:ascii="Arial" w:cs="Arial" w:eastAsia="Arial" w:hAnsi="Arial"/>
          <w:sz w:val="18"/>
          <w:szCs w:val="18"/>
          <w:color w:val="auto"/>
        </w:rPr>
      </w:pPr>
    </w:p>
    <w:p>
      <w:pPr>
        <w:ind w:left="460" w:right="66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$2.9 million related to uncertain tax positions, since the extent of the amount and timing of payment is currently not reliably estimable or determinable.</w:t>
      </w:r>
    </w:p>
    <w:p>
      <w:pPr>
        <w:spacing w:after="0" w:line="13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Certain units of our Indian subsidiaries were established as 100% Export-Oriented units under the Software Technology Parks of India (“STPI”) scheme promulgated by the Government of India which, provides certain incentives on imported and indigenous capital goods upon the fulfillment of certain conditions. Although the corporate tax incentives under the STPI scheme are no longer available to us, the units are required to fulfill such conditions for a limited time. In the event that these units are unable to meet those conditions over the specified period, we may be required to refund those incentives along with penalties and fines. We believe, however, that these units have in the past satisfied and will continue to satisfy the required conditions.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operations centers in Philippines are registered with Philippine Economic Zone Authority (“PEZA”). The registration provides us with certain fiscal incentives on the import of capital goods and requires that Exl Philippines meet certain performance and investment criteria. We believe that these centers have in the past satisfied and will continue to satisfy the required criteria.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a description of recent accounting pronouncements, see Note 2 – “Recent Accounting Pronouncements” under Item 1 –“Financial Statements” to our unaudited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six months ended June 30, 2013,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2012.</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to allow timely decisions regarding required financial disclosure. In connection with the preparation of this Quarterly Report on Form 10-Q, our management carried out an evaluation, under the supervision and with the participation of the CEO and CFO, of the effectiveness and operation of our disclosure controls and procedures as of June 30, 2013. Based upon that evaluation, the CEO and CFO have concluded that, as of June 30, 2013, our disclosure controls and procedures were effective.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During the six months ended June 30, 2013,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15 to our unaudited consolidated financial statements contained herein for details regarding our tax proceedings.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disclosed under the heading “Risk Factors” in our Annual Report on Form 10-K for the year ended December 31, 2012 a number of risks which may materially affect our business, financial condition or results of operations. You should carefully consider the “Risk Factors” set forth in our Annual Report on Form 10-K for the year ended December 31, 2012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jc w:val="center"/>
              <w:ind w:right="112"/>
              <w:spacing w:after="0"/>
              <w:rPr>
                <w:sz w:val="20"/>
                <w:szCs w:val="20"/>
                <w:color w:val="auto"/>
              </w:rPr>
            </w:pPr>
            <w:r>
              <w:rPr>
                <w:rFonts w:ascii="Arial" w:cs="Arial" w:eastAsia="Arial" w:hAnsi="Arial"/>
                <w:sz w:val="18"/>
                <w:szCs w:val="18"/>
                <w:b w:val="1"/>
                <w:bCs w:val="1"/>
                <w:color w:val="auto"/>
              </w:rPr>
              <w:t>ITEM 6.</w:t>
            </w:r>
          </w:p>
        </w:tc>
        <w:tc>
          <w:tcPr>
            <w:tcW w:w="1054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1400" w:type="dxa"/>
            <w:vAlign w:val="bottom"/>
            <w:gridSpan w:val="2"/>
          </w:tcPr>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tc>
      </w:tr>
      <w:tr>
        <w:trPr>
          <w:trHeight w:val="412"/>
        </w:trPr>
        <w:tc>
          <w:tcPr>
            <w:tcW w:w="860" w:type="dxa"/>
            <w:vAlign w:val="bottom"/>
          </w:tcPr>
          <w:p>
            <w:pPr>
              <w:jc w:val="center"/>
              <w:ind w:right="152"/>
              <w:spacing w:after="0"/>
              <w:rPr>
                <w:sz w:val="20"/>
                <w:szCs w:val="20"/>
                <w:color w:val="auto"/>
              </w:rPr>
            </w:pPr>
            <w:r>
              <w:rPr>
                <w:rFonts w:ascii="Arial" w:cs="Arial" w:eastAsia="Arial" w:hAnsi="Arial"/>
                <w:sz w:val="18"/>
                <w:szCs w:val="18"/>
                <w:color w:val="auto"/>
                <w:w w:val="85"/>
              </w:rPr>
              <w:t>31.1</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Certification of the Chief Executive Officer of ExlService Holdings, pursuant to Rule 13a-14 of the Exchange Act, as adopted pursuant to Section</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302 of the Sarbanes-Oxley Act of 2002.</w:t>
            </w:r>
          </w:p>
        </w:tc>
      </w:tr>
      <w:tr>
        <w:trPr>
          <w:trHeight w:val="318"/>
        </w:trPr>
        <w:tc>
          <w:tcPr>
            <w:tcW w:w="860" w:type="dxa"/>
            <w:vAlign w:val="bottom"/>
          </w:tcPr>
          <w:p>
            <w:pPr>
              <w:jc w:val="center"/>
              <w:ind w:right="152"/>
              <w:spacing w:after="0"/>
              <w:rPr>
                <w:sz w:val="20"/>
                <w:szCs w:val="20"/>
                <w:color w:val="auto"/>
              </w:rPr>
            </w:pPr>
            <w:r>
              <w:rPr>
                <w:rFonts w:ascii="Arial" w:cs="Arial" w:eastAsia="Arial" w:hAnsi="Arial"/>
                <w:sz w:val="18"/>
                <w:szCs w:val="18"/>
                <w:color w:val="auto"/>
                <w:w w:val="85"/>
              </w:rPr>
              <w:t>31.2</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Certification of the Chief Financial Officer of ExlService Holdings, pursuant to Rule 13a-14 of the Exchange Act, as adopted pursuant to Section</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302 of the Sarbanes-Oxley Act of 2002.</w:t>
            </w:r>
          </w:p>
        </w:tc>
      </w:tr>
      <w:tr>
        <w:trPr>
          <w:trHeight w:val="318"/>
        </w:trPr>
        <w:tc>
          <w:tcPr>
            <w:tcW w:w="860" w:type="dxa"/>
            <w:vAlign w:val="bottom"/>
          </w:tcPr>
          <w:p>
            <w:pPr>
              <w:jc w:val="center"/>
              <w:ind w:right="152"/>
              <w:spacing w:after="0"/>
              <w:rPr>
                <w:sz w:val="20"/>
                <w:szCs w:val="20"/>
                <w:color w:val="auto"/>
              </w:rPr>
            </w:pPr>
            <w:r>
              <w:rPr>
                <w:rFonts w:ascii="Arial" w:cs="Arial" w:eastAsia="Arial" w:hAnsi="Arial"/>
                <w:sz w:val="18"/>
                <w:szCs w:val="18"/>
                <w:color w:val="auto"/>
                <w:w w:val="85"/>
              </w:rPr>
              <w:t>32.1</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Certification of the Chief Executive Officer pursuant to Rule 13a-14(b) of the Exchange Act and 18 U.S.C. Section 1350, as adopted pursuant to</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860" w:type="dxa"/>
            <w:vAlign w:val="bottom"/>
          </w:tcPr>
          <w:p>
            <w:pPr>
              <w:jc w:val="center"/>
              <w:ind w:right="152"/>
              <w:spacing w:after="0"/>
              <w:rPr>
                <w:sz w:val="20"/>
                <w:szCs w:val="20"/>
                <w:color w:val="auto"/>
              </w:rPr>
            </w:pPr>
            <w:r>
              <w:rPr>
                <w:rFonts w:ascii="Arial" w:cs="Arial" w:eastAsia="Arial" w:hAnsi="Arial"/>
                <w:sz w:val="18"/>
                <w:szCs w:val="18"/>
                <w:color w:val="auto"/>
                <w:w w:val="85"/>
              </w:rPr>
              <w:t>32.2</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Certification of the Chief Financial Officer pursuant to Rule 13a-14(b) of the Exchange Act and 18 U.S.C. Section 1350, as adopted pursuant to</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Section 906 of the Sarbanes-Oxley Act of 2002.</w:t>
            </w:r>
          </w:p>
        </w:tc>
      </w:tr>
      <w:tr>
        <w:trPr>
          <w:trHeight w:val="324"/>
        </w:trPr>
        <w:tc>
          <w:tcPr>
            <w:tcW w:w="860" w:type="dxa"/>
            <w:vAlign w:val="bottom"/>
          </w:tcPr>
          <w:p>
            <w:pPr>
              <w:jc w:val="center"/>
              <w:ind w:right="52"/>
              <w:spacing w:after="0"/>
              <w:rPr>
                <w:sz w:val="20"/>
                <w:szCs w:val="20"/>
                <w:color w:val="auto"/>
              </w:rPr>
            </w:pPr>
            <w:r>
              <w:rPr>
                <w:rFonts w:ascii="Arial" w:cs="Arial" w:eastAsia="Arial" w:hAnsi="Arial"/>
                <w:sz w:val="18"/>
                <w:szCs w:val="18"/>
                <w:color w:val="auto"/>
                <w:w w:val="92"/>
              </w:rPr>
              <w:t>101.INS</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Instance Document *</w:t>
            </w:r>
          </w:p>
        </w:tc>
      </w:tr>
      <w:tr>
        <w:trPr>
          <w:trHeight w:val="324"/>
        </w:trPr>
        <w:tc>
          <w:tcPr>
            <w:tcW w:w="860" w:type="dxa"/>
            <w:vAlign w:val="bottom"/>
          </w:tcPr>
          <w:p>
            <w:pPr>
              <w:jc w:val="center"/>
              <w:ind w:right="52"/>
              <w:spacing w:after="0"/>
              <w:rPr>
                <w:sz w:val="20"/>
                <w:szCs w:val="20"/>
                <w:color w:val="auto"/>
              </w:rPr>
            </w:pPr>
            <w:r>
              <w:rPr>
                <w:rFonts w:ascii="Arial" w:cs="Arial" w:eastAsia="Arial" w:hAnsi="Arial"/>
                <w:sz w:val="18"/>
                <w:szCs w:val="18"/>
                <w:color w:val="auto"/>
                <w:w w:val="87"/>
              </w:rPr>
              <w:t>101.SCH</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860" w:type="dxa"/>
            <w:vAlign w:val="bottom"/>
          </w:tcPr>
          <w:p>
            <w:pPr>
              <w:jc w:val="center"/>
              <w:ind w:right="52"/>
              <w:spacing w:after="0"/>
              <w:rPr>
                <w:sz w:val="20"/>
                <w:szCs w:val="20"/>
                <w:color w:val="auto"/>
              </w:rPr>
            </w:pPr>
            <w:r>
              <w:rPr>
                <w:rFonts w:ascii="Arial" w:cs="Arial" w:eastAsia="Arial" w:hAnsi="Arial"/>
                <w:sz w:val="18"/>
                <w:szCs w:val="18"/>
                <w:color w:val="auto"/>
                <w:w w:val="91"/>
              </w:rPr>
              <w:t>101.CAL</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860" w:type="dxa"/>
            <w:vAlign w:val="bottom"/>
          </w:tcPr>
          <w:p>
            <w:pPr>
              <w:jc w:val="center"/>
              <w:ind w:right="52"/>
              <w:spacing w:after="0"/>
              <w:rPr>
                <w:sz w:val="20"/>
                <w:szCs w:val="20"/>
                <w:color w:val="auto"/>
              </w:rPr>
            </w:pPr>
            <w:r>
              <w:rPr>
                <w:rFonts w:ascii="Arial" w:cs="Arial" w:eastAsia="Arial" w:hAnsi="Arial"/>
                <w:sz w:val="18"/>
                <w:szCs w:val="18"/>
                <w:color w:val="auto"/>
                <w:w w:val="90"/>
              </w:rPr>
              <w:t>101.DEF</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860" w:type="dxa"/>
            <w:vAlign w:val="bottom"/>
          </w:tcPr>
          <w:p>
            <w:pPr>
              <w:jc w:val="center"/>
              <w:ind w:right="52"/>
              <w:spacing w:after="0"/>
              <w:rPr>
                <w:sz w:val="20"/>
                <w:szCs w:val="20"/>
                <w:color w:val="auto"/>
              </w:rPr>
            </w:pPr>
            <w:r>
              <w:rPr>
                <w:rFonts w:ascii="Arial" w:cs="Arial" w:eastAsia="Arial" w:hAnsi="Arial"/>
                <w:sz w:val="18"/>
                <w:szCs w:val="18"/>
                <w:color w:val="auto"/>
                <w:w w:val="92"/>
              </w:rPr>
              <w:t>101.LAB</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860" w:type="dxa"/>
            <w:vAlign w:val="bottom"/>
          </w:tcPr>
          <w:p>
            <w:pPr>
              <w:jc w:val="center"/>
              <w:ind w:right="52"/>
              <w:spacing w:after="0"/>
              <w:rPr>
                <w:sz w:val="20"/>
                <w:szCs w:val="20"/>
                <w:color w:val="auto"/>
              </w:rPr>
            </w:pPr>
            <w:r>
              <w:rPr>
                <w:rFonts w:ascii="Arial" w:cs="Arial" w:eastAsia="Arial" w:hAnsi="Arial"/>
                <w:sz w:val="18"/>
                <w:szCs w:val="18"/>
                <w:color w:val="auto"/>
                <w:w w:val="88"/>
              </w:rPr>
              <w:t>101.PRE</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196" w:lineRule="exact"/>
        <w:rPr>
          <w:sz w:val="20"/>
          <w:szCs w:val="20"/>
          <w:color w:val="auto"/>
        </w:rPr>
      </w:pPr>
    </w:p>
    <w:p>
      <w:pPr>
        <w:ind w:left="220" w:right="140" w:hanging="212"/>
        <w:spacing w:after="0" w:line="259"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Exchange Act (15 U.S.C. 78r) or otherwise subject to the liability of that section. Such exhibit will not be deemed to be incorporated by reference into any filing under the Securities Act of 1933, as amended, or the Exchange Act, except to the extent that the Company specifically incorporates it by reference.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July 30, 2013</w:t>
      </w:r>
      <w:r>
        <w:rPr>
          <w:sz w:val="20"/>
          <w:szCs w:val="20"/>
          <w:color w:val="auto"/>
        </w:rPr>
        <w:tab/>
      </w:r>
      <w:r>
        <w:rPr>
          <w:rFonts w:ascii="Arial" w:cs="Arial" w:eastAsia="Arial" w:hAnsi="Arial"/>
          <w:sz w:val="18"/>
          <w:szCs w:val="18"/>
          <w:color w:val="auto"/>
        </w:rPr>
        <w:t>By: /s/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Vishal Chhibbar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(Duly Authorized Signatory, Principal Financial and Accounting</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Officer)</w:t>
      </w:r>
    </w:p>
    <w:p>
      <w:pPr>
        <w:spacing w:after="0" w:line="1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240" w:top="459" w:right="5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sz w:val="20"/>
          <w:szCs w:val="20"/>
          <w:color w:val="auto"/>
        </w:rPr>
      </w:pPr>
    </w:p>
    <w:p>
      <w:pPr>
        <w:ind w:left="460" w:right="14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Rohit Kapoor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Chairman and Chief Executive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Vishal Chhibbar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connection with the Quarterly Report of ExlService Holdings, Inc. (the “Company”) on Form 10-Q for the period ended June 30, 2013, as filed with the Securities and Exchange Commission on the date hereof (the “Report”), I, Rohit Kapoor, Vice Chairman and Chief Executive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Rohit Kapoor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Chairman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In connection with the Quarterly Report of ExlService Holdings, Inc. (the “Company”) on Form 10-Q for the period ended June 30, 2013, as filed with the Securities and Exchange Commission on the date hereof (the “Report”), I, Vishal Chhibbar, Executive Vice President and Chief Financial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Vishal Chhibbar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5"/>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3"/>
      <w:numFmt w:val="bullet"/>
      <w:start w:val="1"/>
    </w:lvl>
  </w:abstractNum>
  <w:abstractNum w:abstractNumId="13">
    <w:nsid w:val="41A7C4C9"/>
    <w:multiLevelType w:val="hybridMultilevel"/>
    <w:lvl w:ilvl="0">
      <w:lvlJc w:val="left"/>
      <w:lvlText w:val="%1."/>
      <w:numFmt w:val="decimal"/>
      <w:start w:val="4"/>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2019-12-07T08:15:52Z</dcterms:created>
  <dcterms:modified xsi:type="dcterms:W3CDTF">2019-12-07T08:15:52Z</dcterms:modified>
</cp:coreProperties>
</file>