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Pursuant to Sections 13 or 15(d) of the Securities Exchange Act of 1934</w:t>
      </w:r>
    </w:p>
    <w:p>
      <w:pPr>
        <w:spacing w:after="0" w:line="65"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Date of Report (Date of earliest event reported): February 27, 2018</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00"/>
          </w:cols>
          <w:pgMar w:left="240" w:top="999" w:right="25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2520"/>
          </w:cols>
          <w:pgMar w:left="240" w:top="999" w:right="259" w:bottom="1440" w:gutter="0" w:footer="0" w:header="0"/>
          <w:type w:val="continuous"/>
        </w:sectPr>
      </w:pPr>
    </w:p>
    <w:p>
      <w:pPr>
        <w:spacing w:after="0" w:line="23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1400"/>
          </w:cols>
          <w:pgMar w:left="240" w:top="999" w:right="259" w:bottom="1440" w:gutter="0" w:footer="0" w:header="0"/>
          <w:type w:val="continuous"/>
        </w:sectPr>
      </w:pPr>
    </w:p>
    <w:p>
      <w:pPr>
        <w:spacing w:after="0" w:line="25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16"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157"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306" w:lineRule="exact"/>
        <w:rPr>
          <w:rFonts w:ascii="Arial" w:cs="Arial" w:eastAsia="Arial" w:hAnsi="Arial"/>
          <w:sz w:val="18"/>
          <w:szCs w:val="18"/>
          <w:color w:val="auto"/>
        </w:rPr>
      </w:pPr>
    </w:p>
    <w:p>
      <w:pPr>
        <w:ind w:left="620" w:right="60" w:hanging="58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27, 2018, ExlService Holdings, Inc. (the “Company”) reported its results of operations for the three months and twelve months ended December 31, 2017.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02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580" w:type="dxa"/>
            <w:vAlign w:val="bottom"/>
          </w:tcPr>
          <w:p>
            <w:pPr>
              <w:ind w:left="280"/>
              <w:spacing w:after="0"/>
              <w:rPr>
                <w:sz w:val="20"/>
                <w:szCs w:val="20"/>
                <w:color w:val="auto"/>
              </w:rPr>
            </w:pPr>
            <w:r>
              <w:rPr>
                <w:rFonts w:ascii="Arial" w:cs="Arial" w:eastAsia="Arial" w:hAnsi="Arial"/>
                <w:sz w:val="18"/>
                <w:szCs w:val="18"/>
                <w:color w:val="auto"/>
                <w:w w:val="88"/>
              </w:rPr>
              <w:t>Press Release, dated February 27, 2018 (furnished pursuant to Item 2.02).</w:t>
            </w: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7980" w:type="dxa"/>
            <w:vAlign w:val="bottom"/>
            <w:gridSpan w:val="2"/>
          </w:tcPr>
          <w:p>
            <w:pPr>
              <w:ind w:left="16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400" w:type="dxa"/>
            <w:vAlign w:val="bottom"/>
          </w:tcPr>
          <w:p>
            <w:pPr>
              <w:spacing w:after="0"/>
              <w:rPr>
                <w:sz w:val="20"/>
                <w:szCs w:val="20"/>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400" w:type="dxa"/>
            <w:vAlign w:val="bottom"/>
          </w:tcPr>
          <w:p>
            <w:pPr>
              <w:spacing w:after="0"/>
              <w:rPr>
                <w:sz w:val="20"/>
                <w:szCs w:val="20"/>
                <w:color w:val="auto"/>
              </w:rPr>
            </w:pPr>
            <w:r>
              <w:rPr>
                <w:rFonts w:ascii="Arial" w:cs="Arial" w:eastAsia="Arial" w:hAnsi="Arial"/>
                <w:sz w:val="18"/>
                <w:szCs w:val="18"/>
                <w:color w:val="auto"/>
              </w:rPr>
              <w:t>Date: February 27, 2018</w:t>
            </w:r>
          </w:p>
        </w:tc>
        <w:tc>
          <w:tcPr>
            <w:tcW w:w="2960" w:type="dxa"/>
            <w:vAlign w:val="bottom"/>
          </w:tcPr>
          <w:p>
            <w:pPr>
              <w:ind w:left="162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Nancy Saltzman</w:t>
            </w:r>
          </w:p>
        </w:tc>
      </w:tr>
      <w:tr>
        <w:trPr>
          <w:trHeight w:val="41"/>
        </w:trPr>
        <w:tc>
          <w:tcPr>
            <w:tcW w:w="3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400" w:type="dxa"/>
            <w:vAlign w:val="bottom"/>
          </w:tcPr>
          <w:p>
            <w:pPr>
              <w:spacing w:after="0"/>
              <w:rPr>
                <w:sz w:val="21"/>
                <w:szCs w:val="21"/>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Nancy Saltzman</w:t>
            </w:r>
          </w:p>
        </w:tc>
      </w:tr>
      <w:tr>
        <w:trPr>
          <w:trHeight w:val="256"/>
        </w:trPr>
        <w:tc>
          <w:tcPr>
            <w:tcW w:w="3400" w:type="dxa"/>
            <w:vAlign w:val="bottom"/>
          </w:tcPr>
          <w:p>
            <w:pPr>
              <w:spacing w:after="0"/>
              <w:rPr>
                <w:sz w:val="22"/>
                <w:szCs w:val="22"/>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30"/>
        </w:trPr>
        <w:tc>
          <w:tcPr>
            <w:tcW w:w="3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6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2"/>
          </w:tcPr>
          <w:p>
            <w:pPr>
              <w:ind w:left="2280"/>
              <w:spacing w:after="0"/>
              <w:rPr>
                <w:sz w:val="20"/>
                <w:szCs w:val="20"/>
                <w:color w:val="auto"/>
              </w:rPr>
            </w:pPr>
            <w:r>
              <w:rPr>
                <w:rFonts w:ascii="Arial" w:cs="Arial" w:eastAsia="Arial" w:hAnsi="Arial"/>
                <w:sz w:val="22"/>
                <w:szCs w:val="22"/>
                <w:b w:val="1"/>
                <w:bCs w:val="1"/>
                <w:color w:val="auto"/>
              </w:rPr>
              <w:t>EXHIBIT INDEX</w:t>
            </w:r>
          </w:p>
        </w:tc>
      </w:tr>
      <w:tr>
        <w:trPr>
          <w:trHeight w:val="422"/>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358"/>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Press Release, dated February 27, 2018 (furnished pursuant to Item 2.02)</w:t>
              </w:r>
            </w:hyperlink>
            <w:r>
              <w:rPr>
                <w:rFonts w:ascii="Arial" w:cs="Arial" w:eastAsia="Arial" w:hAnsi="Arial"/>
                <w:sz w:val="18"/>
                <w:szCs w:val="18"/>
                <w:color w:val="000000"/>
                <w:w w:val="88"/>
              </w:rPr>
              <w:t>.</w:t>
            </w: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219"/>
          </w:cols>
          <w:pgMar w:left="240" w:top="625" w:right="1440"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2017 FOURTH QUARTER AND FULL YEAR RESULTS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2017 Fourth Quarter Revenues of $197.9 Million, up 11.6% year over year</w:t>
      </w:r>
    </w:p>
    <w:p>
      <w:pPr>
        <w:jc w:val="center"/>
        <w:spacing w:after="0" w:line="201" w:lineRule="auto"/>
        <w:rPr>
          <w:sz w:val="20"/>
          <w:szCs w:val="20"/>
          <w:color w:val="auto"/>
        </w:rPr>
      </w:pPr>
      <w:r>
        <w:rPr>
          <w:rFonts w:ascii="Arial" w:cs="Arial" w:eastAsia="Arial" w:hAnsi="Arial"/>
          <w:sz w:val="18"/>
          <w:szCs w:val="18"/>
          <w:b w:val="1"/>
          <w:bCs w:val="1"/>
          <w:i w:val="1"/>
          <w:iCs w:val="1"/>
          <w:color w:val="auto"/>
        </w:rPr>
        <w:t>Q4 Diluted EPS (GAAP) of ($0.27)</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 down from $0.45 in Q4 of 2016</w:t>
      </w:r>
    </w:p>
    <w:p>
      <w:pPr>
        <w:jc w:val="center"/>
        <w:spacing w:after="0"/>
        <w:rPr>
          <w:sz w:val="20"/>
          <w:szCs w:val="20"/>
          <w:color w:val="auto"/>
        </w:rPr>
      </w:pPr>
      <w:r>
        <w:rPr>
          <w:rFonts w:ascii="Arial" w:cs="Arial" w:eastAsia="Arial" w:hAnsi="Arial"/>
          <w:sz w:val="18"/>
          <w:szCs w:val="18"/>
          <w:b w:val="1"/>
          <w:bCs w:val="1"/>
          <w:i w:val="1"/>
          <w:iCs w:val="1"/>
          <w:color w:val="auto"/>
        </w:rPr>
        <w:t>Q4Adjusted Diluted EPS (Non-GAAP) of $0.67, up from $0.61 in Q4 of 2016</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2017 Revenues of $762.3 Million, up 11.1% year over year</w:t>
      </w:r>
    </w:p>
    <w:p>
      <w:pPr>
        <w:jc w:val="center"/>
        <w:spacing w:after="0" w:line="201" w:lineRule="auto"/>
        <w:rPr>
          <w:sz w:val="20"/>
          <w:szCs w:val="20"/>
          <w:color w:val="auto"/>
        </w:rPr>
      </w:pPr>
      <w:r>
        <w:rPr>
          <w:rFonts w:ascii="Arial" w:cs="Arial" w:eastAsia="Arial" w:hAnsi="Arial"/>
          <w:sz w:val="18"/>
          <w:szCs w:val="18"/>
          <w:b w:val="1"/>
          <w:bCs w:val="1"/>
          <w:i w:val="1"/>
          <w:iCs w:val="1"/>
          <w:color w:val="auto"/>
        </w:rPr>
        <w:t>2017 Diluted EPS (GAAP) of $1.39</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 down from $1.79 in 2016</w:t>
      </w:r>
    </w:p>
    <w:p>
      <w:pPr>
        <w:jc w:val="center"/>
        <w:spacing w:after="0"/>
        <w:rPr>
          <w:sz w:val="20"/>
          <w:szCs w:val="20"/>
          <w:color w:val="auto"/>
        </w:rPr>
      </w:pPr>
      <w:r>
        <w:rPr>
          <w:rFonts w:ascii="Arial" w:cs="Arial" w:eastAsia="Arial" w:hAnsi="Arial"/>
          <w:sz w:val="18"/>
          <w:szCs w:val="18"/>
          <w:b w:val="1"/>
          <w:bCs w:val="1"/>
          <w:i w:val="1"/>
          <w:iCs w:val="1"/>
          <w:color w:val="auto"/>
        </w:rPr>
        <w:t>2017 Adjusted Diluted EPS (Non-GAAP) of $2.65, up from $2.33 in 2016</w:t>
      </w: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NY - February 27, 2018 - ExlService Holdings, Inc. (NASDAQ: EXLS), a leading operations management and analytics company, today announced its financial results for the quarter ended December 31, 2017 and the full year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Rohit Kapoor, Vice Chairman and Chief Executive Officer, said, “EXL ended the year with a strong fourth quarter generating revenue growth of 11.6% to $197.9 million and adjusted EPS of $0.67, up 9.8%. For the year 2017, EXL grew revenues by 11.1% led by our Analytics segment which grew 26.7%. Our Operations Management businesses revenues grew 6.2% for the full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2017 performance was strong with our top and bottom lines exhibiting double-digit growth. In addition, we increased our digital technology investments in the areas of machine learning, advanced automation and robotics. As we create more digitally architected solutions, we are positioning ourselves to take advantage of market opportunities to be the strategic digital transformation partner of choice for our clients.”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Vishal Chhibbar, Chief Financial Officer, said, “In 2017, we generated $113.1 million of cash flow from operations and ended the year with $265.3 million in cash and short term investments. For 2018, we are providing revenue guidance of $830 million to $855 million, representing annual revenue growth of 9% to 12% on constant currency basis. Our adjusted diluted earnings per share guidance is $2.70 to $2.80. There are several factors contributing to our adjusted EPS growth which include improved operating profit margins on higher revenues which is partially offset by dilution from our acquisition of Health Integrated of $0.05 to $0.07 and an increase in our estimated effective tax rate to between 29% and 31% for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94" w:lineRule="exact"/>
        <w:rPr>
          <w:sz w:val="20"/>
          <w:szCs w:val="20"/>
          <w:color w:val="auto"/>
        </w:rPr>
      </w:pPr>
    </w:p>
    <w:p>
      <w:pPr>
        <w:ind w:right="60" w:firstLine="8"/>
        <w:spacing w:after="0" w:line="213"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Includes impact of one-time provisional income tax expense of $29.2 million related to the U.S. Tax Cuts and Jobs Act (“Tax Reform Act”) which reduced our GAAP diluted EPS by $0.83 during the three months ended and year ended December 31, 2017.</w:t>
      </w:r>
    </w:p>
    <w:p>
      <w:pPr>
        <w:sectPr>
          <w:pgSz w:w="11900" w:h="16838" w:orient="portrait"/>
          <w:cols w:equalWidth="0" w:num="1">
            <w:col w:w="11420"/>
          </w:cols>
          <w:pgMar w:left="240" w:top="7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Fourth Quarter 2017</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(Banking &amp; Financial Services, Utilities and Consulting) and Analytics. Reconciliations of adjusted (non-GAAP) financial measures, including those reflecting constant currency, to GAAP measures are included at the end of this release.</w:t>
      </w:r>
    </w:p>
    <w:p>
      <w:pPr>
        <w:spacing w:after="0" w:line="331" w:lineRule="exact"/>
        <w:rPr>
          <w:sz w:val="20"/>
          <w:szCs w:val="20"/>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December 31, 2017 increased to $197.9 million compared to $177.3 million for the fourth quarter of 2016, an increase of 11.6% on a reported basis and 10.6% on a constant currency basis from the fourth quarter of 2016, as well as an increase of 2.9% sequentially on a reported and on a constant currency basis from the quarter ended September 30, 2017.</w:t>
      </w:r>
    </w:p>
    <w:p>
      <w:pPr>
        <w:spacing w:after="0" w:line="14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Gross Margin</w:t>
            </w:r>
          </w:p>
        </w:tc>
        <w:tc>
          <w:tcPr>
            <w:tcW w:w="82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7"/>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0"/>
              </w:rPr>
              <w:t>Three months ended</w:t>
            </w:r>
          </w:p>
        </w:tc>
        <w:tc>
          <w:tcPr>
            <w:tcW w:w="2320" w:type="dxa"/>
            <w:vAlign w:val="bottom"/>
            <w:gridSpan w:val="5"/>
          </w:tcPr>
          <w:p>
            <w:pPr>
              <w:jc w:val="center"/>
              <w:ind w:left="739"/>
              <w:spacing w:after="0"/>
              <w:rPr>
                <w:sz w:val="20"/>
                <w:szCs w:val="20"/>
                <w:color w:val="auto"/>
              </w:rPr>
            </w:pPr>
            <w:r>
              <w:rPr>
                <w:rFonts w:ascii="Arial" w:cs="Arial" w:eastAsia="Arial" w:hAnsi="Arial"/>
                <w:sz w:val="16"/>
                <w:szCs w:val="16"/>
                <w:b w:val="1"/>
                <w:bCs w:val="1"/>
                <w:color w:val="auto"/>
                <w:w w:val="90"/>
              </w:rPr>
              <w:t>Three months ended</w:t>
            </w:r>
          </w:p>
        </w:tc>
        <w:tc>
          <w:tcPr>
            <w:tcW w:w="82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 31,</w:t>
            </w: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Dec 31,</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 30,</w:t>
            </w:r>
          </w:p>
        </w:tc>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 31,</w:t>
            </w:r>
          </w:p>
        </w:tc>
        <w:tc>
          <w:tcPr>
            <w:tcW w:w="12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Dec 31,</w:t>
            </w:r>
          </w:p>
        </w:tc>
        <w:tc>
          <w:tcPr>
            <w:tcW w:w="820" w:type="dxa"/>
            <w:vAlign w:val="bottom"/>
          </w:tcPr>
          <w:p>
            <w:pPr>
              <w:ind w:left="40"/>
              <w:spacing w:after="0"/>
              <w:rPr>
                <w:sz w:val="20"/>
                <w:szCs w:val="20"/>
                <w:color w:val="auto"/>
              </w:rPr>
            </w:pPr>
            <w:r>
              <w:rPr>
                <w:rFonts w:ascii="Arial" w:cs="Arial" w:eastAsia="Arial" w:hAnsi="Arial"/>
                <w:sz w:val="16"/>
                <w:szCs w:val="16"/>
                <w:b w:val="1"/>
                <w:bCs w:val="1"/>
                <w:color w:val="auto"/>
              </w:rPr>
              <w:t>Sept 30,</w:t>
            </w:r>
          </w:p>
        </w:tc>
      </w:tr>
      <w:tr>
        <w:trPr>
          <w:trHeight w:val="303"/>
        </w:trPr>
        <w:tc>
          <w:tcPr>
            <w:tcW w:w="390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40" w:type="dxa"/>
            <w:vAlign w:val="bottom"/>
          </w:tcPr>
          <w:p>
            <w:pPr>
              <w:spacing w:after="0"/>
              <w:rPr>
                <w:sz w:val="24"/>
                <w:szCs w:val="24"/>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4"/>
                <w:szCs w:val="24"/>
                <w:color w:val="auto"/>
              </w:rPr>
            </w:pPr>
          </w:p>
        </w:tc>
        <w:tc>
          <w:tcPr>
            <w:tcW w:w="960" w:type="dxa"/>
            <w:vAlign w:val="bottom"/>
          </w:tcPr>
          <w:p>
            <w:pPr>
              <w:ind w:left="300"/>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2</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2</w:t>
            </w:r>
          </w:p>
        </w:tc>
      </w:tr>
      <w:tr>
        <w:trPr>
          <w:trHeight w:val="231"/>
        </w:trPr>
        <w:tc>
          <w:tcPr>
            <w:tcW w:w="3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w w:val="92"/>
              </w:rPr>
              <w:t>(dollars in millions)</w:t>
            </w: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Insurance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31.5%</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ind w:left="340"/>
              <w:spacing w:after="0"/>
              <w:rPr>
                <w:sz w:val="20"/>
                <w:szCs w:val="20"/>
                <w:color w:val="auto"/>
              </w:rPr>
            </w:pPr>
            <w:r>
              <w:rPr>
                <w:rFonts w:ascii="Arial" w:cs="Arial" w:eastAsia="Arial" w:hAnsi="Arial"/>
                <w:sz w:val="16"/>
                <w:szCs w:val="16"/>
                <w:color w:val="auto"/>
              </w:rPr>
              <w:t>34.2%</w:t>
            </w: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Healthcare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35.9%</w:t>
            </w: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Travel, Transportation &amp; Logistics</w:t>
            </w: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38.0%</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6"/>
                <w:szCs w:val="16"/>
                <w:color w:val="auto"/>
              </w:rPr>
              <w:t>45.9%</w:t>
            </w: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&amp; Accounting</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41.5%</w:t>
            </w: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All Other</w:t>
            </w: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31.7%</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6"/>
                <w:szCs w:val="16"/>
                <w:color w:val="auto"/>
              </w:rPr>
              <w:t>32.0%</w:t>
            </w: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35.4%</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6"/>
                <w:szCs w:val="16"/>
                <w:color w:val="auto"/>
              </w:rPr>
              <w:t>33.7%</w:t>
            </w:r>
          </w:p>
        </w:tc>
      </w:tr>
      <w:tr>
        <w:trPr>
          <w:trHeight w:val="33"/>
        </w:trPr>
        <w:tc>
          <w:tcPr>
            <w:tcW w:w="3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revenues,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w w:val="96"/>
              </w:rPr>
              <w:t>34.6%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w w:val="96"/>
              </w:rPr>
              <w:t>34.7%</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36.0%</w:t>
            </w: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margin for the quarter ended December 31, 2017 was 8.2% compared to 8.0% in the fourth quarter of 2016 and 10.8% for the quarter ended September 30, 2017. Adjusted operating income margin for the quarter ended December 31, 2017 was 13.1% compared to 12.9% in the fourth quarter of 2016 and 15.6% for the quarter ended September 30, 2017.</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22, 2017, the United States enacted the U.S. Tax Cuts and Jobs Act (“Tax Reform Act”), which significantly revised the U.S. corporate income tax law by, among other provisions, reducing the U.S. federal statutory corporate income tax rate from 35.0% to 21.0% starting in 2018 and implementing a modified territorial tax system that includes a one-time transition tax on deemed repatriated earnings of foreign subsidiaries.</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earnings/(loss) per share for the quarter ended December 31, 2017 was ($0.27). During the quarter we recorded a one-time provisional income tax expense of $29.2 million related to the Tax Reform Act which reduced our GAAP diluted EPS by $0.83 for the quarter ended December 31, 2017. Diluted earnings per share for the fourth quarter of 2016 was $0.45 and $0.60 for the quarter ended September 30, 2017. Adjusted diluted earnings per share for the quarter ended December 31, 2017 was $0.67 compared to $0.61 for the fourth quarter of 2016 and $0.68 for the quarter ended September 30, 2017.</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356" w:lineRule="exact"/>
        <w:rPr>
          <w:sz w:val="20"/>
          <w:szCs w:val="20"/>
          <w:color w:val="auto"/>
        </w:rPr>
      </w:pPr>
    </w:p>
    <w:p>
      <w:pPr>
        <w:jc w:val="both"/>
        <w:ind w:firstLine="8"/>
        <w:spacing w:after="0" w:line="379" w:lineRule="auto"/>
        <w:tabs>
          <w:tab w:leader="none" w:pos="108" w:val="left"/>
        </w:tabs>
        <w:numPr>
          <w:ilvl w:val="0"/>
          <w:numId w:val="6"/>
        </w:numPr>
        <w:rPr>
          <w:rFonts w:ascii="Arial" w:cs="Arial" w:eastAsia="Arial" w:hAnsi="Arial"/>
          <w:sz w:val="23"/>
          <w:szCs w:val="23"/>
          <w:color w:val="auto"/>
          <w:vertAlign w:val="superscript"/>
        </w:rPr>
      </w:pPr>
      <w:r>
        <w:rPr>
          <w:rFonts w:ascii="Arial" w:cs="Arial" w:eastAsia="Arial" w:hAnsi="Arial"/>
          <w:sz w:val="13"/>
          <w:szCs w:val="13"/>
          <w:color w:val="auto"/>
        </w:rPr>
        <w:t>The Company early adopted Accounting Standards Update (ASU) 2017-12, Derivative and Hedging (Topic 815), Targeted Improvements to Accounting for Hedging Activities. Pursuant to this adoption, effective January 1, 2017, the Company recorded settlement gain/(loss) on cash flow hedges in cost of revenues and operating expenses, as applicable, in the consolidated statements of income for each of the quarters of 2017. In prior periods, such gain/(loss) were recorded under “Foreign exchange gain, net” in the consolidated statements of income.</w:t>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Highlights: Full Year 2017</w:t>
      </w:r>
    </w:p>
    <w:p>
      <w:pPr>
        <w:spacing w:after="0" w:line="229"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for the year ended December 31, 2017 increased to $762.3 million compared to $686.0 million for the year ended December 31, 2016 an increase of 11.1% on a reported basis and 10.8% on a constant currency basis.</w:t>
      </w:r>
    </w:p>
    <w:p>
      <w:pPr>
        <w:spacing w:after="0" w:line="347"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7"/>
              </w:rPr>
              <w:t>Revenues</w:t>
            </w:r>
          </w:p>
        </w:tc>
        <w:tc>
          <w:tcPr>
            <w:tcW w:w="2740" w:type="dxa"/>
            <w:vAlign w:val="bottom"/>
            <w:gridSpan w:val="3"/>
          </w:tcPr>
          <w:p>
            <w:pPr>
              <w:ind w:left="900"/>
              <w:spacing w:after="0"/>
              <w:rPr>
                <w:sz w:val="20"/>
                <w:szCs w:val="20"/>
                <w:color w:val="auto"/>
              </w:rPr>
            </w:pPr>
            <w:r>
              <w:rPr>
                <w:rFonts w:ascii="Arial" w:cs="Arial" w:eastAsia="Arial" w:hAnsi="Arial"/>
                <w:sz w:val="16"/>
                <w:szCs w:val="16"/>
                <w:b w:val="1"/>
                <w:bCs w:val="1"/>
                <w:color w:val="auto"/>
              </w:rPr>
              <w:t>Gross Margin</w:t>
            </w: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r>
      <w:tr>
        <w:trPr>
          <w:trHeight w:val="217"/>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Year ended</w:t>
            </w:r>
          </w:p>
        </w:tc>
        <w:tc>
          <w:tcPr>
            <w:tcW w:w="2740" w:type="dxa"/>
            <w:vAlign w:val="bottom"/>
            <w:gridSpan w:val="3"/>
          </w:tcPr>
          <w:p>
            <w:pPr>
              <w:ind w:left="980"/>
              <w:spacing w:after="0"/>
              <w:rPr>
                <w:sz w:val="20"/>
                <w:szCs w:val="20"/>
                <w:color w:val="auto"/>
              </w:rPr>
            </w:pPr>
            <w:r>
              <w:rPr>
                <w:rFonts w:ascii="Arial" w:cs="Arial" w:eastAsia="Arial" w:hAnsi="Arial"/>
                <w:sz w:val="16"/>
                <w:szCs w:val="16"/>
                <w:b w:val="1"/>
                <w:bCs w:val="1"/>
                <w:color w:val="auto"/>
              </w:rPr>
              <w:t>Year ended</w:t>
            </w:r>
          </w:p>
        </w:tc>
      </w:tr>
      <w:tr>
        <w:trPr>
          <w:trHeight w:val="33"/>
        </w:trPr>
        <w:tc>
          <w:tcPr>
            <w:tcW w:w="448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48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 31, 2017</w:t>
            </w:r>
          </w:p>
        </w:tc>
        <w:tc>
          <w:tcPr>
            <w:tcW w:w="18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 31, 2016</w:t>
            </w:r>
          </w:p>
        </w:tc>
        <w:tc>
          <w:tcPr>
            <w:tcW w:w="13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 31, 2017</w:t>
            </w:r>
          </w:p>
        </w:tc>
        <w:tc>
          <w:tcPr>
            <w:tcW w:w="1360" w:type="dxa"/>
            <w:vAlign w:val="bottom"/>
          </w:tcPr>
          <w:p>
            <w:pPr>
              <w:ind w:left="260"/>
              <w:spacing w:after="0"/>
              <w:rPr>
                <w:sz w:val="20"/>
                <w:szCs w:val="20"/>
                <w:color w:val="auto"/>
              </w:rPr>
            </w:pPr>
            <w:r>
              <w:rPr>
                <w:rFonts w:ascii="Arial" w:cs="Arial" w:eastAsia="Arial" w:hAnsi="Arial"/>
                <w:sz w:val="16"/>
                <w:szCs w:val="16"/>
                <w:b w:val="1"/>
                <w:bCs w:val="1"/>
                <w:color w:val="auto"/>
              </w:rPr>
              <w:t>Dec 31, 2016</w:t>
            </w: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(dollars in millions)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w w:val="96"/>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29.1%</w:t>
            </w:r>
          </w:p>
        </w:tc>
      </w:tr>
      <w:tr>
        <w:trPr>
          <w:trHeight w:val="237"/>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1260" w:type="dxa"/>
            <w:vAlign w:val="bottom"/>
          </w:tcPr>
          <w:p>
            <w:pPr>
              <w:ind w:left="800"/>
              <w:spacing w:after="0"/>
              <w:rPr>
                <w:sz w:val="20"/>
                <w:szCs w:val="20"/>
                <w:color w:val="auto"/>
              </w:rPr>
            </w:pPr>
            <w:r>
              <w:rPr>
                <w:rFonts w:ascii="Arial" w:cs="Arial" w:eastAsia="Arial" w:hAnsi="Arial"/>
                <w:sz w:val="16"/>
                <w:szCs w:val="16"/>
                <w:color w:val="auto"/>
                <w:w w:val="96"/>
              </w:rPr>
              <w:t>35.7%</w:t>
            </w:r>
          </w:p>
        </w:tc>
        <w:tc>
          <w:tcPr>
            <w:tcW w:w="12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6"/>
                <w:szCs w:val="16"/>
                <w:color w:val="auto"/>
              </w:rPr>
              <w:t>35.8%</w:t>
            </w: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Travel, Transportation &amp; Logistics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w w:val="96"/>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39.5%</w:t>
            </w:r>
          </w:p>
        </w:tc>
      </w:tr>
      <w:tr>
        <w:trPr>
          <w:trHeight w:val="237"/>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Finance &amp; Accounting</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20"/>
                <w:szCs w:val="20"/>
                <w:color w:val="auto"/>
              </w:rPr>
            </w:pPr>
          </w:p>
        </w:tc>
        <w:tc>
          <w:tcPr>
            <w:tcW w:w="1260" w:type="dxa"/>
            <w:vAlign w:val="bottom"/>
          </w:tcPr>
          <w:p>
            <w:pPr>
              <w:ind w:left="800"/>
              <w:spacing w:after="0"/>
              <w:rPr>
                <w:sz w:val="20"/>
                <w:szCs w:val="20"/>
                <w:color w:val="auto"/>
              </w:rPr>
            </w:pPr>
            <w:r>
              <w:rPr>
                <w:rFonts w:ascii="Arial" w:cs="Arial" w:eastAsia="Arial" w:hAnsi="Arial"/>
                <w:sz w:val="16"/>
                <w:szCs w:val="16"/>
                <w:color w:val="auto"/>
                <w:w w:val="96"/>
              </w:rPr>
              <w:t>40.5%</w:t>
            </w:r>
          </w:p>
        </w:tc>
        <w:tc>
          <w:tcPr>
            <w:tcW w:w="120" w:type="dxa"/>
            <w:vAlign w:val="bottom"/>
          </w:tcPr>
          <w:p>
            <w:pPr>
              <w:spacing w:after="0"/>
              <w:rPr>
                <w:sz w:val="20"/>
                <w:szCs w:val="20"/>
                <w:color w:val="auto"/>
              </w:rPr>
            </w:pPr>
          </w:p>
        </w:tc>
        <w:tc>
          <w:tcPr>
            <w:tcW w:w="1360" w:type="dxa"/>
            <w:vAlign w:val="bottom"/>
          </w:tcPr>
          <w:p>
            <w:pPr>
              <w:ind w:left="880"/>
              <w:spacing w:after="0"/>
              <w:rPr>
                <w:sz w:val="20"/>
                <w:szCs w:val="20"/>
                <w:color w:val="auto"/>
              </w:rPr>
            </w:pPr>
            <w:r>
              <w:rPr>
                <w:rFonts w:ascii="Arial" w:cs="Arial" w:eastAsia="Arial" w:hAnsi="Arial"/>
                <w:sz w:val="16"/>
                <w:szCs w:val="16"/>
                <w:color w:val="auto"/>
              </w:rPr>
              <w:t>39.2%</w:t>
            </w: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w w:val="96"/>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36.7%</w:t>
            </w: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w w:val="96"/>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35.8%</w:t>
            </w:r>
          </w:p>
        </w:tc>
      </w:tr>
      <w:tr>
        <w:trPr>
          <w:trHeight w:val="244"/>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Total revenues,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762.3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686.0</w:t>
            </w:r>
          </w:p>
        </w:tc>
        <w:tc>
          <w:tcPr>
            <w:tcW w:w="100" w:type="dxa"/>
            <w:vAlign w:val="bottom"/>
          </w:tcPr>
          <w:p>
            <w:pPr>
              <w:spacing w:after="0"/>
              <w:rPr>
                <w:sz w:val="21"/>
                <w:szCs w:val="21"/>
                <w:color w:val="auto"/>
              </w:rPr>
            </w:pPr>
          </w:p>
        </w:tc>
        <w:tc>
          <w:tcPr>
            <w:tcW w:w="12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6"/>
                <w:szCs w:val="16"/>
                <w:b w:val="1"/>
                <w:bCs w:val="1"/>
                <w:color w:val="auto"/>
                <w:w w:val="96"/>
              </w:rPr>
              <w:t>35.0%</w:t>
            </w:r>
          </w:p>
        </w:tc>
        <w:tc>
          <w:tcPr>
            <w:tcW w:w="120" w:type="dxa"/>
            <w:vAlign w:val="bottom"/>
          </w:tcPr>
          <w:p>
            <w:pPr>
              <w:spacing w:after="0"/>
              <w:rPr>
                <w:sz w:val="21"/>
                <w:szCs w:val="21"/>
                <w:color w:val="auto"/>
              </w:rPr>
            </w:pPr>
          </w:p>
        </w:tc>
        <w:tc>
          <w:tcPr>
            <w:tcW w:w="13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b w:val="1"/>
                <w:bCs w:val="1"/>
                <w:color w:val="auto"/>
              </w:rPr>
              <w:t>34.7%</w:t>
            </w: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Operating income margin for the year ended December 31, 2017 was 9.5% compared to 9.4% for the year ended December 31, 2016. Adjusted operating income margin for the year ended December 31, 2017 was 14.3% compared to 14.0% for the year ended December 31, 2016.</w:t>
      </w:r>
    </w:p>
    <w:p>
      <w:pPr>
        <w:spacing w:after="0" w:line="12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earnings per share for the year ended December 31, 2017 was $1.39. During the year we recorded a one-time provisional income tax expense of $29.2 million related to the Tax Reform Act which reduced our GAAP diluted EPS by $0.83 for the year ended December 31, 2017. Diluted earnings per share for 2016 was $1.79. Adjusted diluted earnings per share for the year ended December 31, 2017 was $2.65 compared to $2.33 for the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Fourth Quarter 2017</w:t>
      </w:r>
    </w:p>
    <w:p>
      <w:pPr>
        <w:spacing w:after="0" w:line="175" w:lineRule="exact"/>
        <w:rPr>
          <w:sz w:val="20"/>
          <w:szCs w:val="20"/>
          <w:color w:val="auto"/>
        </w:rPr>
      </w:pPr>
    </w:p>
    <w:p>
      <w:pPr>
        <w:jc w:val="both"/>
        <w:ind w:left="340" w:hanging="264"/>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Acquired substantially all the assets of Health Integrated, Inc., a Florida-based care management company that provides end-to-end analytics- and behavioral IP-enabled care management services including case management, utilization management, disease management, special needs programs and multichronic care management on behalf of health plans. We estimate Health Integrated to contribute $20-$22 million of revenues in 2018 and be dilutive to adjusted EPS by $0.05-$0.07.</w:t>
      </w:r>
    </w:p>
    <w:p>
      <w:pPr>
        <w:spacing w:after="0" w:line="132" w:lineRule="exact"/>
        <w:rPr>
          <w:rFonts w:ascii="Arial" w:cs="Arial" w:eastAsia="Arial" w:hAnsi="Arial"/>
          <w:sz w:val="18"/>
          <w:szCs w:val="18"/>
          <w:color w:val="auto"/>
        </w:rPr>
      </w:pPr>
    </w:p>
    <w:p>
      <w:pPr>
        <w:ind w:left="340" w:hanging="264"/>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Won seven new clients, including six in our operations management businesses and one in Analytics. For the full year, we won 42 new clients, 20 in operations management and 22 in Analytics.</w:t>
      </w:r>
    </w:p>
    <w:p>
      <w:pPr>
        <w:spacing w:after="0" w:line="116" w:lineRule="exact"/>
        <w:rPr>
          <w:rFonts w:ascii="Arial" w:cs="Arial" w:eastAsia="Arial" w:hAnsi="Arial"/>
          <w:sz w:val="18"/>
          <w:szCs w:val="18"/>
          <w:color w:val="auto"/>
        </w:rPr>
      </w:pPr>
    </w:p>
    <w:p>
      <w:pPr>
        <w:ind w:left="340" w:hanging="26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Opened a new delivery center in Dallas, Texas and added Tampa, Florida with the acquisition of Health Integrated.</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Positioned in the Winner’s Circle in the HfS Blueprint: Healthcare Business Operations Services 2017.</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Recognized as a Major Contender in the Everest Group Healthcare Provider BPO PEAK Matrix™ Assessment 2018.</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Expanded multiple operations management relationships, including migrating 48 new processes.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Guidance</w:t>
      </w:r>
    </w:p>
    <w:p>
      <w:pPr>
        <w:spacing w:after="0" w:line="229" w:lineRule="exact"/>
        <w:rPr>
          <w:sz w:val="20"/>
          <w:szCs w:val="20"/>
          <w:color w:val="auto"/>
        </w:rPr>
      </w:pPr>
    </w:p>
    <w:p>
      <w:pPr>
        <w:ind w:right="200"/>
        <w:spacing w:after="0" w:line="387" w:lineRule="auto"/>
        <w:rPr>
          <w:sz w:val="20"/>
          <w:szCs w:val="20"/>
          <w:color w:val="auto"/>
        </w:rPr>
      </w:pPr>
      <w:r>
        <w:rPr>
          <w:rFonts w:ascii="Arial" w:cs="Arial" w:eastAsia="Arial" w:hAnsi="Arial"/>
          <w:sz w:val="18"/>
          <w:szCs w:val="18"/>
          <w:color w:val="auto"/>
        </w:rPr>
        <w:t>Based on current visibility, and a U.S. Dollar to Indian Rupee exchange rate of 64.50, British Pound to U.S. Dollar exchange rate of 1.40, U.S. Dollar to the Philippine Peso exchange rate of 52.0 and all other currencies at current exchange rates.</w:t>
      </w:r>
    </w:p>
    <w:p>
      <w:pPr>
        <w:spacing w:after="0" w:line="62" w:lineRule="exact"/>
        <w:rPr>
          <w:sz w:val="20"/>
          <w:szCs w:val="20"/>
          <w:color w:val="auto"/>
        </w:rPr>
      </w:pPr>
    </w:p>
    <w:p>
      <w:pPr>
        <w:ind w:left="340" w:hanging="26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of $830 million to $855 million, representing an annual revenue growth rate of 9% to 12% on a constant currency basis.</w:t>
      </w:r>
    </w:p>
    <w:p>
      <w:pPr>
        <w:spacing w:after="0" w:line="171" w:lineRule="exact"/>
        <w:rPr>
          <w:rFonts w:ascii="Arial" w:cs="Arial" w:eastAsia="Arial" w:hAnsi="Arial"/>
          <w:sz w:val="18"/>
          <w:szCs w:val="18"/>
          <w:color w:val="auto"/>
        </w:rPr>
      </w:pPr>
    </w:p>
    <w:p>
      <w:pPr>
        <w:ind w:left="340" w:hanging="26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diluted earnings per share of $2.70 to $2.80.</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Tuesday, February 27, 2018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9"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at least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405" w:lineRule="auto"/>
        <w:rPr>
          <w:sz w:val="20"/>
          <w:szCs w:val="20"/>
          <w:color w:val="auto"/>
        </w:rPr>
      </w:pPr>
      <w:r>
        <w:rPr>
          <w:rFonts w:ascii="Arial" w:cs="Arial" w:eastAsia="Arial" w:hAnsi="Arial"/>
          <w:sz w:val="16"/>
          <w:szCs w:val="16"/>
          <w:color w:val="auto"/>
        </w:rPr>
        <w:t>EXL (NASDAQ: 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27,000 professionals in locations throughout the United States, Europe, Asia (primarily India and Philippines), Colombia, Australia and South Africa. For more information,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www.exlservice.com.</w:t>
      </w:r>
    </w:p>
    <w:p>
      <w:pPr>
        <w:spacing w:after="0" w:line="397"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6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80" w:type="dxa"/>
            <w:vAlign w:val="bottom"/>
            <w:tcBorders>
              <w:bottom w:val="single" w:sz="8" w:color="auto"/>
            </w:tcBorders>
          </w:tcPr>
          <w:p>
            <w:pPr>
              <w:spacing w:after="0"/>
              <w:rPr>
                <w:sz w:val="16"/>
                <w:szCs w:val="16"/>
                <w:color w:val="auto"/>
              </w:rPr>
            </w:pPr>
          </w:p>
        </w:tc>
      </w:tr>
      <w:tr>
        <w:trPr>
          <w:trHeight w:val="250"/>
        </w:trPr>
        <w:tc>
          <w:tcPr>
            <w:tcW w:w="4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21"/>
                <w:szCs w:val="21"/>
                <w:color w:val="auto"/>
              </w:rPr>
            </w:pPr>
          </w:p>
        </w:tc>
        <w:tc>
          <w:tcPr>
            <w:tcW w:w="262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6"/>
              </w:rPr>
              <w:t>Three months ended December 31,</w:t>
            </w:r>
          </w:p>
        </w:tc>
      </w:tr>
      <w:tr>
        <w:trPr>
          <w:trHeight w:val="263"/>
        </w:trPr>
        <w:tc>
          <w:tcPr>
            <w:tcW w:w="47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Revenues,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762,310</w:t>
            </w:r>
          </w:p>
        </w:tc>
        <w:tc>
          <w:tcPr>
            <w:tcW w:w="1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685,988</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197,875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177,274</w:t>
            </w: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Cost of revenues (exclusive of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495,586</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447,956</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129,369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115,784</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266,724</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238,032</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68,506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61,490</w:t>
            </w:r>
          </w:p>
        </w:tc>
      </w:tr>
      <w:tr>
        <w:trPr>
          <w:trHeight w:val="27"/>
        </w:trPr>
        <w:tc>
          <w:tcPr>
            <w:tcW w:w="4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102,567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88,648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27,521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25,028</w:t>
            </w: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and marketing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53,383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50,582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12,707</w:t>
            </w: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38,549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34,580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9,580</w:t>
            </w:r>
          </w:p>
        </w:tc>
      </w:tr>
      <w:tr>
        <w:trPr>
          <w:trHeight w:val="27"/>
        </w:trPr>
        <w:tc>
          <w:tcPr>
            <w:tcW w:w="4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194,499</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173,810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52,330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47,315</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72,225</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64,222</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16,176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14,175</w:t>
            </w: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11,859</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15,408</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85,034</w:t>
            </w: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83,884</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19,090</w:t>
            </w: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36,146</w:t>
            </w: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22,151</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48,888</w:t>
            </w:r>
          </w:p>
        </w:tc>
        <w:tc>
          <w:tcPr>
            <w:tcW w:w="1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61,733</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15,488</w:t>
            </w:r>
          </w:p>
        </w:tc>
      </w:tr>
      <w:tr>
        <w:trPr>
          <w:trHeight w:val="67"/>
        </w:trPr>
        <w:tc>
          <w:tcPr>
            <w:tcW w:w="47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4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Earnings/(loss)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w w:val="90"/>
              </w:rPr>
              <w:t>Weighted-average number of shares used in computing earnings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per share:</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33,897,916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33,566,367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34,086,711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33,638,170</w:t>
            </w:r>
          </w:p>
        </w:tc>
      </w:tr>
      <w:tr>
        <w:trPr>
          <w:trHeight w:val="243"/>
        </w:trPr>
        <w:tc>
          <w:tcPr>
            <w:tcW w:w="47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35,110,210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34,563,319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34,086,711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34,714,308</w:t>
            </w:r>
          </w:p>
        </w:tc>
      </w:tr>
    </w:tbl>
    <w:p>
      <w:pPr>
        <w:sectPr>
          <w:pgSz w:w="11900" w:h="16838" w:orient="portrait"/>
          <w:cols w:equalWidth="0" w:num="1">
            <w:col w:w="10780"/>
          </w:cols>
          <w:pgMar w:left="560" w:top="715" w:right="5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22"/>
                <w:szCs w:val="22"/>
                <w:color w:val="auto"/>
              </w:rPr>
            </w:pPr>
          </w:p>
        </w:tc>
        <w:tc>
          <w:tcPr>
            <w:tcW w:w="1580" w:type="dxa"/>
            <w:vAlign w:val="bottom"/>
          </w:tcPr>
          <w:p>
            <w:pPr>
              <w:jc w:val="right"/>
              <w:ind w:right="239"/>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86,795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213,155</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13,491</w:t>
            </w:r>
          </w:p>
        </w:tc>
        <w:tc>
          <w:tcPr>
            <w:tcW w:w="0" w:type="dxa"/>
            <w:vAlign w:val="bottom"/>
          </w:tcPr>
          <w:p>
            <w:pPr>
              <w:spacing w:after="0"/>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3,674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3,846</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113,067</w:t>
            </w:r>
          </w:p>
        </w:tc>
        <w:tc>
          <w:tcPr>
            <w:tcW w:w="0" w:type="dxa"/>
            <w:vAlign w:val="bottom"/>
          </w:tcPr>
          <w:p>
            <w:pPr>
              <w:spacing w:after="0"/>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9,781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7,855</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Advance income tax,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6,242</w:t>
            </w:r>
          </w:p>
        </w:tc>
        <w:tc>
          <w:tcPr>
            <w:tcW w:w="0" w:type="dxa"/>
            <w:vAlign w:val="bottom"/>
          </w:tcPr>
          <w:p>
            <w:pPr>
              <w:spacing w:after="0"/>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6"/>
                <w:szCs w:val="16"/>
                <w:color w:val="auto"/>
              </w:rPr>
              <w:t>Other current assets</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29,582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21,168</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378,824</w:t>
            </w:r>
          </w:p>
        </w:tc>
        <w:tc>
          <w:tcPr>
            <w:tcW w:w="0" w:type="dxa"/>
            <w:vAlign w:val="bottom"/>
          </w:tcPr>
          <w:p>
            <w:pPr>
              <w:spacing w:after="0"/>
              <w:rPr>
                <w:sz w:val="1"/>
                <w:szCs w:val="1"/>
                <w:color w:val="auto"/>
              </w:rPr>
            </w:pPr>
          </w:p>
        </w:tc>
      </w:tr>
      <w:tr>
        <w:trPr>
          <w:trHeight w:val="217"/>
        </w:trPr>
        <w:tc>
          <w:tcPr>
            <w:tcW w:w="75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66,757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49,029</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6"/>
                <w:szCs w:val="16"/>
                <w:color w:val="auto"/>
              </w:rPr>
              <w:t>Deferred taxes, net</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8,585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14,799</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53,770</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204,481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186,770</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19,943</w:t>
            </w: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Investment in equity affiliate</w:t>
            </w:r>
          </w:p>
        </w:tc>
        <w:tc>
          <w:tcPr>
            <w:tcW w:w="220" w:type="dxa"/>
            <w:vAlign w:val="bottom"/>
          </w:tcPr>
          <w:p>
            <w:pPr>
              <w:spacing w:after="0"/>
              <w:rPr>
                <w:sz w:val="19"/>
                <w:szCs w:val="19"/>
                <w:color w:val="auto"/>
              </w:rPr>
            </w:pPr>
          </w:p>
        </w:tc>
        <w:tc>
          <w:tcPr>
            <w:tcW w:w="1600" w:type="dxa"/>
            <w:vAlign w:val="bottom"/>
            <w:vMerge w:val="restart"/>
          </w:tcPr>
          <w:p>
            <w:pPr>
              <w:jc w:val="right"/>
              <w:ind w:right="39"/>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824,775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5,918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10,716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16,615</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50,832</w:t>
            </w:r>
          </w:p>
        </w:tc>
        <w:tc>
          <w:tcPr>
            <w:tcW w:w="0" w:type="dxa"/>
            <w:vAlign w:val="bottom"/>
          </w:tcPr>
          <w:p>
            <w:pPr>
              <w:spacing w:after="0"/>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61,366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43,264</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144,249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124,231</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16,202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14,819</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174,350</w:t>
            </w:r>
          </w:p>
        </w:tc>
        <w:tc>
          <w:tcPr>
            <w:tcW w:w="0" w:type="dxa"/>
            <w:vAlign w:val="bottom"/>
          </w:tcPr>
          <w:p>
            <w:pPr>
              <w:spacing w:after="0"/>
              <w:rPr>
                <w:sz w:val="1"/>
                <w:szCs w:val="1"/>
                <w:color w:val="auto"/>
              </w:rPr>
            </w:pPr>
          </w:p>
        </w:tc>
      </w:tr>
      <w:tr>
        <w:trPr>
          <w:trHeight w:val="204"/>
        </w:trPr>
        <w:tc>
          <w:tcPr>
            <w:tcW w:w="756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$0.001 par value; 100,000,000 shares authorized, 36,790,751 shares issued and 33,888,733</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shares outstanding as of December 31, 2017 and 35,699,819 shares issued and 33,628,109 shares outstanding</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 of December 31, 2016</w:t>
            </w: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322,246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284,646</w:t>
            </w:r>
          </w:p>
        </w:tc>
        <w:tc>
          <w:tcPr>
            <w:tcW w:w="0" w:type="dxa"/>
            <w:vAlign w:val="bottom"/>
          </w:tcPr>
          <w:p>
            <w:pPr>
              <w:spacing w:after="0"/>
              <w:rPr>
                <w:sz w:val="1"/>
                <w:szCs w:val="1"/>
                <w:color w:val="auto"/>
              </w:rPr>
            </w:pPr>
          </w:p>
        </w:tc>
      </w:tr>
      <w:tr>
        <w:trPr>
          <w:trHeight w:val="33"/>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382,722</w:t>
            </w:r>
          </w:p>
        </w:tc>
        <w:tc>
          <w:tcPr>
            <w:tcW w:w="0" w:type="dxa"/>
            <w:vAlign w:val="bottom"/>
          </w:tcPr>
          <w:p>
            <w:pPr>
              <w:spacing w:after="0"/>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(45,710)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(75,057)</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592,347</w:t>
            </w:r>
          </w:p>
        </w:tc>
        <w:tc>
          <w:tcPr>
            <w:tcW w:w="0" w:type="dxa"/>
            <w:vAlign w:val="bottom"/>
          </w:tcPr>
          <w:p>
            <w:pPr>
              <w:spacing w:after="0"/>
              <w:rPr>
                <w:sz w:val="1"/>
                <w:szCs w:val="1"/>
                <w:color w:val="auto"/>
              </w:rPr>
            </w:pPr>
          </w:p>
        </w:tc>
      </w:tr>
      <w:tr>
        <w:trPr>
          <w:trHeight w:val="200"/>
        </w:trPr>
        <w:tc>
          <w:tcPr>
            <w:tcW w:w="7560" w:type="dxa"/>
            <w:vAlign w:val="bottom"/>
          </w:tcPr>
          <w:p>
            <w:pPr>
              <w:ind w:left="20"/>
              <w:spacing w:after="0"/>
              <w:rPr>
                <w:sz w:val="20"/>
                <w:szCs w:val="20"/>
                <w:color w:val="auto"/>
              </w:rPr>
            </w:pPr>
            <w:r>
              <w:rPr>
                <w:rFonts w:ascii="Arial" w:cs="Arial" w:eastAsia="Arial" w:hAnsi="Arial"/>
                <w:sz w:val="16"/>
                <w:szCs w:val="16"/>
                <w:color w:val="auto"/>
                <w:w w:val="90"/>
              </w:rPr>
              <w:t>Less: 2,902,018 shares as of December 31, 2017 and 2,071,710 shares as of December 31, 2016, held in treasury, at</w:t>
            </w: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tcPr>
          <w:p>
            <w:pPr>
              <w:ind w:left="20"/>
              <w:spacing w:after="0"/>
              <w:rPr>
                <w:sz w:val="20"/>
                <w:szCs w:val="20"/>
                <w:color w:val="auto"/>
              </w:rPr>
            </w:pPr>
            <w:r>
              <w:rPr>
                <w:rFonts w:ascii="Arial" w:cs="Arial" w:eastAsia="Arial" w:hAnsi="Arial"/>
                <w:sz w:val="16"/>
                <w:szCs w:val="16"/>
                <w:color w:val="auto"/>
              </w:rPr>
              <w:t>cost</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(103,816)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(60,362)</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599,821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531,985</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532,178</w:t>
            </w:r>
          </w:p>
        </w:tc>
        <w:tc>
          <w:tcPr>
            <w:tcW w:w="0" w:type="dxa"/>
            <w:vAlign w:val="bottom"/>
          </w:tcPr>
          <w:p>
            <w:pPr>
              <w:spacing w:after="0"/>
              <w:rPr>
                <w:sz w:val="1"/>
                <w:szCs w:val="1"/>
                <w:color w:val="auto"/>
              </w:rPr>
            </w:pPr>
          </w:p>
        </w:tc>
      </w:tr>
      <w:tr>
        <w:trPr>
          <w:trHeight w:val="244"/>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824,775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706,528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20" w:top="580" w:right="299" w:bottom="792"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certain financial measures (adjusted operating income, adjusted operating income margin, adjusted EBITDA, adjusted EBITDA margin, adjusted net income, adjusted diluted earnings per share and information on a constant currency basis) that the Securities and Exchange Commission defines as “non-GAAP financial measures.” The non-GAAP financial measures disclosed by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 to period comparisons of the Company’s results and comparisons of the Company’s results with the results of other companies. Additionally, management considers some of these non-GAAP financial measures to determine variable compensation of its employees. EXL believes that it is unreasonably difficult to provide its earnings per share financial guidance in accordance with GAAP for a number of reasons, including, without limitation, EXL’s inability to predict its future stock-based compensation expense under ASC Topic 718, the amortization of intangibles associated with further acquisitions and the currency fluctuations and associated tax impacts: as such EXL presents guidance with respect to adjusted diluted earnings per share. EXL also incurs significant non-cash charges for depreciation that may not be indicative of the Company’s ability to generate cash flow.</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information provided on a constant currency basis reflects a comparison of current period results translated at the prior period currency rates. EXL’s primary exchange rate exposure is with the Indian Rupee, the U.K. pound sterling and the Philippine Peso. The average exchange rate of the U.S. Dollar against the Indian Rupee decreased from 67.70 during the quarter ended December 31, 2016 to 64.36 during the quarter ended December 31, 2017, representing appreciation of 4.9%. The average exchange rate of the U.S. Dollar against the Philippine Peso increased from 49.29 during the quarter ended December 31, 2016 to 50.60 during the quarter ended December 31, 2017, representing a depreciation of 2.7%. The average exchange rate of the British Pound against the U.S. Dollar increased from 1.23 during the quarter ended December 31, 2016 to 1.34 during the quarter ended December 31, 2017, representing appreciation of 8.9%. This information is provided because EXL believes that it provides useful comparative incremental information to investors regarding EXL’s operating performance.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reconciliation of these non-GAAP financial measures for the year ended December 31, 2017 and December 31, 2016, the three months ended December 31, 2017 and 2016 and the three months ended September 30,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w w:val="90"/>
              </w:rPr>
              <w:t>Year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47"/>
        </w:trPr>
        <w:tc>
          <w:tcPr>
            <w:tcW w:w="55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4"/>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8"/>
                <w:szCs w:val="18"/>
                <w:color w:val="auto"/>
              </w:rPr>
            </w:pPr>
          </w:p>
        </w:tc>
        <w:tc>
          <w:tcPr>
            <w:tcW w:w="1900" w:type="dxa"/>
            <w:vAlign w:val="bottom"/>
            <w:gridSpan w:val="5"/>
          </w:tcPr>
          <w:p>
            <w:pPr>
              <w:ind w:left="3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47"/>
        </w:trPr>
        <w:tc>
          <w:tcPr>
            <w:tcW w:w="55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299"/>
              <w:spacing w:after="0"/>
              <w:rPr>
                <w:sz w:val="20"/>
                <w:szCs w:val="20"/>
                <w:color w:val="auto"/>
              </w:rPr>
            </w:pPr>
            <w:r>
              <w:rPr>
                <w:rFonts w:ascii="Arial" w:cs="Arial" w:eastAsia="Arial" w:hAnsi="Arial"/>
                <w:sz w:val="16"/>
                <w:szCs w:val="16"/>
                <w:b w:val="1"/>
                <w:bCs w:val="1"/>
                <w:color w:val="auto"/>
                <w:w w:val="84"/>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7"/>
        </w:trPr>
        <w:tc>
          <w:tcPr>
            <w:tcW w:w="55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Net Income/(loss) (GAAP)</w:t>
            </w: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560" w:type="dxa"/>
            <w:vAlign w:val="bottom"/>
            <w:vMerge w:val="continue"/>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48,888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rPr>
              <w:t>61,733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(9,355)</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15,488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21,077</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36,146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2,819</w:t>
            </w:r>
          </w:p>
        </w:tc>
        <w:tc>
          <w:tcPr>
            <w:tcW w:w="0" w:type="dxa"/>
            <w:vAlign w:val="bottom"/>
          </w:tcPr>
          <w:p>
            <w:pPr>
              <w:spacing w:after="0"/>
              <w:rPr>
                <w:sz w:val="1"/>
                <w:szCs w:val="1"/>
                <w:color w:val="auto"/>
              </w:rPr>
            </w:pPr>
          </w:p>
        </w:tc>
      </w:tr>
      <w:tr>
        <w:trPr>
          <w:trHeight w:val="224"/>
        </w:trPr>
        <w:tc>
          <w:tcPr>
            <w:tcW w:w="5560" w:type="dxa"/>
            <w:vAlign w:val="bottom"/>
          </w:tcPr>
          <w:p>
            <w:pPr>
              <w:ind w:left="380"/>
              <w:spacing w:after="0"/>
              <w:rPr>
                <w:sz w:val="20"/>
                <w:szCs w:val="20"/>
                <w:color w:val="auto"/>
              </w:rPr>
            </w:pPr>
            <w:r>
              <w:rPr>
                <w:rFonts w:ascii="Arial" w:cs="Arial" w:eastAsia="Arial" w:hAnsi="Arial"/>
                <w:sz w:val="16"/>
                <w:szCs w:val="16"/>
                <w:color w:val="auto"/>
                <w:w w:val="95"/>
              </w:rPr>
              <w:t>subtract: Interest expense, foreign exchange gain, net and other income, net</w:t>
            </w:r>
          </w:p>
        </w:tc>
        <w:tc>
          <w:tcPr>
            <w:tcW w:w="24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(12,809)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w w:val="97"/>
              </w:rPr>
              <w:t>(19,662)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(3,413)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(3,077)</w:t>
            </w:r>
          </w:p>
        </w:tc>
        <w:tc>
          <w:tcPr>
            <w:tcW w:w="0" w:type="dxa"/>
            <w:vAlign w:val="bottom"/>
          </w:tcPr>
          <w:p>
            <w:pPr>
              <w:spacing w:after="0"/>
              <w:rPr>
                <w:sz w:val="1"/>
                <w:szCs w:val="1"/>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from operations (GAAP)</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72,225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64,222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16,176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14,175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20,819</w:t>
            </w:r>
          </w:p>
        </w:tc>
        <w:tc>
          <w:tcPr>
            <w:tcW w:w="0" w:type="dxa"/>
            <w:vAlign w:val="bottom"/>
          </w:tcPr>
          <w:p>
            <w:pPr>
              <w:spacing w:after="0"/>
              <w:rPr>
                <w:sz w:val="1"/>
                <w:szCs w:val="1"/>
                <w:color w:val="auto"/>
              </w:rPr>
            </w:pPr>
          </w:p>
        </w:tc>
      </w:tr>
      <w:tr>
        <w:trPr>
          <w:trHeight w:val="224"/>
        </w:trPr>
        <w:tc>
          <w:tcPr>
            <w:tcW w:w="5560" w:type="dxa"/>
            <w:vAlign w:val="bottom"/>
          </w:tcPr>
          <w:p>
            <w:pPr>
              <w:ind w:left="380"/>
              <w:spacing w:after="0"/>
              <w:rPr>
                <w:sz w:val="20"/>
                <w:szCs w:val="20"/>
                <w:color w:val="auto"/>
              </w:rPr>
            </w:pPr>
            <w:r>
              <w:rPr>
                <w:rFonts w:ascii="Arial" w:cs="Arial" w:eastAsia="Arial" w:hAnsi="Arial"/>
                <w:sz w:val="16"/>
                <w:szCs w:val="16"/>
                <w:color w:val="auto"/>
              </w:rPr>
              <w:t>add: Stock-based compensation expense (a)</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23,041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19,770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6,270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5,708</w:t>
            </w:r>
          </w:p>
        </w:tc>
        <w:tc>
          <w:tcPr>
            <w:tcW w:w="0" w:type="dxa"/>
            <w:vAlign w:val="bottom"/>
          </w:tcPr>
          <w:p>
            <w:pPr>
              <w:spacing w:after="0"/>
              <w:rPr>
                <w:sz w:val="1"/>
                <w:szCs w:val="1"/>
                <w:color w:val="auto"/>
              </w:rPr>
            </w:pPr>
          </w:p>
        </w:tc>
      </w:tr>
      <w:tr>
        <w:trPr>
          <w:trHeight w:val="47"/>
        </w:trPr>
        <w:tc>
          <w:tcPr>
            <w:tcW w:w="5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Amortization of acquisition-related intangibles (b)</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13,975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3,487</w:t>
            </w:r>
          </w:p>
        </w:tc>
        <w:tc>
          <w:tcPr>
            <w:tcW w:w="0" w:type="dxa"/>
            <w:vAlign w:val="bottom"/>
          </w:tcPr>
          <w:p>
            <w:pPr>
              <w:spacing w:after="0"/>
              <w:rPr>
                <w:sz w:val="1"/>
                <w:szCs w:val="1"/>
                <w:color w:val="auto"/>
              </w:rPr>
            </w:pPr>
          </w:p>
        </w:tc>
      </w:tr>
      <w:tr>
        <w:trPr>
          <w:trHeight w:val="217"/>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Adjusted operating income (Non-GAAP)</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109,241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95,865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25,929</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22,794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30,014</w:t>
            </w:r>
          </w:p>
        </w:tc>
        <w:tc>
          <w:tcPr>
            <w:tcW w:w="0" w:type="dxa"/>
            <w:vAlign w:val="bottom"/>
          </w:tcPr>
          <w:p>
            <w:pPr>
              <w:spacing w:after="0"/>
              <w:rPr>
                <w:sz w:val="1"/>
                <w:szCs w:val="1"/>
                <w:color w:val="auto"/>
              </w:rPr>
            </w:pPr>
          </w:p>
        </w:tc>
      </w:tr>
      <w:tr>
        <w:trPr>
          <w:trHeight w:val="73"/>
        </w:trPr>
        <w:tc>
          <w:tcPr>
            <w:tcW w:w="55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15.6%</w:t>
            </w:r>
          </w:p>
        </w:tc>
        <w:tc>
          <w:tcPr>
            <w:tcW w:w="0" w:type="dxa"/>
            <w:vAlign w:val="bottom"/>
          </w:tcPr>
          <w:p>
            <w:pPr>
              <w:spacing w:after="0"/>
              <w:rPr>
                <w:sz w:val="1"/>
                <w:szCs w:val="1"/>
                <w:color w:val="auto"/>
              </w:rPr>
            </w:pPr>
          </w:p>
        </w:tc>
      </w:tr>
      <w:tr>
        <w:trPr>
          <w:trHeight w:val="224"/>
        </w:trPr>
        <w:tc>
          <w:tcPr>
            <w:tcW w:w="5560" w:type="dxa"/>
            <w:vAlign w:val="bottom"/>
          </w:tcPr>
          <w:p>
            <w:pPr>
              <w:ind w:left="380"/>
              <w:spacing w:after="0"/>
              <w:rPr>
                <w:sz w:val="20"/>
                <w:szCs w:val="20"/>
                <w:color w:val="auto"/>
              </w:rPr>
            </w:pPr>
            <w:r>
              <w:rPr>
                <w:rFonts w:ascii="Arial" w:cs="Arial" w:eastAsia="Arial" w:hAnsi="Arial"/>
                <w:sz w:val="16"/>
                <w:szCs w:val="16"/>
                <w:color w:val="auto"/>
              </w:rPr>
              <w:t>add: Depreciation</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24,574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22,707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6,577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5,988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6,095</w:t>
            </w:r>
          </w:p>
        </w:tc>
        <w:tc>
          <w:tcPr>
            <w:tcW w:w="0" w:type="dxa"/>
            <w:vAlign w:val="bottom"/>
          </w:tcPr>
          <w:p>
            <w:pPr>
              <w:spacing w:after="0"/>
              <w:rPr>
                <w:sz w:val="1"/>
                <w:szCs w:val="1"/>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133,815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118,572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28,782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36,109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rPr>
              <w:t>Adjusted EBITDA margin as a % of revenues (Non-GAAP)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17.6%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17.3%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16.4%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16.2%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To exclude stock-based compensation expense under ASC Topic 718.</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 To exclude amortization of acquisition-related intangibles.</w:t>
      </w:r>
    </w:p>
    <w:p>
      <w:pPr>
        <w:sectPr>
          <w:pgSz w:w="11900" w:h="16838" w:orient="portrait"/>
          <w:cols w:equalWidth="0" w:num="1">
            <w:col w:w="11420"/>
          </w:cols>
          <w:pgMar w:left="240" w:top="70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Year ended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60" w:type="dxa"/>
            <w:vAlign w:val="bottom"/>
            <w:gridSpan w:val="6"/>
          </w:tcPr>
          <w:p>
            <w:pPr>
              <w:jc w:val="right"/>
              <w:ind w:right="879"/>
              <w:spacing w:after="0"/>
              <w:rPr>
                <w:sz w:val="20"/>
                <w:szCs w:val="20"/>
                <w:color w:val="auto"/>
              </w:rPr>
            </w:pPr>
            <w:r>
              <w:rPr>
                <w:rFonts w:ascii="Arial" w:cs="Arial" w:eastAsia="Arial" w:hAnsi="Arial"/>
                <w:sz w:val="16"/>
                <w:szCs w:val="16"/>
                <w:b w:val="1"/>
                <w:bCs w:val="1"/>
                <w:color w:val="auto"/>
                <w:w w:val="94"/>
              </w:rPr>
              <w:t>Three months ended</w:t>
            </w:r>
          </w:p>
        </w:tc>
        <w:tc>
          <w:tcPr>
            <w:tcW w:w="0" w:type="dxa"/>
            <w:vAlign w:val="bottom"/>
          </w:tcPr>
          <w:p>
            <w:pPr>
              <w:spacing w:after="0"/>
              <w:rPr>
                <w:sz w:val="1"/>
                <w:szCs w:val="1"/>
                <w:color w:val="auto"/>
              </w:rPr>
            </w:pPr>
          </w:p>
        </w:tc>
      </w:tr>
      <w:tr>
        <w:trPr>
          <w:trHeight w:val="47"/>
        </w:trPr>
        <w:tc>
          <w:tcPr>
            <w:tcW w:w="58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gridSpan w:val="4"/>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Pr>
          <w:p>
            <w:pPr>
              <w:spacing w:after="0"/>
              <w:rPr>
                <w:sz w:val="18"/>
                <w:szCs w:val="18"/>
                <w:color w:val="auto"/>
              </w:rPr>
            </w:pPr>
          </w:p>
        </w:tc>
        <w:tc>
          <w:tcPr>
            <w:tcW w:w="1800" w:type="dxa"/>
            <w:vAlign w:val="bottom"/>
            <w:gridSpan w:val="5"/>
          </w:tcPr>
          <w:p>
            <w:pPr>
              <w:ind w:left="30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47"/>
        </w:trPr>
        <w:tc>
          <w:tcPr>
            <w:tcW w:w="58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7"/>
        </w:trPr>
        <w:tc>
          <w:tcPr>
            <w:tcW w:w="5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Net income/(loss) (GAAP)</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84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48,888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61,733</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(9,355)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15,488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21,077</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Stock-based compensation expense (a)</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19,770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5,708</w:t>
            </w:r>
          </w:p>
        </w:tc>
        <w:tc>
          <w:tcPr>
            <w:tcW w:w="0" w:type="dxa"/>
            <w:vAlign w:val="bottom"/>
          </w:tcPr>
          <w:p>
            <w:pPr>
              <w:spacing w:after="0"/>
              <w:rPr>
                <w:sz w:val="1"/>
                <w:szCs w:val="1"/>
                <w:color w:val="auto"/>
              </w:rPr>
            </w:pPr>
          </w:p>
        </w:tc>
      </w:tr>
      <w:tr>
        <w:trPr>
          <w:trHeight w:val="224"/>
        </w:trPr>
        <w:tc>
          <w:tcPr>
            <w:tcW w:w="5840" w:type="dxa"/>
            <w:vAlign w:val="bottom"/>
          </w:tcPr>
          <w:p>
            <w:pPr>
              <w:ind w:left="40"/>
              <w:spacing w:after="0"/>
              <w:rPr>
                <w:sz w:val="20"/>
                <w:szCs w:val="20"/>
                <w:color w:val="auto"/>
              </w:rPr>
            </w:pPr>
            <w:r>
              <w:rPr>
                <w:rFonts w:ascii="Arial" w:cs="Arial" w:eastAsia="Arial" w:hAnsi="Arial"/>
                <w:sz w:val="16"/>
                <w:szCs w:val="16"/>
                <w:color w:val="auto"/>
              </w:rPr>
              <w:t>add: Amortization of acquisition-related intangibles (b)</w:t>
            </w:r>
          </w:p>
        </w:tc>
        <w:tc>
          <w:tcPr>
            <w:tcW w:w="20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13,975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11,873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3,483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3,487</w:t>
            </w:r>
          </w:p>
        </w:tc>
        <w:tc>
          <w:tcPr>
            <w:tcW w:w="0" w:type="dxa"/>
            <w:vAlign w:val="bottom"/>
          </w:tcPr>
          <w:p>
            <w:pPr>
              <w:spacing w:after="0"/>
              <w:rPr>
                <w:sz w:val="1"/>
                <w:szCs w:val="1"/>
                <w:color w:val="auto"/>
              </w:rPr>
            </w:pPr>
          </w:p>
        </w:tc>
      </w:tr>
      <w:tr>
        <w:trPr>
          <w:trHeight w:val="47"/>
        </w:trPr>
        <w:tc>
          <w:tcPr>
            <w:tcW w:w="5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Effect of tax impact from Tax Reform Act (c)</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840" w:type="dxa"/>
            <w:vAlign w:val="bottom"/>
          </w:tcPr>
          <w:p>
            <w:pPr>
              <w:ind w:left="40"/>
              <w:spacing w:after="0"/>
              <w:rPr>
                <w:sz w:val="20"/>
                <w:szCs w:val="20"/>
                <w:color w:val="auto"/>
              </w:rPr>
            </w:pPr>
            <w:r>
              <w:rPr>
                <w:rFonts w:ascii="Arial" w:cs="Arial" w:eastAsia="Arial" w:hAnsi="Arial"/>
                <w:sz w:val="16"/>
                <w:szCs w:val="16"/>
                <w:color w:val="auto"/>
              </w:rPr>
              <w:t>subtract: Tax impact on stock-based compensation expense (d)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(7,216)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47"/>
        </w:trPr>
        <w:tc>
          <w:tcPr>
            <w:tcW w:w="5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24"/>
        </w:trPr>
        <w:tc>
          <w:tcPr>
            <w:tcW w:w="5840" w:type="dxa"/>
            <w:vAlign w:val="bottom"/>
          </w:tcPr>
          <w:p>
            <w:pPr>
              <w:ind w:left="40"/>
              <w:spacing w:after="0"/>
              <w:rPr>
                <w:sz w:val="20"/>
                <w:szCs w:val="20"/>
                <w:color w:val="auto"/>
              </w:rPr>
            </w:pPr>
            <w:r>
              <w:rPr>
                <w:rFonts w:ascii="Arial" w:cs="Arial" w:eastAsia="Arial" w:hAnsi="Arial"/>
                <w:sz w:val="16"/>
                <w:szCs w:val="16"/>
                <w:color w:val="auto"/>
              </w:rPr>
              <w:t>Subtract: Changes in fair value of earn-out consideration (net of tax) (e)</w:t>
            </w:r>
          </w:p>
        </w:tc>
        <w:tc>
          <w:tcPr>
            <w:tcW w:w="2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8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 (Non-GAAP)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92,930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80,572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23,573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23,766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Adjusted diluted earnings per share (Non-GAAP)</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vMerge w:val="continue"/>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2.65</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2.33</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0.67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0.61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0.68</w:t>
            </w: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221" w:lineRule="exact"/>
        <w:rPr>
          <w:rFonts w:ascii="Arial" w:cs="Arial" w:eastAsia="Arial" w:hAnsi="Arial"/>
          <w:sz w:val="16"/>
          <w:szCs w:val="16"/>
          <w:color w:val="auto"/>
        </w:rPr>
      </w:pPr>
    </w:p>
    <w:p>
      <w:pPr>
        <w:jc w:val="both"/>
        <w:ind w:firstLine="8"/>
        <w:spacing w:after="0" w:line="253" w:lineRule="auto"/>
        <w:tabs>
          <w:tab w:leader="none" w:pos="23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include impact related to the Tax Reform Act. The Company recognized a one-time income tax expense of $29,185 during the three months ended and year ended December 31, 2017, comprised of a provisional deemed repatriation tax expense of $27,236 and a provisional net deferred tax expense of $1,949. The one-time incremental income tax expense reflects certain assumptions based upon the Company’s interpretation of the Tax Reform Act and may change as the Company receive additional clarification and guidance and as the interpretation of the Tax Reform Act evolves over time. Any additional changes would be reflected as a non-GAAP adjustment in the period in which they are recorded.</w:t>
      </w:r>
    </w:p>
    <w:p>
      <w:pPr>
        <w:spacing w:after="0" w:line="191" w:lineRule="exact"/>
        <w:rPr>
          <w:rFonts w:ascii="Arial" w:cs="Arial" w:eastAsia="Arial" w:hAnsi="Arial"/>
          <w:sz w:val="16"/>
          <w:szCs w:val="16"/>
          <w:color w:val="auto"/>
        </w:rPr>
      </w:pPr>
    </w:p>
    <w:p>
      <w:pPr>
        <w:ind w:firstLine="8"/>
        <w:spacing w:after="0" w:line="275" w:lineRule="auto"/>
        <w:tabs>
          <w:tab w:leader="none" w:pos="2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Tax impact include $9,796 for the year ended December 31, 2017 and $2,627 and $3,488 during the three months ended December 31, 2017 and September 30, 2017 respectively, related to discrete benefit recognized in income tax expense on adoption of ASU No. 2016-09, Compensation - Stock Compensation.</w:t>
      </w:r>
    </w:p>
    <w:p>
      <w:pPr>
        <w:spacing w:after="0" w:line="172" w:lineRule="exact"/>
        <w:rPr>
          <w:rFonts w:ascii="Arial" w:cs="Arial" w:eastAsia="Arial" w:hAnsi="Arial"/>
          <w:sz w:val="16"/>
          <w:szCs w:val="16"/>
          <w:color w:val="auto"/>
        </w:rPr>
      </w:pPr>
    </w:p>
    <w:p>
      <w:pPr>
        <w:ind w:left="220" w:hanging="212"/>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exclude change in fair value of earn-out consideration related to the Company’s 2015 acquisition of RPM Direct LLC and RPM Data Solutions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10060" w:firstLine="8"/>
        <w:spacing w:after="0" w:line="323"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2019-12-29T00:48:01Z</dcterms:created>
  <dcterms:modified xsi:type="dcterms:W3CDTF">2019-12-29T00:48:01Z</dcterms:modified>
</cp:coreProperties>
</file>