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31449247.xml.htm"/>
      <w:bookmarkStart w:id="1" w:name="kswkform4_17314492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Kapoor Rohit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 29TH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Chairman &amp;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11/08/2024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0"/>
        <w:gridCol w:w="901"/>
        <w:gridCol w:w="772"/>
        <w:gridCol w:w="598"/>
        <w:gridCol w:w="341"/>
        <w:gridCol w:w="1002"/>
        <w:gridCol w:w="436"/>
        <w:gridCol w:w="789"/>
        <w:gridCol w:w="1131"/>
        <w:gridCol w:w="974"/>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11/08/2024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45.66</w:t>
            </w:r>
            <w:r>
              <w:rPr>
                <w:rFonts w:ascii="Times;serif" w:hAnsi="Times;serif"/>
                <w:color w:val="008000"/>
                <w:position w:val="7"/>
                <w:sz w:val="16"/>
                <w:sz w:val="20"/>
                <w:shd w:fill="FFFFFF" w:val="clear"/>
              </w:rPr>
              <w:t>(1)</w:t>
            </w:r>
            <w:r>
              <w:rPr/>
              <w:t xml:space="preserve"> </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789,645</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885,670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420,000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420,000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665,925</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r>
        <w:trPr/>
        <w:tc>
          <w:tcPr>
            <w:tcW w:w="21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201,095</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$45.34 to $45.88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Owned by Rohit Kapoor.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Owned by the 2016 Kapoor Family Trust Created Under the Rohit Kapoor 2005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Owned by the Rohit Kapoor Spousal Lifetime Access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Owned by the Shikha Kapoor 2005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Owned by the Rohit Kapoor 2016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Owned by the 2016 Kapoor Family Trust Created Under the Rohit Kapoor 2013 GRAT.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Ayyappan is the Company's General Counsel.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Ajay Ayyappan,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11/12/2024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3630" TargetMode="External"/><Relationship Id="rId5" Type="http://schemas.openxmlformats.org/officeDocument/2006/relationships/hyperlink" Target="http://www.sec.gov/cgi-bin/browse-edgar?action=getcompany&amp;CIK=0001297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752</Words>
  <Characters>4004</Characters>
  <CharactersWithSpaces>4675</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