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382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38289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Kini Narasimha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40"/>
        <w:spacing w:after="0" w:line="330" w:lineRule="auto"/>
        <w:rPr>
          <w:sz w:val="20"/>
          <w:szCs w:val="20"/>
          <w:color w:val="auto"/>
        </w:rPr>
      </w:pPr>
      <w:r>
        <w:rPr>
          <w:rFonts w:ascii="Times New Roman" w:cs="Times New Roman" w:eastAsia="Times New Roman" w:hAnsi="Times New Roman"/>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34"/>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44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7"/>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62"/>
              <w:spacing w:after="0"/>
              <w:rPr>
                <w:sz w:val="20"/>
                <w:szCs w:val="20"/>
                <w:color w:val="auto"/>
              </w:rPr>
            </w:pPr>
            <w:r>
              <w:rPr>
                <w:rFonts w:ascii="Times New Roman" w:cs="Times New Roman" w:eastAsia="Times New Roman" w:hAnsi="Times New Roman"/>
                <w:sz w:val="17"/>
                <w:szCs w:val="17"/>
                <w:color w:val="0000FF"/>
              </w:rPr>
              <w:t>02/27/2025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5,587</w:t>
            </w:r>
          </w:p>
        </w:tc>
        <w:tc>
          <w:tcPr>
            <w:tcW w:w="68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185,867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62"/>
              <w:spacing w:after="0"/>
              <w:rPr>
                <w:sz w:val="20"/>
                <w:szCs w:val="20"/>
                <w:color w:val="auto"/>
              </w:rPr>
            </w:pPr>
            <w:r>
              <w:rPr>
                <w:rFonts w:ascii="Times New Roman" w:cs="Times New Roman" w:eastAsia="Times New Roman" w:hAnsi="Times New Roman"/>
                <w:sz w:val="17"/>
                <w:szCs w:val="17"/>
                <w:color w:val="0000FF"/>
              </w:rPr>
              <w:t>02/27/2025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2,590</w:t>
            </w:r>
          </w:p>
        </w:tc>
        <w:tc>
          <w:tcPr>
            <w:tcW w:w="68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48.63</w:t>
            </w:r>
            <w:r>
              <w:rPr>
                <w:rFonts w:ascii="Times New Roman" w:cs="Times New Roman" w:eastAsia="Times New Roman" w:hAnsi="Times New Roman"/>
                <w:sz w:val="21"/>
                <w:szCs w:val="21"/>
                <w:color w:val="008000"/>
                <w:w w:val="99"/>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183,277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gridSpan w:val="11"/>
          </w:tcPr>
          <w:p>
            <w:pPr>
              <w:jc w:val="center"/>
              <w:ind w:right="8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right"/>
              <w:ind w:right="136"/>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5,587</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02/27/2025</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5,587</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16,761</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18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27, 2024, the reporting person was granted 22,348 restricted stock units, vesting in four equal annual installments beginning on the first anniversary of the grant date. 25 percent of the restricted stock units became vested on February 27, 2025, an additional 25 percent of the restricted stock units will vest on February 27, 2026, an additional 25 percent of the restricted stock units will vest on February 27, 2027, and the remaining balance of 25 percent of the restricted stock units will vest on February 27, 2028.</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03/03/2025</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73631"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2025-03-03T17:22:59Z</dcterms:created>
  <dcterms:modified xsi:type="dcterms:W3CDTF">2025-03-03T17:22:59Z</dcterms:modified>
</cp:coreProperties>
</file>