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31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31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right"/>
              <w:ind w:right="155"/>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60" w:type="dxa"/>
            <w:vAlign w:val="bottom"/>
            <w:gridSpan w:val="9"/>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40" w:type="dxa"/>
            <w:vAlign w:val="bottom"/>
            <w:tcBorders>
              <w:bottom w:val="single" w:sz="8" w:color="2C2C2C"/>
            </w:tcBorders>
            <w:gridSpan w:val="3"/>
          </w:tcPr>
          <w:p>
            <w:pPr>
              <w:jc w:val="right"/>
              <w:ind w:right="132"/>
              <w:spacing w:after="0"/>
              <w:rPr>
                <w:sz w:val="20"/>
                <w:szCs w:val="20"/>
                <w:color w:val="auto"/>
              </w:rPr>
            </w:pPr>
            <w:r>
              <w:rPr>
                <w:rFonts w:ascii="Arial" w:cs="Arial" w:eastAsia="Arial" w:hAnsi="Arial"/>
                <w:sz w:val="18"/>
                <w:szCs w:val="18"/>
                <w:color w:val="0000FF"/>
              </w:rPr>
              <w:t>02/13/2018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9,375</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1"/>
                <w:szCs w:val="11"/>
                <w:color w:val="008000"/>
              </w:rPr>
              <w:t>(1)</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432,105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(8)</w:t>
            </w:r>
          </w:p>
        </w:tc>
        <w:tc>
          <w:tcPr>
            <w:tcW w:w="680" w:type="dxa"/>
            <w:vAlign w:val="bottom"/>
          </w:tcPr>
          <w:p>
            <w:pPr>
              <w:jc w:val="right"/>
              <w:ind w:right="155"/>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9,375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02/13/2018</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92"/>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9,375</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60" w:type="dxa"/>
            <w:vAlign w:val="bottom"/>
          </w:tcPr>
          <w:p>
            <w:pPr>
              <w:ind w:left="38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680" w:type="dxa"/>
            <w:vAlign w:val="bottom"/>
          </w:tcPr>
          <w:p>
            <w:pPr>
              <w:ind w:left="40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right"/>
              <w:ind w:right="135"/>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37,500 restricted stock units, vesting in four equal annual installments beginning on the first anniversary of the grant date. 9,375 restricted stock units became vested on February 13, 2015, an additional 9,375 restricted stock units became vested on February 13, 2016, an additional 9,375 restricted stock units became vested on February 13, 2017, and the remaining balance of 9,375 restricted stock units became vested on February 13,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2019-12-04T02:00:14Z</dcterms:created>
  <dcterms:modified xsi:type="dcterms:W3CDTF">2019-12-04T02:00:14Z</dcterms:modified>
</cp:coreProperties>
</file>