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210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21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90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FINANCIAL TECHNOLOGY</w:t>
              </w:r>
            </w:hyperlink>
          </w:p>
        </w:tc>
        <w:tc>
          <w:tcPr>
            <w:tcW w:w="1900" w:type="dxa"/>
            <w:vAlign w:val="bottom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6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VENTURES II (Q), L.P.</w:t>
              </w:r>
            </w:hyperlink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10/19/2006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555 CALIFORNIA STREET, SUITE 2900</w:t>
      </w: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20" w:right="175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5"/>
          <w:szCs w:val="35"/>
          <w:color w:val="0000FF"/>
          <w:vertAlign w:val="superscript"/>
        </w:rPr>
        <w:t>SAN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CA 94104 FRANCISCO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54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11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Footnote 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Common Stock, par value $0.001 per share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1,746,708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 connection with the consummation by ExlService Holdings, Inc. (the "Company") of its initial public offering, the Company will effect a two for one stock split (the "Stock Split") of all of its outstanding shares of common stock. The amounts in this Form 3 reflect such Stock Split.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60" w:firstLine="9"/>
        <w:spacing w:after="0" w:line="233" w:lineRule="auto"/>
        <w:tabs>
          <w:tab w:leader="none" w:pos="231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may be deemed a member of a Section 13(d) group that owns more than 10% of the Company's common stock. The Reporting Person disclaims such group membership, and this report shall not be deemed an admission that the reporting person is a member of Section 13(d) group for purposes of Section 16 or for any other purpose. (3) Financial Technology Ventures II (Q), L.P., By: Financial Technology Management II, LLC, its general partner.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Richard N. Garman (3)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10/19/2006</w:t>
            </w:r>
          </w:p>
        </w:tc>
      </w:tr>
      <w:tr>
        <w:trPr>
          <w:trHeight w:val="20"/>
        </w:trPr>
        <w:tc>
          <w:tcPr>
            <w:tcW w:w="1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6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3D1B58BA"/>
    <w:multiLevelType w:val="hybridMultilevel"/>
    <w:lvl w:ilvl="0">
      <w:lvlJc w:val="left"/>
      <w:lvlText w:val="(%1)"/>
      <w:numFmt w:val="decimal"/>
      <w:start w:val="2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72179" TargetMode="External"/><Relationship Id="rId12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2019-12-16T14:25:54Z</dcterms:created>
  <dcterms:modified xsi:type="dcterms:W3CDTF">2019-12-16T14:25:54Z</dcterms:modified>
</cp:coreProperties>
</file>