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31, 2012.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333-179098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Pre-Effective Amendment No. 1 to</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280 Park Avenue, 38</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280 Park Avenue, 38</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2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00" w:type="dxa"/>
            <w:vAlign w:val="bottom"/>
            <w:tcBorders>
              <w:top w:val="single" w:sz="8" w:color="auto"/>
              <w:left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Title of each Class of Securities to be</w:t>
            </w:r>
          </w:p>
        </w:tc>
        <w:tc>
          <w:tcPr>
            <w:tcW w:w="2020" w:type="dxa"/>
            <w:vAlign w:val="bottom"/>
            <w:tcBorders>
              <w:top w:val="single" w:sz="8" w:color="auto"/>
              <w:right w:val="single" w:sz="8" w:color="auto"/>
            </w:tcBorders>
          </w:tcPr>
          <w:p>
            <w:pPr>
              <w:spacing w:after="0"/>
              <w:rPr>
                <w:sz w:val="12"/>
                <w:szCs w:val="12"/>
                <w:color w:val="auto"/>
              </w:rPr>
            </w:pPr>
          </w:p>
        </w:tc>
        <w:tc>
          <w:tcPr>
            <w:tcW w:w="1840" w:type="dxa"/>
            <w:vAlign w:val="bottom"/>
            <w:tcBorders>
              <w:top w:val="single" w:sz="8" w:color="auto"/>
              <w:right w:val="single" w:sz="8" w:color="auto"/>
            </w:tcBorders>
          </w:tcPr>
          <w:p>
            <w:pPr>
              <w:jc w:val="center"/>
              <w:ind w:left="56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960" w:type="dxa"/>
            <w:vAlign w:val="bottom"/>
            <w:tcBorders>
              <w:top w:val="single" w:sz="8" w:color="auto"/>
              <w:right w:val="single" w:sz="8" w:color="auto"/>
            </w:tcBorders>
            <w:gridSpan w:val="2"/>
          </w:tcPr>
          <w:p>
            <w:pPr>
              <w:jc w:val="center"/>
              <w:ind w:left="46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2020" w:type="dxa"/>
            <w:vAlign w:val="bottom"/>
            <w:tcBorders>
              <w:top w:val="single" w:sz="8" w:color="auto"/>
              <w:right w:val="single" w:sz="8" w:color="auto"/>
            </w:tcBorders>
            <w:gridSpan w:val="2"/>
            <w:vMerge w:val="restart"/>
          </w:tcPr>
          <w:p>
            <w:pPr>
              <w:jc w:val="right"/>
              <w:ind w:right="392"/>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360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tcPr>
          <w:p>
            <w:pPr>
              <w:jc w:val="right"/>
              <w:ind w:right="46"/>
              <w:spacing w:after="0" w:line="135" w:lineRule="exact"/>
              <w:rPr>
                <w:sz w:val="20"/>
                <w:szCs w:val="20"/>
                <w:color w:val="auto"/>
              </w:rPr>
            </w:pPr>
            <w:r>
              <w:rPr>
                <w:rFonts w:ascii="Arial" w:cs="Arial" w:eastAsia="Arial" w:hAnsi="Arial"/>
                <w:sz w:val="14"/>
                <w:szCs w:val="14"/>
                <w:b w:val="1"/>
                <w:bCs w:val="1"/>
                <w:color w:val="auto"/>
              </w:rPr>
              <w:t>Aggregate Amount to</w:t>
            </w:r>
          </w:p>
        </w:tc>
        <w:tc>
          <w:tcPr>
            <w:tcW w:w="1840" w:type="dxa"/>
            <w:vAlign w:val="bottom"/>
            <w:tcBorders>
              <w:right w:val="single" w:sz="8" w:color="auto"/>
            </w:tcBorders>
          </w:tcPr>
          <w:p>
            <w:pPr>
              <w:jc w:val="center"/>
              <w:ind w:left="567"/>
              <w:spacing w:after="0" w:line="135" w:lineRule="exact"/>
              <w:rPr>
                <w:sz w:val="20"/>
                <w:szCs w:val="20"/>
                <w:color w:val="auto"/>
              </w:rPr>
            </w:pPr>
            <w:r>
              <w:rPr>
                <w:rFonts w:ascii="Arial" w:cs="Arial" w:eastAsia="Arial" w:hAnsi="Arial"/>
                <w:sz w:val="14"/>
                <w:szCs w:val="14"/>
                <w:b w:val="1"/>
                <w:bCs w:val="1"/>
                <w:color w:val="auto"/>
                <w:w w:val="90"/>
              </w:rPr>
              <w:t>Offering Price Per</w:t>
            </w:r>
          </w:p>
        </w:tc>
        <w:tc>
          <w:tcPr>
            <w:tcW w:w="1960" w:type="dxa"/>
            <w:vAlign w:val="bottom"/>
            <w:tcBorders>
              <w:right w:val="single" w:sz="8" w:color="auto"/>
            </w:tcBorders>
            <w:gridSpan w:val="2"/>
          </w:tcPr>
          <w:p>
            <w:pPr>
              <w:jc w:val="center"/>
              <w:ind w:left="482"/>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20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00" w:type="dxa"/>
            <w:vAlign w:val="bottom"/>
            <w:tcBorders>
              <w:left w:val="single" w:sz="8" w:color="auto"/>
              <w:bottom w:val="single" w:sz="8" w:color="auto"/>
              <w:right w:val="single" w:sz="8" w:color="auto"/>
            </w:tcBorders>
          </w:tcPr>
          <w:p>
            <w:pPr>
              <w:ind w:left="1560"/>
              <w:spacing w:after="0"/>
              <w:rPr>
                <w:sz w:val="20"/>
                <w:szCs w:val="20"/>
                <w:color w:val="auto"/>
              </w:rPr>
            </w:pPr>
            <w:r>
              <w:rPr>
                <w:rFonts w:ascii="Arial" w:cs="Arial" w:eastAsia="Arial" w:hAnsi="Arial"/>
                <w:sz w:val="14"/>
                <w:szCs w:val="14"/>
                <w:b w:val="1"/>
                <w:bCs w:val="1"/>
                <w:color w:val="auto"/>
              </w:rPr>
              <w:t>Registered</w:t>
            </w:r>
          </w:p>
        </w:tc>
        <w:tc>
          <w:tcPr>
            <w:tcW w:w="202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be Registered (1)</w:t>
            </w:r>
          </w:p>
        </w:tc>
        <w:tc>
          <w:tcPr>
            <w:tcW w:w="1840" w:type="dxa"/>
            <w:vAlign w:val="bottom"/>
            <w:tcBorders>
              <w:bottom w:val="single" w:sz="8" w:color="auto"/>
              <w:right w:val="single" w:sz="8" w:color="auto"/>
            </w:tcBorders>
          </w:tcPr>
          <w:p>
            <w:pPr>
              <w:jc w:val="center"/>
              <w:ind w:left="567"/>
              <w:spacing w:after="0"/>
              <w:rPr>
                <w:sz w:val="20"/>
                <w:szCs w:val="20"/>
                <w:color w:val="auto"/>
              </w:rPr>
            </w:pPr>
            <w:r>
              <w:rPr>
                <w:rFonts w:ascii="Arial" w:cs="Arial" w:eastAsia="Arial" w:hAnsi="Arial"/>
                <w:sz w:val="14"/>
                <w:szCs w:val="14"/>
                <w:b w:val="1"/>
                <w:bCs w:val="1"/>
                <w:color w:val="auto"/>
                <w:w w:val="91"/>
              </w:rPr>
              <w:t>Unit (2)</w:t>
            </w:r>
          </w:p>
        </w:tc>
        <w:tc>
          <w:tcPr>
            <w:tcW w:w="9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3"/>
              </w:rPr>
              <w:t>Price (2)(3)</w:t>
            </w:r>
          </w:p>
        </w:tc>
        <w:tc>
          <w:tcPr>
            <w:tcW w:w="2020" w:type="dxa"/>
            <w:vAlign w:val="bottom"/>
            <w:tcBorders>
              <w:bottom w:val="single" w:sz="8" w:color="auto"/>
              <w:right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Registration Fee (4)</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Primary Offering:</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Common Stock (5)</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Preferred Stock (5)</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Debt Securities (5)</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Depositary Shares</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Warrants</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Rights</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Purchase Contracts</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Units</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Total Primary Offering</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8"/>
                <w:szCs w:val="18"/>
                <w:color w:val="auto"/>
                <w:w w:val="91"/>
              </w:rPr>
              <w:t>180,000,000</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Secondary Offering:</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Common Stock</w:t>
            </w:r>
          </w:p>
        </w:tc>
        <w:tc>
          <w:tcPr>
            <w:tcW w:w="20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8"/>
                <w:szCs w:val="18"/>
                <w:color w:val="auto"/>
              </w:rPr>
              <w:t>6,552,504</w:t>
            </w:r>
          </w:p>
        </w:tc>
        <w:tc>
          <w:tcPr>
            <w:tcW w:w="1840" w:type="dxa"/>
            <w:vAlign w:val="bottom"/>
            <w:tcBorders>
              <w:bottom w:val="single" w:sz="8" w:color="auto"/>
              <w:right w:val="single" w:sz="8" w:color="auto"/>
            </w:tcBorders>
          </w:tcPr>
          <w:p>
            <w:pPr>
              <w:jc w:val="center"/>
              <w:ind w:left="567"/>
              <w:spacing w:after="0"/>
              <w:rPr>
                <w:sz w:val="20"/>
                <w:szCs w:val="20"/>
                <w:color w:val="auto"/>
              </w:rPr>
            </w:pPr>
            <w:r>
              <w:rPr>
                <w:rFonts w:ascii="Arial" w:cs="Arial" w:eastAsia="Arial" w:hAnsi="Arial"/>
                <w:sz w:val="18"/>
                <w:szCs w:val="18"/>
                <w:color w:val="auto"/>
                <w:w w:val="86"/>
              </w:rPr>
              <w:t>$24.145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8"/>
                <w:szCs w:val="18"/>
                <w:color w:val="auto"/>
                <w:w w:val="85"/>
              </w:rPr>
              <w:t>154,712,132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8"/>
                <w:szCs w:val="18"/>
                <w:color w:val="auto"/>
                <w:w w:val="83"/>
              </w:rPr>
              <w:t>17,730</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 Registration Fee</w:t>
            </w:r>
          </w:p>
        </w:tc>
        <w:tc>
          <w:tcPr>
            <w:tcW w:w="20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352"/>
              <w:spacing w:after="0"/>
              <w:rPr>
                <w:sz w:val="20"/>
                <w:szCs w:val="20"/>
                <w:color w:val="auto"/>
              </w:rPr>
            </w:pPr>
            <w:r>
              <w:rPr>
                <w:rFonts w:ascii="Arial" w:cs="Arial" w:eastAsia="Arial" w:hAnsi="Arial"/>
                <w:sz w:val="18"/>
                <w:szCs w:val="18"/>
                <w:color w:val="auto"/>
                <w:w w:val="83"/>
              </w:rPr>
              <w:t>38,358</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60" w:right="1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amount to be registered is not specified as to each class of securities to be registered pursuant to General Instruction II.D. An indeterminate aggregate initial offering price or number of shares of common stock, shares of preferred stock, debt securities, depositary shares, warrants, rights, purchase contracts and units of ExlService Holdings, Inc. is being registered as may from time to time be issued at currently indeterminable prices. Securities registered hereunder may be sold separately or together with other securities registered hereunder.</w:t>
      </w:r>
    </w:p>
    <w:p>
      <w:pPr>
        <w:spacing w:after="0" w:line="88" w:lineRule="exact"/>
        <w:rPr>
          <w:rFonts w:ascii="Arial" w:cs="Arial" w:eastAsia="Arial" w:hAnsi="Arial"/>
          <w:sz w:val="18"/>
          <w:szCs w:val="18"/>
          <w:color w:val="auto"/>
        </w:rPr>
      </w:pPr>
    </w:p>
    <w:p>
      <w:pPr>
        <w:jc w:val="both"/>
        <w:ind w:left="460" w:right="440"/>
        <w:spacing w:after="0" w:line="259"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pursuant to Rule 416 under the Securities Act of 1933, this Registration Statement shall be deemed to cover an indeterminate number of additional securities to be offered as a result of stock splits, stock dividends or similar transactions.</w:t>
      </w:r>
    </w:p>
    <w:p>
      <w:pPr>
        <w:spacing w:after="0" w:line="9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the proposed maximum offering price per security will be determined from time to time by the Registrant in connection with the issuance of the securities registered by this Registration Statement. Prices, when determined, may be in U.S. dollars or the equivalent thereof in one or more foreign currencies, foreign currency units or composite currencies. If any debt securities or preferred stock are issued at an original issue discount, then the amount registered will include the principal or liquidation amount of such securities measured by the initial offering price thereof.</w:t>
      </w:r>
    </w:p>
    <w:p>
      <w:pPr>
        <w:spacing w:after="0" w:line="88" w:lineRule="exact"/>
        <w:rPr>
          <w:rFonts w:ascii="Arial" w:cs="Arial" w:eastAsia="Arial" w:hAnsi="Arial"/>
          <w:sz w:val="18"/>
          <w:szCs w:val="18"/>
          <w:color w:val="auto"/>
        </w:rPr>
      </w:pPr>
    </w:p>
    <w:p>
      <w:pPr>
        <w:ind w:left="460" w:right="220"/>
        <w:spacing w:after="0" w:line="255" w:lineRule="auto"/>
        <w:rPr>
          <w:rFonts w:ascii="Arial" w:cs="Arial" w:eastAsia="Arial" w:hAnsi="Arial"/>
          <w:sz w:val="18"/>
          <w:szCs w:val="18"/>
          <w:color w:val="auto"/>
        </w:rPr>
      </w:pPr>
      <w:r>
        <w:rPr>
          <w:rFonts w:ascii="Arial" w:cs="Arial" w:eastAsia="Arial" w:hAnsi="Arial"/>
          <w:sz w:val="18"/>
          <w:szCs w:val="18"/>
          <w:color w:val="auto"/>
        </w:rPr>
        <w:t>With regard to the securities included in the secondary offering made hereby, the offering price and registration fee are estimated pursuant to Rule 457(c) under the Securities Act of 1933 based upon the average high and low sale prices for the common stock of ExlService Holdings, Inc., as reported by the Nasdaq Global Select Market, on (i) January 18, 2012 for the 5,552,504 shares of common stock filed for in connection with the initial filing of this Registration Statement on January 19, 2012 and (ii) January 30, 2012 for the 1,000,000 shares of common stock filed for under this pre-effective amendment to the Registration Statement.</w:t>
      </w:r>
    </w:p>
    <w:p>
      <w:pPr>
        <w:spacing w:after="0" w:line="102"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regard to the securities included in the primary offering made hereby, estimated solely for purposes of calculating the registration fee pursuant to Rule 457(a) under the Securities Act of 1933, as amended.</w:t>
      </w:r>
    </w:p>
    <w:p>
      <w:pPr>
        <w:spacing w:after="0" w:line="9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paid $15,307 in registration fees to the Securities and Exchange Commission in connection with the initial filing of this Registration Statement on Form S-3 on January 19, 2012. Pursuant to Rule 457(p) under the Securities Act of 1933, the Registrant is applying the filing fee of $10,688 associated with certain unsold securities under its Registration Statement on Form S-3 (File No. 333-162335), originally filed by the Registrant on October 5, 2009, to partially offset the additional registration fee of $23,051 that would otherwise be payable in connection with this pre-effective amendment to the Registration Statement.</w:t>
      </w:r>
    </w:p>
    <w:p>
      <w:pPr>
        <w:spacing w:after="0" w:line="102"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an indeterminate number of shares of common stock and preferred stock as may from time to time be issued upon conversion or exchange of debt securities or preferred stock, or upon the exercise of warrants, rights or purchase contracts,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DE1A1E"/>
        </w:rPr>
        <w:t>Subject to Completion, dated January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$180,000,000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named in this prospectus may offer, from time to time and in one or more offerings, up to 6,552,504 shares of our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1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0"/>
          <w:szCs w:val="20"/>
          <w:color w:val="auto"/>
        </w:rPr>
      </w:pPr>
    </w:p>
    <w:p>
      <w:pPr>
        <w:ind w:right="6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2012</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38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4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7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40" w:type="dxa"/>
            <w:vAlign w:val="bottom"/>
            <w:gridSpan w:val="18"/>
            <w:vMerge w:val="continue"/>
          </w:tcPr>
          <w:p>
            <w:pPr>
              <w:spacing w:after="0"/>
              <w:rPr>
                <w:sz w:val="14"/>
                <w:szCs w:val="14"/>
                <w:color w:val="auto"/>
              </w:rPr>
            </w:pPr>
          </w:p>
        </w:tc>
        <w:tc>
          <w:tcPr>
            <w:tcW w:w="710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2340" w:type="dxa"/>
            <w:vAlign w:val="bottom"/>
            <w:gridSpan w:val="1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1860" w:type="dxa"/>
            <w:vAlign w:val="bottom"/>
            <w:gridSpan w:val="7"/>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040" w:type="dxa"/>
            <w:vAlign w:val="bottom"/>
            <w:gridSpan w:val="1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Ratio of Earnings to Fixed Charges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Pro Forma Financial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840" w:type="dxa"/>
            <w:vAlign w:val="bottom"/>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Capital Stock</w:t>
              </w:r>
            </w:hyperlink>
          </w:p>
        </w:tc>
        <w:tc>
          <w:tcPr>
            <w:tcW w:w="1920" w:type="dxa"/>
            <w:vAlign w:val="bottom"/>
            <w:gridSpan w:val="8"/>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Description of the Debt Securities</w:t>
              </w:r>
            </w:hyperlink>
          </w:p>
        </w:tc>
        <w:tc>
          <w:tcPr>
            <w:tcW w:w="1540" w:type="dxa"/>
            <w:vAlign w:val="bottom"/>
            <w:gridSpan w:val="6"/>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the Depositary Shares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the Warrants</w:t>
              </w:r>
            </w:hyperlink>
          </w:p>
        </w:tc>
        <w:tc>
          <w:tcPr>
            <w:tcW w:w="1340" w:type="dxa"/>
            <w:vAlign w:val="bottom"/>
            <w:gridSpan w:val="4"/>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2000" w:type="dxa"/>
            <w:vAlign w:val="bottom"/>
            <w:gridSpan w:val="9"/>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Description of the Purchase Contracts</w:t>
              </w:r>
            </w:hyperlink>
          </w:p>
        </w:tc>
        <w:tc>
          <w:tcPr>
            <w:tcW w:w="1260" w:type="dxa"/>
            <w:vAlign w:val="bottom"/>
            <w:gridSpan w:val="3"/>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the Units</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Plan of Distribution</w:t>
              </w:r>
            </w:hyperlink>
          </w:p>
        </w:tc>
        <w:tc>
          <w:tcPr>
            <w:tcW w:w="2240" w:type="dxa"/>
            <w:vAlign w:val="bottom"/>
            <w:gridSpan w:val="11"/>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2480" w:type="dxa"/>
            <w:vAlign w:val="bottom"/>
            <w:gridSpan w:val="13"/>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2940" w:type="dxa"/>
            <w:vAlign w:val="bottom"/>
            <w:gridSpan w:val="15"/>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1140" w:type="dxa"/>
            <w:vAlign w:val="bottom"/>
            <w:gridSpan w:val="2"/>
          </w:tcPr>
          <w:p>
            <w:pPr>
              <w:spacing w:after="0"/>
              <w:rPr>
                <w:sz w:val="17"/>
                <w:szCs w:val="17"/>
                <w:color w:val="auto"/>
              </w:rPr>
            </w:pPr>
          </w:p>
        </w:tc>
        <w:tc>
          <w:tcPr>
            <w:tcW w:w="7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$180,000,000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6,552,504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5"/>
          <w:szCs w:val="15"/>
          <w:color w:val="auto"/>
        </w:rPr>
        <w:t>ExlService Holdings, Inc. is a leading provider of outsourcing and transformation services. Our outsourcing services include a full spectrum of business process management services such as transaction processing and finance and accounting services. Transformation services enable continuous improvement of client processes by bringing together our capabilities in decision analytics, risk and financial management and operations and process excellence services.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Headquartered in New York, we primarily serve the needs of Fortune 1000 companies from global delivery centers in the insurance, utilities, banking and financial services, transportation and logistics, and travel sectors.</w:t>
      </w:r>
    </w:p>
    <w:p>
      <w:pPr>
        <w:spacing w:after="0" w:line="13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38th Floor,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including the recent acquisition of Business Process Outsourcing, Inc. (“OPI”);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2010,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9.5x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10.8x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1"/>
              </w:rPr>
              <w:t>11.0x</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6.5x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16.0x</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2"/>
              </w:rPr>
              <w:t>7.5x</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ind w:left="220"/>
              <w:spacing w:after="0"/>
              <w:rPr>
                <w:sz w:val="20"/>
                <w:szCs w:val="20"/>
                <w:color w:val="auto"/>
              </w:rPr>
            </w:pPr>
            <w:r>
              <w:rPr>
                <w:rFonts w:ascii="Arial" w:cs="Arial" w:eastAsia="Arial" w:hAnsi="Arial"/>
                <w:sz w:val="18"/>
                <w:szCs w:val="18"/>
                <w:color w:val="auto"/>
                <w:w w:val="88"/>
              </w:rPr>
              <w:t>9.5x</w:t>
            </w:r>
          </w:p>
        </w:tc>
        <w:tc>
          <w:tcPr>
            <w:tcW w:w="40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10.5x</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10.8x</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11.0x</w:t>
            </w:r>
          </w:p>
        </w:tc>
        <w:tc>
          <w:tcPr>
            <w:tcW w:w="26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6.5x</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16.0x</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4.7x</w:t>
            </w:r>
          </w:p>
        </w:tc>
      </w:tr>
      <w:tr>
        <w:trPr>
          <w:trHeight w:val="356"/>
        </w:trPr>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8"/>
                <w:szCs w:val="18"/>
                <w:color w:val="auto"/>
                <w:w w:val="79"/>
              </w:rPr>
              <w:t>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31, 2011, we completed our acquisition of OPI, pursuant to a Merger Agreement, dated as of April 30, 2011 (the “Merger Agreement”), with F&amp;A BPO Merger Sub, Inc., a Delaware corporation and wholly owned subsidiary of the Company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unaudited pro forma condensed combined statement of income for the nine months ended September 30, 2011 illustrates the effect of the acquisition of OPI had it occurred on January 1, 2010, and was derived from the unaudited historical consolidated statement of income of OPI for the five months ended</w:t>
      </w:r>
    </w:p>
    <w:p>
      <w:pPr>
        <w:ind w:right="260"/>
        <w:spacing w:after="0" w:line="261" w:lineRule="auto"/>
        <w:rPr>
          <w:sz w:val="20"/>
          <w:szCs w:val="20"/>
          <w:color w:val="auto"/>
        </w:rPr>
      </w:pPr>
      <w:r>
        <w:rPr>
          <w:rFonts w:ascii="Arial" w:cs="Arial" w:eastAsia="Arial" w:hAnsi="Arial"/>
          <w:sz w:val="18"/>
          <w:szCs w:val="18"/>
          <w:color w:val="auto"/>
        </w:rPr>
        <w:t>May 31, 2011, combined with the Company’s unaudited consolidated statement of income for the nine months ended September 30, 2011, with merger-related adjustments reflected in the period presented.</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information set forth below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September 30, 2011, which was filed with the SEC on November 8, 2011 as well as OPI historical financial statements for the year ended December 31, 2010 and the quarters ended March 31, 2011 and 2010, included as Exhibit 99.2 in the Company’s Current Report on Form 8-K/A, which was filed with the SEC on August 1,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Pro Forma</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7"/>
              </w:rPr>
              <w:t>Notes</w:t>
            </w:r>
            <w:r>
              <w:rPr>
                <w:rFonts w:ascii="Arial" w:cs="Arial" w:eastAsia="Arial" w:hAnsi="Arial"/>
                <w:sz w:val="22"/>
                <w:szCs w:val="22"/>
                <w:b w:val="1"/>
                <w:bCs w:val="1"/>
                <w:color w:val="auto"/>
                <w:w w:val="77"/>
                <w:vertAlign w:val="superscript"/>
              </w:rPr>
              <w:t>(1)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ExlService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OPI</w:t>
            </w:r>
          </w:p>
        </w:tc>
        <w:tc>
          <w:tcPr>
            <w:tcW w:w="2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257,961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36,781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26,392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99,990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10,389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36,115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4,291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(3,041)</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1,442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1,380</w:t>
            </w:r>
          </w:p>
        </w:tc>
        <w:tc>
          <w:tcPr>
            <w:tcW w:w="6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28,576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1,612</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Foreign exchange gain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and 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(b)(c)</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33,865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1,337</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25,226</w:t>
            </w: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2,547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Weighted-average number of shares used in computing earnings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29,926,846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31,131,513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unaudited pro forma combined condensed statement of income for the nine months ended September 30, 2011 is based on the historical financial statements of the Company for the nine months ended September 30, 2011 and the historical financial statements of OPI for the five months ended May 31, 2011, after giving effect to the acquisition adjustments. The unaudited pro forma condensed combined statement of income is presented as if the acquisition of OPI had occurred on January 1, 2010 with merger-related adjustments reflected in the period presented.</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(“FASB”) Accounting Standards Codification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31, 2011, the Company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the Company (the “Merger”).</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Add: Estimated working capital baseline and other adjustments as of the acquisition date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ind w:left="920"/>
              <w:spacing w:after="0"/>
              <w:rPr>
                <w:sz w:val="20"/>
                <w:szCs w:val="20"/>
                <w:color w:val="auto"/>
              </w:rPr>
            </w:pPr>
            <w:r>
              <w:rPr>
                <w:rFonts w:ascii="Arial" w:cs="Arial" w:eastAsia="Arial" w:hAnsi="Arial"/>
                <w:sz w:val="18"/>
                <w:szCs w:val="18"/>
                <w:color w:val="auto"/>
              </w:rPr>
              <w:t>Total estimated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 These factors contributed to a purchase price in excess of the fair value of the OPI net tangible and intangible assets acquired, and as a result, the Company has recorded goodwill in connection with this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preliminary purchase price allocation for OPI is as follows: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shd w:val="clear" w:color="auto" w:fill="CCEEFF"/>
          </w:tcPr>
          <w:p>
            <w:pPr>
              <w:spacing w:after="0"/>
              <w:rPr>
                <w:sz w:val="18"/>
                <w:szCs w:val="18"/>
                <w:color w:val="auto"/>
              </w:rPr>
            </w:pPr>
          </w:p>
        </w:tc>
      </w:tr>
      <w:tr>
        <w:trPr>
          <w:trHeight w:val="208"/>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4"/>
              </w:rPr>
              <w:t>Adjustment to recognize assets and liabilities at fair value, except deferred income taxes which are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recognized in accordance with ASC 740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(7,799)</w:t>
            </w: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Identifiable intangible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Favorable lease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 and trademarks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54,314</w:t>
            </w:r>
          </w:p>
        </w:tc>
        <w:tc>
          <w:tcPr>
            <w:tcW w:w="100" w:type="dxa"/>
            <w:vAlign w:val="bottom"/>
            <w:shd w:val="clear" w:color="auto" w:fill="CCEEFF"/>
          </w:tcPr>
          <w:p>
            <w:pPr>
              <w:spacing w:after="0"/>
              <w:rPr>
                <w:sz w:val="18"/>
                <w:szCs w:val="18"/>
                <w:color w:val="auto"/>
              </w:rPr>
            </w:pPr>
          </w:p>
        </w:tc>
      </w:tr>
      <w:tr>
        <w:trPr>
          <w:trHeight w:val="222"/>
        </w:trPr>
        <w:tc>
          <w:tcPr>
            <w:tcW w:w="260" w:type="dxa"/>
            <w:vAlign w:val="bottom"/>
          </w:tcPr>
          <w:p>
            <w:pPr>
              <w:spacing w:after="0"/>
              <w:rPr>
                <w:sz w:val="19"/>
                <w:szCs w:val="19"/>
                <w:color w:val="auto"/>
              </w:rPr>
            </w:pPr>
          </w:p>
        </w:tc>
        <w:tc>
          <w:tcPr>
            <w:tcW w:w="8080" w:type="dxa"/>
            <w:vAlign w:val="bottom"/>
            <w:gridSpan w:val="3"/>
          </w:tcPr>
          <w:p>
            <w:pPr>
              <w:ind w:left="660"/>
              <w:spacing w:after="0"/>
              <w:rPr>
                <w:sz w:val="20"/>
                <w:szCs w:val="20"/>
                <w:color w:val="auto"/>
              </w:rPr>
            </w:pPr>
            <w:r>
              <w:rPr>
                <w:rFonts w:ascii="Arial" w:cs="Arial" w:eastAsia="Arial" w:hAnsi="Arial"/>
                <w:sz w:val="18"/>
                <w:szCs w:val="18"/>
                <w:color w:val="auto"/>
              </w:rPr>
              <w:t>Total purchase price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100,923</w:t>
            </w: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7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60" w:type="dxa"/>
            <w:vAlign w:val="bottom"/>
          </w:tcPr>
          <w:p>
            <w:pPr>
              <w:jc w:val="right"/>
              <w:ind w:right="92"/>
              <w:spacing w:after="0"/>
              <w:rPr>
                <w:sz w:val="20"/>
                <w:szCs w:val="20"/>
                <w:color w:val="auto"/>
              </w:rPr>
            </w:pPr>
            <w:r>
              <w:rPr>
                <w:rFonts w:ascii="Arial" w:cs="Arial" w:eastAsia="Arial" w:hAnsi="Arial"/>
                <w:sz w:val="18"/>
                <w:szCs w:val="18"/>
                <w:color w:val="auto"/>
                <w:w w:val="84"/>
              </w:rPr>
              <w:t>*</w:t>
            </w:r>
          </w:p>
        </w:tc>
        <w:tc>
          <w:tcPr>
            <w:tcW w:w="8080" w:type="dxa"/>
            <w:vAlign w:val="bottom"/>
            <w:gridSpan w:val="3"/>
          </w:tcPr>
          <w:p>
            <w:pPr>
              <w:ind w:left="180"/>
              <w:spacing w:after="0"/>
              <w:rPr>
                <w:sz w:val="20"/>
                <w:szCs w:val="20"/>
                <w:color w:val="auto"/>
              </w:rPr>
            </w:pPr>
            <w:r>
              <w:rPr>
                <w:rFonts w:ascii="Arial" w:cs="Arial" w:eastAsia="Arial" w:hAnsi="Arial"/>
                <w:sz w:val="18"/>
                <w:szCs w:val="18"/>
                <w:color w:val="auto"/>
              </w:rPr>
              <w:t>Includes $14,000 deposited in an escrow account in connection with the acquisition.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condensed combined statement of income gives effect to the following pro forma adjustments:</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50" w:lineRule="exact"/>
        <w:rPr>
          <w:rFonts w:ascii="Arial" w:cs="Arial" w:eastAsia="Arial" w:hAnsi="Arial"/>
          <w:sz w:val="18"/>
          <w:szCs w:val="18"/>
          <w:color w:val="auto"/>
        </w:rPr>
      </w:pPr>
    </w:p>
    <w:p>
      <w:pPr>
        <w:ind w:left="900" w:right="54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reflect merger-related transaction costs including advisory and legal fees incurred for the five months ended May 31, 2011, which are directly attributable to the Merger, but which are not expected to have a continuing impact on the combined entity’s results.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summary of the adjustments specified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w w:val="87"/>
              </w:rPr>
              <w:t>Pro Forma Expense Adjustments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b w:val="1"/>
                <w:bCs w:val="1"/>
                <w:color w:val="auto"/>
              </w:rPr>
              <w:t>For the Five Months Ended May 31, 2011</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Stock-based</w:t>
            </w:r>
          </w:p>
        </w:tc>
        <w:tc>
          <w:tcPr>
            <w:tcW w:w="74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Amortization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89"/>
              </w:rPr>
              <w:t>Merger-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0"/>
              </w:rPr>
              <w:t>compensation</w:t>
            </w:r>
          </w:p>
        </w:tc>
        <w:tc>
          <w:tcPr>
            <w:tcW w:w="7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0"/>
              </w:rPr>
              <w:t>intangible assets</w:t>
            </w:r>
          </w:p>
        </w:tc>
        <w:tc>
          <w:tcPr>
            <w:tcW w:w="7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(3,090)</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(3,041)</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88"/>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(3,090)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(1,612)</w:t>
            </w: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Adjustment to record a reduction in estimated interest income earned of $140 for the five months ended May 31, 2011 at an assumed rate of approximately 0.55% on cash and cash equivalents as a result of the cash payments associated with the Company’s acquisition of OPI.</w:t>
      </w:r>
    </w:p>
    <w:p>
      <w:pPr>
        <w:spacing w:after="0" w:line="4"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record an increase in estimated interest expense of $135 for the five months ended May 31, 2011 as a result of the short-term borrowings by the Company of $30,000 under the Company’s revolver credit facility in connection with the acquisition. The estimate is based on the assumption that the short-term borrowings are being repaid within a year.</w:t>
      </w:r>
    </w:p>
    <w:p>
      <w:pPr>
        <w:spacing w:after="0" w:line="59"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Adjustment represents changes to income tax expense as a result of the consummation of this transaction. Had the Company acquired OPI on January 1, 2011, the income-tax expense for the five months ended May 31, 2011 would have increased by approximately $1,036. The increase in income tax expense is primarily due to deferred tax expense on utilization of net operating loss in the period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6,552,504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3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5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20" w:type="dxa"/>
            <w:vAlign w:val="bottom"/>
            <w:gridSpan w:val="3"/>
            <w:vMerge w:val="restart"/>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Owned After the</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22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0" w:type="dxa"/>
            <w:vAlign w:val="bottom"/>
            <w:gridSpan w:val="2"/>
            <w:vMerge w:val="restart"/>
          </w:tcPr>
          <w:p>
            <w:pPr>
              <w:jc w:val="center"/>
              <w:ind w:left="282"/>
              <w:spacing w:after="0"/>
              <w:rPr>
                <w:sz w:val="20"/>
                <w:szCs w:val="20"/>
                <w:color w:val="auto"/>
              </w:rPr>
            </w:pPr>
            <w:r>
              <w:rPr>
                <w:rFonts w:ascii="Arial" w:cs="Arial" w:eastAsia="Arial" w:hAnsi="Arial"/>
                <w:sz w:val="14"/>
                <w:szCs w:val="14"/>
                <w:b w:val="1"/>
                <w:bCs w:val="1"/>
                <w:color w:val="auto"/>
                <w:w w:val="89"/>
              </w:rPr>
              <w:t>Offering(1)</w:t>
            </w: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20" w:type="dxa"/>
            <w:vAlign w:val="bottom"/>
            <w:gridSpan w:val="3"/>
            <w:vMerge w:val="restart"/>
          </w:tcPr>
          <w:p>
            <w:pPr>
              <w:jc w:val="center"/>
              <w:ind w:left="162"/>
              <w:spacing w:after="0"/>
              <w:rPr>
                <w:sz w:val="20"/>
                <w:szCs w:val="20"/>
                <w:color w:val="auto"/>
              </w:rPr>
            </w:pPr>
            <w:r>
              <w:rPr>
                <w:rFonts w:ascii="Arial" w:cs="Arial" w:eastAsia="Arial" w:hAnsi="Arial"/>
                <w:sz w:val="14"/>
                <w:szCs w:val="14"/>
                <w:b w:val="1"/>
                <w:bCs w:val="1"/>
                <w:color w:val="auto"/>
                <w:w w:val="91"/>
              </w:rPr>
              <w:t>Offering</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220" w:type="dxa"/>
            <w:vAlign w:val="bottom"/>
            <w:tcBorders>
              <w:bottom w:val="single" w:sz="8" w:color="auto"/>
            </w:tcBorders>
            <w:gridSpan w:val="3"/>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530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5300" w:type="dxa"/>
            <w:vAlign w:val="bottom"/>
            <w:vMerge w:val="continue"/>
          </w:tcPr>
          <w:p>
            <w:pPr>
              <w:spacing w:after="0"/>
              <w:rPr>
                <w:sz w:val="14"/>
                <w:szCs w:val="14"/>
                <w:color w:val="auto"/>
              </w:rPr>
            </w:pPr>
          </w:p>
        </w:tc>
        <w:tc>
          <w:tcPr>
            <w:tcW w:w="12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220" w:type="dxa"/>
            <w:vAlign w:val="bottom"/>
            <w:gridSpan w:val="3"/>
          </w:tcPr>
          <w:p>
            <w:pPr>
              <w:ind w:left="180"/>
              <w:spacing w:after="0" w:line="148"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5,403,942</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17.3</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760" w:type="dxa"/>
            <w:vAlign w:val="bottom"/>
          </w:tcPr>
          <w:p>
            <w:pPr>
              <w:jc w:val="right"/>
              <w:spacing w:after="0"/>
              <w:rPr>
                <w:sz w:val="20"/>
                <w:szCs w:val="20"/>
                <w:color w:val="auto"/>
              </w:rPr>
            </w:pPr>
            <w:r>
              <w:rPr>
                <w:rFonts w:ascii="Arial" w:cs="Arial" w:eastAsia="Arial" w:hAnsi="Arial"/>
                <w:sz w:val="18"/>
                <w:szCs w:val="18"/>
                <w:color w:val="auto"/>
              </w:rPr>
              <w:t>138,562</w:t>
            </w:r>
          </w:p>
        </w:tc>
        <w:tc>
          <w:tcPr>
            <w:tcW w:w="440" w:type="dxa"/>
            <w:vAlign w:val="bottom"/>
          </w:tcPr>
          <w:p>
            <w:pPr>
              <w:spacing w:after="0"/>
              <w:rPr>
                <w:sz w:val="18"/>
                <w:szCs w:val="18"/>
                <w:color w:val="auto"/>
              </w:rPr>
            </w:pPr>
          </w:p>
        </w:tc>
        <w:tc>
          <w:tcPr>
            <w:tcW w:w="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138,562</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840,413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335,413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2,243,046</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505,000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1,738,046</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pursuant to Rule 13d-3 of the Securities Exchange Act of 1934, as amended (the “Exchange Act”), as of December 31, 2011, at which date there were 31,173,064 aggregate shares of common stock outstanding.</w:t>
      </w:r>
    </w:p>
    <w:p>
      <w:pPr>
        <w:spacing w:after="0" w:line="50" w:lineRule="exact"/>
        <w:rPr>
          <w:rFonts w:ascii="Arial" w:cs="Arial" w:eastAsia="Arial" w:hAnsi="Arial"/>
          <w:sz w:val="18"/>
          <w:szCs w:val="18"/>
          <w:color w:val="auto"/>
        </w:rPr>
      </w:pPr>
    </w:p>
    <w:p>
      <w:pPr>
        <w:ind w:left="460" w:right="80" w:hanging="452"/>
        <w:spacing w:after="0" w:line="30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business address of each of Oak Hill Capital Partners, L.P. and Oak Hill Capital Management Partners, L.P. (together, the “Oak Hill Partnerships”) is 201 Main Street, Suite 1018, Fort Worth, TX 76102. OHCP MGP, LLC is the sole general partner of OHCP GenPar, L.P., which is the sole general partner of Oak Hill Capital Management Partners, L.P. and Oak Hill Capital Partners, L.P., respectively. OHCP MGP, LLC exercises voting and dispositive control over the shares held by Oak Hill Capital Management Partners, L.P. and Oak Hill Capital Partners, L.P., respectively.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28" w:lineRule="exact"/>
        <w:rPr>
          <w:rFonts w:ascii="Arial" w:cs="Arial" w:eastAsia="Arial" w:hAnsi="Arial"/>
          <w:sz w:val="15"/>
          <w:szCs w:val="15"/>
          <w:color w:val="auto"/>
        </w:rPr>
      </w:pPr>
    </w:p>
    <w:p>
      <w:pPr>
        <w:jc w:val="both"/>
        <w:ind w:left="460" w:right="2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Vikram Talwar, our Chairman, and his spouse are the trustees of this trust and share dispositive and voting control over the shares in the trust. The shares registered hereunder by this trust consist of shares of common stock acquired by this trust from Mr. Talwar in transactions completed prior to January 31, 2012.</w:t>
      </w:r>
    </w:p>
    <w:p>
      <w:pPr>
        <w:spacing w:after="0" w:line="59"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grantor retained annuity trust. Mr. Kapoor is the sole trustee of this trust. This amount also includes 84,000 shares of our common stock owned indirectly by Mr. Kapoor through a spousal lifetime access trust for Mr. Kapoor’s spouse. Mr. Kapoor and Mr. Kapoor’s sister-in-law are the trustees of this trust and share dispositive and voting control over the shares in the trust. This amount includes 501,349 shares of our common stock of which Mr. Kapoor has the right to acquire beneficial ownership within 60 days of December 31, 2011. The shares registered hereunder by Mr. Kapoor consist of shares of common stock that were acquired in transactions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completed in connection with the Conseco Acquisition, shares of common stock that were issued in connection with the Share Split and shares of common stock acquired pursuant to our equity compensation plans to the extent such shares were received prior to January 31,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Vikram Talwar, one of the co-trustees of The Talwar 1994 Trust, one of the selling stockholders included in this prospectus, has served as our Chairman since April 2011. Mr. Talwar served as our Chief Executive Officer and Vice Chairman of our board of directors from November 2002 to April 2008, as our Executive Chairman from May 2008 to March 2011 and as Chief Executive Officer of EXL Inc. since April 1999.</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LLC, the investment advisor to the Oak Hill Partnerships, and Edward V. Dardani, one of our directors, is a Partner of Oak Hill Capital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until April 2010, indirectly owned by entities related to the Oak Hill Partnerships. We recognized revenue of approximately $17,000 (until April 2010), $536,890 and $628,090 in the years ended December 31, 2010, 2009 and 2008, respectively, for fees and expense reimbursements from Duane Reade Holdings, Inc. At December 31, 2010, we had no account receivable related to these services.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provide services to Oak Hill Capital Partners, one of the Company’s significant stockholders. We recognized revenue of $82,000 in the year ended December 31, 2010 for fees and expense reimbursements from Oak Hill Capital Partners. At December 31, 2010, we had an account receivable of $9,000 related to these services.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Third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December 31, 2011, we had 31,173,064 outstanding shares of common stock, excluding 323,397 shares held in treasury and 63,834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there were approximately 20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agency fees or other items constituting underwriting compensation to be received by any FINRA member or independent broker-dealer will not exceed 8% of the offering proceeds from any offering pursuant to this prospectus and any applicable prospectus supplement.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FINRA member may participate in any offering of securities made under this prospectus if such member has a conflict of interest under FINRA Rule 5121, including if 5% or more of the net proceeds, not including underwriting compensation, of any offering of securities made under this prospectus will be received by a FINRA member participating in the offering or affiliates or associated persons of such FINRA members, unless a qualified independent underwriter has participated in the offering or the offering otherwise complies with FINRA Rule 5121.</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Exchange Act. These filings are available to the public on the SEC’s website at www.sec.gov.</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right="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including portions of our Proxy Statement for the 2011 Annual Meeting of Stockholders (filed on May 2, 2011)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June 30, 2011 and September 30, 2011;</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on May 2, 2011, June 2, 2011, June 6, 2011 (as amended on August 1, 2011), June 20, 2011, September 13, 2011, September 19, 2011 and December 6, 2011;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documents and reports that we file with the SEC (other than any portion of such filings that are furnished under applicable SEC rules rather than filed) pursuant to Section 13(a), 13(c), 14 or 15(d) of the Exchange Act (a) after the date of the initial registration statement and prior to effectiveness of the registration statement and (b)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763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046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2012</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38,358</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193,051</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pre-effective amendment to the Registration Statement to be signed on its behalf by the undersigned, thereunto duly authorized, in the City of New York, State of New York, on January 31,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pre-effective amendment to the Registration Statement has been signed below by the following persons in the capacities indicated on January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222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2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Vishal Chhibbar</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Chairman</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Vikram Talwar</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Steven B. Gruber</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Edward V. Dardani</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Kiran Karnik</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B. Kelso</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Clyde W. Ostler</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3"/>
          </w:tcPr>
          <w:p>
            <w:pPr>
              <w:ind w:left="54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r>
      <w:tr>
        <w:trPr>
          <w:trHeight w:val="425"/>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Mohanbir Sawhney</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38"/>
        </w:trPr>
        <w:tc>
          <w:tcPr>
            <w:tcW w:w="2220" w:type="dxa"/>
            <w:vAlign w:val="bottom"/>
            <w:gridSpan w:val="2"/>
          </w:tcPr>
          <w:p>
            <w:pPr>
              <w:jc w:val="right"/>
              <w:ind w:right="18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Garen K. Staglin</w:t>
            </w:r>
          </w:p>
        </w:tc>
        <w:tc>
          <w:tcPr>
            <w:tcW w:w="2220" w:type="dxa"/>
            <w:vAlign w:val="bottom"/>
            <w:tcBorders>
              <w:top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Attorney-in-fact</w:t>
      </w:r>
    </w:p>
    <w:p>
      <w:pPr>
        <w:spacing w:after="0" w:line="31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4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4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1084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Third Amended and Restated By-laws (incorporated by reference to Exhibit 3.1 to the Current Report on Form 8-K filed on May 2, 2011).</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Specimen Stock Certificate (incorporated by reference to Exhibit 4.1 of Amendment No. 6 to the Registration Statement on Form S-1 (No.</w:t>
            </w:r>
          </w:p>
        </w:tc>
      </w:tr>
      <w:tr>
        <w:trPr>
          <w:trHeight w:val="222"/>
        </w:trPr>
        <w:tc>
          <w:tcPr>
            <w:tcW w:w="520" w:type="dxa"/>
            <w:vAlign w:val="bottom"/>
          </w:tcPr>
          <w:p>
            <w:pPr>
              <w:spacing w:after="0"/>
              <w:rPr>
                <w:sz w:val="19"/>
                <w:szCs w:val="19"/>
                <w:color w:val="auto"/>
              </w:rPr>
            </w:pP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333-121001)).</w:t>
            </w:r>
          </w:p>
        </w:tc>
        <w:tc>
          <w:tcPr>
            <w:tcW w:w="844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4.3 of Amendment No. 3 to the Registration Statement on Form S-3 (No. 333-162335)).</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4"/>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1"/>
              </w:rPr>
              <w:t>Indenture”) (incorporated by reference to Exhibit 4.4 of Amendment No. 3 to the Registration Statement on Form S-3 (No. 333-162335)).</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23.3</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Power of Attorney.</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8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460" w:firstLine="8"/>
        <w:spacing w:after="0" w:line="268" w:lineRule="auto"/>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if necessary, by a post-effective amendment to the registration statement or as an exhibit to a document incorporated by reference herein. ** Previously filed.</w:t>
      </w:r>
    </w:p>
    <w:p>
      <w:pPr>
        <w:sectPr>
          <w:pgSz w:w="11900" w:h="16838" w:orient="portrait"/>
          <w:cols w:equalWidth="0" w:num="1">
            <w:col w:w="11360"/>
          </w:cols>
          <w:pgMar w:left="240" w:top="459"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 (File No. 333-179098)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the above-referenced Registration Statement on Form S-3 (the “Registration Statement”) of ExlService Holdings, Inc., a Delaware corporation (the “Company”), filed with the Securities and Exchange Commission pursuant to the Securities Act of 1933, as amended (the “Act”), and the rules and regulations thereunder (the “Rules”), you have asked us, as outside counsel to the Company, to furnish our opinion as to the legality of the securities being registered under the Registration Statement. The Registration Statement relates to the registration under the Act of the following securities of the Company (together, the “Securities”):</w:t>
      </w:r>
    </w:p>
    <w:p>
      <w:pPr>
        <w:spacing w:after="0" w:line="62" w:lineRule="exact"/>
        <w:rPr>
          <w:sz w:val="20"/>
          <w:szCs w:val="20"/>
          <w:color w:val="auto"/>
        </w:rPr>
      </w:pPr>
    </w:p>
    <w:p>
      <w:pPr>
        <w:ind w:left="900" w:right="2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senior debt securities (the “Company Senior Debt Securities”) and subordinated debt securities (the “Company Subordinated Debt Securities” and, together with the Company Senior Debt Securities, the “Company Debt Securities”);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preferred stock (including shares issued upon conversion of the Company Debt Securities or upon the exercise of warrants or purchase contracts) of the Company, par value $0.001 per share (the “Company Preferred Stock”);</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of common stock (including shares issuable upon conversion or exchange of the Company Debt Securities or Company Preferred Stock or upon the exercise of warrants, rights or purchase contracts) of the Company, par value $0.001 per share (the “Company Common Stock”);</w:t>
      </w:r>
    </w:p>
    <w:p>
      <w:pPr>
        <w:sectPr>
          <w:pgSz w:w="11900" w:h="16838" w:orient="portrait"/>
          <w:cols w:equalWidth="0" w:num="1">
            <w:col w:w="11420"/>
          </w:cols>
          <w:pgMar w:left="240" w:top="125" w:right="239" w:bottom="1440" w:gutter="0" w:footer="0" w:header="0"/>
        </w:sectPr>
      </w:pPr>
    </w:p>
    <w:bookmarkStart w:id="49" w:name="page50"/>
    <w:bookmarkEnd w:id="49"/>
    <w:p>
      <w:pPr>
        <w:ind w:left="900" w:right="3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6,552,504 shares of common stock of the Company, par value $0.001 per share, that may be offered by certain stockholders of the Company (the “Selling Stockholder Common Stock”);</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depositary shares representing a fractional share or multiple shares of Company Preferred Stock evidenced by depositary receipts (the “Company Depositary Shares”);</w:t>
      </w:r>
    </w:p>
    <w:p>
      <w:pPr>
        <w:spacing w:after="0" w:line="5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warrants to purchase Company Debt Securities, Company Preferred Stock, Company Common Stock, Company Depositary Shares or any combination of them (the “Company Warrants”);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to purchase Company Common Stock (the “Company Rights”);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 contracts representing the Company’s obligation to sell Company Debt Securities, Company Preferred Stock, Company Common Stock, Depositary Shares, Company Warrants or government securities (the “Company Purchase Contracts”); and</w:t>
      </w:r>
    </w:p>
    <w:p>
      <w:pPr>
        <w:spacing w:after="0" w:line="4" w:lineRule="exact"/>
        <w:rPr>
          <w:rFonts w:ascii="Arial" w:cs="Arial" w:eastAsia="Arial" w:hAnsi="Arial"/>
          <w:sz w:val="16"/>
          <w:szCs w:val="16"/>
          <w:color w:val="auto"/>
        </w:rPr>
      </w:pPr>
    </w:p>
    <w:p>
      <w:pPr>
        <w:ind w:left="900" w:right="26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units consisting of any combination of two or more of Company Debt Securities, Company Preferred Stock, Company Common Stock, Company Depositary Shares, Company Warrants, Company Purchase Contracts or debt obligations of third parties, including government securities (the “Company Units”).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are being registered for offering and sale from time to time as provided by Rule 415 under the Act.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Senior Debt Securities are to be issued under an indenture to be entered into by and among the Company and U.S. Bank National Association, as trustee (the “Company Senior Debt Indenture”). The Company Subordinated Debt Securities are to be issued under an indenture to be entered into by and among the Company and U.S. Bank National Association, as trustee (the “Company Subordinated Debt Indenture” and, together with the Company Senior Debt Indenture, the “Company Indentures”).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Depositary Shares are to be issued under deposit agreements, each between the Company and a depositary to be identified in the applicable agreement (each, a “Depositary Agreement”). The Company Warrants are to be issued under warrant agreements, each between the Company and a warrant agent to be identified in the applicable agreement (each, a “Warrant Agreement”). The Company Rights are to be issued under rights agreements, each between the Company and a rights agent to be identified in the applicable agreement (each, a “Rights Agreement”). The Company Purchase Contracts will be issued under purchase contract agreements, each between the Company and a purchase contract agent to be identified in the applicable agreement (each, a “Purchase Contract Agreement”). The Company Units are to be issued under unit agreements, each between the Company and a unit agent to be identified in the applicable agreement (each, a “Unit Agreement”).</w:t>
      </w:r>
    </w:p>
    <w:p>
      <w:pPr>
        <w:sectPr>
          <w:pgSz w:w="11900" w:h="16838" w:orient="portrait"/>
          <w:cols w:equalWidth="0" w:num="1">
            <w:col w:w="11400"/>
          </w:cols>
          <w:pgMar w:left="240" w:top="280" w:right="259" w:bottom="1440" w:gutter="0" w:footer="0" w:header="0"/>
        </w:sectPr>
      </w:pPr>
    </w:p>
    <w:bookmarkStart w:id="50" w:name="page51"/>
    <w:bookmarkEnd w:id="50"/>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furnishing of this opinion, we have examined originals, or copies certified or otherwise identified to our satisfaction, of the following documents:</w:t>
      </w:r>
    </w:p>
    <w:p>
      <w:pPr>
        <w:spacing w:after="0" w:line="132"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171" w:lineRule="exact"/>
        <w:rPr>
          <w:rFonts w:ascii="Arial" w:cs="Arial" w:eastAsia="Arial" w:hAnsi="Arial"/>
          <w:sz w:val="18"/>
          <w:szCs w:val="18"/>
          <w:color w:val="auto"/>
        </w:rPr>
      </w:pPr>
    </w:p>
    <w:p>
      <w:pPr>
        <w:ind w:right="38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forms of the Company Senior Debt Indenture and the Company Subordinated Debt Indenture (including the form of Securities included therein) incorporated by reference as Exhibits 4.1 and 4.2, respectively, to the Registration Statement.</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addition, we have examined (i) such corporate records of the Company as we have considered appropriate, including a copy of the certificate of incorporation, as amended, and by-laws, as amended, of the Company, and copies of resolutions of the board of directors of the Company and (ii) such other certificates, agreements and documents as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also assumed, without independent investigation, that (i) the Company Indentures will be duly authorized, executed and delivered by the parties to them in substantially the forms incorporated by reference as exhibits to the Registration Statement, (ii) each of the Depositary Agreements, the Warrant Agreements, the Rights Agreements, the Purchase Contract Agreements, the Unit Agreements and any other agreement entered into, or officer’s certificates or board resolutions delivered, in connection with the issuance of the Securities will be duly authorized, executed and delivered by the parties to such agreements (such agreements and documents, together with the Company Indentures, are referred to collectively as the “Operative Agreements”), (iii) each Operative Agreement, when so authorized, executed and delivered, will be a valid and legally binding obligation of the parties thereto (other than the Company), (iv) the Company Depositary Shares, the Company Warrants, the Company Rights, the Company Purchase Contracts, the Company Units and any related Operative Agreements will be governed by the laws of the State of New York and (v) in the case of Company Purchase Contracts or Company Units consisting at least in part of debt obligations of third parties, such debt obligations at all relevant times constitute the valid and legally binding obligations of the issuers thereof enforceable against the issuers thereof in accordance with their terms.</w:t>
      </w:r>
    </w:p>
    <w:p>
      <w:pPr>
        <w:sectPr>
          <w:pgSz w:w="11900" w:h="16838" w:orient="portrait"/>
          <w:cols w:equalWidth="0" w:num="1">
            <w:col w:w="11400"/>
          </w:cols>
          <w:pgMar w:left="240" w:top="280" w:right="259" w:bottom="1440" w:gutter="0" w:footer="0" w:header="0"/>
        </w:sectPr>
      </w:pPr>
    </w:p>
    <w:bookmarkStart w:id="51" w:name="page52"/>
    <w:bookmarkEnd w:id="51"/>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Securities of a particular series or issuance, other than the Selling Stockholder Common Stock, we have assumed that (i) the issuance, sale, number or amount, as the case may be, and terms of the Securities to be offered from time to time will be duly authorized and established, in accordance with the organizational documents of the Company, the laws of the State of New York and its jurisdiction of incorporation, and any applicable Operative Agreement, (ii) prior to the issuance of a series of Company Preferred Stock, an appropriate certificate of designation or board resolution relating to such series of Company Preferred Stock will have been duly authorized by the Company and filed with the Secretary of State of Delaware, (iii) the Securities will be duly authorized, executed, issued and delivered by the Company, and, in the case of Company Debt Securities, Company Depositary Shares, Company Warrants, Company Rights, Company Purchase Contracts and Company Units, duly authenticated or delivered by the applicable trustee or agent, in each case, against payment by the purchaser at the agreed-upon consideration, and (iv) the Securities will be issued and delivered as contemplated by the Registration Statement and the applicable prospectus supplement.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171" w:lineRule="exact"/>
        <w:rPr>
          <w:sz w:val="20"/>
          <w:szCs w:val="20"/>
          <w:color w:val="auto"/>
        </w:rPr>
      </w:pPr>
    </w:p>
    <w:p>
      <w:pPr>
        <w:ind w:right="180" w:firstLine="464"/>
        <w:spacing w:after="0" w:line="323" w:lineRule="auto"/>
        <w:tabs>
          <w:tab w:leader="none" w:pos="6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When the specific terms of a particular issuance of Company Debt Securities (including any Company Debt Securities duly issued upon exercise, exchange or conversion of any Security in accordance with its terms) have been duly authorized by the Company and such Company Debt Securities have been duly executed, authenticated, issued and delivered, and, if applicable, upon exercise, exchange or conversion of any Security in accordance with its terms, such Company Debt Securities will be valid and legally binding obligations of the Company enforceable against the Company in accordance with their terms.</w:t>
      </w:r>
    </w:p>
    <w:p>
      <w:pPr>
        <w:spacing w:after="0" w:line="97" w:lineRule="exact"/>
        <w:rPr>
          <w:rFonts w:ascii="Arial" w:cs="Arial" w:eastAsia="Arial" w:hAnsi="Arial"/>
          <w:sz w:val="15"/>
          <w:szCs w:val="15"/>
          <w:color w:val="auto"/>
        </w:rPr>
      </w:pPr>
    </w:p>
    <w:p>
      <w:pPr>
        <w:ind w:right="30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due authorization by the Company of the issuance and sale of shares of a series of Company Preferred Stock, and, if applicable, upon exercise, exchange or conversion of any Security in accordance with its terms, such shares of Company Preferred Stock will be validly issued, fully paid and non-assessable.</w:t>
      </w:r>
    </w:p>
    <w:p>
      <w:pPr>
        <w:spacing w:after="0" w:line="140" w:lineRule="exact"/>
        <w:rPr>
          <w:rFonts w:ascii="Arial" w:cs="Arial" w:eastAsia="Arial" w:hAnsi="Arial"/>
          <w:sz w:val="18"/>
          <w:szCs w:val="18"/>
          <w:color w:val="auto"/>
        </w:rPr>
      </w:pPr>
    </w:p>
    <w:p>
      <w:pPr>
        <w:ind w:right="160" w:firstLine="464"/>
        <w:spacing w:after="0" w:line="332"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due authorization by the Company of the issuance and sale of shares of Company Common Stock, and, if applicable, upon exercise, exchange or conversion of any Security in accordance with its terms, such shares of Company Common Stock will be validly issued, fully paid and non-assessable.</w:t>
      </w:r>
    </w:p>
    <w:p>
      <w:pPr>
        <w:spacing w:after="0" w:line="85" w:lineRule="exact"/>
        <w:rPr>
          <w:rFonts w:ascii="Arial" w:cs="Arial" w:eastAsia="Arial" w:hAnsi="Arial"/>
          <w:sz w:val="16"/>
          <w:szCs w:val="16"/>
          <w:color w:val="auto"/>
        </w:rPr>
      </w:pPr>
    </w:p>
    <w:p>
      <w:pPr>
        <w:ind w:right="480" w:firstLine="464"/>
        <w:spacing w:after="0" w:line="268"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shares of Selling Stockholder Common Stock have been duly authorized by all necessary corporate action on the part of the Company and are validly issued, fully paid and non-assessable.</w:t>
      </w:r>
    </w:p>
    <w:p>
      <w:pPr>
        <w:sectPr>
          <w:pgSz w:w="11900" w:h="16838" w:orient="portrait"/>
          <w:cols w:equalWidth="0" w:num="1">
            <w:col w:w="11400"/>
          </w:cols>
          <w:pgMar w:left="240" w:top="280" w:right="259" w:bottom="1440" w:gutter="0" w:footer="0" w:header="0"/>
        </w:sectPr>
      </w:pPr>
    </w:p>
    <w:bookmarkStart w:id="52" w:name="page53"/>
    <w:bookmarkEnd w:id="52"/>
    <w:p>
      <w:pPr>
        <w:ind w:right="160" w:firstLine="464"/>
        <w:spacing w:after="0" w:line="335"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any Company Depositary Shares evidenced by depositary receipts are issued and delivered in accordance with the terms of a Depositary Agreement against the deposit of duly authorized, validly issued, fully paid and non-assessable shares of Company Preferred Stock, such Company Depositary Shares will be valid and legally binding obligations of the Company and will entitle the holders thereof to the rights specified in the Depositary Agreement.</w:t>
      </w:r>
    </w:p>
    <w:p>
      <w:pPr>
        <w:spacing w:after="0" w:line="88" w:lineRule="exact"/>
        <w:rPr>
          <w:rFonts w:ascii="Arial" w:cs="Arial" w:eastAsia="Arial" w:hAnsi="Arial"/>
          <w:sz w:val="15"/>
          <w:szCs w:val="15"/>
          <w:color w:val="auto"/>
        </w:rPr>
      </w:pPr>
    </w:p>
    <w:p>
      <w:pPr>
        <w:ind w:right="20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the specific terms of a particular issuance of Company Warrants have been duly authorized by the Company and such Company Warrants have been duly executed, authenticated, issued and delivered, such Company Warrants will be valid and legally binding obligations of the Company enforceable against the Company in accordance with their terms.</w:t>
      </w:r>
    </w:p>
    <w:p>
      <w:pPr>
        <w:spacing w:after="0" w:line="140" w:lineRule="exact"/>
        <w:rPr>
          <w:rFonts w:ascii="Arial" w:cs="Arial" w:eastAsia="Arial" w:hAnsi="Arial"/>
          <w:sz w:val="18"/>
          <w:szCs w:val="18"/>
          <w:color w:val="auto"/>
        </w:rPr>
      </w:pPr>
    </w:p>
    <w:p>
      <w:pPr>
        <w:jc w:val="both"/>
        <w:ind w:right="16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the specific terms of a particular issuance of Company Rights have been duly authorized by the Company and such Company Rights have been duly executed, authenticated, issued and delivered, such Company Rights will be valid and legally binding obligations of the Company enforceable against the Company in accordance with their terms.</w:t>
      </w:r>
    </w:p>
    <w:p>
      <w:pPr>
        <w:spacing w:after="0" w:line="140" w:lineRule="exact"/>
        <w:rPr>
          <w:rFonts w:ascii="Arial" w:cs="Arial" w:eastAsia="Arial" w:hAnsi="Arial"/>
          <w:sz w:val="18"/>
          <w:szCs w:val="18"/>
          <w:color w:val="auto"/>
        </w:rPr>
      </w:pPr>
    </w:p>
    <w:p>
      <w:pPr>
        <w:ind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When any Company Purchase Contracts have been duly authorized, executed and delivered by the Company, such Company Purchase Contracts will be valid and legally binding obligations of the Company enforceable against the Company in accordance with their terms.</w:t>
      </w:r>
    </w:p>
    <w:p>
      <w:pPr>
        <w:spacing w:after="0" w:line="85" w:lineRule="exact"/>
        <w:rPr>
          <w:rFonts w:ascii="Arial" w:cs="Arial" w:eastAsia="Arial" w:hAnsi="Arial"/>
          <w:sz w:val="16"/>
          <w:szCs w:val="16"/>
          <w:color w:val="auto"/>
        </w:rPr>
      </w:pPr>
    </w:p>
    <w:p>
      <w:pPr>
        <w:ind w:right="32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any Company Units have been duly authorized, issued and delivered by the Company, such Company Units will be valid and legally binding obligations of the Company enforceable against the Company in accordance with their terms.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opinions expressed above as to enforceability may be subject to (i) bankruptcy, insolvency, reorganization, fraudulent conveyance or transfer, moratorium or similar laws affecting creditors’ rights generally, (ii) general principles of equity (regardless of whether enforceability is considered in a proceeding in equity or at law) and (iii) requirements that a claim with respect to any Securities in denominations other than in United States dollars (or a judgment denominated other than into United States dollars in respect of the claim) be converted into United States dollars at a rate of exchange prevailing on a date determined by applicable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above are limited to the laws of the State of New York and the Delaware General Corporation Law.</w:t>
      </w:r>
    </w:p>
    <w:p>
      <w:pPr>
        <w:sectPr>
          <w:pgSz w:w="11900" w:h="16838" w:orient="portrait"/>
          <w:cols w:equalWidth="0" w:num="1">
            <w:col w:w="11320"/>
          </w:cols>
          <w:pgMar w:left="240" w:top="280" w:right="339" w:bottom="1440" w:gutter="0" w:footer="0" w:header="0"/>
        </w:sectPr>
      </w:pPr>
    </w:p>
    <w:bookmarkStart w:id="53" w:name="page54"/>
    <w:bookmarkEnd w:id="5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consent to use of this opinion as an exhibit to the Registration Statement and to the use of our name under the heading “Legal Matters” contained in the prospectus included in the Registration Statement. In giving this consent, we do not hereby admit that we come within the category of persons whose consent is required by the Act or the Rules.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 Paul, Weiss, Rifkind, Wharton &amp; Garrison LLP</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160"/>
          </w:cols>
          <w:pgMar w:left="240" w:top="280" w:right="4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We consent to the reference to our firm under the caption “Experts” in this Pre-Effective Amendment No. 1 to the Registration Statement (Form S-3 No. 333-179098) and related Prospectus of ExlService Holdings, Inc. for the registration of common stock, preferred stock, debt securities, depository shares, warrants, rights, purchase contracts and units and to the incorporation by reference therein of our reports dated March 16, 2011, with respect to the consolidated financial statements of ExlService Holdings, Inc. and subsidiaries, and the effectiveness of internal control over financial reporting of ExlService Holdings, Inc. and subsidiaries included in its Annual Report (Form 10-K) for the year ended December 31, 2010, filed with the Securities and Exchange Commission.</w:t>
      </w:r>
    </w:p>
    <w:p>
      <w:pPr>
        <w:spacing w:after="0" w:line="1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2012</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reference to our firm under the caption “Experts” in this Pre-Effective Amendment No. 1 to the Registration Statement (Form S-3 No. 333-179098) and related Prospectus of ExlService Holdings, Inc. and to the incorporation by reference therein of our report dated March 11, 2011 (except for note 16, as to which the date is August 1, 2011) with respect to the consolidated financial statements of Business Process Outsourcing, Inc. for the year ended December 31, 2010.</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Bangalore, India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lvl w:ilvl="1">
      <w:lvlJc w:val="left"/>
      <w:lvlText w:val="•"/>
      <w:numFmt w:val="bullet"/>
      <w:start w:val="1"/>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lvl w:ilvl="1">
      <w:lvlJc w:val="left"/>
      <w:lvlText w:val="(%2)"/>
      <w:numFmt w:val="lowerRoman"/>
      <w:start w:val="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3"/>
    </w:lvl>
    <w:lvl w:ilvl="1">
      <w:lvlJc w:val="left"/>
      <w:lvlText w:val="(%2)"/>
      <w:numFmt w:val="lowerRoman"/>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4"/>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2019-12-09T17:05:14Z</dcterms:created>
  <dcterms:modified xsi:type="dcterms:W3CDTF">2019-12-09T17:05:14Z</dcterms:modified>
</cp:coreProperties>
</file>