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0"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8"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3922395</wp:posOffset>
            </wp:positionH>
            <wp:positionV relativeFrom="paragraph">
              <wp:posOffset>-3175</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jc w:val="center"/>
        <w:ind w:right="-39"/>
        <w:spacing w:after="0" w:line="232"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w:t>
      </w:r>
    </w:p>
    <w:p>
      <w:pPr>
        <w:spacing w:after="0" w:line="100" w:lineRule="exact"/>
        <w:rPr>
          <w:sz w:val="24"/>
          <w:szCs w:val="24"/>
          <w:color w:val="auto"/>
        </w:rPr>
      </w:pPr>
    </w:p>
    <w:tbl>
      <w:tblPr>
        <w:tblLayout w:type="fixed"/>
        <w:tblInd w:w="35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560" w:type="dxa"/>
            <w:vAlign w:val="bottom"/>
          </w:tcPr>
          <w:p>
            <w:pPr>
              <w:spacing w:after="0"/>
              <w:rPr>
                <w:sz w:val="18"/>
                <w:szCs w:val="18"/>
                <w:color w:val="auto"/>
              </w:rPr>
            </w:pPr>
          </w:p>
        </w:tc>
      </w:tr>
      <w:tr>
        <w:trPr>
          <w:trHeight w:val="146"/>
        </w:trPr>
        <w:tc>
          <w:tcPr>
            <w:tcW w:w="1300" w:type="dxa"/>
            <w:vAlign w:val="bottom"/>
          </w:tcPr>
          <w:p>
            <w:pPr>
              <w:spacing w:after="0"/>
              <w:rPr>
                <w:sz w:val="12"/>
                <w:szCs w:val="12"/>
                <w:color w:val="auto"/>
              </w:rPr>
            </w:pPr>
          </w:p>
        </w:tc>
        <w:tc>
          <w:tcPr>
            <w:tcW w:w="330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246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300" w:type="dxa"/>
            <w:vAlign w:val="bottom"/>
          </w:tcPr>
          <w:p>
            <w:pPr>
              <w:spacing w:after="0"/>
              <w:rPr>
                <w:sz w:val="16"/>
                <w:szCs w:val="16"/>
                <w:color w:val="auto"/>
              </w:rPr>
            </w:pPr>
          </w:p>
        </w:tc>
        <w:tc>
          <w:tcPr>
            <w:tcW w:w="33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6"/>
        </w:trPr>
        <w:tc>
          <w:tcPr>
            <w:tcW w:w="1300" w:type="dxa"/>
            <w:vAlign w:val="bottom"/>
          </w:tcPr>
          <w:p>
            <w:pPr>
              <w:spacing w:after="0"/>
              <w:rPr>
                <w:sz w:val="23"/>
                <w:szCs w:val="23"/>
                <w:color w:val="auto"/>
              </w:rPr>
            </w:pPr>
          </w:p>
        </w:tc>
        <w:tc>
          <w:tcPr>
            <w:tcW w:w="33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320 Park Avenue,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7"/>
        </w:trPr>
        <w:tc>
          <w:tcPr>
            <w:tcW w:w="1300" w:type="dxa"/>
            <w:vAlign w:val="bottom"/>
          </w:tcPr>
          <w:p>
            <w:pPr>
              <w:spacing w:after="0"/>
              <w:rPr>
                <w:sz w:val="18"/>
                <w:szCs w:val="18"/>
                <w:color w:val="auto"/>
              </w:rPr>
            </w:pP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10022</w:t>
            </w:r>
          </w:p>
        </w:tc>
        <w:tc>
          <w:tcPr>
            <w:tcW w:w="560" w:type="dxa"/>
            <w:vAlign w:val="bottom"/>
          </w:tcPr>
          <w:p>
            <w:pPr>
              <w:spacing w:after="0"/>
              <w:rPr>
                <w:sz w:val="18"/>
                <w:szCs w:val="18"/>
                <w:color w:val="auto"/>
              </w:rPr>
            </w:pPr>
          </w:p>
        </w:tc>
      </w:tr>
      <w:tr>
        <w:trPr>
          <w:trHeight w:val="190"/>
        </w:trPr>
        <w:tc>
          <w:tcPr>
            <w:tcW w:w="1300" w:type="dxa"/>
            <w:vAlign w:val="bottom"/>
          </w:tcPr>
          <w:p>
            <w:pPr>
              <w:spacing w:after="0"/>
              <w:rPr>
                <w:sz w:val="16"/>
                <w:szCs w:val="16"/>
                <w:color w:val="auto"/>
              </w:rPr>
            </w:pP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2"/>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98"/>
        </w:trPr>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2"/>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40" w:type="dxa"/>
            <w:vAlign w:val="bottom"/>
            <w:gridSpan w:val="5"/>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gridSpan w:val="3"/>
          </w:tcPr>
          <w:p>
            <w:pPr>
              <w:spacing w:after="0"/>
              <w:rPr>
                <w:sz w:val="9"/>
                <w:szCs w:val="9"/>
                <w:color w:val="auto"/>
              </w:rPr>
            </w:pPr>
          </w:p>
        </w:tc>
        <w:tc>
          <w:tcPr>
            <w:tcW w:w="1320" w:type="dxa"/>
            <w:vAlign w:val="bottom"/>
            <w:tcBorders>
              <w:bottom w:val="single" w:sz="8" w:color="auto"/>
            </w:tcBorders>
            <w:gridSpan w:val="3"/>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208"/>
        </w:trPr>
        <w:tc>
          <w:tcPr>
            <w:tcW w:w="130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100" w:type="dxa"/>
            <w:vAlign w:val="bottom"/>
            <w:tcBorders>
              <w:bottom w:val="single" w:sz="8" w:color="auto"/>
              <w:right w:val="single" w:sz="8" w:color="auto"/>
            </w:tcBorders>
            <w:gridSpan w:val="8"/>
          </w:tcPr>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71"/>
        </w:trPr>
        <w:tc>
          <w:tcPr>
            <w:tcW w:w="3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14"/>
                <w:szCs w:val="14"/>
                <w:color w:val="auto"/>
              </w:rPr>
            </w:pPr>
          </w:p>
        </w:tc>
        <w:tc>
          <w:tcPr>
            <w:tcW w:w="2040" w:type="dxa"/>
            <w:vAlign w:val="bottom"/>
            <w:tcBorders>
              <w:right w:val="single" w:sz="8" w:color="auto"/>
            </w:tcBorders>
            <w:gridSpan w:val="2"/>
          </w:tcPr>
          <w:p>
            <w:pPr>
              <w:jc w:val="center"/>
              <w:ind w:right="780"/>
              <w:spacing w:after="0" w:line="171"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 w:type="dxa"/>
            <w:vAlign w:val="bottom"/>
          </w:tcPr>
          <w:p>
            <w:pPr>
              <w:spacing w:after="0"/>
              <w:rPr>
                <w:sz w:val="14"/>
                <w:szCs w:val="14"/>
                <w:color w:val="auto"/>
              </w:rPr>
            </w:pPr>
          </w:p>
        </w:tc>
        <w:tc>
          <w:tcPr>
            <w:tcW w:w="3660" w:type="dxa"/>
            <w:vAlign w:val="bottom"/>
            <w:tcBorders>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
        </w:trPr>
        <w:tc>
          <w:tcPr>
            <w:tcW w:w="13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7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EXLS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ind w:left="340" w:right="2500"/>
        <w:spacing w:after="0" w:line="21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10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6"/>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16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56" w:lineRule="exact"/>
        <w:rPr>
          <w:sz w:val="24"/>
          <w:szCs w:val="24"/>
          <w:color w:val="auto"/>
        </w:rPr>
      </w:pPr>
    </w:p>
    <w:p>
      <w:pPr>
        <w:ind w:right="26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58" w:lineRule="exact"/>
        <w:rPr>
          <w:sz w:val="24"/>
          <w:szCs w:val="24"/>
          <w:color w:val="auto"/>
        </w:rPr>
      </w:pPr>
    </w:p>
    <w:p>
      <w:pPr>
        <w:ind w:right="480" w:firstLine="324"/>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ectPr>
          <w:pgSz w:w="11900" w:h="16838" w:orient="portrait"/>
          <w:cols w:equalWidth="0" w:num="1">
            <w:col w:w="11220"/>
          </w:cols>
          <w:pgMar w:left="320" w:top="468" w:right="359" w:bottom="1440" w:gutter="0" w:footer="0" w:header="0"/>
        </w:sectPr>
      </w:pPr>
    </w:p>
    <w:p>
      <w:pPr>
        <w:spacing w:after="0" w:line="287" w:lineRule="exact"/>
        <w:rPr>
          <w:sz w:val="24"/>
          <w:szCs w:val="24"/>
          <w:color w:val="auto"/>
        </w:rPr>
      </w:pPr>
    </w:p>
    <w:p>
      <w:pPr>
        <w:ind w:left="340"/>
        <w:spacing w:after="0" w:line="173" w:lineRule="exact"/>
        <w:tabs>
          <w:tab w:leader="none" w:pos="7400" w:val="left"/>
          <w:tab w:leader="none" w:pos="80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June 30, 2020, the aggregate market value of common stock held by non-affiliates was approximately $2,109,568,361.</w:t>
      </w:r>
    </w:p>
    <w:p>
      <w:pPr>
        <w:spacing w:after="0" w:line="3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February 22, 2021, there were 33,474,596 shares of the registrant’s common stock outstanding, par value $0.001 per share.</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Part III incorporates information from certain portions of the registrant’s definitive proxy statement to be filed with the Securities and Exchange Commission within 120 days after the fiscal year end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88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74"/>
        </w:trPr>
        <w:tc>
          <w:tcPr>
            <w:tcW w:w="17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1"/>
        </w:trPr>
        <w:tc>
          <w:tcPr>
            <w:tcW w:w="17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88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1A.</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Risk Factors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12</w:t>
              </w:r>
            </w:hyperlink>
          </w:p>
        </w:tc>
        <w:tc>
          <w:tcPr>
            <w:tcW w:w="20" w:type="dxa"/>
            <w:vAlign w:val="bottom"/>
          </w:tcPr>
          <w:p>
            <w:pPr>
              <w:spacing w:after="0"/>
              <w:rPr>
                <w:sz w:val="19"/>
                <w:szCs w:val="19"/>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1B.</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Unresolved Staff Comments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2.</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Properties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Legal Proceedings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c>
          <w:tcPr>
            <w:tcW w:w="20" w:type="dxa"/>
            <w:vAlign w:val="bottom"/>
          </w:tcPr>
          <w:p>
            <w:pPr>
              <w:spacing w:after="0"/>
              <w:rPr>
                <w:sz w:val="19"/>
                <w:szCs w:val="19"/>
                <w:color w:val="auto"/>
              </w:rPr>
            </w:pPr>
          </w:p>
        </w:tc>
      </w:tr>
      <w:tr>
        <w:trPr>
          <w:trHeight w:val="226"/>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4.</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Mine Safety Disclosures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c>
          <w:tcPr>
            <w:tcW w:w="20" w:type="dxa"/>
            <w:vAlign w:val="bottom"/>
          </w:tcPr>
          <w:p>
            <w:pPr>
              <w:spacing w:after="0"/>
              <w:rPr>
                <w:sz w:val="19"/>
                <w:szCs w:val="19"/>
                <w:color w:val="auto"/>
              </w:rPr>
            </w:pPr>
          </w:p>
        </w:tc>
      </w:tr>
      <w:tr>
        <w:trPr>
          <w:trHeight w:val="233"/>
        </w:trPr>
        <w:tc>
          <w:tcPr>
            <w:tcW w:w="17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PART II.</w:t>
              </w:r>
            </w:hyperlink>
          </w:p>
        </w:tc>
        <w:tc>
          <w:tcPr>
            <w:tcW w:w="8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33</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6.</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Selected Financial Data</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35</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7.</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c>
          <w:tcPr>
            <w:tcW w:w="20" w:type="dxa"/>
            <w:vAlign w:val="bottom"/>
          </w:tcPr>
          <w:p>
            <w:pPr>
              <w:spacing w:after="0"/>
              <w:rPr>
                <w:sz w:val="19"/>
                <w:szCs w:val="19"/>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7A.</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Quantitative and Qualitative Disclosures About Market Risk</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64</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8.</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Financial Statements and Supplementary Data</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66</w:t>
              </w:r>
            </w:hyperlink>
          </w:p>
        </w:tc>
        <w:tc>
          <w:tcPr>
            <w:tcW w:w="20" w:type="dxa"/>
            <w:vAlign w:val="bottom"/>
          </w:tcPr>
          <w:p>
            <w:pPr>
              <w:spacing w:after="0"/>
              <w:rPr>
                <w:sz w:val="19"/>
                <w:szCs w:val="19"/>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9.</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Changes in and Disagreement with Accountants on Accounting and Financial Disclosure</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66</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9A.</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Controls and Procedures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66</w:t>
              </w:r>
            </w:hyperlink>
          </w:p>
        </w:tc>
        <w:tc>
          <w:tcPr>
            <w:tcW w:w="20" w:type="dxa"/>
            <w:vAlign w:val="bottom"/>
          </w:tcPr>
          <w:p>
            <w:pPr>
              <w:spacing w:after="0"/>
              <w:rPr>
                <w:sz w:val="19"/>
                <w:szCs w:val="19"/>
                <w:color w:val="auto"/>
              </w:rPr>
            </w:pPr>
          </w:p>
        </w:tc>
      </w:tr>
      <w:tr>
        <w:trPr>
          <w:trHeight w:val="225"/>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9B.</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Other Information</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67</w:t>
              </w:r>
            </w:hyperlink>
          </w:p>
        </w:tc>
        <w:tc>
          <w:tcPr>
            <w:tcW w:w="20" w:type="dxa"/>
            <w:vAlign w:val="bottom"/>
          </w:tcPr>
          <w:p>
            <w:pPr>
              <w:spacing w:after="0"/>
              <w:rPr>
                <w:sz w:val="19"/>
                <w:szCs w:val="19"/>
                <w:color w:val="auto"/>
              </w:rPr>
            </w:pPr>
          </w:p>
        </w:tc>
      </w:tr>
      <w:tr>
        <w:trPr>
          <w:trHeight w:val="234"/>
        </w:trPr>
        <w:tc>
          <w:tcPr>
            <w:tcW w:w="17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PART III.</w:t>
              </w:r>
            </w:hyperlink>
          </w:p>
        </w:tc>
        <w:tc>
          <w:tcPr>
            <w:tcW w:w="8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10.</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Directors, Executive Officers and Corporate Governance</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67</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11.</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Executive Compensation</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67</w:t>
              </w:r>
            </w:hyperlink>
          </w:p>
        </w:tc>
        <w:tc>
          <w:tcPr>
            <w:tcW w:w="20" w:type="dxa"/>
            <w:vAlign w:val="bottom"/>
          </w:tcPr>
          <w:p>
            <w:pPr>
              <w:spacing w:after="0"/>
              <w:rPr>
                <w:sz w:val="19"/>
                <w:szCs w:val="19"/>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12.</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68</w:t>
              </w:r>
            </w:hyperlink>
          </w:p>
        </w:tc>
        <w:tc>
          <w:tcPr>
            <w:tcW w:w="20" w:type="dxa"/>
            <w:vAlign w:val="bottom"/>
          </w:tcPr>
          <w:p>
            <w:pPr>
              <w:spacing w:after="0"/>
              <w:rPr>
                <w:sz w:val="19"/>
                <w:szCs w:val="19"/>
                <w:color w:val="auto"/>
              </w:rPr>
            </w:pPr>
          </w:p>
        </w:tc>
      </w:tr>
      <w:tr>
        <w:trPr>
          <w:trHeight w:val="229"/>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13.</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68</w:t>
              </w:r>
            </w:hyperlink>
          </w:p>
        </w:tc>
        <w:tc>
          <w:tcPr>
            <w:tcW w:w="20" w:type="dxa"/>
            <w:vAlign w:val="bottom"/>
          </w:tcPr>
          <w:p>
            <w:pPr>
              <w:spacing w:after="0"/>
              <w:rPr>
                <w:sz w:val="19"/>
                <w:szCs w:val="19"/>
                <w:color w:val="auto"/>
              </w:rPr>
            </w:pPr>
          </w:p>
        </w:tc>
      </w:tr>
      <w:tr>
        <w:trPr>
          <w:trHeight w:val="225"/>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14.</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Principal Accountant Fees and Services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68</w:t>
              </w:r>
            </w:hyperlink>
          </w:p>
        </w:tc>
        <w:tc>
          <w:tcPr>
            <w:tcW w:w="20" w:type="dxa"/>
            <w:vAlign w:val="bottom"/>
          </w:tcPr>
          <w:p>
            <w:pPr>
              <w:spacing w:after="0"/>
              <w:rPr>
                <w:sz w:val="19"/>
                <w:szCs w:val="19"/>
                <w:color w:val="auto"/>
              </w:rPr>
            </w:pPr>
          </w:p>
        </w:tc>
      </w:tr>
      <w:tr>
        <w:trPr>
          <w:trHeight w:val="234"/>
        </w:trPr>
        <w:tc>
          <w:tcPr>
            <w:tcW w:w="17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71">
              <w:r>
                <w:rPr>
                  <w:rFonts w:ascii="Times New Roman" w:cs="Times New Roman" w:eastAsia="Times New Roman" w:hAnsi="Times New Roman"/>
                  <w:sz w:val="18"/>
                  <w:szCs w:val="18"/>
                  <w:b w:val="1"/>
                  <w:bCs w:val="1"/>
                  <w:u w:val="single" w:color="auto"/>
                  <w:color w:val="0000FF"/>
                </w:rPr>
                <w:t>PART IV.</w:t>
              </w:r>
            </w:hyperlink>
          </w:p>
        </w:tc>
        <w:tc>
          <w:tcPr>
            <w:tcW w:w="8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15.</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Exhibits and Financial Statement Schedules</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69</w:t>
              </w:r>
            </w:hyperlink>
          </w:p>
        </w:tc>
        <w:tc>
          <w:tcPr>
            <w:tcW w:w="20" w:type="dxa"/>
            <w:vAlign w:val="bottom"/>
          </w:tcPr>
          <w:p>
            <w:pPr>
              <w:spacing w:after="0"/>
              <w:rPr>
                <w:sz w:val="19"/>
                <w:szCs w:val="19"/>
                <w:color w:val="auto"/>
              </w:rPr>
            </w:pPr>
          </w:p>
        </w:tc>
      </w:tr>
      <w:tr>
        <w:trPr>
          <w:trHeight w:val="234"/>
        </w:trPr>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ITEM 16.</w:t>
            </w:r>
          </w:p>
        </w:tc>
        <w:tc>
          <w:tcPr>
            <w:tcW w:w="8880" w:type="dxa"/>
            <w:vAlign w:val="bottom"/>
          </w:tcPr>
          <w:p>
            <w:pPr>
              <w:ind w:left="36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Form 10-K Summary</w:t>
              </w:r>
            </w:hyperlink>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69</w:t>
              </w:r>
            </w:hyperlink>
          </w:p>
        </w:tc>
        <w:tc>
          <w:tcPr>
            <w:tcW w:w="20" w:type="dxa"/>
            <w:vAlign w:val="bottom"/>
          </w:tcPr>
          <w:p>
            <w:pPr>
              <w:spacing w:after="0"/>
              <w:rPr>
                <w:sz w:val="20"/>
                <w:szCs w:val="20"/>
                <w:color w:val="auto"/>
              </w:rPr>
            </w:pPr>
          </w:p>
        </w:tc>
      </w:tr>
      <w:tr>
        <w:trPr>
          <w:trHeight w:val="284"/>
        </w:trPr>
        <w:tc>
          <w:tcPr>
            <w:tcW w:w="1700" w:type="dxa"/>
            <w:vAlign w:val="bottom"/>
          </w:tcPr>
          <w:p>
            <w:pPr>
              <w:ind w:left="4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SIGNATURES</w:t>
              </w:r>
            </w:hyperlink>
          </w:p>
        </w:tc>
        <w:tc>
          <w:tcPr>
            <w:tcW w:w="8880" w:type="dxa"/>
            <w:vAlign w:val="bottom"/>
          </w:tcPr>
          <w:p>
            <w:pPr>
              <w:spacing w:after="0"/>
              <w:rPr>
                <w:sz w:val="24"/>
                <w:szCs w:val="24"/>
                <w:color w:val="auto"/>
              </w:rPr>
            </w:pPr>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70</w:t>
              </w:r>
            </w:hyperlink>
          </w:p>
        </w:tc>
        <w:tc>
          <w:tcPr>
            <w:tcW w:w="20" w:type="dxa"/>
            <w:vAlign w:val="bottom"/>
          </w:tcPr>
          <w:p>
            <w:pPr>
              <w:spacing w:after="0"/>
              <w:rPr>
                <w:sz w:val="24"/>
                <w:szCs w:val="24"/>
                <w:color w:val="auto"/>
              </w:rPr>
            </w:pPr>
          </w:p>
        </w:tc>
      </w:tr>
      <w:tr>
        <w:trPr>
          <w:trHeight w:val="283"/>
        </w:trPr>
        <w:tc>
          <w:tcPr>
            <w:tcW w:w="1700" w:type="dxa"/>
            <w:vAlign w:val="bottom"/>
          </w:tcPr>
          <w:p>
            <w:pPr>
              <w:ind w:left="40"/>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EXHIBIT INDEX</w:t>
              </w:r>
            </w:hyperlink>
          </w:p>
        </w:tc>
        <w:tc>
          <w:tcPr>
            <w:tcW w:w="8880" w:type="dxa"/>
            <w:vAlign w:val="bottom"/>
          </w:tcPr>
          <w:p>
            <w:pPr>
              <w:spacing w:after="0"/>
              <w:rPr>
                <w:sz w:val="24"/>
                <w:szCs w:val="24"/>
                <w:color w:val="auto"/>
              </w:rPr>
            </w:pPr>
          </w:p>
        </w:tc>
        <w:tc>
          <w:tcPr>
            <w:tcW w:w="64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71</w:t>
              </w:r>
            </w:hyperlink>
          </w:p>
        </w:tc>
        <w:tc>
          <w:tcPr>
            <w:tcW w:w="20" w:type="dxa"/>
            <w:vAlign w:val="bottom"/>
          </w:tcPr>
          <w:p>
            <w:pPr>
              <w:spacing w:after="0"/>
              <w:rPr>
                <w:sz w:val="24"/>
                <w:szCs w:val="24"/>
                <w:color w:val="auto"/>
              </w:rPr>
            </w:pPr>
          </w:p>
        </w:tc>
      </w:tr>
      <w:tr>
        <w:trPr>
          <w:trHeight w:val="243"/>
        </w:trPr>
        <w:tc>
          <w:tcPr>
            <w:tcW w:w="1058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INDEX TO CONSOLIDATED FINANCIAL STATEMENTS</w:t>
              </w:r>
            </w:hyperlink>
          </w:p>
        </w:tc>
        <w:tc>
          <w:tcPr>
            <w:tcW w:w="660" w:type="dxa"/>
            <w:vAlign w:val="bottom"/>
            <w:gridSpan w:val="4"/>
          </w:tcPr>
          <w:p>
            <w:pPr>
              <w:ind w:left="380"/>
              <w:spacing w:after="0"/>
              <w:rPr>
                <w:rFonts w:ascii="Times New Roman" w:cs="Times New Roman" w:eastAsia="Times New Roman" w:hAnsi="Times New Roman"/>
                <w:sz w:val="18"/>
                <w:szCs w:val="18"/>
                <w:color w:val="661DE8"/>
              </w:rPr>
            </w:pPr>
            <w:r>
              <w:rPr>
                <w:rFonts w:ascii="Times New Roman" w:cs="Times New Roman" w:eastAsia="Times New Roman" w:hAnsi="Times New Roman"/>
                <w:sz w:val="18"/>
                <w:szCs w:val="18"/>
                <w:color w:val="661DE8"/>
              </w:rPr>
              <w:t>F-</w:t>
            </w:r>
            <w:hyperlink w:anchor="page76">
              <w:r>
                <w:rPr>
                  <w:rFonts w:ascii="Times New Roman" w:cs="Times New Roman" w:eastAsia="Times New Roman" w:hAnsi="Times New Roman"/>
                  <w:sz w:val="18"/>
                  <w:szCs w:val="18"/>
                  <w:color w:val="661DE8"/>
                </w:rPr>
                <w:t>1</w:t>
              </w:r>
            </w:hyperlink>
          </w:p>
        </w:tc>
      </w:tr>
      <w:tr>
        <w:trPr>
          <w:trHeight w:val="945"/>
        </w:trPr>
        <w:tc>
          <w:tcPr>
            <w:tcW w:w="17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top w:val="single" w:sz="8" w:color="661DE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ExlService Holdings, Inc. (“EXL”, “we”, “us", "our" or the "Company"), incorporated in Delaware in 2002, is a leading operations management and analytics company that helps its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 Headquartered in New York, we have more than 31,900 professionals in locations throughout the United States, the United Kingdom, Europe, India, the Philippines, Colombia, Canada, Australia and South Africa.</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Effective January 1, 2020, we made certain operational and structural changes to more closely integrate our businesses and to simplify our organizational structure. Since then, we have managed and reported financial information through our four strategic business units: Insurance, Healthcare, Analytics and Emerging Business, which reflects how management reviews financial information and makes operating decisions. In line with our strategy of vertical integration and focus on domain expertise, we integrated our Finance &amp; Accounting and Consulting operating segments within each of the Insurance and Healthcare operating segments based on the respective industry-specific clients. Finance &amp; Accounting and Consulting Services to clients outside of those industries are part of our “Emerging Business” segment.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strategic business units align our products and services with how we manage our business, approach our key markets and interact with our clients. These business units develop client-specific solutions, build capabilities, maintain a unified go-to-market approach and are integrally responsible for service delivery, customer satisfaction, growth and profitability. Through our data-led framework, we are able to deliver better outcomes for our clients through the use of data and analytics and by applying data we create intelligence operations to create superior customer outcomes, optimize costs and design resilient and agile business models, using our operations management and analytics.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 Global Pandemic</w:t>
      </w:r>
    </w:p>
    <w:p>
      <w:pPr>
        <w:spacing w:after="0" w:line="162"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The global Coronavirus Disease 2019 pandemic (“COVID-19”) has caused and continues to cause global economic disruption and uncertainty, including in our business. The adverse global economic impact of this pandemic has had an adverse impact on parts of our business, customers, and suppliers and caused many challenges for our business operations during fiscal 2020.</w:t>
      </w:r>
    </w:p>
    <w:p>
      <w:pPr>
        <w:spacing w:after="0" w:line="13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extent to which COVID-19 impacts our future business, strategic initiatives, results of operations and financial condition will depend on future developments, which are highly uncertain and cannot be predicted, including, but not limited to, the duration, spread, severity and resurgence, of COVID-19, the effects of COVID-19 on our customers, vendors and employees and the remedial actions and stimulus measures adopted by local and federal governments, and to what extent normal economic and operating conditions can resume.</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will continue to evaluate the nature and scope of the impact to our business and may take further actions strategizing our business operations and managing our costs and liquidity that we deem necessary or appropriate to respond to this fast moving and uncertain global health crisis and the resulting global economic consequences.</w:t>
      </w:r>
    </w:p>
    <w:p>
      <w:pPr>
        <w:spacing w:after="0" w:line="10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For a further discussion of the risks, uncertainties and actions taken in response to COVID-19, refer to Part I, Item 1A, "Risk Factors" and Part II, Item 7, "Management's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Operations Management Services</w:t>
      </w:r>
    </w:p>
    <w:p>
      <w:pPr>
        <w:spacing w:after="0" w:line="17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Our operations management services, which we provide from our Insurance, Healthcare and Emerging Business operating segments, typically involve the transfer to EXL business operations of a client such as claims processing, clinical operations, or financial transaction processing, after which we administer and manage those operations for our client on an ongoing basis, or in case of consulting, consulting services related to transformation services, including digital transformation services. We use a focused industry vertical approach to manage our business and to provide a suite of integrated BPM services to organizations in the insurance, healthcare, travel transportation and logistics, banking and financial services and utilities industries in addition to providing finance and accounting and consulting services across these industries as well as to clients in other industries like manufacturing and media among others. By using advanced analytics to create predictive insights and enable intelligent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we help organizations deliver superior customer experience, build sustainable growth, and optimize efficiency and resiliency.</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key differentiators and salient features of our operations management services include our agile operating and delivery model utilizing domain and data expertise and process excellence, EXLerator.AI, our ability to deploy a Business Process-as-a-Service (“BPaaS”) delivery model, business process automation (including robotics), consulting-driven digital transformation and our industry vertical focused approach. Our approach to digital leverages “EXLerator.AI,” which is our transformation stack, and constitutes top talent along with methodologies, frameworks, solution accelerators and digital products to drive simplicity, speed and efficiency for end customers. This approach positions us to digitally transform data flows leveraging advanced technologies along with domain expertise to deliver meaningful impacts (customer experience, business outcomes, and efficiency) to our clients.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While the majority of our operations management services are provided to clients using client-owned or licensed technology platforms, we also deliver our services across clients and industries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services may use standardized and shared technology and operational delivery infrastructure enabling us to leverage technology and infrastructure investments across multiple clients.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operating segments providing operations management services are described below:</w:t>
      </w:r>
    </w:p>
    <w:p>
      <w:pPr>
        <w:spacing w:after="0" w:line="167"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operating segment serves property and casualty insurance, life insurance, disability insurance, annuity and retirement services companies. We provide BPM services related to business processes in the insurance industry such as claims processing, premium and benefit administration, agency management, account reconciliation, policy research, underwriting support, new business processing, policy servicing, premium audit, surveys, billing and collection, commercial and residential survey, and customer service using Digital Intelligence, robotics and advanced automation. We provide insurance policy administration and digital customer acquisition services using a BPaaS delivery model through our LifePRO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Liss platforms in order to help clients administer life insurance, health insurance, annuities and credit life and disability insurance policies. We also provide subrogation services to property and casualty insurers using a BPaaS delivery model and our proprietary Subrosource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software platform, the largest commercial end-to-end subrogation platform. Subrosource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integrates with client systems, manages recovery workflow, increases recoveries and reduces costs. We provide end to end finance and accounting services that include high-end analytics-driven services including financial planning and analysis, decision support, GAAP and statutory reporting and compliance services in addition to core finance operations. We bring a data-driven and practical digital approach to finance and accounting, enabling our clients to simplify and scale their finance and accounting processes, drive stakeholder centricity, improve controls and compliance, reduce operating costs and deliver rich data-driven insights to their businesses.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Insurance consulting services are designed to deliver business models that help our clients realize their business and innovation goals and improve their strategic competitive position. Our digital consulting offerings include leveraging design thinking to help improve customer experience, using lean models to drive process excellence and using agile delivery models to implement digital technologies and interventions like customer experience transformation, advanced automation and robotics and enterprise architecture. Our approach to consulting is focused on delivering goals across growth and scalability, customer experience improvement, cost and efficiency as well as scale.</w:t>
      </w:r>
    </w:p>
    <w:p>
      <w:pPr>
        <w:spacing w:after="0" w:line="12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Healthcare</w:t>
      </w:r>
      <w:r>
        <w:rPr>
          <w:rFonts w:ascii="Times New Roman" w:cs="Times New Roman" w:eastAsia="Times New Roman" w:hAnsi="Times New Roman"/>
          <w:sz w:val="18"/>
          <w:szCs w:val="18"/>
          <w:color w:val="auto"/>
        </w:rPr>
        <w:t xml:space="preserve"> operating segment primarily serves U.S.-based healthcare payers, providers, pharmacy benefit managers and life sciences organizations. We provide BPM services related to Care Management, Utilization Management, disease management, payment integrity, revenue optimization and customer engagement directly addressing the market need for improved healthcare outcomes, reduced claims, medical and administrative costs, and improved access to the healthcare system in the healthcare market.</w:t>
      </w:r>
    </w:p>
    <w:p>
      <w:pPr>
        <w:spacing w:after="0" w:line="126"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We offer BPaaS, software-as-a-service ("SaaS") and platform BPM services designed to serve the healthcare industry as well as proprietary technology platforms, robotics and advanced analytics. EXL’s integrated care management offering, including CareRadius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our proprietary clinical data &amp; analytics, connects payers, providers and members to increase efficiencies and effectiveness across all aspects of care management, including medical, pharmacy and behavioral health. Our digital solutions infuse cloud, data, machine learning ("ML")/artificial intelligence ("AI"), analytics, blockchain, augmented reality ("AR")/virtual reality ("VR") and robotics capabilities to improve efficiency, business outcomes, and the consumer experience in healthcare across patient/member management, contracting and network management, health and care management, claims administration, and business operations.</w:t>
      </w:r>
    </w:p>
    <w:p>
      <w:pPr>
        <w:spacing w:after="0" w:line="143"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Similar to our Insurance operating segment, we also provide finance and accounting BPM, digital transformation and consulting services for our clients in the healthcare industry.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Emerging Business</w:t>
      </w:r>
      <w:r>
        <w:rPr>
          <w:rFonts w:ascii="Times New Roman" w:cs="Times New Roman" w:eastAsia="Times New Roman" w:hAnsi="Times New Roman"/>
          <w:sz w:val="18"/>
          <w:szCs w:val="18"/>
          <w:color w:val="auto"/>
        </w:rPr>
        <w:t xml:space="preserve"> operating segment provides data-driven and digital enterprise solutions in the areas of revenue management, finance &amp; accounting and customer experience management to clients in the banking and capital markets, utilities, travel, transportation and logistics, media and communication, manufacturing and retail and business services industries. These enterprise solutions complement our domain specific industry solutions enabling our clients to maximize performance.</w:t>
      </w:r>
    </w:p>
    <w:p>
      <w:pPr>
        <w:spacing w:after="0" w:line="123"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Our revenue management solutions, enabled by our analytics based Revlift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include lead generation, inside sales, marketing, customer and pricing analytics, billing and revenue leakage prevention solutions, helping deliver direct topline and margin impact to our clients business.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finance and accounting services include high-end analytics driven services including financial planning and analysis, strategic finance, decision support, regulatory reporting and compliance services in addition to core finance operations. We bring a data-driven and practical digital approach to finance and accounting, enabling our clients to simplify and scale their finance and accounting processes, drive customer centricity, improve controls and compliance, reduce operating costs and deliver rich data-driven insights to their businesses.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customer experience management solutions help clients improve their end-customer experience by unifying customer journeys across the front, middle and back-office, integrating data flows, redesigning customer service processes and leveraging digital omni-channel platforms. In delivering these solutions we combine our deep domain expertise, operations management practices, advanced analytics and digital capabilities including robotics, proprietary and partner driven AI and ML solutions.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provide industry specific BPM solutions. For our clients in the travel sector, we provide corporate and leisure travel services including reservations, customer service and fulfilment services. In the transportation and logistics sectors, we provide billing, collections, claims management, freight audit, logistics, supply chain management and payment services. For our clients in the banking and financial services sector, we provide comprehensive range of BPM services, including residential mortgage lending, retail banking and credit cards, commercial banking and investment management. In addition to banks and financial services firms, we work with financial technology (Fintech) companies to supplement their marketing and sales operations, support their processing and underwriting as well as enhance their servicing and collections efforts. For our clients in the utilities sector, we offers BPM services related to enhancing operating models, improving customer experience, reducing costs, shortening turnaround time and simplifying compliance.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Analytics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“Strategic Digital Transformation Partner” for our clients in analytics. We help our clients unlock deep insights from data and create data-driven solutions. By leveraging our full suite of analytics capabilities, our Analytics services focus on driving improved business outcomes for our customers by unlocking deep insights from data and create data-driven solutions across all parts of our customers’ businesses. Our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ML and AI capabilities to create insights and improve decision making for our clients. We leverage and deploy our proprietary ML and AI solutions to help deliver improved business outcomes throughout our clients’ value chain and to address a range of complex industry-wide problems including:</w:t>
      </w:r>
    </w:p>
    <w:p>
      <w:pPr>
        <w:spacing w:after="0" w:line="1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Advanced natural language understanding and deep learning models to address unstructured text and data,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Computer-assisted vision and deep learning-based image analytics to analyze photos and videos,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Advanced pattern recognition techniques to identify consumer behavior triggers embedded in multiple formats of data.</w:t>
      </w:r>
    </w:p>
    <w:p>
      <w:pPr>
        <w:spacing w:after="0" w:line="170"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Our Analytics team comprises over 4,500 professionals, including data scientists, data architects, business analysts, statisticians, modelers, industry domain specialists and data experts.</w:t>
      </w:r>
    </w:p>
    <w:p>
      <w:pPr>
        <w:spacing w:after="0" w:line="108"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We help our customers leverage internal and external data sources, enhance their data assets, identify and visualize data patterns, and utilize data-driven insights to improve their effectiveness. Our Analytics services for our customers include:</w:t>
      </w:r>
    </w:p>
    <w:p>
      <w:pPr>
        <w:spacing w:after="0" w:line="108" w:lineRule="exact"/>
        <w:rPr>
          <w:sz w:val="20"/>
          <w:szCs w:val="20"/>
          <w:color w:val="auto"/>
        </w:rPr>
      </w:pPr>
    </w:p>
    <w:p>
      <w:pPr>
        <w:ind w:left="66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Identification, cleansing, matching and use of structured, semi-structured and unstructured data available both internally to our customer’s organization and externally;</w:t>
      </w:r>
    </w:p>
    <w:p>
      <w:pPr>
        <w:spacing w:after="0" w:line="10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660" w:hanging="328"/>
        <w:spacing w:after="0" w:line="281" w:lineRule="auto"/>
        <w:tabs>
          <w:tab w:leader="none" w:pos="65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Design and implementation of services enabling data visualization and management reporting enabling business users to segment, drill-down, and filter data; and</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Integration of data insights and predictive models in the real-time decision making processes to drive measurable business impact.</w:t>
      </w:r>
    </w:p>
    <w:p>
      <w:pPr>
        <w:spacing w:after="0" w:line="17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Our Analytics engagements span both project work and longer-term arrangements where EXL provides ongoing analytics modeling and services for a year or more. We utilize domain and industry knowledge related to the business problem being considered to support these Analytics engagements across our various competencies including Data management, Advanced Analytics/AI, Functional, Data-enabled Marketing Solutions and Strategic Data Assets.</w:t>
      </w:r>
    </w:p>
    <w:p>
      <w:pPr>
        <w:spacing w:after="0" w:line="12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Our Analytics services support: (1) retail banking, commercial banking and investment banking and management for the banking and financial services industry; (2) actuarial, claims, informatics, customer relationship management and marketing analysis; (3) marketing and agency management, actuarial, servicing and operations, customer management, and claims and money movement in the insurance industry; and (4) marketing analytics in the retail and media industries.</w:t>
      </w:r>
    </w:p>
    <w:p>
      <w:pPr>
        <w:spacing w:after="0" w:line="122" w:lineRule="exact"/>
        <w:rPr>
          <w:sz w:val="20"/>
          <w:szCs w:val="20"/>
          <w:color w:val="auto"/>
        </w:rPr>
      </w:pPr>
    </w:p>
    <w:p>
      <w:pPr>
        <w:jc w:val="both"/>
        <w:ind w:firstLine="396"/>
        <w:spacing w:after="0" w:line="227" w:lineRule="auto"/>
        <w:rPr>
          <w:sz w:val="20"/>
          <w:szCs w:val="20"/>
          <w:color w:val="auto"/>
        </w:rPr>
      </w:pPr>
      <w:r>
        <w:rPr>
          <w:rFonts w:ascii="Times New Roman" w:cs="Times New Roman" w:eastAsia="Times New Roman" w:hAnsi="Times New Roman"/>
          <w:sz w:val="18"/>
          <w:szCs w:val="18"/>
          <w:color w:val="auto"/>
        </w:rPr>
        <w:t>In Healthcare, our EXLClarity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supports payers and providers Risk Adjustment &amp; Quality Management programs resulting in clinical gap closure and revenue optimization, while our EXLVantage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offers robust population health analytics leveraged by our payers, providers and life science customers to drive insights and associated actions for improved outcomes. Our proprietary EXLVantage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population health analytics can be applied to a customer’s data or our own benchmark database consisting of Commercial, Medicare and Medicaid to drive insights. In addition, our population health analytic models can be leveraged with our campaign management and marketing analytics to support member acquisition and clinical program intervention management. Lastly, we offer end to end data management services to support data strategy, ingestion, normalization, quality, security, governance, visualization and data architecture development and deployment via agnostic tools and flexible delivery models.</w:t>
      </w:r>
    </w:p>
    <w:p>
      <w:pPr>
        <w:spacing w:after="0" w:line="144"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As COVID-19 has created a new normal, we expect a significant acceleration in the shift by our clients to using more digital and cloud-based solutions across all of our target markets. We expect this shift to digital to benefit the demand for our solutions as our clients will require more data-driven decisions across their value chains. Capturing data and enriching data will become key differentiators for clients and their speed of decision-making will be faster, increasing the adoption of AI and ML. The accelerated adoption of cloud-based solutions will increase our clients’ needs for a suite of cloud migration and enablement capabilities which we can fulfill. These trends will help grow our target addressable market and support higher growth over the next few years. We expect the long-term trend in demand to be positive and to capture these new opportunities, we are customizing solutions across our target verticals and markets and deepening our advanced analytics and cloud capabilities and our domain expertise.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EXL is a business process management company providing operations management and analytics services and is a “Strategic Digital Transformation Partner” for our clients by deploying our data-led value created framework. We help our clients embed intelligence in operations and make better decisions through the use of data, advanced analytics, AI, digital operations and domain expertise to deliver business outcomes and enhance customer experience and efficiency.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services in large addressable markets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continue to focus on the insurance, healthcare and banking industries, which are large markets with high demand. We will also continue to build our client portfolio in Finance and Accounting and Consulting services in all of our business segments in an opportunistic manner. As we can continue to refine our focus, we are pursuing opportunities in other industries. We are strategically equipped to help clients apply relevant digital technologies to enterprise processes and business problems at every step of the digital transformation value chain in operations management with capabilities across Data and Data management, Business intelligence and Analytics, AI, Digital Transformation Consulting, Digital Integration and Operations. Demand for these services is expected to exhibit strong growth in the next several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our capabilities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deep domain expertise has been central to our market differentiation. We are also well-positioned as one of the few players in the market with a full suite of data and analytics, strong operational excellence and digital toolkit to create integrated services and solutions under one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Cultivating Long-term Relationships and Expanding our Client Base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we provide across our clients’ value chains and geographies;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EXL services that includes operations management (including consulting; digital transformation) and data and analytics;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clients’ geographic expansion leveraging our global footprint.</w:t>
      </w:r>
    </w:p>
    <w:p>
      <w:pPr>
        <w:spacing w:after="0" w:line="171"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We intend to continue building a portfolio of Fortune 500 and Global 2000 companies in our focus industries that have the most complex and diverse data-led processes and, accordingly, stand to benefit significantly from our services. We also intend to cultivate long-term relationships with medium-sized companies in our focus industries leveraging our BPaaS and digital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Global Delivery Footprint and Operational Infrastructure</w:t>
      </w:r>
    </w:p>
    <w:p>
      <w:pPr>
        <w:spacing w:after="0" w:line="17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intend to further expand and invest in our network of delivery centers to service our clients. In 2020, we expanded our operations centers in India, the Philippines and Colombia.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Acquisitions and Relationships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intend to continue making selective acquisitions in our focus industry verticals that enhance our competitive differentiation and facilitate our growth strategy. We consider selective strategic relationships with industry leaders that add new long-term client relationships, enhance the depth and breadth of our services and solutions and complement our business strategy. Through our Connected Intelligence Partnership programs we expand our technology and innovation ecosystem with select partnerships, alliances or investments that we expect will enhance go-to-market opportunities and expand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scope and effectiveness of our services and solutions by adding digital assets and intellectual property, which will help us to win new clients or allowing us to enter new industry verticals and geographic markets.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Management</w:t>
      </w:r>
    </w:p>
    <w:p>
      <w:pPr>
        <w:spacing w:after="0" w:line="17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w:t>
      </w:r>
    </w:p>
    <w:p>
      <w:pPr>
        <w:spacing w:after="0" w:line="175"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Companies are increasingly looking for a suite of third party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Our service offerings develop industry-specific analytics solutions and deep data insights that are especially well poised to benefit from this global trend.</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Client Management</w:t>
      </w:r>
    </w:p>
    <w:p>
      <w:pPr>
        <w:spacing w:after="0" w:line="17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market our services to our existing and prospective clients through our sales and client management teams, which are aligned by industry verticals and cross-industry domains such as finance and accounting and consulting. Our sales and client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teams operate from the U.S., Europe, Australia and South Africa are supported by our business development teams.</w:t>
      </w:r>
    </w:p>
    <w:p>
      <w:pPr>
        <w:spacing w:after="0" w:line="171"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 or web presence, brand awareness and participation in industry forums and conferences. As of December 31, 2020, we employed approximately 171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7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EXL generated revenues from approximately 460 clients and 470 clients in 2020 and 2019, respectively (with annual revenue exceeding $50,000 per client). We have won 44 and 28 new clients during 2020 and 2019, respectively.</w:t>
      </w:r>
    </w:p>
    <w:p>
      <w:pPr>
        <w:spacing w:after="0" w:line="10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Our top three, five and ten clients generated 19.2%, 25.4% and 37.4 % of our revenues, respectively, in 2020. Our top three, five and ten clients generated 15.2%, 22.0% and 36.1% of our revenues, respectively, in 2019. No client accounted for more than 10% of our total revenues in 2020 or 2019.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Part I, Item 1A, “Risk Factors” under “Risks Related to Our Business-We earn a substantial portion of our revenues from a limited number of clients.”</w:t>
      </w:r>
    </w:p>
    <w:p>
      <w:pPr>
        <w:spacing w:after="0" w:line="1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Our long-term relationships with our clients typically evolve from providing a single, discrete service or process into providing a series of complex, integrated processes across multiple business lines. For operations management services other than consulting, we enter into long-term agreements with our clients with typical initial terms of between three to five years. Consulting engagements have typical terms of six to twelve months. Agreements for Analytics services are either project based or have shorter initial terms, which are typically between one to three years. However, each agreement is individually negotiated with the client.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Competition in the BPM services industry is intense and growing. See Part I, Item 1A, “Risk Factors” under “Risks Related to Our Business-We face competition from U.S.-based and non-U.S.-based BPM and IT companies and from our clients, who may build shared services centers to perform BPM and Analytics services themselves, either in-house, in the United States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135"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companies with BPM solutions and delivery capabilities in offshore locations, such as Genpact Limited, WNS (Holdings) Limited, Accenture, Cognizant Technology Solutions, Infosys and Tata Consultancy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providers that provide services in a specific geographic market, industry or service area, such as analytics or healthcare;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171"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intellectual property consists of proprietary and licensed platforms, software and databases, trade secrets, methodologies and know-how, trademarks, copyrighted software, operating procedures and other materials and patents and pending patent applications. We have numerous registered trademarks and logos registered with the U.S. Patent and Trademark Office and certain foreign jurisdictions and several pending trademark applications, as well as, three issued patents. We consider many of our business processes and implementation methodologies to be trade secrets or proprietary know-how and confidential information. To provide our services, in addition to our own proprietary tools, we use software and data licensed by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or our clients from third parties. We also use SaaS services from third parties pursuant to contracts with us or our clients. In particular, we have developed several strategic partnerships with robotics and process automation software companies to facilitate our offering of automation to our clients.</w:t>
      </w:r>
    </w:p>
    <w:p>
      <w:pPr>
        <w:spacing w:after="0" w:line="10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Clients and business partners sign nondisclosure agreements requiring confidential treatment of our information. Our employees are required to sign work-for-hire and confidentiality covenants as a condition to their employment.</w:t>
      </w:r>
    </w:p>
    <w:p>
      <w:pPr>
        <w:spacing w:after="0" w:line="10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Our technology group and various business lines develop proprietary tools that we deploy to support services for our clients. We typically retain ownership of any pre-existing tools including modifications or enhancements to such pre-existing tools developed while providing client services. While working on client engagements, we also often develop new tools or methodologies, including robotics and process automation software or “bots,” and we endeavor to negotiate contracts that give us ownership or licenses to use or demonstrate such tools for other clients.</w:t>
      </w:r>
    </w:p>
    <w:p>
      <w:pPr>
        <w:spacing w:after="0" w:line="126"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Although our proprietary intellectual property rights are important to our business, we believe our company as a whole is not materially dependent on any particular intellectual property right, other than our EXL brand.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and Data Privacy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Overseen by management and our board of directors, we maintain a comprehensive program that focuses on information security, cyber security, data privacy and the protection of our clients’ and their customers’ confidential personal and sensitive information. We have invested in our information security and cyber security posture and protocols to support compliance with our contractual obligations and the laws and regulations governing our activities. These investments include people, processes and technology intended to protect information throughout its life cycle.</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EXL focuses on implementing and maintaining cyber security capabilities to identify, protect, detect, respond and recover from cyber threats, incidents and attacks; reduce vulnerabilities and minimize the impact of cyber incidents. We emphasize compliance and institutional governance built upon and supported by policies and processes, tools and technologies, and knowledge and awareness training. EXL takes into account guidance from relevant regulatory and governance bodies, including but not limited to the Cyber Security Framework of the National Institute of Standards and Technology of the U.S. Department of Commerce, in designing controls and policies regarding security for sensitive and confidential information of EXL's clients, employee, partners, third parties and EXL’s owned products and services. EXL has undertaken measures designed to comply with new privacy regulations, including the European General Data Protection Regulation (EU) 2016/679 (“GDPR”) and the California Consumer Privacy Act (“CCPA”), as well as other national and state laws or regulations.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According to the needs of our clients as well as the regulatory requirements of the geographies in which we operate, many of our delivery centers are certified related to information security and health and environmental safety, such as the ISO 27001:2013 standard for information security management systems, the ISO 22301:2012 for Business continuity management systems, the ISO 9001:2008 standard for quality management system, the ISO 14001 for environmental management standards and the OHSAS 18001:2007 standard for occupational health and safety management systems. Certain delivery centers and processes are also compliant with HITRUST CSF™ and certified for other similar requirements. Some of our centers in the Philippines and South Africa and certain client processes in other operation centers in India are compliant with the Payment Card Industry Data Security Standard (PCI-DSS) version 3.2 or higher requirements. We engage independent firms to conduct General Controls and business process (SOC1and SOC2 - Type II) assessments on managed hosting environments that we offer in our Insurance and Healthcare verticals. EXL also engages third parties to conduct vulnerability assessment and penetration testing of its technology environment. For disaster recovery purposes, many of our key technology applications are hosted in ISO 27001 certified, SSAE18 SOC1 compliant Tier 4 data centers that are proactively monitored and managed 24 hours a day.</w:t>
      </w:r>
    </w:p>
    <w:p>
      <w:pPr>
        <w:spacing w:after="0" w:line="14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March 2020, as a result of COVID-19 and the implementation of our business continuity plans, many of our employees began to provide services from their homes, or other authorized remote locations. We augmented our endpoint security posture with next generation security controls including strong encryption and a secure virtual private network to access EXL or client application from these authorized locations. As we were unable to replicate physical controls in place at our delivery centers, we agreed with our clients to implement certain additional logical information security and data privacy controls on the hardware issued by EXL and used by our employees while working from home, including browsers, peripherals and operating systems restrictions, as well additional monitoring from our Cyber Defense Center. All employees providing services from home are required to agree to an undertaking of their compliance with our Telecommuter Policy. However, we continue to face certain risks related to cybersecurity threats in general and our modified delivery models due to COVID-19. See Part I, Item 1A, “Risk Factors” under “Risks Related to Our Business-Our business, results of operations and financial condition have been adversely affected, and could in the future be materially adversely affected, by the coronavirus pandemic” and under “Risks Related to Our Industry-Unauthorized disclosure of sensitive or confidential client and customer data, whether through breach of our computer systems or otherwise, could expose us to protracted and costly litigation and cause us to lose clients.”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have procured from leading technology providers and other third parties a robust, wide area network and international telecommunications capacity to support our global business operations. Our business continuity management plans include redundant locations, network infrastructure, power sources and other utilities to mitigate and manage operational risks as well as redundant, trained talent across our service delivery locations. These plans are documented, as well as tested on a periodic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At EXL, our culture is defined by our five core values: innovation, collaboration, excellence, integrity and mutual respect. In line with those values, we consider our employees to be critical to the success of our business and view employee development and growth as key to our performance and sustainability.</w:t>
      </w:r>
    </w:p>
    <w:p>
      <w:pPr>
        <w:spacing w:after="0" w:line="12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As of December 31, 2020, we had a headcount of approximately 31,900 employees. We have approximately 20,800 employees based in India, 7,600 employees in the Philippines, 2,000 employees in the United States, 200 employees in the United Kingdom, 400 employees in Colombia, 300 employees in the Czech Republic, Bulgaria, Romania, and 600 employees in South Africa and other geographies. None of our employees are unionized. We have never experienced any work stoppages and believe that we enjoy good employee relations.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7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Our diversity, equity and inclusion philosophy is to create an inclusive work environment and leverage diversity to enable the organization to effectively capitalize on the differing views and contributions that each employee brings to the workplace.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consider diversity, equity and inclusion to be a key factor in our recruiting goals and overall business growth strategy. As of December 31, 2020, of the United States reporting workforce, approximately 39.1% were racially/ethnically diverse individuals. As of December 31, 2020, our global workforce was approximately 39.5% female, with over 12,500 women employees globally.</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EXL is committed to providing a supportive working environment and career opportunities for our employees. Our Diversity and Inclusion Council consists of a global, diverse mix of leaders and oversees our diversity, equity and inclusion program. We provide trainings to our employees on topics aimed at improving diversity, equity and inclusion, such as managing unconscious bias, and have formed employee resource groups for select employee communities that are aimed at supporting diverse groups and interests. For our female employees, EXL has several programs to promote career advancement, including leadership development for women at the mid- to senior- levels, a separate program to improve the retention and engagement of new mothers through employee friendly parental leave and similar policies, and our WE (Women at EXL) platform, which is designed to enable women at EXL advance their career and achieve professional growth through discussion, collaboration, networking, training, development and mentorship opportunities.</w:t>
      </w:r>
    </w:p>
    <w:p>
      <w:pPr>
        <w:spacing w:after="0" w:line="138" w:lineRule="exact"/>
        <w:rPr>
          <w:sz w:val="20"/>
          <w:szCs w:val="20"/>
          <w:color w:val="auto"/>
        </w:rPr>
      </w:pPr>
    </w:p>
    <w:p>
      <w:pPr>
        <w:ind w:right="720" w:firstLine="405"/>
        <w:spacing w:after="0" w:line="438" w:lineRule="auto"/>
        <w:rPr>
          <w:sz w:val="20"/>
          <w:szCs w:val="20"/>
          <w:color w:val="auto"/>
        </w:rPr>
      </w:pPr>
      <w:r>
        <w:rPr>
          <w:rFonts w:ascii="Times New Roman" w:cs="Times New Roman" w:eastAsia="Times New Roman" w:hAnsi="Times New Roman"/>
          <w:sz w:val="18"/>
          <w:szCs w:val="18"/>
          <w:color w:val="auto"/>
        </w:rPr>
        <w:t xml:space="preserve">In addition, we maintain a supplier diversity program in the United States designed to provide opportunities for qualified diverse businesses. </w:t>
      </w:r>
      <w:r>
        <w:rPr>
          <w:rFonts w:ascii="Times New Roman" w:cs="Times New Roman" w:eastAsia="Times New Roman" w:hAnsi="Times New Roman"/>
          <w:sz w:val="18"/>
          <w:szCs w:val="18"/>
          <w:b w:val="1"/>
          <w:bCs w:val="1"/>
          <w:i w:val="1"/>
          <w:iCs w:val="1"/>
          <w:color w:val="auto"/>
        </w:rPr>
        <w:t>Recruiting our Employees</w:t>
      </w:r>
    </w:p>
    <w:p>
      <w:pPr>
        <w:spacing w:after="0" w:line="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an integrated talent management framework that employs active collaboration between our recruitment, capability development and business human resource functions. We deploy innovative methods to recruit, train and retain our skilled employees. We focus on recruiting the right talent and developing them further on relevant competencies through our learning academies, rigorous promotion standards, client and industry specific training and competitive compensation packages that include incentive-based compensation. We are able to leverage shared resources across our services through personnel who have skill sets applicable to a wide variety of BPM services. We also have specialized experts in various domains, who develop specialization in our chosen industries and subject matters through our training academies. Our employee relations function ensures that we understand the pulse of our employees, and are able to swiftly respond to specific needs and concerns as they arise, through a central team of experts.</w:t>
      </w:r>
    </w:p>
    <w:p>
      <w:pPr>
        <w:spacing w:after="0" w:line="13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We focus on recruiting, training and retaining our professionals. We have developed effective strategies that enable an efficient recruitment process. The recruitment and training process evolved to an online model in 2020. We have over 100 employees dedicated to recruitment. Some of the strategies we have adopted to increase efficiency in our hiring practices include AI-based intelligent screening mechanisms. Our hiring policies focus on identifying high quality employees who demonstrate a propensity for learning, contribution to client services and growth. Candidates must undergo numerous tests and video interviews, in 2020, before we extend offers for employment. We also conduct background checks on candidates, including criminal background checks, where permitted and as required by clients. In 2020, as a result of COVID-19, much of our recruiting and training of new hires was conducted virtually.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Experience</w:t>
      </w:r>
    </w:p>
    <w:p>
      <w:pPr>
        <w:spacing w:after="0" w:line="175"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In 2020, given COVID-19, we implemented a number of new measures to support our employees while working from home, including regular Company-wide town hall meetings, as well as promoting smaller virtual video-based team building activities, and a renewed employee wellness program led by a new global employee wellness team, made up of specialists such as counsellors, physicians and fitness instructors. We also took a number of COVID-19 safety measures, such as chartering a senior management-led Pandemic Management Task Force that is charged with ensuring the safety of our employees and adherence to government guidelines in each of the geographies in which we operate, and publishing guidelines for our employees on quarantine protocols, enhanced testing and tracking measures for those of our employees who are unable to work from home due to the nature of their jobs, and providing an additional four weeks of leave for those of our employees who become ill, and additional two weeks of leave for those of our employees who have to care for family members who become ill.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Capability Development</w:t>
      </w:r>
    </w:p>
    <w:p>
      <w:pPr>
        <w:spacing w:after="0" w:line="17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We maintain a strong focus on capability development, with an emphasis on digital transformation and domain expertise. Our talent development strategy is comprehensive, aligned to overall business strategy and founded on three pillars: Digital Leadership, Digital Technologies &amp; Methodologies, and Digital Culture &amp; Mindset. Digital Leadership is the ability to partner with clients on digital solutions end-to-end, from strategy to execution. Digital Technologies &amp; Methodologies develops expertise around the specific technologies, tools, and frameworks required to successfully execute projects for our clients. Digital Culture and Mindset is all about creating the right DNA for high performance in a digital economy. This includes developing traits of agility and speed, creating a culture of innovation and collaboration, and fostering a mindset to reimagine and think beyond. Digital culture also builds the foundation of self-learning and spurs the desire for change amongst all of our employees. We create thought leaders with high industry acumen who are better able to address our clients’ requirements. We also provide a career-linked learning path to our employees from new hires to tenured employees to senior levels of leadership.</w:t>
      </w:r>
    </w:p>
    <w:p>
      <w:pPr>
        <w:spacing w:after="0" w:line="134"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Our domain academies focus on building domain expertise through certifications and specialization. These include our Insurance Academy, Travel Academy, Finance and Accounting Academy, Healthcare Academy, Analytics Academy, Utilities Academy, Consulting Academy and Digital Academy.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equity and inclusion through our training programs. We have a global presence catering to the specific learning requirements of each geography. We provide learning through our blended learning methodology comprising of virtual, classroom, on the job coaching and technology led learning.</w:t>
      </w:r>
    </w:p>
    <w:p>
      <w:pPr>
        <w:spacing w:after="0" w:line="135"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Our new capability development digital ecosystem, EXL Infinity, drives learning from anywhere, anytime, any device. Objective is to harness the collective knowledge base of the Company, drive a culture continuous self-learning, and promote knowledge sharing and learning collaboration. EXL Infinity has led to curation of over 22,500 hours of learning content deploying more than 3,000 learning assets. We also designed and deployed Leading in Virtual Environment (L.I.V.E) certification program covering 300 managers globally to address current need to effectively connect, engage, manage and collaborate with teams, clients and other stakeholders who are increasingly working remotely. This certification aims to maximize their team’s synergy, productivity and client management capabilities, managers need unique set of skills to succeed.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w:t>
      </w:r>
    </w:p>
    <w:p>
      <w:pPr>
        <w:spacing w:after="0" w:line="162"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Our attrition rate for employees who had been with EXL for more than 180 days was 23.4% and 33.2% for the years ended December 31, 2020 and 2019, respectively. The attrition rate in 2020 was lower than our historical average due to the global pandemic. It is difficult to estimate the attrition rate in 2021 at this time. As competition in our industry increases, our turnover rate could increase. See Part I, Item 1A, “Risk Factors” under “Risks Related to Our Business-We may fail to attract and retain enough sufficiently trained employees to support our operations, as competition for highly skilled personnel is intense and we experience significant employee turnover rates, which may result in loss of revenue and an inability to expand our business; Employee wage increases may prevent us from sustaining our competitive advantage and may reduce our profit margin.”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Strategy</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world we work and live in is powered by innovation. We believe success in such a world will come through passing along social goods to the communities in which we operate, and ensuring that we conduct our operations in a sustainable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safe manner. These initiatives reflect our core values and will make us a stronger, more impactful organization to work for and to deliver exceptional results for our clients, employees, communities and stockholders.</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most recent Sustainability Report is available on the Company’s website. The information contained on the Company’s website is not included in, or incorporated by reference into,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Activities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EXL finds meaningful ways to help the communities in which we operate. Our community activities focus on passing along the skills that our employees use in our operations to members of the communities in which we operate to help transform lives. On our own, with outside partners, and in partnership with our clients, we support market-relevant skill development and education initiatives, disaster relief efforts, and global health initiatives. These programs align with the expectations clients have of service providers, and benefit our other stakeholders. In 2020, we were able to continue many of these activities virtually. Examples include:</w:t>
      </w:r>
    </w:p>
    <w:p>
      <w:pPr>
        <w:spacing w:after="0" w:line="129"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to Win Initiative: This skill development initiative provides participants in communities in the United States, the Philippines, India and South Africa with foundational employability skills required for back-office roles, as well as courses on topics including finance and accounting, data and analytics, and digital skills. This initiative also offers placement assistance to successfully trained participants.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Initiative: This classroom-based initiative provides school-aged students in India, the Philippines and the United States with data and analytics skills and career guidance.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strive to continuously improve in the area of environmental, health and safety initiatives (“EHS”), with a focus on reducing our carbon footprint, energy conservation, waste minimization, green infrastructure and operations. Our EHS team tracks and assesses our progress with respect to key performance indicators for energy, greenhouse gas emissions, water and waste generation targets. We have also established Company-wide and worksite-specific workplace safety objectives that are integrated into our EHS Management System. We believe that these measures will also help us in sustainable development efforts. Where practical, we seek to integrate EHS with our business activities, focusing on conducting our activities in an environmentally responsible manner and ensuring the health and safety of the Company’s employees, contractors, customers, visitors and the communities where the Company operates. In addition, we seek to maintain a responsible supply chain by confirming that our vendors’ values are aligned with ours through background verifications for new suppliers with respect to policies and performance on economic, environmental, human rights, data privacy, product safety and working conditions.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of our delivery centers in India and the Philippines are ISO 14001:2015 certified, meeting international standards for effective environmental management systems. All our delivery centers have been upgraded from OHSAS 18001:2007 to ISO 45001:2018 certification for health and safety management system. We also have additional ISO 50001:2011 certifications, systemic approaches for energy management and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Our operations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one of the few service providers that can provide third-party administrator insurance services from India and the Philippines and are currently able to provide such services in the U.S. for 49 states and 48 states (including the District of Columbia), respectively. Additionally, our subsidiary in the Philippines is able to provide utilization review services in the U.S. for 44 states (including the District of Columbia). Further, through domestic subsidiaries, we are licensed or otherwise eligible to provide third-party administrator services in all states within the United States, as well as utilization review</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insurance adjuster, and insurance producer services in select states. We are required to maintain licenses in various jurisdictions or require certain categories of our professionals to be individually licensed in service areas such as debt collection, utilization review, workers’ compensation utilization review, insurance adjuster, and telemarketing services. Our facilities in the Philippines, as well as one domestic subsidiary, are accredited by the Utilization Review Accreditation Commission (URAC) and National Committee for Quality Assurance (NCQA), the leading healthcare and education accreditation organizations. We continue to obtain licenses and accreditations required from time to time by our business operations.</w:t>
      </w:r>
    </w:p>
    <w:p>
      <w:pPr>
        <w:spacing w:after="0" w:line="134"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including U.S. federal and state regulations that apply to certain portions of our business such as the Fair Credit Reporting Act, the Foreign Corrupt Practices Act, the Federal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Commission Act, the Gramm-Leach-Bliley Act, the Health Insurance Portability and Accountability Act of 1996, the Health Information Technology for Economics and Clinical Health Act of 2009, GDPR and the UK Bribery Act,- as well as state and local laws, such as the CCPA. We also must comply with applicable regulations relating to health, financial and other personal information that we handle as part of our services.</w:t>
      </w:r>
    </w:p>
    <w:p>
      <w:pPr>
        <w:spacing w:after="0" w:line="12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benefit from tax relief provided by laws and regulations in India and the Philippines from time to time.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Income tax exemption for new SEZ units was applicable only for units that started commercial operations on or before June 30, 2020. In 2019, the Government of India introduced a new tax regime for certain Indian companies by enacting the Taxation Laws (Amendment) Act, 2019. The new tax regime is optional and provides for a lower tax rate for Indian companies, subject to agreeing to certain conditions, which, among other things, include not taking advantage of benefits from any tax holidays associated with SEZs and certain other tax incentives. Once a company has opted in to the new tax regime, it may not in the future opt out. During 2019 and 2020, our Indian subsidiaries opted into this new tax regime and accordingly gave up the tax exemption associated with SEZs that were used prior to opting in.</w:t>
      </w:r>
    </w:p>
    <w:p>
      <w:pPr>
        <w:spacing w:after="0" w:line="133"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See Part I, Item 1A, “Risk Factors” under “Risks Related to the International Nature of Our Business-Our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12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We also benefitted from a corporate tax holiday in the Philippines for some of our operations centers established there over the last several years. The Company registered with the Philippines Economic Zone Authority (“PEZA”) and is therefore eligible for income tax exemption for four years. We anticipate establishing additional operations centers in PEZA or other tax advantaged locations in the future. This exemption incentive may be extended in certain instances upon fulfillment of certain conditions. Following the expiry of the tax exemption, income generated from centers in the Philippines will be taxed at the prevailing annual tax 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26"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Material Risk Factors</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and results of operations and could make an investment in our Company speculative or risky. You should be aware that these risk factors and other information may not describe every risk facing our Company. Additional risks and uncertainties not currently known to us may also materially adversely affect our business, financial condition and/or results of operations. You should read this summary together with the more detailed description of each risk factor contained below. Some of these material risks include: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have been adversely affected, and could in the future be materially adversely affected, by the coronavirus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earn a substantial portion of our revenues from a limited number of clients.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Our client contracts contain certain termination and other provisions that could have an adverse effect on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Loss of one or more members of our senior management team could harm our business.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may fail to attract and retain enough sufficiently trained employees to support our operations and we experience significant employee turnover rates, which may adversely affect us.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Employee wage increases may prevent us from sustaining our competitive advantage and may reduce our profit margin.</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often have a long selling and implementation cycle for our operations management services that requires significant funds, management bandwidth and resource commitments.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accurately estimate the resources and time required for our contracts may negatively affect us.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Our profitability will suffer if we are not able to price our services appropriately or manage our asset utilization levels or meet the changing demands and needs of our clients and potential clients.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International Nature of Our Business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If more stringent labor laws become applicable to us or if our employees unionize, our profitability may be adversely affected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global operations subject us to significant labor and employment risks.</w:t>
      </w:r>
    </w:p>
    <w:p>
      <w:pPr>
        <w:spacing w:after="0" w:line="170"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A substantial portion of our assets and operations are located in India, and we are subject to regulatory, economic and political uncertainties in India.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Indebtedness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service our debt or obtain additional financing on competitive terms.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have the ability to use cash to settle the principal amount of the Notes upon conversion or to repurchase the Notes upon a fundamental change, which could result in dilution and could adversely affect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Common Stock</w:t>
      </w:r>
    </w:p>
    <w:p>
      <w:pPr>
        <w:spacing w:after="0" w:line="171" w:lineRule="exact"/>
        <w:rPr>
          <w:sz w:val="20"/>
          <w:szCs w:val="20"/>
          <w:color w:val="auto"/>
        </w:rPr>
      </w:pPr>
    </w:p>
    <w:p>
      <w:pPr>
        <w:ind w:right="7720" w:firstLine="332"/>
        <w:spacing w:after="0" w:line="434" w:lineRule="auto"/>
        <w:tabs>
          <w:tab w:leader="none" w:pos="643"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Our stock price continues to be volatile. </w:t>
      </w:r>
      <w:r>
        <w:rPr>
          <w:rFonts w:ascii="Times New Roman" w:cs="Times New Roman" w:eastAsia="Times New Roman" w:hAnsi="Times New Roman"/>
          <w:sz w:val="18"/>
          <w:szCs w:val="18"/>
          <w:u w:val="single" w:color="auto"/>
          <w:color w:val="auto"/>
        </w:rPr>
        <w:t>Risks Related to Our Industry</w:t>
      </w:r>
    </w:p>
    <w:p>
      <w:pPr>
        <w:spacing w:after="0" w:line="5"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industry may not develop in ways that we currently anticipate due to negative public reaction in the United States and elsewhere to offshore outsourcing, recently proposed legislation or otherwise.</w:t>
      </w:r>
    </w:p>
    <w:p>
      <w:pPr>
        <w:spacing w:after="0" w:line="10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Unauthorized disclosure of sensitive or confidential client and customer data, whether through breach of our computer systems or otherwise, could expose us to protracted and costly litigation and cause us to lose clients.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8920" w:firstLine="8"/>
        <w:spacing w:after="0" w:line="464" w:lineRule="auto"/>
        <w:tabs>
          <w:tab w:leader="none" w:pos="23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Risk Factors Risks Related to Our Business</w:t>
      </w: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have been adversely affected, and could in the future be materially adversely affected, by the coronavirus pandemic.</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disease caused by a novel strain of the coronavirus (COVID-19) to be a global pandemic. This global pandemic is having widespread, rapidly-evolving and unpredictable impacts on global societies, economies, financial markets and business practices. COVID-19 has affected us, our customers, employees, contractors, suppliers and business partners, all of whom have been prevented from conducting business activities as usual, including due to the many and varying health and safety measures in response to COVID-19, including travel restrictions, quarantines, curfews, shelter in place and safer-at-home orders, and business shutdowns, as well as multi-step reopening policies. The continued spread of COVID-19 and the measures taken by governmental authorities disrupted the continuity of our provision of services to our customers and adversely impacted our business, results of operations and financial condition (see Part II, Item 7, “Management’s Discussion and Analysis of Financial Condition and Results of Operations” of this Annual Report on Form 10-K).</w:t>
      </w:r>
    </w:p>
    <w:p>
      <w:pPr>
        <w:spacing w:after="0" w:line="13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COVID-19 and the actions taken by governments, businesses and individuals in response to the pandemic have resulted in, and are expected to continue to result in, a substantial curtailment of business activities, weakened economic conditions, significant economic uncertainty and volatility in the financial markets, both in the United States and abroad. The ultimate impact of COVID-19 on our business, operations and financial results remains unknown and will depend on numerous evolving factors that we may not be able to accurately predict, including: the duration, scope and severity of the pandemic; governmental, business and individuals’ actions that have been and continue to be taken in response to the pandemic; the impact of the pandemic on economic activity and actions taken in response; the effect on our clients and client demand for our services and our solutions; our ability to sell and provide our services and solutions, including as a result of travel restrictions and people working from home; the ability of our clients to pay for our services and solutions; any closures of our and our clients' offices and facilities, and any additional preventative or protective actions that we, our clients, and governments may implement that may result in a period of continued business interruption. The global macroeconomic effects of the pandemic may have long-lasting effects, even after the pandemic has subsided.</w:t>
      </w:r>
    </w:p>
    <w:p>
      <w:pPr>
        <w:spacing w:after="0" w:line="140" w:lineRule="exact"/>
        <w:rPr>
          <w:sz w:val="20"/>
          <w:szCs w:val="20"/>
          <w:color w:val="auto"/>
        </w:rPr>
      </w:pPr>
    </w:p>
    <w:p>
      <w:pPr>
        <w:jc w:val="both"/>
        <w:ind w:firstLine="405"/>
        <w:spacing w:after="0" w:line="272" w:lineRule="auto"/>
        <w:rPr>
          <w:sz w:val="20"/>
          <w:szCs w:val="20"/>
          <w:color w:val="auto"/>
        </w:rPr>
      </w:pPr>
      <w:r>
        <w:rPr>
          <w:rFonts w:ascii="Times New Roman" w:cs="Times New Roman" w:eastAsia="Times New Roman" w:hAnsi="Times New Roman"/>
          <w:sz w:val="17"/>
          <w:szCs w:val="17"/>
          <w:color w:val="auto"/>
        </w:rPr>
        <w:t>In the United States, India, the Philippines, Europe and South Africa, we have large concentrations of employees performing critical operations, which are in varying stages of restrictions and re-opening to address COVID-19. Certain jurisdictions have begun re-opening but have returned to restrictions in the face of increases in new COVID-19 cases. There is considerable uncertainty regarding how current and future health and safety measures implemented in response to the pandemic will impact our business, including whether they will result in further changes in demand from our clients for our services and solutions and increases in operating costs. An extended period of mass remote work by our employees may reduce our employees’ efficiency and productivity, which may cause delays in service delivery, disrupt employee relations, hamper innovation and may have other unforeseen adverse effects on our business. For those employees who are permitted to come onsite, while we have implemented personal safety measures at all such locations, any actions we take with respect to our workforce may not be sufficient to mitigate the risk of infection by COVID-19 and further disruption to our business.</w:t>
      </w:r>
    </w:p>
    <w:p>
      <w:pPr>
        <w:spacing w:after="0" w:line="118" w:lineRule="exact"/>
        <w:rPr>
          <w:sz w:val="20"/>
          <w:szCs w:val="20"/>
          <w:color w:val="auto"/>
        </w:rPr>
      </w:pPr>
    </w:p>
    <w:p>
      <w:pPr>
        <w:ind w:right="2120" w:firstLine="405"/>
        <w:spacing w:after="0" w:line="435" w:lineRule="auto"/>
        <w:rPr>
          <w:sz w:val="20"/>
          <w:szCs w:val="20"/>
          <w:color w:val="auto"/>
        </w:rPr>
      </w:pPr>
      <w:r>
        <w:rPr>
          <w:rFonts w:ascii="Times New Roman" w:cs="Times New Roman" w:eastAsia="Times New Roman" w:hAnsi="Times New Roman"/>
          <w:sz w:val="18"/>
          <w:szCs w:val="18"/>
          <w:color w:val="auto"/>
        </w:rPr>
        <w:t>In addition, the effects of COVID-19 could affect our business in many ways, including, but not limited to, the following factors:</w:t>
      </w:r>
    </w:p>
    <w:p>
      <w:pPr>
        <w:spacing w:after="0" w:line="6" w:lineRule="exact"/>
        <w:rPr>
          <w:sz w:val="20"/>
          <w:szCs w:val="20"/>
          <w:color w:val="auto"/>
        </w:rPr>
      </w:pPr>
    </w:p>
    <w:p>
      <w:pPr>
        <w:ind w:left="66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the pandemic on the economies and financial markets of the countries and regions in which we operate, including a potential global recession, a decline in customer confidence and spending;</w:t>
      </w:r>
    </w:p>
    <w:p>
      <w:pPr>
        <w:spacing w:after="0" w:line="10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obtain rent deferrals, early exit or other relief from many of our landlords with respect to our leased corporate offices that were or still remain closed, which could result in litigation or other disruptions;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COVID-19 and remote-work oriented phishing and similar cybersecurity attack attempts;</w:t>
      </w:r>
    </w:p>
    <w:p>
      <w:pPr>
        <w:spacing w:after="0" w:line="170"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remote work solutions may be limited in their ability to replicate the operational oversight and security controls of our office environments and we may suffer operational and information security failures as a result of the changed controls;</w:t>
      </w:r>
    </w:p>
    <w:p>
      <w:pPr>
        <w:spacing w:after="0" w:line="108"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required to revise certain accounting estimates and judgments such as, but not limited to, those related to the valuation of long-lived assets, goodwill and intangibles, and deferred tax assets, which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81"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governmental actions in the geographies in which we operate may prevent us from adjusting the size of our workforce or modifying compensation terms; and</w:t>
      </w:r>
    </w:p>
    <w:p>
      <w:pPr>
        <w:spacing w:after="0" w:line="108"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COVID-19 may also have a material adverse effect on our liquidity and cash flows. If our business does not generate sufficient cash flows from operating activities, and sufficient funds are not otherwise available to us from borrowings under our credit facility or other sources, we may not be able to cover our expenses, fund our other liquidity and working capital needs, or execute on our strategic initiatives, each of which could significantly harm our business.</w:t>
      </w:r>
    </w:p>
    <w:p>
      <w:pPr>
        <w:spacing w:after="0" w:line="12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 expects that all of its business segments, across all of its geographies, will be impacted to some degree, but the significance of the full impact of COVID-19 on our business in 2021 and beyond and the duration for which it may have an impact cannot be determined at this time. Any of these events could cause or contribute to risks and uncertainties enumerated in this Annual Report on Form 10-K or our other filings with the SEC, and could materially adversely affect our business, financial condition, results of operations and/or stock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earn a substantial portion of our revenues from a limited number of clients.</w:t>
      </w:r>
    </w:p>
    <w:p>
      <w:pPr>
        <w:spacing w:after="0" w:line="17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have earned and believe that we will continue to earn in the near future or foreseeable a substantial portion of our total revenues from a limited number of large clients.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10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Consistent with industry practice, 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12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10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13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4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 which may result in loss of revenue and an inability to expand our business.</w:t>
      </w:r>
    </w:p>
    <w:p>
      <w:pPr>
        <w:spacing w:after="0" w:line="10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hire, train and retain qualified employees, including our ability to attract employees with needed skills in the geographic areas in which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138"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highly-skilled technical personnel, our ability to effectively lead our current projects and develop new business could be jeopardized, and our business, results of operations and financial condition could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17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For example, wage costs in India and the Philippines have historically been significantly lower than wage costs in the United States and Europe for comparably skilled professionals, and having a significant number of employees in those countries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United States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services than for employees performing operations management services. As the scale of our analytics services increases, wages as a percentage of revenues may increase. In addition, changes to the labor laws in the countries where we operate may also lead to a substantial increase in our wage costs.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often have a long selling cycle for our operations management services that requires significant funds and management resources and a long implementation cycle that requires significant resource commitments.</w:t>
      </w:r>
    </w:p>
    <w:p>
      <w:pPr>
        <w:spacing w:after="0" w:line="10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We often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3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significant revenues.</w:t>
      </w:r>
    </w:p>
    <w:p>
      <w:pPr>
        <w:spacing w:after="0" w:line="17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When we are engaged by a client after the selling process for our operations management services, it takes from four to six weeks to integrate the client’s systems with ours, and from three months to six months thereafter to build our services to the client’s requirements and perform any necessary transformation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enter into long-term contracts with our clients for our operations management services, and our failure to accurately estimate the resources and time required for our contracts may negatively affect our revenues, cash flows and profitability.</w:t>
      </w:r>
    </w:p>
    <w:p>
      <w:pPr>
        <w:spacing w:after="0" w:line="10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initial terms of our operations management contracts typically range from three to five years. In many of our operations management contracts we commit to long-term and other pricing structures (such as full-time equivalent-based pricing, fixed-price arrangements, transaction-based and outcome-based pricing) with our clients and therefore bear the risk of cost overruns, completion delays, resource requirements, wage inflation and adverse movements in exchange rates in connection with these contracts. If we fail to estimate accurately the resources and time required for a contract,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adjust our pricing terms or effectively manage our asset utilization levels or the mix of products and services we provide to meet the changing demands of our clients and potential clients, our business, results of operations, financial condition and cash flows may be adversely affected.</w:t>
      </w:r>
    </w:p>
    <w:p>
      <w:pPr>
        <w:spacing w:after="0" w:line="10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Our profitability is largely a function of the efficiency with which we utilize our assets, in particular our people and our operations centers, and the prices we are able to charge for our services. A significant portion of our contracts use a pricing model that provides for hourly or annual billing rates. Industry pricing models are evolving and clients increasingly request transaction-based, outcome-based or other pricing models. If we make inaccurate assumptions for contracts with such alternative pricing models, our profitability may be negatively affected. Our asset utilization levels are affected by a number of factors, 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to employee training and development, other typically non-chargeable activities and seat utilization rate of our operations centers. Therefore, if we are unable to adapt our operations to evolving pricing protocols or effectively manage our asset utilization levels, our results of operations may be adversely affected or we may not be able to offer pricing that is attractive relative to our competitors.</w:t>
      </w:r>
    </w:p>
    <w:p>
      <w:pPr>
        <w:spacing w:after="0" w:line="134"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In addition, for the services we provide to our clients, the revenues and income from such services may decline or vary as the type and volume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including as a result of COVID-19, have in the past and may in the future demand price reductions, automate some or all of their processes or change their operations management strategy by moving more work in-house or to other providers, any of which could reduce our profitability. Any significant reduction in or elimination of any of our clients’ use of the services we provide, or any requirement to lower our prices, would have a material adverse impact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projects-based analytics and consulting services are cyclical involving short-term contracts.</w:t>
      </w:r>
    </w:p>
    <w:p>
      <w:pPr>
        <w:spacing w:after="0" w:line="17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Our projects-based analytics and consulting services are cyclical and can be significantly affected by variations in business cycles. Changes in the deadlines or the scope of work required for compliance with the requirements of legislation applicable to our clients could curtail significantly those service offerings.</w:t>
      </w:r>
    </w:p>
    <w:p>
      <w:pPr>
        <w:spacing w:after="0" w:line="12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addition, our projects-based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manage our rapid infrastructure and personnel growth effectively could have a material adverse effect on our business, results of operations, financial condition and cash flows.</w:t>
      </w:r>
    </w:p>
    <w:p>
      <w:pPr>
        <w:spacing w:after="0" w:line="10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Since we were founded in April 1999, we have experienced rapid growth and significantly expanded our operations, and that growth has continued in recent years as well. We have operations centers across India, the United States, the Philippines, Colombia, United Kingdom, South Africa, Bulgaria, Romania, and the Czech Republic. Further, we have acquired multiple regional offices in the United States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locations outside of our current operating geographies. We believe that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amongst our employee populations and varying employment law regimes across jurisdictions,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10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2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26"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1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Following the completion of some acquisitions, we may need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 and failure of such seller to do so could result in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entire book value of goodwill and other intangible assets from acquisitions.</w:t>
      </w:r>
    </w:p>
    <w:p>
      <w:pPr>
        <w:spacing w:after="0" w:line="17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periodically assess our goodwill and intangible assets to determine if they are impaired and we monitor for impairment of goodwill relating to all acquisitions. Goodwill is not amortized but is tested for impairment at least once on an annual basis in the fourth quarter of each year, based on a number of factors including operating results, business plans and future cash flows. Impairment testing of goodwill may also be performed between annual tests if an event occurs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circumstances change that would more likely than not reduce the fair value of goodwill below its carrying amount. We perform a quantitative impairment test to determine whether it is more likely than not that the fair value of a reporting unit is less than its carrying amount. In the event that the carrying amount of goodwill is impaired, any such impairment would be charged to earnings in the period of impairment. Because this involves use of critical accounting estimates, we cannot assure you that future impairment of goodwill will not have a material adverse effect on our business, financial condition or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The extent to which COVID-19 will impact our business depends on numerous dynamic factors, which we still cannot reliably predict. As a result, many of our estimates and assumptions require increased judgment and carry a higher degree of variability and volatility. As events continue to evolve with respect to COVID-19, our estimates may materially change in future periods.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17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12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period-to-period results have in the past and may also in the future fluctuate due to other factors, including the loss of clients,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of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0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 Additionally, we may not be successful in obtaining or maintaining patents or trademarks for which we have applied.</w:t>
      </w:r>
    </w:p>
    <w:p>
      <w:pPr>
        <w:spacing w:after="0" w:line="171"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133"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deliverables. We may not be successful in defending against such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technology development expenses, or pay significant monetary damages or legal fees and costs. Any such claim for intellectual property infringement may have a material adverse effect on our business, results of operations, financial condition and cash flows.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10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We have been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U.S.-based and non-U.S.-based BPM and IT companies and from our clients, who may build shared services centers to perform BPM and Analytics services themselves, either in-house, in the United States or through offshore groups or other arrangements.</w:t>
      </w:r>
    </w:p>
    <w:p>
      <w:pPr>
        <w:spacing w:after="0" w:line="10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United Kingdom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13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1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10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Lockdowns and other measures imposed by governments around the world, as well as other resulting impacts of COVID-19, may result in our temporary inability to meet the service level and performance requirements of our clients.</w:t>
      </w:r>
    </w:p>
    <w:p>
      <w:pPr>
        <w:spacing w:after="0" w:line="133"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Our business is dependent on the secure and reliable operation of controls within our and our clients’ information systems and processes, whether operated or executed by our clients themselves or by us in connection with our provision of services to them. Although we believe we take adequate measures to safeguard against system-related and other fraud, there can be no assurance that we would be able to prevent fraud or even detect them on a timely basis, particularly where it relates to our clients’ information systems which are not managed by us. We could incur certain liabilities if a process we manage for a client were to result in internal control failures or processing errors, or impair our client’s ability to comply with its own internal control requirements.</w:t>
      </w:r>
    </w:p>
    <w:p>
      <w:pPr>
        <w:spacing w:after="0" w:line="133"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 sometimes use to deliver our services.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limitations on liability with our clients and third parties may not be enforceable.</w:t>
      </w:r>
    </w:p>
    <w:p>
      <w:pPr>
        <w:spacing w:after="0" w:line="17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or notification costs relating to data breaches may not be limited under those agreements or may be subject to higher limitations. Because our agreements are governed by laws of different jurisdictions, the interpretation of certain provisions, and the availability of certain defenses to us, may vary, which, in certain circumstances, may contribute to uncertainty as to the scope of our potential liability.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or accreditation or licensing standards that govern our business could have an adverse impact on our operations.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accreditations, permits and/or licenses for the conduct of our business in all jurisdictions in which we have operations and, in some cases, we are additionally required to maintain accreditations, permits and/or licenses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become applicable to us or if our employees unionize, our profitability may be adversely affected.</w:t>
      </w:r>
    </w:p>
    <w:p>
      <w:pPr>
        <w:spacing w:after="0" w:line="17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Some of the geographies where we operate have stringent employee friendly labor legislation, including legislation that sets forth detailed procedures for dispute resolution, employee separation, provision of benefits or facilities to employees at employer’s costs as well as imposing financial obligations and other compliance on employers upon retrenchment. Though we are exempt from some of these labor laws at present under applicable exceptions in relevant jurisdictions,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for business or operational reasons, and our compensation expenses may increase significantly. Regulations in other countries in which we operate also regulate our relations with our employees.</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2019, the Supreme Court of India clarified that certain allowances paid by an employer to an employee should be included in the definition of “basic wage” for the purposes of defined social security contribution plans. It still remains unclear whether the interpretation set out in the pronouncement has retrospective application. If applied retrospectively, the interpretation may result in a significant increase in contributions payable by the Company for past periods for certain of its India-based employees and could have a material adverse effect on our results of operations, financial condition and cash flows. Further, 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and could have a material adverse effect on our results of operations, financial condition and cash flows.</w:t>
      </w:r>
    </w:p>
    <w:p>
      <w:pPr>
        <w:spacing w:after="0" w:line="134"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 addition, our employees may in the future form unions. If employees at any of our operations centers become eligible for union membership, we may be required to raise wage levels or grant other benefits that could lead to an increase in our compensation expenses, or productivity at relevant operations centers may be adversely affected, resulting, in each case to possible adverse impacts on our profitability and cash flows.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significant labor and employment risks.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from time to time be subject to litigation or administrative actions resulting from claims against us by current or former employees, individually or as part of a class action, including for claims of wrongful termination, discrimination (including on grounds of nationality, ethnicity, race, faith, gender, marital status, age or disability), misclassification, redundancy payments described above, or other violations of labor laws, or other alleged conduct. If we are held liable for unpaid compensation, redundancy payments, statutory penalties, and other damages arising out of such actions and litigations, such liabilities could have a material adverse effect on our business, reputation,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and political uncertainties in India.</w:t>
      </w:r>
    </w:p>
    <w:p>
      <w:pPr>
        <w:spacing w:after="0" w:line="17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Many of our operating subsidiaries are incorporated in India, and a substantial portion of our assets and our professionals are located in India. We intend to continue to develop and expand our offshore facilities in India. In the past,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or that any other changes made by the Indian government will be favorable to our operations or business.</w:t>
      </w:r>
    </w:p>
    <w:p>
      <w:pPr>
        <w:spacing w:after="0" w:line="13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transfer pricing arrangements we have among our subsidiaries are determined to be inappropriate, our tax liability may increase.</w:t>
      </w:r>
    </w:p>
    <w:p>
      <w:pPr>
        <w:spacing w:after="0" w:line="17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See Note 22 - Income Taxes and Note 26 - Commitments and Contingencies to our consolidated financial statements for details.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offices and operations in various countries around the world and provide services to customers globally. 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United States.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We may also face difficulties integrating new facilities in different countries into our existing operations.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10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26" w:lineRule="exact"/>
        <w:rPr>
          <w:sz w:val="20"/>
          <w:szCs w:val="20"/>
          <w:color w:val="auto"/>
        </w:rPr>
      </w:pPr>
    </w:p>
    <w:p>
      <w:pPr>
        <w:jc w:val="both"/>
        <w:ind w:firstLine="414"/>
        <w:spacing w:after="0" w:line="238" w:lineRule="auto"/>
        <w:rPr>
          <w:sz w:val="20"/>
          <w:szCs w:val="20"/>
          <w:color w:val="auto"/>
        </w:rPr>
      </w:pPr>
      <w:r>
        <w:rPr>
          <w:rFonts w:ascii="Times New Roman" w:cs="Times New Roman" w:eastAsia="Times New Roman" w:hAnsi="Times New Roman"/>
          <w:sz w:val="18"/>
          <w:szCs w:val="18"/>
          <w:color w:val="auto"/>
        </w:rPr>
        <w:t>Certain operations centers in India, which were established in Special Economic Zones (“SEZs”), are eligible for a 100% income tax exemption for the first five years of operations and a 50% exemption for a period of five years thereafter. In 2019, the government of India introduced a new tax regime for certain Indian companies by enacting the Taxation Laws (Amendment) Act, 2019. The new tax regime is optional and provides for a lower tax rate for Indian companies, subject to agreeing to certain conditions, which, among other things, include not taking advantage of benefits from any tax holidays associated with SEZs and certain other tax incentives. Once a company has opted in to the new tax regime, it may not in the future opt out. During 2019 and 2020, our Indian subsidiaries opted into this new tax regime and accordingly gave-up the tax exemption associated with SEZs that were used prior to opting in. This decision is based on a number of current assumptions and financial projections. If such assumptions and financial projections are not correct, our election to opt in to the new tax regime may materially increase our effective income tax rate and decrease our earnings per share. Similarly, if alternative minimum taxes are imposed by certain jurisdictions on otherwise exempt income, this may result in increases to our tax expense in future years.</w:t>
      </w:r>
    </w:p>
    <w:p>
      <w:pPr>
        <w:spacing w:after="0" w:line="13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We anticipate establishing additional operations centers in PEZA or other tax advantaged locations in the future. Following the expiry of the tax exemption, income generated from centers in the Philippines will be taxed at the prevailing annual tax rate.</w:t>
      </w:r>
    </w:p>
    <w:p>
      <w:pPr>
        <w:spacing w:after="0" w:line="126"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overall effective tax rate may increase in future years and such increase may be material and may have impact on our business,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tax legislation and disputes with tax authorities may have an adverse effect on our operations and our overall effective tax rate.</w:t>
      </w:r>
    </w:p>
    <w:p>
      <w:pPr>
        <w:spacing w:after="0" w:line="17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Governments in countries in which we operate or provide services could enact new tax legislation,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financial condition and cash flows.</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adversely affected if we repatriate funds held by our foreign subsidiaries.</w:t>
      </w:r>
    </w:p>
    <w:p>
      <w:pPr>
        <w:spacing w:after="0" w:line="17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earn a significant amount of our earnings outside of the United States. Not all of the undistributed earnings may be available for repatriation due to foreign legal restrictions that require minimum reserves to be maintained in those countries, which would limit our ability to use these earnings across our global operations in the United States or other geographies, where needed. We periodically evaluate opportunities to repatriate funds held by our foreign subsidiaries to fund our operations, and as and when we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various currencies in which we do business, especially the Indian rupee and Philippine peso versus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 could have a material adverse effect on our results of operations.</w:t>
      </w:r>
    </w:p>
    <w:p>
      <w:pPr>
        <w:spacing w:after="0" w:line="153"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Although 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Philippine peso and other currencies in which we incur costs or receive revenues and the U.S. dollar have changed substantially in recent years and may fluctuate substantially in the future. See Part II, Item 7A, “Quantitative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134"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13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In June 2016, the United Kingdom held a referendum in which British citizens approved an exit from the European Union ("EU"), commonly referred to as “Brexit.” Following protracted negotiations, the United Kingdom left the EU on January 31, 2020. Under the withdrawal agreement, there is a transitional period until December 31, 2020 (extendable up to two years). On December 24, 2020, the United Kingdom and the EU struck a provisional trade and cooperation agreement that provides for zero tariffs and zero quotas on all goods that comply with the appropriate rules of origin. The EU-U.K. trade deal was approved by the U.K. parliament on December 30, 2020, and, is provisionally effective from January 1, 2021 until February 28, 2021, while pending approval and ratification by the EU parliament.</w:t>
      </w:r>
    </w:p>
    <w:p>
      <w:pPr>
        <w:spacing w:after="0" w:line="13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a result of the referendum and the recent exit of the United Kingdom from the EU, the global markets and currencies have been and may in the future be adversely impacted, including experiencing a decline in the value of the U.K. pound sterling as compared to the U.S. dollar and causing adverse impacts to our U.K. operations and those of our clients. As a result, it is possible that events in the U.K. related to Brexit may adversely affect our financial results, operations and cash flows.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visas and work permits may affect our ability to compete for and provide services to clients in the United States and other jurisdictions, which could make it more difficult to staff engagements and could increase our costs, which could have an adverse effect on our net income.</w:t>
      </w:r>
    </w:p>
    <w:p>
      <w:pPr>
        <w:spacing w:after="0" w:line="10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Immigration and work permit laws and regulations in the countries in which we have customers are subject to legislative and administrative changes as well as changes in the application of standards and enforcement.</w:t>
      </w:r>
    </w:p>
    <w:p>
      <w:pPr>
        <w:spacing w:after="0" w:line="108"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The ability of some of our executives and employees based in India and other foreign locations to work with and meet clients in the United States and other jurisdictions depends on their ability to obtain the necessary visas and work permits. In recent years, immigration authorities, in the United States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professionals.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 Further, COVID-19 has resulted in the temporary suspension of existing visas and several governments not granting new visas.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10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primary operating subsidiaries are organized outside the United States and some of our executive officers may reside outside of the United States. A substantial portion of our assets are located in India and the Philippines. As a result, you may be unable to effect service of process upon our affiliates who reside in India and the Philippines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3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service our debt or obtain additional financing on competitive terms.</w:t>
      </w:r>
    </w:p>
    <w:p>
      <w:pPr>
        <w:spacing w:after="0" w:line="17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We are party to an investment agreement pursuant to which we issued $150 million aggregate principal amount of convertible senior notes due October 1, 2024 (the “Notes”) to Orogen Echo LLC, which bear interest at a rate of 3.50% per annum and are payable semi-annually in arrears in cash on April 1 and October 1 of each year. See Note 18 - Borrowings to our consolidated financial statements for key terms of the Notes.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further party to a credit agreement for our bank debt facility that contains covenants, requiring, among other things, maintenance of certain financial ratios, indebtedness and, under certain conditions, restricting our ability to pay dividends, repurchase common shares and make other restricted payments as defined in the credit agreement. The credit agreement provides for a $300 million revolving credit facility including a letter of credit sub-facility. Our credit facility has a maturity date of November 21, 2022 and is voluntarily payable from time to time without premium or penalty. See Part II, Item 7, “Management’s Discussion and Analysis of Financial Condition and Results of Operations” under “Liquidity and Capital Resources-Financing Arrangements (Debt Facility and Notes).”</w:t>
      </w:r>
    </w:p>
    <w:p>
      <w:pPr>
        <w:spacing w:after="0" w:line="13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cash flow from operations provides the primary source of funds for our debt service payments. If our cash flow from operations declines, we may not be able to service or refinance our current debt which could adversely affect our business and financial condition. In addition, we have limited ability to increase our borrowings under our existing credit agreement.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use cash to settle the principal amount of the Notes upon conversion or to repurchase the Notes upon a fundamental change, which could result in dilution and could adversely affect our financial condition.</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Notes are convertible any time prior to their maturity on October 1, 2024 into cash, stock or a combination of cash and stock at an initial conversion rate set forth in the indenture governing the Notes (the "Indenture"). Notes that are converted in connection with a make-whole fundamental change (as defined in the Indenture) may be entitled to an increase in the conversion rate for such Notes. Upon a conversion event, if we do not have adequate cash available or cannot obtain additional financing, or our use of cash is restricted by applicable law, regulations or agreements governing our current or future indebtedness, we may not be able to use cash to settle the principal amount of the Notes upon conversion. If we settle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 of the principal amount of the Notes upon conversion in stock, it will result in immediate dilution to existing stockholders and such dilution could be material.</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holders of the Notes have the right to require us to repurchase their Notes upon the occurrence of a fundamental change (as defined in the Indenture) at a repurchase price equal to 100% of the principal amount of the Notes to be repurchased, plus accrued and unpaid interest, if any. If we do not have adequate cash available or cannot obtain additional financing, or our use of cash is restricted by applicable law, regulations or agreements governing our current or future indebtedness, we may not be able repurchase the Notes when required under the Indenture, which would constitute an event of default under the Indenture. An event of default under the Indenture could also lead to a default under other agreements governing our current and future indebtedness, and if the repayment of such other indebtedness were accelerated, we may not have sufficient funds to repay the indebtedness and repurchase the Notes or make cash payments upon conversion of the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could delay or prevent an attempt to take over our Company.</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terms of the Notes require us to repurchase the Notes in the event of a fundamental change. A takeover of our Company would constitute a fundamental change. This could have the effect of delaying or preventing a takeover of our Company that may otherwise be beneficial to our stockholders.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transition from the use of the LIBOR interest rate index in the future. We could be unable to refinance our outstanding indebtedness on reasonable terms or at all.</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credit facility, which represents a portion of our borrowing, bears interest at a variable rate based on the London Interbank Offered Rate ("LIBOR"). In July 2017, the United Kingdom’s Financial Conduct Authority (“FCA”), which regulates LIBOR, announced that it will no longer persuade or compel banks to submit rates for the calculation of LIBOR to the administrator of LIBOR after 2021. This announcement indicates that the continuation of LIBOR on the current basis cannot and will not be guaranteed after 2021. On November 30, 2020, ICE Benchmark Administration (“IBA”),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2023, the United States Federal Reserve concurrently issued a statement advising banks to cease new USD LIBOR issuances by the end of 2021.</w:t>
      </w:r>
    </w:p>
    <w:p>
      <w:pPr>
        <w:spacing w:after="0" w:line="138"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light of these recent announcements, the future of LIBOR at this time is uncertain and any changes in the methods by which LIBOR is determined or regulatory activity related to LIBOR’s phase-out could cause LIBOR to perform differently than in the past or cease to exist. Although regulators and IBA have made clear that the recent announcements should not be read to say that LIBOR has ceased or will cease, in the event LIBOR does cease to exist, alternative index rates or benchmarks may become applicable to our credit facility and some financing agreements extending beyond 2021 that presently utilize LIBOR as a factor in determining the interest rate, and such index rates or benchmarks may be less favorable to us than LIBOR. This may result in interest rates and/or payments that do not correlate over time with the interest rates and / or payments that would have been made on our obligations if LIBOR had not ceased to exist. Changes in the method of calculating LIBOR, or the replacement of LIBOR with an alternative rate or benchmark, may adversely affect interest rates and result in higher borrowing costs. This could materially and adversely affect our results of operations, cash flow and liquidity.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fluctuations in the market values of our investment and derivatives portfolios.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Any deterioration of the credit and capital markets in the United States,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stock has at times experienced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in ways that may have been unrelated to these companies’ operating performance. Where the global stock markets have experienced, and may continue to experience, significant decline from COVID-19, could result in a material adverse effect on our stock price. Furthermore, we believe our stock price should reflect future growth and profitability expectations and, if we fail to meet these expectations, this may have a materially adverse effect on the trading price of our common stock.</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10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17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10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38"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A variety of U.S. federal and state legislation has been proposed that, if enacted, could restrict or discourage U.S. companies from outsourcing their services to companies with facilities outside the United States.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United States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United States, any expansion of existing laws or the enactment of new legislation restricting offshore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outsourcing could adversely impact our ability to do business with U.S. clients through our non-U.S. affiliates and have a material and adverse effect on our business, results of operations, financial condition and cash flows.</w:t>
      </w:r>
    </w:p>
    <w:p>
      <w:pPr>
        <w:spacing w:after="0" w:line="108"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In other countries, such as the United Kingdom, there has also been some negative publicity and concern expressed regarding the possible effect of job losses caused by outsourcing. Legislation enacted in the United Kingdom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United Kingdom and other European jurisdictions.</w:t>
      </w:r>
    </w:p>
    <w:p>
      <w:pPr>
        <w:spacing w:after="0" w:line="140"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Additionally, we cannot accurately predict the impact that COVID-19 might have on our clients’ outsourcing needs and efforts, as some of our clients might decide to refrain from offshore outsourcing due to the pressures they face from their increased unemployment resulting from COVID-19.</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105"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We are typically required to process, and sometimes collect and/or store sensitive data, including data regulated by the U.S. Health Insurance Portability and Accountability Act of 1996, as amended,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the California Consumer Privacy Act (the “CCPA”), went into effect in January 2020. The CCPA imposes privacy and data security obligations on companies and provides California consumers with certain rights as data subjects. Several other U.S. states have enacted or proposed data privacy laws that impose similar obligations. In addition, some states have passed laws imposing increased data security and breach notification obligations on companies operating in the United States. In the EU, the General Data Protection Regulation (the “GDPR”) imposes privacy and data security compliance obligations and significant penalties for noncompliance. The GDPR presents numerous privacy-related changes for companies operating in the EU, including rights guaranteed to data subjects, requirements for data portability for EU consumers, data breach notification requirements and significant fines for noncompliance. In GDPR enforcement matters, companies have faced fines for violations of certain provisions. Other countries have enacted or are considering enacting data localization laws that require certain data to stay within their borders.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As a result, we are subject to various data protection and privacy laws, including the GDPR and CCPA,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180"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Although we devote substantial resources to protect our information assets and our clients' confidential information, any network infrastructure are subject to be vulnerable to rapidly evolving cyber-attacks,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133"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If any person, including any of our employees, is able to penetrate our perimeter or internal network security, data centers, computing infrastructure or otherwise mismanages or misappropriates sensitive data, discloses or distributes any such data in an unauthorized manner, we could be subject to significant liability and lawsuits from our clients or their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technological change, and we may not be successful in addressing these changes.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Global economic and political conditions affect our clients’ businesses and the markets they serve, which are increasingly becoming more interdependent. The domestic and international capital and credit markets have been experiencing volatility and disruption for the past several years, resulting in uncertainty in the financial markets in general, which includes companies in the banking, financial services, healthcare and insurance industries to which we provide services, and which industries were further disrupted by COVID-19.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If there is a significant consolidation in these industries or a decrease in growth due to any adverse development or consolidation in other industry verticals on which we focus, such events could materially reduce the demand for our services and negatively affect our revenue and profitability. In addition, we currently earn, and are likely to continue to earn, a significant portion of our revenues from clients located in the United States. Weakness in the U.S. labor market could also adversely affect the demand for our services. Other developments in response to economic events, such as restructurings or reorganizations, particularly involving our clients, could also cause the demand for our services to decline.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disruptions may limit our ability to access financing or increase our cost of financing to meet liquidity needs, and affect the ability of our customers to use credit to purchase our services or to make timely payments to us.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or bill our unbilled services to, our clients, our results of operations and cash flows could be adversely affected.</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We might not accurately assess the creditworthiness of our clients. Macroeconomic conditions, such as any domestic or global credit crisis and disruption of the global financial system, including on account of COVID-19, could also result in financial difficulties for our clients, such as limited access to the credit markets, limited government stimulus support, insolvency or bankruptcy, and, as a result, could cause such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perform our obligations with clients or vendors, we could face legal liability and our contracts might not always protect us adequately through limitations on the scope and/or amount of our potential liability.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17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FASB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3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and accurate financial statements and to effectively prevent fraud. We devote significant financial and managerial resources and time to comply with the internal control over financial reporting requirements of the Sarbanes Oxley Act of 2002 and continue to enhance our controls.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material weaknesses, we cannot be certain that we will be able to prevent future significant deficiencies or material weaknesses. Inadequate internal controls could result in adverse consequences to us, including, but not limited to, a loss of investor confidence in the reliability of our financial statements, which could cause the market price of our stock to decline.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10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data privacy and labor relations. The global nature of our operations increases the difficulty of compliance. Compliance with diverse legal requirements is costly, time-consuming and requires significant resources. Violations of any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134"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In addition, it may be difficult to enforce our intellectual property rights both within and outside of the United States, India is a member of the Berne Convention, an international intellectual property treaty, and has agreed to recognize protections on intellectual property rights conferred under the laws of other foreign countries, including the laws of the United States. There can be no assurance, however,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12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including with respect to the FCPA,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Philippines, the United States or other countries could adversely affect the financial markets, result in a loss of client confidence and adversely affect our business, results of operations, financial condition and cash flows.</w:t>
      </w:r>
    </w:p>
    <w:p>
      <w:pPr>
        <w:spacing w:after="0" w:line="10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Philippines, the United States or other countries, may adversely affect worldwide financial markets and could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and Indo-China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technical disruptions and man-made events that could severely disrupt the normal operation of our business and if our business continuity and disaster recovery plans are nor effective, it may adversely affect our business, results of operations, financial condition and cash flows.</w:t>
      </w:r>
    </w:p>
    <w:p>
      <w:pPr>
        <w:spacing w:after="0" w:line="121"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Our operations centers and our data and voice communications, particularly in India and the Philippines, may be damaged or disrupted as a result of natural disasters such as earthquakes, floods, volcano eruptions, heavy rains, epidemics or pandemics, tsunamis and cyclones, technical disruptions such as electricity or infrastructure breakdowns, including damage to telecommunications cables, computer glitches and electronic viruses or man-made events such as political unrest, terrorist attacks, protests, riots and labor unrest. Such events may lead to the disruption of information systems and telecommunication services for sustained periods. They also may make it difficult or impossible for employees to reach our business locations. Our business continuity and disaster recovery plans may not be effective at preventing or mitigating the effects of such disruptions, particularly in the case of a catastrophic event.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3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We have multiple operations centers spread across India, the Philippines, the United Kingdom, Colombia, Bulgaria, the Czech Republic, Romania and South Africa with an aggregate area of approximately 2,142,000 square feet and a current installed capacity of approximately 32,700 workstations, including workstations for training and our employees in enabling functions. We also have multiple operations centers and regional offices in the United States.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corporate headquarters and all of our operations centers are leased under long-term leases with varying expiration dates, except for an operations center in Pune, India with an area of 86,361 sq. ft. and containing approximately 1,670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3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26 - Commitments and Contingencies to our consolidated financial statements contained herein for details regarding our tax proceedings.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February 22, 2021, there were 12 holders of record of our outstanding common stock. A substantially greater number of holders of our common stock are “street name” or beneficial holders, whose shares of record are held by banks, brokers, and other financial institutions.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authorized stock repurchases of up to $40 million in each of 2018 and 2019.</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December 16, 2019, the Company’s Board of Directors authorized a $200 million common stock repurchase program beginning January 1, 2020 through December 31, 2022 (the “2019 Repurchase Program” and together with the 2017 Repurchase Program, the “Repurchase Programs”). Under the Repurchase Programs, shares may be purchased by the Company from time to time from the open market and through private transactions, or otherwise, as determined by the Company’s management as market conditions warrant. The Company has structured open market purchases under the Repurchase Programs to comply with Rule 10b-18 under the Exchange Act. Repurchases may be discontinued at any time by management.</w:t>
      </w:r>
    </w:p>
    <w:p>
      <w:pPr>
        <w:spacing w:after="0" w:line="12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Repurchased shares under the Repurchase Programs are recorded as treasury shares and are held until our Board of Directors designates that these shares be retired or used for other purposes.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purchase of equity securities by the Company during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8"/>
                <w:szCs w:val="18"/>
                <w:color w:val="auto"/>
              </w:rPr>
            </w:pPr>
          </w:p>
        </w:tc>
        <w:tc>
          <w:tcPr>
            <w:tcW w:w="1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40" w:type="dxa"/>
            <w:vAlign w:val="bottom"/>
          </w:tcPr>
          <w:p>
            <w:pPr>
              <w:spacing w:after="0"/>
              <w:rPr>
                <w:sz w:val="15"/>
                <w:szCs w:val="15"/>
                <w:color w:val="auto"/>
              </w:rPr>
            </w:pPr>
          </w:p>
        </w:tc>
        <w:tc>
          <w:tcPr>
            <w:tcW w:w="17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Pr>
          <w:p>
            <w:pPr>
              <w:spacing w:after="0"/>
              <w:rPr>
                <w:sz w:val="15"/>
                <w:szCs w:val="15"/>
                <w:color w:val="auto"/>
              </w:rPr>
            </w:pPr>
          </w:p>
        </w:tc>
        <w:tc>
          <w:tcPr>
            <w:tcW w:w="1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1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5"/>
                <w:szCs w:val="15"/>
                <w:color w:val="auto"/>
              </w:rPr>
            </w:pPr>
          </w:p>
        </w:tc>
        <w:tc>
          <w:tcPr>
            <w:tcW w:w="17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0"/>
        </w:trPr>
        <w:tc>
          <w:tcPr>
            <w:tcW w:w="3220" w:type="dxa"/>
            <w:vAlign w:val="bottom"/>
            <w:vMerge w:val="continue"/>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19"/>
                <w:szCs w:val="19"/>
                <w:color w:val="auto"/>
              </w:rPr>
            </w:pPr>
          </w:p>
        </w:tc>
        <w:tc>
          <w:tcPr>
            <w:tcW w:w="1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155"/>
        </w:trPr>
        <w:tc>
          <w:tcPr>
            <w:tcW w:w="32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October 1, 2020 through October 31,</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196,397</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149,016,955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November 1, 2020 through November 30,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182,726</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182,075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134,182,042</w:t>
            </w:r>
          </w:p>
        </w:tc>
        <w:tc>
          <w:tcPr>
            <w:tcW w:w="0" w:type="dxa"/>
            <w:vAlign w:val="bottom"/>
          </w:tcPr>
          <w:p>
            <w:pPr>
              <w:spacing w:after="0"/>
              <w:rPr>
                <w:sz w:val="1"/>
                <w:szCs w:val="1"/>
                <w:color w:val="auto"/>
              </w:rPr>
            </w:pPr>
          </w:p>
        </w:tc>
      </w:tr>
      <w:tr>
        <w:trPr>
          <w:trHeight w:val="230"/>
        </w:trPr>
        <w:tc>
          <w:tcPr>
            <w:tcW w:w="32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23"/>
                <w:szCs w:val="23"/>
                <w:color w:val="auto"/>
                <w:vertAlign w:val="superscript"/>
              </w:rPr>
              <w:t>(1)</w:t>
            </w: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1, 2020 through December 31,</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142,141</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shd w:val="clear" w:color="auto" w:fill="CCEEFF"/>
          </w:tcPr>
          <w:p>
            <w:pPr>
              <w:spacing w:after="0"/>
              <w:rPr>
                <w:sz w:val="15"/>
                <w:szCs w:val="15"/>
                <w:color w:val="auto"/>
              </w:rPr>
            </w:pP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122,182,054</w:t>
            </w:r>
          </w:p>
        </w:tc>
        <w:tc>
          <w:tcPr>
            <w:tcW w:w="0" w:type="dxa"/>
            <w:vAlign w:val="bottom"/>
          </w:tcPr>
          <w:p>
            <w:pPr>
              <w:spacing w:after="0"/>
              <w:rPr>
                <w:sz w:val="1"/>
                <w:szCs w:val="1"/>
                <w:color w:val="auto"/>
              </w:rPr>
            </w:pPr>
          </w:p>
        </w:tc>
      </w:tr>
      <w:tr>
        <w:trPr>
          <w:trHeight w:val="235"/>
        </w:trPr>
        <w:tc>
          <w:tcPr>
            <w:tcW w:w="32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23"/>
                <w:szCs w:val="23"/>
                <w:color w:val="auto"/>
                <w:vertAlign w:val="superscript"/>
              </w:rPr>
              <w:t>(1)</w:t>
            </w: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4"/>
          <w:szCs w:val="14"/>
          <w:i w:val="1"/>
          <w:iCs w:val="1"/>
          <w:color w:val="auto"/>
        </w:rPr>
        <w:t>(1</w:t>
      </w:r>
      <w:r>
        <w:rPr>
          <w:rFonts w:ascii="Times New Roman" w:cs="Times New Roman" w:eastAsia="Times New Roman" w:hAnsi="Times New Roman"/>
          <w:sz w:val="16"/>
          <w:szCs w:val="16"/>
          <w:i w:val="1"/>
          <w:iCs w:val="1"/>
          <w:color w:val="auto"/>
        </w:rPr>
        <w:t>) Includes 1,451 shares of the Company’s common stock acquired by the Company at the price of $82.01 in connection with satisfaction of tax withholding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i w:val="1"/>
          <w:iCs w:val="1"/>
          <w:color w:val="auto"/>
        </w:rPr>
        <w:t>on vested restricted stock. Price paid per share for the restricted stock was the closing price of common stock on the trading day prior to the vesting date of the restricted stock units.</w:t>
      </w:r>
    </w:p>
    <w:p>
      <w:pPr>
        <w:spacing w:after="0" w:line="11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purchased 1,085,153 shares of its common stock under the 2019 Repurchase Program, for an aggregate purchase price of $77.8 million including commissions, representing an average purchase price per share of $71.71.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purchased 28,052 shares from employees in connection with withholding tax payments related to the vesting of restricted stock units for a total consideration of $2.1 million. The weighted average purchase price of $75.96 was the closing price of the Company’s shares of common stock on the Nasdaq Global Select Market on the trading day prior to the vesting date of the shares of restricted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2020 with respect to the shares of our common stock that may be issued under our existing equity compensation plans. For a description of our equity compensation plans, see Note 23 - Stock Based Compensation to our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7"/>
                <w:szCs w:val="17"/>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to be Issued Upon</w:t>
            </w:r>
          </w:p>
        </w:tc>
        <w:tc>
          <w:tcPr>
            <w:tcW w:w="12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Available for Future</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Exercise/Vesting of</w:t>
            </w:r>
          </w:p>
        </w:tc>
        <w:tc>
          <w:tcPr>
            <w:tcW w:w="12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Price of</w:t>
            </w: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Issuance Under Equity</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5"/>
                <w:szCs w:val="15"/>
                <w:color w:val="auto"/>
              </w:rPr>
            </w:pPr>
          </w:p>
        </w:tc>
        <w:tc>
          <w:tcPr>
            <w:tcW w:w="20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12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2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1)</w:t>
            </w:r>
          </w:p>
        </w:tc>
        <w:tc>
          <w:tcPr>
            <w:tcW w:w="0" w:type="dxa"/>
            <w:vAlign w:val="bottom"/>
          </w:tcPr>
          <w:p>
            <w:pPr>
              <w:spacing w:after="0"/>
              <w:rPr>
                <w:sz w:val="1"/>
                <w:szCs w:val="1"/>
                <w:color w:val="auto"/>
              </w:rPr>
            </w:pPr>
          </w:p>
        </w:tc>
      </w:tr>
      <w:tr>
        <w:trPr>
          <w:trHeight w:val="155"/>
        </w:trPr>
        <w:tc>
          <w:tcPr>
            <w:tcW w:w="39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1,328,328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2,333,557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2,333,557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20" w:hanging="412"/>
        <w:spacing w:after="0" w:line="283" w:lineRule="auto"/>
        <w:tabs>
          <w:tab w:leader="none" w:pos="42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includes outstanding options and unvested Restricted Stock Units, which include Time-Based Restricted Stock Units and Performance Restricted Stock Units. See Note 23 - Stock Based Compensation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2015.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2015 and that all dividends were reinvested. The stock performance shown on the graph below is not indicative of future price performance.</w:t>
      </w:r>
    </w:p>
    <w:p>
      <w:pPr>
        <w:spacing w:after="0" w:line="1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863590" cy="4260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 Dollar amounts within Item 7 are presented as actual, rounded, dollar amounts.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described in this Annual Report on Form 10-K, the impact of the global Coronavirus Disease 2019 pandemic (“COVID-19”) on our financial results for the year ended December 31, 2020. See "Cautionary Note Regarding Forward-Looking Statements" below and in Part I, Item 1A, “Risk Factors” included elsewhere in this Annual Report on Form 10-K for further information regarding risks and uncertainties relating to COVID-19.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are, and will be, amplified by COVID-19. These factors include but are not limited to:</w:t>
      </w:r>
    </w:p>
    <w:p>
      <w:pPr>
        <w:spacing w:after="0" w:line="138" w:lineRule="exact"/>
        <w:rPr>
          <w:sz w:val="20"/>
          <w:szCs w:val="20"/>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the costs and/or timing of winding down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or medical epidemics or pandemics;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entire book value of goodwill and other intangible assets from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operational and information security failures arising as a result of remote work solutions adopted due to COVID-19;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by us in this Annual Report on Form 10-K, or elsewhere, speak only as of the date on which they were made. New risks and uncertainties come up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Effective January 1, 2020, we made certain operational and structural changes to more closely integrate our businesses and to simplify our organizational structure. Since then, we have managed and reported financial information through our four strategic business units: Insurance, Healthcare, Analytics and Emerging Business, which reflects how management reviews financial information and makes operating decisions. In line with our strategy of vertical integration and focus on domain expertise, we integrated our Finance &amp; Accounting and Consulting operating segments within each of the Insurance and Healthcare operating segments based on the respective industry-specific clients. Finance &amp; Accounting and Consulting services provided to clients outside of those industries, are part of our “Emerging Business” segment.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reportable segments effective January 1, 2020 are as follows:</w:t>
      </w:r>
    </w:p>
    <w:p>
      <w:pPr>
        <w:spacing w:after="0" w:line="171" w:lineRule="exact"/>
        <w:rPr>
          <w:sz w:val="20"/>
          <w:szCs w:val="20"/>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Business</w:t>
      </w:r>
    </w:p>
    <w:p>
      <w:pPr>
        <w:spacing w:after="0" w:line="17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conjunction with the new reporting structure, we recast our segment and goodwill disclosures for all prior periods presented to conform to the way we internally manage and monitor segment performance.</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 the United States, the United Kingdom, the Philippines, Bulgaria, Colombia, South Africa, Romania and the Czech Republic.</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Continued Impact of COVID-19 on Our Business</w:t>
      </w:r>
    </w:p>
    <w:p>
      <w:pPr>
        <w:spacing w:after="0" w:line="17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the first fiscal quarter ended March 31, 2020, COVID-19 did not have a significant impact on our business, however, in subsequent quarters, COVID-19 materially impacted us. Our customers, contractors, suppliers, and other partners were prevented from conducting business activities as usual, including due to the health and safety measures in response to COVID-19, such as shutdowns, which were requested or mandated by governmental authorities. The disruption adversely affected our ability to provide our services and solutions and resulted in, among other things, significant loss of revenue, increased costs and the possibility of enhanced credit risk on our accounts receivable, which is reflected in our financial operating results. The continued spread of COVID-19 and the measures taken by the governments of countries affected has disrupted the continuity of our provision of services to our customers and adversely impacted our business, financial condition or results of operations.</w:t>
      </w:r>
    </w:p>
    <w:p>
      <w:pPr>
        <w:spacing w:after="0" w:line="13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have a business continuity plan in place and have adapted delivery to a work from home model, while actively working to understand our clients’ changing requirements, continuing to ensure data security, prioritizing critical processes, adjusting service levels and managing discretionary costs (such as travel costs) and fixed costs (such as non-critical personnel costs). While travel restrictions had a short-term impact on our ability to deliver our services in 2020, we have been working to reduce our reliance on travel by incorporating into our business model the ability to conduct business using virtual conferencing and collaboration tools. Our work from home delivery capability steadily improved throughout the year. We estimate that we are able to deliver over 95% of our clients’ current requirements in a work from home model given the current lockdown restrictions in the locations in which we operate and certain clients not authorizing us to perform the remaining process work remotely due to its sensitive nature. In addition, we have also worked, and continue to work with national, state, and local authorities to comply with applicable rules and regulations related to COVID-19. There continues to be volatility and economic and geopolitical uncertainty in many markets around the world. Despite the efforts described above, there is a risk that if jurisdictions in which we operate reinstate prior restrictions, stagnate in their reopening processes, or implement new restrictions in response to new outbreaks or continued spread, our operations and business could be materially impacted.</w:t>
      </w:r>
    </w:p>
    <w:p>
      <w:pPr>
        <w:spacing w:after="0" w:line="138"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We also took actions in response to the pandemic that focused on helping our employees. These actions included disseminating guidance and information to our employees, facilitating work from home, implementing best practices for employees while working from home, periodic CEO messaging, various programs aimed at employee wellness, including a global wellness program, enhanced leave for employees affected by COVID-19, enhanced awareness towards information security, and updated cyber security and data privacy policies, among others. We have implemented broad travel restrictions and largely moved to virtual-only events for the safety of our employees and our customers. We also implemented pandemic-specific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w:t>
      </w:r>
    </w:p>
    <w:p>
      <w:pPr>
        <w:spacing w:after="0" w:line="13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We incurred additional costs in order to ensure the continuity of our operations and shift towards a work from home model. Such costs include purchase of desktops and laptops for our employees, software and internet connectivity devices, technology tools for productivity enhancement, accommodation, meal, overtime, transportation and regular sanitization and cleaning costs of our offices and facilities. We also expect that we will continue to incur additional costs to monitor and improve operational efficiency of our work from home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 broadened our “remote working” capabilities, which we expect to become a permanent feature in our future delivery model, as well as our business continuity plans.</w:t>
      </w:r>
    </w:p>
    <w:p>
      <w:pPr>
        <w:spacing w:after="0" w:line="13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In response to certain anticipated impacts from COVID-19, we also implemented a series of temporary cost reduction measures to further preserve financial flexibility. These actions included the postponement of certain discretionary spending including travel and marketing expenses, reevaluating the pace of our capital expenditures, rationalizing certain of our real estate and facilities, deferring scheduled increases in base salaries, deferring non-critical hiring, temporarily reducing the base salaries of our executive officers and certain other groups of employees among others. Some of these actions have been reversed as of December 31, 2020.</w:t>
      </w:r>
    </w:p>
    <w:p>
      <w:pPr>
        <w:spacing w:after="0" w:line="1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also took certain precautionary measures to maintain financial flexibility during this time, including drawing $100.0 million from our line of credit under our Credit Agreement on March 12, 2020, the proceeds of which were available for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working capital, general corporate or other purposes as needed, and which was repaid in full on April 20, 2020. During the quarter ended March 31, 2020, to enhance our liquidity position in response to COVID-19, management elected to temporarily suspend share repurchases under the 2019 Repurchase Program. We resumed share repurchases effective July 1, 2020, considering improved market conditions, our capital and liquidity needs and other factors.</w:t>
      </w:r>
    </w:p>
    <w:p>
      <w:pPr>
        <w:spacing w:after="0" w:line="12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impact of COVID-19 on our business, results of operations, financial position and cash flow in fiscal year 2020 has been explained in the discussion below, however the full extent of the impact for the period beyond the fiscal year 2020 is currently uncertain and will depend on many factors that are not within our control, including, but not limited to: the duration and scope of the pandemic; the effectiveness of actions taken to contain or mitigate the pandemic and prevent or limit any reoccurrence; governmental, business and individuals’ actions that have been and continue to be taken in response to the pandemic; general economic uncertainty in key global markets and financial market volatility; global economic conditions and levels of economic growth; and the pace of recovery when COVID-19 subsides. Due to the above circumstances and as described generally in this Annual Report on Form 10-K, our financial results, including but not limited to net revenues, income from operations, net income, cash flow and earnings per share, in future periods may differ materially from historical trends. We continue to monitor the implications of COVID-19 on our business, as well as our customers’ and suppliers’ businesses.</w:t>
      </w:r>
    </w:p>
    <w:p>
      <w:pPr>
        <w:spacing w:after="0" w:line="1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fourth quarter of 2020, we performed our annual goodwill quantitative impairment test for any potential impairment. We considered the effects of COVID-19 on our significant inputs used in determining the fair value of our reporting units. Based on the results, the fair value of each of our reporting units exceeded their carrying value and the goodwill was not impaired. However, there can be no assurances that goodwill will not be impaired in future periods. Estimating the fair value of goodwill requires the use of estimates and significant judgments that are based on a number of factors including actual operating results. These estimates and judgments may not be within the control of us and accordingly it is reasonably possible that the judgments and estimates could change in future periods.</w:t>
      </w:r>
    </w:p>
    <w:p>
      <w:pPr>
        <w:spacing w:after="0" w:line="133" w:lineRule="exact"/>
        <w:rPr>
          <w:sz w:val="20"/>
          <w:szCs w:val="20"/>
          <w:color w:val="auto"/>
        </w:rPr>
      </w:pPr>
    </w:p>
    <w:p>
      <w:pPr>
        <w:ind w:right="4020" w:firstLine="405"/>
        <w:spacing w:after="0" w:line="438" w:lineRule="auto"/>
        <w:rPr>
          <w:sz w:val="20"/>
          <w:szCs w:val="20"/>
          <w:color w:val="auto"/>
        </w:rPr>
      </w:pPr>
      <w:r>
        <w:rPr>
          <w:rFonts w:ascii="Times New Roman" w:cs="Times New Roman" w:eastAsia="Times New Roman" w:hAnsi="Times New Roman"/>
          <w:sz w:val="18"/>
          <w:szCs w:val="18"/>
          <w:color w:val="auto"/>
        </w:rPr>
        <w:t xml:space="preserve">For additional information and risks related to COVID-19, see Part I, Item 1A, “Risk Factors.” </w:t>
      </w:r>
      <w:r>
        <w:rPr>
          <w:rFonts w:ascii="Times New Roman" w:cs="Times New Roman" w:eastAsia="Times New Roman" w:hAnsi="Times New Roman"/>
          <w:sz w:val="18"/>
          <w:szCs w:val="18"/>
          <w:b w:val="1"/>
          <w:bCs w:val="1"/>
          <w:color w:val="auto"/>
        </w:rPr>
        <w:t>Revenues</w:t>
      </w:r>
    </w:p>
    <w:p>
      <w:pPr>
        <w:spacing w:after="0" w:line="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generated revenues of $958.4 million compared to revenues of $991.3 million for the year ended December 31, 2019, a decrease of $32.9 million, or 3.3%.</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85.0% and 9.3%, respectively, of our total revenues for the year ended December 31, 2020 and 82.5% and 11.4%, respectively, of our revenues for the year ended December 31, 2019.</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and 2019, our total revenues from our top ten clients accounted for 37.4% and 36.1%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United States, Europe and Australia.</w:t>
      </w:r>
    </w:p>
    <w:p>
      <w:pPr>
        <w:spacing w:after="0" w:line="12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Services: </w:t>
      </w:r>
      <w:r>
        <w:rPr>
          <w:rFonts w:ascii="Times New Roman" w:cs="Times New Roman" w:eastAsia="Times New Roman" w:hAnsi="Times New Roman"/>
          <w:sz w:val="18"/>
          <w:szCs w:val="18"/>
          <w:color w:val="auto"/>
        </w:rPr>
        <w:t>We provide our clients with a range of operations management services from our Insurance, Healthcare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Business operating segments, which typically involve the transfer by our clients to EXL of certain of their business operations, such as claims processing, clinical operations, or financial transaction processing, after which we administer and manage those operations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33"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3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We help our clients unlock deep insights from data and create data driven solutions. Our analytics services focus on driving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outcomes for our customers by unlocking deep insights from data and create data driven solutions across all parts 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Machine Learning (“ML”) and Artificial Intelligence (“AI”) capabilities to create insights and improve decision making for our clients. We actively cross-sell and, where appropriate, integrate our Analytics services with other operations management services as part of a comprehensive offering for our clients.</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17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bonus and other compensation expenses; recruitment and training costs; employee insurance; transport; rewards and recognition for certain employees; and non-cash stock compensation expense;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operations centers; rent expenses;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other billable costs to our clients;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direct mail operations and other digital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most significant components of our cost of revenues are salaries and benefits (including stock-based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However, during 2020, in response to certain anticipated impacts from COVID-19, we implemented a series of temporary cost reduction measures including deferring the scheduled increases in base salaries of all eligible employees and temporarily reducing the base salaries of our executive officers and certain other groups of employees. Some of these actions have been reversed as of December 31, 2020.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3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work from home model, invest in information technology solutions and security measures to safeguard against information security risks and costs to protect the health and safety of our employees as they gradually return to the office. See Part I, Item 1A, “Risk Factors” under “Risks Related to Our Business-Employee wage increases may prevent us from sustaining our competitive advantage and may reduce our profit margin” and under “Risks Related to the International Nature of Our Business-If more stringent labor laws become applicable to us or if our employees unionize, our profitability may be adversely affected.” However, a significant portion of our client contracts include inflation-based adjustments to our billing rates year over year which partially offset such increase in cost of revenues.</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generally experience a higher cost of revenues as a percentage of revenues during the initial 12 to 18 months in a long-term BPM contract due to upfront investments in infrastructure, resource hiring and training during migration. The cost of revenues as a percentage of revenues improve as we scale up, achieve operational efficiencies and complete the migration.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and benefits (including stock based compensation) as well as costs related to recruitment, training and retention of senior management and other support personnel 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investment in product development, digital technology, advanced automation and robotics, bad debt allowance and non-cash amortization of stock compensation expenses related to our issuance of equity awards to members of our board of directors. We expect our G&amp;A costs to increase as we continue to strengthen our support and enabling functions and invest in leadership development, performance management and training programs.</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Charges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Impairment charges pertain to the write down of carrying values to fair values of goodwill and intangible assets acquired in a business combination. We perform our annual impairment test annually during the fourth quarter, or more frequently, as circumstances warrant, for all our reporting units and intangible assets. Based on the results, if the carrying values of our reporting units exceeds their fair values, we record impairment charges to the extent that carrying value exceeds estimated fair value. 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The impairment amount to be recognized is measured as the amount by which the carrying value of such assets exceeds their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the U.S. dollar. However, a significant portion of our total revenues are earned in the U.K. pound sterling (8.3% and 10.2%, respectively, for the years ended December 31, 2020 and 2019), while a significant portion of our expenses are incurred and paid in Indian rupees (27.2% and 25.6%, respectively, of our total costs for the years ended December 31, 2020 and 2019) and the Philippine peso (11.5% and 7.9%, of our total costs for the years ended December 31, 2020 and 2019).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 2 - Summary of Significant Accounting Policies and Note 17 - Derivatives and Hedge Accounting to our consolidated financial statements and Part II, Item 7A, “Quantitative and Qualitative Disclosures About Market Risk-Foreign Currency Risk.”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 of interest on our borrowings under our credit facility and convertible senior notes, finance lease liabilities and notional interest implicit in the purchase of property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net primarily consists of gain/(loss) on sale, mark to market and dividend income on our investments in mutual funds, and interest on time deposits classified under “Cash and cash equivalents”, “Short-term investments” and “Other assets”, as applicable on our consolidated balance sheets. Other income, net also consists of changes in fair value of earn-out consideration, interest on refunds received from income tax authorities in India on completion of tax assessments and components of net periodic benefit cost such as interest cost, expected return on plan assets, amortization of actuarial gain or loss and profit or loss on disposal of long-lived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periodically evaluate opportunities to repatriate PTI held by our foreign subsidiaries to fund our operations in the United States and other geographies, and as and when we decide to repatriate such PTI, we may have to accrue additional taxes in accordance with local tax laws, rules and regulations in the relevant foreign jurisdictions.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During the year 2019 and 2020, we elected this new tax regime for our Indian subsidiaries to obtain the benefit of a lower tax rate.</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also benefited from a corporate tax holiday in the Philippines for our operations centers established there over the last several years. The tax holiday expired for few of our centers in last few years and will expire for other centers by year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may lead to an increase in our overall tax rate. Following the expiry of the tax exemption, income generated from centers in the Philippines will be taxed at the prevailing annual tax rate, which as of December 31, 2020 was 5.0% on gross income.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 We consider the policies discussed below to be critical to an understanding of our consolidated financial statements, as their application places the most significant demands on management’s judgment regarding matters that are inherently uncertain at the time an estimate is made. These policies include revenue recognition, allowance for expected credit losses, business combinations, goodwill, intangibles and long-lived assets, stock-based compensation, derivative instruments and hedging activity, borrowings, assumptions related to lease liabilities, ROU assets, lease cost, income taxes and assets and obligations related to employee benefit plans. These accounting policies and the associated risks are set out below. Future events may not develop exactly as forecasted and estimates routinely require adjustment.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which we expect to be entitled to in exchange for the services provided.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We recognize revenue when we satisfy a performance obligation by providing services to a customer.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us from a customer, are excluded from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Multiple Performance Obligations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sometimes enter into contracts with our clients which include promises to transfer multiple products and services to the client.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and volume discounts.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consider our experience with similar transactions and expectations regarding the contract in estimating the amount of variable consideration that should be recognized during a period.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expected value method is most appropriate for determining the variable consideration since we have a large number of contracts with similar nature of transactions/services.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 Requiring Judgment</w:t>
      </w:r>
    </w:p>
    <w:p>
      <w:pPr>
        <w:spacing w:after="0" w:line="175" w:lineRule="exact"/>
        <w:rPr>
          <w:sz w:val="20"/>
          <w:szCs w:val="20"/>
          <w:color w:val="auto"/>
        </w:rPr>
      </w:pPr>
    </w:p>
    <w:p>
      <w:pPr>
        <w:jc w:val="both"/>
        <w:ind w:left="660" w:hanging="247"/>
        <w:spacing w:after="0" w:line="261"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our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If a change in an estimate results in a projected loss on a project, such loss is recognized in the period in which it is first identified.</w:t>
      </w:r>
    </w:p>
    <w:p>
      <w:pPr>
        <w:spacing w:after="0" w:line="126" w:lineRule="exact"/>
        <w:rPr>
          <w:sz w:val="20"/>
          <w:szCs w:val="20"/>
          <w:color w:val="auto"/>
        </w:rPr>
      </w:pPr>
    </w:p>
    <w:p>
      <w:pPr>
        <w:jc w:val="both"/>
        <w:ind w:left="660" w:hanging="247"/>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us at the point in time when a performance obligation is satisfied, which is when we identify an overpayment claim. In such contracts, our consideration is contingent upon the actual collections made by our customers and net of any subsequent retraction claims. Based on guidance on “variable consideration” in Topic 606, we use our historical experience and projections to determine the expected recoveries from our customers and recognize revenue based upon such expected recoveries. Any adjustment required due to change in estimates are recorded in the period in which such change is identified.</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5 - Revenues, net to our consolidated financial statements under Part II,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Unbilled receivables represent revenues recognized for services rendered between the last billing date and the balance sheet date. Unbilled receivables also include revenues recognized from reimbursement optimization services where we identify an overpayment claim. In such contracts, our consideration is contingent upon and collectable only when the actual collections are made by our customers. Based on guidance on “variable consideration” in Topic 606, we use our historical experience and projections to determine the expected recoveries from our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contract fulfillment costs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contract liabilities (deferred revenue) consisting of advance billings and billing in excess of revenues recognized. Deferred revenue also includes the amount for which services have been rendered but other conditions of revenue recognition are not met, for example where we do not have an enforceable contract.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 we also defer revenues attributable to certain process transition activities, with respect to our customers where such activities do not represent separate performance obligations. Revenues related to such transition activities are classified under “Deferred revenue” and “Other non-current liabilities” in our consolidated balance sheets and are recognized ratably over the period during which the related services are performed.</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our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Direct and incremental costs incurred for acquiring contracts, such as sales commissions are contract acquisition costs and thereby classified under “Other current assets” and “Other assets” in our consolidated balance sheets. Such costs are amortized over the expected duration of the relationship with customers and recorded under Selling and marketing expenses in our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Upfront Payment Made to Customers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Upfront payments in nature of deal signing discount or deal signing bonuses made to customers are contract assets and classified under “Other current assets” and “Other assets” in our consolidated balance sheets. Such costs are amortized over the expected period of benefit and are recorded as an adjustment to transaction price and reduced from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clients’ financial condition and the amount of accounts receivable in dispute to estimate the collectability of these accounts receivable.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account for all business combinations using the acquisition method of accounting as prescribed by Accounting Standards Codification (“ASC”) Topic 805, “Business Combinations”. The guidance requires the use of significant estimates and assumptions in allocation of the purchase price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anticipated growth rates and customer attrition rates and the discount rate reflecting the risk inherent in future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We undertake studies to determine the fair values of assets and liabilities acquired and allocate purchase consideration to assets and liabilities, including property and equipment, goodwill and other identifiable intangibles. We examine the carrying value of the goodwill annually in the fourth quarter, or more frequently, as circumstances warrant, to determine whether there are any impairment losses. We test for goodwill impairment at the reporting unit level. We also assesses any potential goodwill impairment for our reporting units immediately prior to any segment changes and reallocate goodwill basis the new reporting units.</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goodwill quantitative impairment test involves a comparison of the fair value of a reporting unit with its carrying amount. We estimate the fair value of a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our control, provide us best estimate of all assumptions applied within the DCF model. Discount rates used in our reporting unit valuations range from 10.4% to 12.0%. We also use the “Market approach” to corroborate the results of the</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approach for some of our reporting units. Under the market approach, we estimate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our control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discounted expected future cash flows is less than the carrying amount of such asset. The estimate of 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2 - Summary of Significant Accounting Policies - Business Combinations, Goodwill and Other Intangible Assets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grant performance-based restricted stock units (“PRSUs”) to executive officers and other specified employees. Generally the grants provide that 50% of the PRSUs cliff vest at the end of a three-year period based on an aggregated revenue target (“PUs”) for a three-year period. The remaining 50% vest based on a market condition (“MUs”) that is contingent on EXL meeting or exceeding the total shareholder return relative to a group of peer companies specified under the program, measured over a three-year performance period. The award recipient may earn up to 200% of the PRSUs granted based on the actual achievements of both targets. However, the features of our equity incentive compensation program are subject to change by the Compensation Committee of our Board of Directors.</w:t>
      </w:r>
    </w:p>
    <w:p>
      <w:pPr>
        <w:spacing w:after="0" w:line="13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actively look to mitigate the exposure of foreign currency market risk associated with forecasted transactions denominated in certain foreign currencies and to minimize earnings and cash flow volatility associated with changes in foreign currency exchange rates by entering into various foreign currency exchange forward contracts, with counterparties that are highly rated financial institutions.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hedge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in our consolidated statements of income as either part of “Cost of revenues”, “General and administrative expenses”, “Selling and marketing expenses”, or “Depreciation and amortization expense”, as applicable.</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use derivative instruments consisting of foreign currency exchange contracts to economically hedge intercompany balances and other monetary assets or liabilities denominated in currencies other than the functional currency. These derivatives do not qualify as fair value hedges. Changes in the fair value of these derivatives are recognized in our consolidated statements of income and are included in foreign exchange gain/(loss).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account for convertible notes in accordance with the guidelines established by the ASC No.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We separate the convertible notes into liability and equity components. The Beneficial Conversion Feature ("BCF") of a convertible note, which is the equity component and recorded as additional paid-in capital, is normally characterized as the convertible portion or feature of certain notes payable that provide a rate of conversion that is below market value or in-the-money when issued. We record a BCF related to any issuance of convertible notes.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If a convertible note is within the scope of the Cash Conversion Subsections contains embedded features other than the embedded conversion option, the guidance in ASC No.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(“ASC 815-15”), is applied to determine if any of those features must be separately accounted for as a derivative instrument.</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estimated fair value of the liability component at issuance is determined using a discounted cash flow technique, which considers debt issuances with similar features of our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being amortized to interest expense over the expected term of the convertible notes using the effective interest method.</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Direct, incremental finance costs related to the convertible notes are amortized over the term instrument through charges to interest expense using the effective interest method.</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may elect to settle conversions of the Notes by paying or delivering, as the case may be, cash, shares of our common stock or a combination of cash and shares. We presently intend and have the ability to settle the principal amount of the Notes in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probable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periodically evaluate opportunities to repatriate PTI held by our foreign subsidiaries to fund our operations in the United States and other geographies, and as and when we decide to repatriate such PTI, we may have to accrue additional taxes which will be recorded in accordance with local tax laws, rules and regulations in the relevant foreign jurisdictions. See Note 22 - Income Taxes to our consolidated financial statements contained herein.</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contributions to defined contribution plans in our consolidated statements of income in the period in which services are rendered by the covered employees. Current service costs for defined benefit plans are recognized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from our estimates, current service costs for defined benefit plans and our results of operations could be materially impacted.</w:t>
      </w:r>
    </w:p>
    <w:p>
      <w:pPr>
        <w:spacing w:after="0" w:line="17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include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 net”. See Note 20 - Employee Benefit Plans to our consolidated financial statements for details.</w:t>
      </w:r>
    </w:p>
    <w:p>
      <w:pPr>
        <w:spacing w:after="0" w:line="1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account for a lease at the inception of the contract. Operating leases are recorded in “Operating lease right-of-use assets”, “Current portion of operating lease liabilities” and “Operating lease liabilities, less current portion” in our consolidated balance sheets. Finance leases are recorded in “Property and equipment, net”, and the current and non-current portion of finance lease liabilities are presented within “Accrued expenses and other current liabilities” and “Other non-current liabilities,” respectively in our consolidated balance sheets.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during the lease term and lease liabilities represent our obligation to make lease payments arising from the lease arrangement. Operating lease ROU assets and liabilities are recognized at commencement date based on the present value of lease payments over the lease term. For leases in which the rate implicit in the lease is not readily determinable, we use our incremental borrowing rate at commencement date by adjusting the benchmark reference rates, applicable to the respective geographies where the leases are entered, with appropriate financing spreads and lease specific adjustments for the effects of collateral.</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Lease terms includes our assessment for the effects of options to extend or terminate the lease. We consider the extension option as part of our lease term for those lease arrangements where we are reasonably certain that we will exercise that option. Lease expense for operating lease arrangements is recognized on a straight-line basis over the lease term. We have lease agreements with lease and non-lease components, which are accounted for separately.</w:t>
      </w:r>
    </w:p>
    <w:p>
      <w:pPr>
        <w:spacing w:after="0" w:line="120"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We account for lease-related concessions to mitigate the economic effects of COVID-19 on lessees in accordance with guidance in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determine, on a lease-by-lease basis, whether the concession provided by lessor should be accounted for as a lease modification.</w:t>
      </w:r>
    </w:p>
    <w:p>
      <w:pPr>
        <w:spacing w:after="0" w:line="10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account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The lease liability is remeasured to reflect changes to the remaining lease payments and discount rates and we recognize the amount of the remeasurement of the lease liability as an adjustment to the ROU assets. However, if the carrying amount of the ROU assets is reduced to zero as a result of modification, any remaining amount of the remeasurement is recognized as an expense in our consolidated statements of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probability and whether an exposure is reasonably estimable, both.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2019 and 2018:</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56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5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958.4</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r>
      <w:tr>
        <w:trPr>
          <w:trHeight w:val="229"/>
        </w:trPr>
        <w:tc>
          <w:tcPr>
            <w:tcW w:w="56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623.9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23"/>
        </w:trPr>
        <w:tc>
          <w:tcPr>
            <w:tcW w:w="5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334.5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224.5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5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171"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Due to rounding, the numbers presented in the tables included in this Part II, Item 7,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360" w:right="10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year ended December 31, 2020 and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1"/>
        </w:trPr>
        <w:tc>
          <w:tcPr>
            <w:tcW w:w="4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40" w:type="dxa"/>
            <w:vAlign w:val="bottom"/>
            <w:tcBorders>
              <w:bottom w:val="single" w:sz="8" w:color="CCEEFF"/>
            </w:tcBorders>
          </w:tcPr>
          <w:p>
            <w:pPr>
              <w:spacing w:after="0"/>
              <w:rPr>
                <w:sz w:val="15"/>
                <w:szCs w:val="15"/>
                <w:color w:val="auto"/>
              </w:rPr>
            </w:pPr>
          </w:p>
        </w:tc>
        <w:tc>
          <w:tcPr>
            <w:tcW w:w="2220" w:type="dxa"/>
            <w:vAlign w:val="bottom"/>
            <w:tcBorders>
              <w:top w:val="single" w:sz="8" w:color="auto"/>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CCEEFF"/>
            </w:tcBorders>
          </w:tcPr>
          <w:p>
            <w:pPr>
              <w:spacing w:after="0"/>
              <w:rPr>
                <w:sz w:val="15"/>
                <w:szCs w:val="15"/>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for the year ended December 31, 2020 were $958.4 million, down $32.9 million, or 3.3%, compared to the year ended December 31, 2019. The revenue decline was primarily driven by lower volumes due to the impact of COVID-19, which was primarily related to clients adapting to the shift in our delivery capabilities from a physical to a virtual, work-from-home operating environment as well as economic uncertainty leading to lower volumes from some existing clients and causing delays in the execution and implementation of new client contracts, which impacted growth.</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Insurance of $4.6 million was primarily driven by lower volumes due to the impact of COVID-19, partially offset by expansion of business from certain existing clients aggregating to $3.4 million and a decline in revenues of $1.3 million attributable to the depreciation of the Indian rupee and South African ZAR against the U.S. dollar during the year ended December 31, 2020, compared to the year ended December 31, 2019. Insurance revenues were 35.7% and 34.9% of our total revenues during the year ended December 31, 2020 and 2019, respectively.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Healthcare of $3.7 million was primarily driven by expansion of business from our existing clients and new wins aggregating to $16.2 million, partially offset by our December 2019 wind-down of Health Integrated business revenues of $12.5 million during the year ended December 31, 2020. Healthcare revenues were 10.6% and 9.8% of our total revenues during the year ended December 31, 2020 and 2019, respectively.</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Emerging Business of $37.4 million was primarily driven by lower volumes due to the impact of COVID-19 and ramp-down of certain client contracts aggregating to $35.6 million, and a decline of $1.8 million attributable to the depreciation of the Indian rupee against the U.S. dollar during the year ended December 31, 2020, compared to the year ended December 31, 2019. Emerging Business revenues were 15.9% and 19.2% of our total revenues during the year ended December 31, 2020 and 2019, respectively.</w:t>
      </w:r>
    </w:p>
    <w:p>
      <w:pPr>
        <w:spacing w:after="0" w:line="126"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Revenue growth in Analytics of $5.4 million was attributable to our recurring and project-based engagements from our new and existing clients, partially offset by lower volumes due to the impact of COVID-19 aggregating to $5.4 million during the year ended December 31, 2020, compared to the year ended December 31, 2019. Analytics revenues were 37.8% and 36.0% of our total revenues during the year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vMerge w:val="continue"/>
          </w:tcPr>
          <w:p>
            <w:pPr>
              <w:spacing w:after="0"/>
              <w:rPr>
                <w:sz w:val="5"/>
                <w:szCs w:val="5"/>
                <w:color w:val="auto"/>
              </w:rPr>
            </w:pPr>
          </w:p>
        </w:tc>
        <w:tc>
          <w:tcPr>
            <w:tcW w:w="118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20" w:type="dxa"/>
            <w:vAlign w:val="bottom"/>
            <w:tcBorders>
              <w:top w:val="single" w:sz="8" w:color="auto"/>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cost of revenues was $623.9 million compared to $655.5 million for the year ended December 31, 2019, a decrease of $31.6 million, or 4.8%. Our gross margin for the year ended December 31, 2020 was 34.9% compared to 33.9% for year ended December 31, 2019, an increase of 100 basis points ("bps").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decrease in cost of revenues in Insurance of $6.7 million was primarily due to decreases in employee-related costs of $4.0 million, lower travel costs of $4.4 million and foreign exchange gain, net of hedging of $2.2 million. This was partially offset by higher infrastructure and technology costs of $3.3 million, primarily related to the work from home enablement and other operating costs of $0.6 million. Gross margin in Insurance increased by 110 bps during the year ended December 31, 2020 compared to the year ended December 31, 2019, primarily due to expansion in margin in certain existing clients, partially offset by COVID-19 related incremental expenses during the year ended December 31, 2020.</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Healthcare of $4.0 million was primarily due to decreases in employee-related costs of $3.1 million, lower travel costs of $0.5 million and foreign exchange gain, net of hedging of $0.4 million. Gross margin in Healthcare increased by 690 bps during the year ended December 31, 2020, compared to the year ended December 31, 2019, primarily due to lower margin in the Heath Integrated business during the year ended December 31, 2019, partially offset by COVID-19 related incremental expenses during the year ended December 31, 2020.</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Emerging Business of $19.1 million was primarily due to decreases in employee-related costs of $14.2 million, lower infrastructure and technology costs of $2.5 million, lower travel costs of $1.9 million and foreign exchange gain, net of hedging of $1.3 million, partially offset by higher other operating costs of $0.8 million. Gross margin in Emerging Business decreased by 150 bps during the year ended December 31, 2020, compared to the year ended December 31, 2019, primarily due to lower revenues and COVID-19 related incremental expenses.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Analytics of $1.8 million was primarily due to lower other operating costs of $6.7 million, lower travel costs of $4.6 million, foreign exchange gain, net of hedging of $2.2 million and lower infrastructure costs of $1.1 million. This was partially offset by an increase in employee-related costs of $10.5 million and technology costs of $2.3 million. Gross margin in Analytics increased by 140 bps during the year ended December 31, 2020, compared to the year ended December 31, 2019, primarily due to higher revenues and expansion in margin in certain existing clients.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SG&amp;A expenses of $24.7 million was primarily due to COVID-19 cost reduction measures, including the temporary reduction of the base salaries of our executive officers and certain other groups of employees. The decrease was driven by lower employee-related costs of $14.7 million, lower travel costs of $6.5 million, lower other operating costs of $2.2 million and foreign exchange gain, net of hedging of $1.3 million.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3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3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5"/>
              </w:rPr>
              <w:t>36.1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95"/>
              </w:rPr>
              <w:t>14.4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5"/>
              </w:rPr>
              <w:t>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(7.2)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5"/>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intangibles amortization expense of $7.2 million was primarily due to end of useful lives for certain intangible assets during the year ended December 31, 2020 compared to the year ended December 31, 2019. The increase in depreciation expense of $5.7 million was primarily due to depreciation related to our investments in new operating centers, internally developed software and accelerated depreciation resulting from a reduction in useful lives related to several operating centers, due to the impact of COVID-19.</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40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we recorded restructuring charges of $5.1 million and impairment charges of $3.6 million in connection with the wind-down of our Health Integrated business.</w:t>
      </w:r>
    </w:p>
    <w:p>
      <w:pPr>
        <w:spacing w:after="0" w:line="104"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$33.6 million, or 43.9%, from $76.4 million for the year ended December 31, 2019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$110.0 million for the year ended December 31, 2020, primarily due to lower SG&amp;A expenses of $24.7 million and impairment and restructuring charges of $8.7 million incurred in 2019. As a percentage of revenues, income from operations increased from 7.7% for the year ended December 31, 2019 to 11.5%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the movement of the U.S. dollar against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Indian rupee, the U.K. pound sterling, the Philippine peso, and the South African ZAR during the year ended December 31, 2020. The average exchange rate of the U.S. dollar against the Indian rupee increased from 70.36 during the year ended December 31, 2019 to 74.07 during the year ended December 31, 2020. The average exchange rate of the U.K. pound sterling against the U.S. dollar increased from 1.28 during the year ended December 31, 2019 to 1.29 during the year ended December 31, 2020. The average exchange rate of the U.S. dollar against the Philippine peso decreased from 51.57 during the year ended December 31, 2019 to 49.49 during the year ended December 31, 2020. The average exchange rate of the U.S. dollar against the South African ZAR increased from 14.43 during the year ended December 31, 2019 to 16.51 during the year ended December 31, 2020.</w:t>
      </w:r>
    </w:p>
    <w:p>
      <w:pPr>
        <w:spacing w:after="0" w:line="1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$4.4 million for the year ended December 31, 2020 compared to a net foreign exchange gain of $3.8 million for the year ended December 31, 2019.</w:t>
      </w:r>
    </w:p>
    <w:p>
      <w:pPr>
        <w:spacing w:after="0" w:line="10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decreased from $13.6 million for the year ended December 31, 2019 to $11.2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primarily due to repayments of borrowings leading to lower outstanding borrowings and lower effective interest rates of 2.3% under our Credit Facility during the year ended December 31, 2020, compared to 4.0% during the year ended December 31, 2019.</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1"/>
        </w:trPr>
        <w:tc>
          <w:tcPr>
            <w:tcW w:w="4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180" w:type="dxa"/>
            <w:vAlign w:val="bottom"/>
          </w:tcPr>
          <w:p>
            <w:pPr>
              <w:spacing w:after="0"/>
              <w:rPr>
                <w:sz w:val="15"/>
                <w:szCs w:val="15"/>
                <w:color w:val="auto"/>
              </w:rPr>
            </w:pPr>
          </w:p>
        </w:tc>
        <w:tc>
          <w:tcPr>
            <w:tcW w:w="2100" w:type="dxa"/>
            <w:vAlign w:val="bottom"/>
            <w:tcBorders>
              <w:top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8"/>
              </w:rPr>
              <w:t>(3.5)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w w:val="98"/>
              </w:rPr>
              <w:t>(4.4)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
        </w:trPr>
        <w:tc>
          <w:tcPr>
            <w:tcW w:w="4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Other income, net decreased by $4.4 million, from $16.5 million for the year ended December 31, 2019 to $12.1 million for the year ended December 31, 2020 primarily due to lower return on mutual fund investments of $3.5 million during the year ended December 31, 2020 compared to the year ended December 31, 2019 and recognition of other income of $0.8 million related to our Health Integrated business during the year ended December 31, 2019.</w:t>
      </w:r>
    </w:p>
    <w:p>
      <w:pPr>
        <w:spacing w:after="0" w:line="34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effective tax rate increased from 18.3% during the year ended December 31, 2019 to 22.2%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We recorded income tax expense of $25.6 million and $15.2 million for the year ended December 31, 2020 and 2019, respectively. The increase in income tax expense was primarily as a result of (i) higher profit during the year ended December 31, 2020 and (ii) recording of a one-time tax expense of $1.3 million due to electing a new tax regime for two of our Indian subsidiaries which provides for a lower tax rate on earnings in exchange for foregoing certain tax credits during the year ended December 31, 2020, compared to a benefit of $1.5 million recorded during the year ended December 31, 2019.</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increased from $67.7 million for the year ended December 31, 2019 to $89.5 million for the year ended December 31, 2020,</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primarily due to increase in income from operations of $33.6 million, lower interest expense of $2.4 million and higher foreign exchange gain, net of $0.6 million, partially offset by higher income tax expense of $10.4 million and decrease in other income, net of $4.4 million. As a percentage of revenues, net income increased from 6.8% during the year ended December 31, 2019 to 9.3%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Year Ended December 31, 2018</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year ended December 31, 2019 and 2018:</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7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4"/>
                <w:szCs w:val="4"/>
                <w:color w:val="auto"/>
              </w:rPr>
            </w:pPr>
          </w:p>
        </w:tc>
        <w:tc>
          <w:tcPr>
            <w:tcW w:w="1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220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346.4</w:t>
            </w:r>
          </w:p>
        </w:tc>
        <w:tc>
          <w:tcPr>
            <w:tcW w:w="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0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190.1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357.3</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285.3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991.3</w:t>
            </w:r>
          </w:p>
        </w:tc>
        <w:tc>
          <w:tcPr>
            <w:tcW w:w="9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883.1</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year ended December 31, 2019 were $991.3 million, up $108.2 million, or 12.3%, compared to the year ended December 31, 2018.</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$35.2 million was primarily driven by expansion of business from our existing clients and new wins aggregating to $38.6 million. This was partially offset by $3.4 million mainly attributable to the depreciation of the Australian dollar, Indian rupee, U.K. pound sterling and South African ZAR against the U.S. dollar during the year ended December 31, 2019 compared to the year ended December 31, 2018. Insurance revenues were 34.9% and 35.2% of our total revenues in 2019 and 2018, respectively.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Healthcare of $7.7 million was primarily driven by expansion of business from our existing clients and new wins aggregating to $12.9 million, partially offset by lower revenues from our Health Integrated business of $5.2 million. Healthcare revenues were 9.8% and 10.2% of our total revenues during the year ended December 31, 2019 compared to the year ended December 31, 2018, respectively.</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Emerging Business of $6.7 million was primarily driven by lower revenues from project based engagements and lower revenues from existing clients of $4.7 million. Further decline of $2.0 million was mainly due to the depreciation of the Indian rupee and U.K. pound sterling against the U.S. dollar during the year ended December 31, 2019 compared to the year ended December 31, 2018. Emerging Business revenues were 19.2% and 22.3% of our total revenues during the year ended December 31, 2019 compared to the year ended December 31, 2018, respectively.</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growth in Analytics of $72.0 million was primarily driven by our acquisition of SCIOinspire Holdings Inc. (“SCIO”), a health analytics solution and services company, in July 2018 and increase in revenues from our recurring and project-based engagements from our new and existing clients. This was partially offset by $1.0 million attributable to the depreciation of the U.K. pound sterling and Indian rupee against the U.S. dollar during the year ended December 31, 2019 compared to the year ended December 31, 2018. Analytics revenues were 36.0% and 32.3% of our total revenues during the year ended December 31, 2019 compared to the year ended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5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2"/>
            <w:vMerge w:val="continue"/>
          </w:tcPr>
          <w:p>
            <w:pPr>
              <w:spacing w:after="0"/>
              <w:rPr>
                <w:sz w:val="10"/>
                <w:szCs w:val="10"/>
                <w:color w:val="auto"/>
              </w:rPr>
            </w:pPr>
          </w:p>
        </w:tc>
        <w:tc>
          <w:tcPr>
            <w:tcW w:w="114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0"/>
                <w:szCs w:val="10"/>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238.6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77.1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108.6</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231.2</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655.5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cost of revenues was $655.5 million compared to $584.8 million for the year ended December 31, 2018, an increase of $70.7 million, or 12.1%. Our gross margin for the year ended December 31, 2019 was 33.9% compared to 33.8% for year ended December 31, 2018, an increase of 10 bps.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Insurance of $26.8 million was primarily due to an increase in employee-related costs of $24.3 million on account of higher headcount and wage inflation, increase in technology cost of $3.4 million and increase in infrastructure and travel cost of $2.9 million. This was partially offset by lower other operating costs of $1.1 million and foreign exchange gain, net of hedging of $2.7 million. Gross margin in Insurance decreased by 80 bps during the year ended December 31, 2019 compared to the year ended December 31, 2018, primarily due to higher operating expenses.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Healthcare of $6.7 million was primarily due to an increase in employee-related costs of $7.3 million and higher other operating costs of $0.4 million, partially offset by foreign exchange gain, net of hedging of $1.0 million. Gross margin in Healthcare decreased by 70 bps during the year ended December 31, 2019 compared to the year ended December 31, 2018, primarily due to higher operating expenses associated with the initiation of services for new and existing clients.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Emerging Business of $9.4 million was primarily due to decrease in employee-related costs of $4.2 million, lower infrastructure and travel cost of $3.2 million, lower other operating costs of $0.4 million, and foreign exchange gain, net of hedging of $1.6 million. Gross margin in Emerging Business increased by 280 bps during the year ended December 31, 2019 compared to the year ended December 31, 2018, primarily due to expansion in margin in certain new and existing clients.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Analytics of $46.6 million was primarily due to an increase in employee-related costs of $42.7 million on account of higher headcount and wage inflation, including incremental cost related to our acquisition of SCIO in July 2018. The remaining increase was attributable to other operating costs of $5.8 million, partially offset by foreign exchange gain, net of hedging of $1.9 million. Gross margin in Analytics during 2019 as compared to 2018 was flat.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SG&amp;A expenses of $18.9 million was primarily due to an increase in employee-related costs of $19.5 million, including incremental costs related to our SCIO acquisition in July 2018 and net increase in other operating costs of $1.0 million. This was partially offset by foreign exchange gain, net of hedging of $1.6 million.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0" w:lineRule="exact"/>
        <w:rPr>
          <w:sz w:val="20"/>
          <w:szCs w:val="20"/>
          <w:color w:val="auto"/>
        </w:rPr>
      </w:pP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88"/>
        </w:trPr>
        <w:tc>
          <w:tcPr>
            <w:tcW w:w="4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178"/>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depreciation expense of $2.2 million was due to depreciation related to our new operating centers to support our business growth and depreciation associated with our SCIO acquisition of $2.8 million. This was partially offset by currency movements, net of hedging of $0.6 million. The increase in intangibles amortization expense of $1.2 million was primarily due to amortization of intangibles associated with our SCIO acquisition in July 2018, partially offset by the impact of amortization of intangibles related to our Health Integrated acquisition, which were impaired during the fourth quarter of 2018.</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200" w:lineRule="exact"/>
        <w:rPr>
          <w:sz w:val="20"/>
          <w:szCs w:val="20"/>
          <w:color w:val="auto"/>
        </w:rPr>
      </w:pPr>
    </w:p>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220" w:type="dxa"/>
            <w:vAlign w:val="bottom"/>
            <w:gridSpan w:val="4"/>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220" w:type="dxa"/>
            <w:vAlign w:val="bottom"/>
            <w:gridSpan w:val="4"/>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86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0.9 %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we recorded restructuring charges of $5.1 million and impairment charges of $3.6 million in connection with the wind down of Health Integrated business within our Healthcare operating segment. During the year ended December 31, 2018, we recognized an impairment charge of $20.1 million to write down the carrying value of goodwill of $14.2 million and intangible assets of $5.9 million to their fair values related to our Health Integrated business. See Note 10 - Goodwill and Intangible Assets and Note 24 - Impairment and Restructuring Charges to our consolidated financial statements for details.</w:t>
      </w:r>
    </w:p>
    <w:p>
      <w:pPr>
        <w:spacing w:after="0" w:line="125"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from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from operations increased by $26.6 million, or 53.5%, from $49.8 million for the year ended December 31, 2018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$76.4 million for the year ended December 31, 2019. As a percentage of revenues, income from operations increased from 5.6% for the year ended December 31, 2018 to 7.7% for the year ended December 31, 2019.</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year ended December 31, 2019. The average exchange rate of the U.S. dollar against the Indian rupee increased from 68.48 during the year ended December 31, 2018 to 70.36 during the year ended December 31, 2019. The average exchange rate of the U.K. pound sterling against the U.S. dollar decreased from 1.33 during the year ended December 31, 2018 to 1.28 during the year ended December 31, 2019. The average exchange rate of the U.S. dollar against the Philippine peso decreased from 52.69 during the year ended December 31, 2018 to 51.57 during the year ended December 31, 2019.</w:t>
      </w:r>
    </w:p>
    <w:p>
      <w:pPr>
        <w:spacing w:after="0" w:line="13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$3.8 million for the year ended December 31, 2019 compared to the net foreign exchange gain of $4.8 million for the year ended December 31, 2018.</w:t>
      </w:r>
    </w:p>
    <w:p>
      <w:pPr>
        <w:spacing w:after="0" w:line="104" w:lineRule="exact"/>
        <w:rPr>
          <w:sz w:val="20"/>
          <w:szCs w:val="20"/>
          <w:color w:val="auto"/>
        </w:rPr>
      </w:pPr>
    </w:p>
    <w:p>
      <w:pPr>
        <w:ind w:right="4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from $7.2 million for the year ended December 31, 2018 to $13.6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primarily due to increase in average borrowings on account of issuance of convertible notes during the fourth quarter of 2018 and higher effective interest rates under our Credit Facility.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236"/>
        </w:trPr>
        <w:tc>
          <w:tcPr>
            <w:tcW w:w="4660" w:type="dxa"/>
            <w:vAlign w:val="bottom"/>
          </w:tcPr>
          <w:p>
            <w:pPr>
              <w:spacing w:after="0"/>
              <w:rPr>
                <w:sz w:val="20"/>
                <w:szCs w:val="20"/>
                <w:color w:val="auto"/>
              </w:rPr>
            </w:pPr>
          </w:p>
        </w:tc>
        <w:tc>
          <w:tcPr>
            <w:tcW w:w="22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88"/>
        </w:trPr>
        <w:tc>
          <w:tcPr>
            <w:tcW w:w="46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183"/>
        </w:trPr>
        <w:tc>
          <w:tcPr>
            <w:tcW w:w="4660" w:type="dxa"/>
            <w:vAlign w:val="bottom"/>
          </w:tcPr>
          <w:p>
            <w:pPr>
              <w:spacing w:after="0"/>
              <w:rPr>
                <w:sz w:val="15"/>
                <w:szCs w:val="15"/>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by $3.5 million, from $13.0 million for the year ended December 31, 2018 to $16.5 million for the year ended December 31, 2019 primarily due to a higher return on mutual fund investments of $3.0 million and an increase in interest and dividend income of $0.5 million.</w:t>
      </w:r>
    </w:p>
    <w:p>
      <w:pPr>
        <w:spacing w:after="0" w:line="11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The effective tax rate increased from 5.6% during the year ended December 31, 2018 to 18.3%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We recorded income tax expense of $15.2 million and $3.4 million for the year ended December 31, 2019 and 2018, respectively. The increase in income tax expense was primarily as a result of (i) recording of a one-time tax benefit of $6.3 million with respect to unused 2018 foreign branch income tax credits under regulations under the Internal Revenue Code of 1986, as amended, during the year ended December 31, 2018, (ii) recording of higher excess tax benefits related to stock awards of $7.2 million pursuant to ASU No. 2016-09 during the year ended December 31, 2018 compared to $2.3 million during the year ended December 31, 2019, (iii) lower tax expense of $3.1 million on account of impairment and restructuring charges recorded during the year December 31, 2018 compared to $0.9 million during the year ended December 31, 2019, partially offset by (iv) higher tax exemptions/incentives and a lower tax rate for qualifying Indian subsidiaries due to a change in legislation during the year ended December 31, 2019.</w:t>
      </w:r>
    </w:p>
    <w:p>
      <w:pPr>
        <w:spacing w:after="0" w:line="131"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increased from $56.7 million for the year ended December 31, 2018 to $67.6 million for the year ended December 31,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 in income from operations of $26.6 million and increase in other income, net of $3.5 million, partially offset by higher income tax expense of $11.8 million, higher interest expense of $6.4 million and lower foreign exchange gain, net of $1.0 million. As a percentage of revenues, net income increased from 6.4% during the year ended December 31, 2018 to 6.8% during the year ended December 31, 2019.</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financing activities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1"/>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2020 and 2019, we had $402.8 million and $321.4 million, respectively, in cash, cash equivalents and short-term investments, of which $335.3 million and $250.4 million, respectively, is located in foreign jurisdictions that upon distribution may be subject to withholding and other taxes. We periodically evaluate opportunities regarding distribution to fund our operations in the United States and other geographies, and as and when we decide to distribute, we may have to accrue additional taxes in accordance with local tax laws, rules and regulations in the relevant foreign jurisdictions.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$203.0 million for the year ended December 31, 2020, compared to $168.4 million for the year ended December 31, 2019, reflecting higher cash earnings along with lower working capital needs. The major drivers contributing to the increase of $34.6 million year-over-year included the following:</w:t>
      </w:r>
    </w:p>
    <w:p>
      <w:pPr>
        <w:spacing w:after="0" w:line="122" w:lineRule="exact"/>
        <w:rPr>
          <w:sz w:val="20"/>
          <w:szCs w:val="20"/>
          <w:color w:val="auto"/>
        </w:rPr>
      </w:pPr>
    </w:p>
    <w:p>
      <w:pPr>
        <w:jc w:val="both"/>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$21.8 million in 2020 compared to 2019, primarily due to an increase in income from operations of $33.6 million driven by lower operating expenses, offset by higher income tax expense of $10.4 million and lower other income, net of interest expense of $1.4 million.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including advance billings, contributed additional cash flow of $43.3 million in 2020 compared to 2019. The increase was a result of the higher collections of our accounts receivables and advance collections from certain customers. Our accounts receivable days sales outstanding improved to 53 days as of December 31, 2020 from 59 days as of December 31, 2019.</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accrued employee costs, accrued expenses and other liabilities contributed reduced cash flow of $40.5 million in 2020 compared to 2019. The decrease was primarily because of additional cash flow of $30.9 million due to higher annual performance incentives and accrued expenses in 2019 compared to reduced cash flow of $9.4 million from lower accrued expenses in 2020.</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drivers increasing cash flows in 2020 compared to 2019 included: income tax expense, net of advances and deferred taxes, of $8.6 million, primarily due to higher income tax provisions and timing of payments; and changes in various current assets and other assets aggregating to $1.4 million, primarily due to lower upfront payment to customers.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$168.4 million for the year ended December 31, 2019, compared to $92.4 million for the year ended December 31, 2018, reflecting higher cash earnings along with lower working capital needs. The major drivers contributing to the increase of $76.0 million year-over-year included the following:</w:t>
      </w:r>
    </w:p>
    <w:p>
      <w:pPr>
        <w:spacing w:after="0" w:line="135" w:lineRule="exact"/>
        <w:rPr>
          <w:sz w:val="20"/>
          <w:szCs w:val="20"/>
          <w:color w:val="auto"/>
        </w:rPr>
      </w:pPr>
    </w:p>
    <w:p>
      <w:pPr>
        <w:ind w:left="660" w:hanging="328"/>
        <w:spacing w:after="0" w:line="255"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Increase in net income of $10.9 million in 2019 compared to 2018, primarily due to an increase in income from operations of $26.6 million driven by growth in revenues, partially offset by higher income tax expense of $11.8 million and lower interest and other income of $3.9 million.</w:t>
      </w:r>
    </w:p>
    <w:p>
      <w:pPr>
        <w:spacing w:after="0" w:line="143"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accounts receivable, including advance billings, contributed additional cash flow of $14.6 million in 2019 compared to 2018. The increase was a result of the growth in our revenues (including revenues from our SCIO acquisition in July 2018) and higher collections of our accounts receivable. As a result, our accounts receivable days sales outstanding improved to 59 days in 2019 from 62 days in 2018.</w:t>
      </w:r>
    </w:p>
    <w:p>
      <w:pPr>
        <w:spacing w:after="0" w:line="147"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Increases in accrued employee costs, accrued expenses and other liabilities contributed additional cash flow of $30.9 million in 2019 compared to 2018, primarily resulting from higher annual performance incentives and other employee costs accruals of $15.6 million, higher accrued expenses of $8.2 million due to an increase in our cost base to support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growth, and lower cash outflows in client liabilities of $4.3 million due to lower funds held on behalf of our clients.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drivers increasing operating cash flows in 2019 compared to 2018 included: income tax expense, net of advances and deferred taxes, of $9.6 million, primarily due to higher income tax provisions and timing of payments; and changes in various current assets and other assets aggregating to $10.3 million, primarily due to higher recovery of our receivables from statutory authorities in 2019 compared to 2018.</w:t>
      </w:r>
    </w:p>
    <w:p>
      <w:pPr>
        <w:spacing w:after="0" w:line="12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were $18.3 million for the year ended December 31, 2020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investing activities of $51.4 million for the year ended December 31, 2019. The decrease is mainly due to net redemption of investments of $23.7 million during the year ended December 31, 2020 as compared to net purchase of investments of $11.0 million during the year ended December 31, 2019. This was partially offset by higher capital expenditures for purchase of long-lived assets, including investments in infrastructure, technology assets, software and product developments of $0.9 million and acquisition of additional stake in our equity affiliate of $0.7 million during the year ended December 31, 2020 compared to the year ended December 31, 2019.</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flows used for investing activities were $51.4 million for the year ended December 31, 2019 as compared to cash flows used for investing activities of $277.5 million for the year ended December 31, 2018. The decrease is mainly due to higher cash used for the SCIO acquisition of $231.8 million during the year ended December 31, 2018. This was partially offset by net higher purchase of investments of $11.0 million during the year ended December 31, 2019 as compared to net purchase of investments of $5.2 million during the year ended December 31, 2018.</w:t>
      </w:r>
    </w:p>
    <w:p>
      <w:pPr>
        <w:spacing w:after="0" w:line="12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for financing activities were $89.6 million during the year ended December 31, 2020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used for financing activities of $93.1 million during the year ended December 31, 2019. The decrease in cash flows used for financing activities was primarily due to net repayment of $10.9 million (net of proceeds) under our revolving Credit Facility (as described below in “Financing Arrangements (Debt Facility and Notes)-Credit Agreement”) during the year ended December 31, 2020 as compared to net repayments of $52.2 million during the year ended December 31, 2019, higher proceeds received from exercise of stock options by $0.5 million, partially offset by higher purchases of treasury stock by $38.6 million under our share Repurchase Programs during the year ended December 31, 2020 as compared to the year ended December 31, 2019.</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flows used for financing activities were $93.1 million during the year ended December 31, 2019 as compared to cash flows provided by financing activities of $197.8 million during the year ended December 31, 2018. The decrease in cash flows provided from financing activities was primarily due to higher net borrowings of $240.4 million (net of repayment) under our revolving Credit Facility and Convertible Notes (as described below in “Financing Arrangements (Debt Facility and Notes)-Credit Agreement and Convertible Senior Notes”) during the year ended December 31, 2018 as compared to net repayments (net of proceeds) of $52.2 million during the year ended December 31, 2019. This was partially offset by lower purchases of treasury stock by $1.7 million under our share Repurchase Programs during the year ended December 31, 2019 as compared to the year ended December 31, 2018.</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$42.2 million of capital expenditures in the year ended December 31, 2020. We expect to incur total capital expenditures of between $35.0 million to $40.0 million in 2021, primarily to meet our growth requirements, including additions to our facilities as well as investments in technology applications, product development, digital technology, advanced automation, robotics and infrastructure.</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(see Note 26 - Commitments and Contingencies to our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to enhance our liquidity position in response to COVID-19, management has taken certain precautionary measures, including: drawing $100.0 million from our line of credit under our Credit Agreement on March 12, 2020, the proceeds of which were available for working capital, general corporate or other purposes as needed, and which was repaid in full on April 20, 2020; and electing to temporarily suspend share repurchases under our 2019 Repurchase Program, and other cost reduction measures related to employee and vendor expenses and capital expenditure plans. The 2019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 Program remains authorized by the Board of Directors and the management using its discretion has resumed share repurchases effective July 1, 2020, considering improved market conditions, our capital needs and other factors. However, there is no assurance that the impacts we have experienced to date, and any future impact we may experience, from COVID-19 will not have an adverse effect on our cash flows.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allows employers to defer the payment of the employer share of Federal Insurance Contributions Act (“FICA”) taxes for the period from April 1, 2020 and ending December 31, 2020. As of December 31, 2020, we deferred our contributions to FICA of $6.3 million under the CARES Act. The deferred amount will be payable as follows: (1) 50% of the deferred amount will be paid on December 31, 2021 and (2) the remaining 50% of the deferred amount will be paid on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 and Notes)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our debt balances as of December 31,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6"/>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dollars in millions)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26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80" w:type="dxa"/>
            <w:vAlign w:val="bottom"/>
          </w:tcPr>
          <w:p>
            <w:pPr>
              <w:spacing w:after="0"/>
              <w:rPr>
                <w:sz w:val="11"/>
                <w:szCs w:val="11"/>
                <w:color w:val="auto"/>
              </w:rPr>
            </w:pP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Facility</w:t>
            </w:r>
          </w:p>
        </w:tc>
        <w:tc>
          <w:tcPr>
            <w:tcW w:w="2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7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89.0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138.0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227.0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b w:val="1"/>
          <w:bCs w:val="1"/>
          <w:color w:val="auto"/>
        </w:rPr>
        <w:t>As of December 31, 2019</w:t>
      </w:r>
    </w:p>
    <w:p>
      <w:pPr>
        <w:spacing w:after="0" w:line="2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dollars in millions)</w:t>
      </w:r>
    </w:p>
    <w:p>
      <w:pPr>
        <w:sectPr>
          <w:pgSz w:w="11900" w:h="16838" w:orient="portrait"/>
          <w:cols w:equalWidth="0" w:num="1">
            <w:col w:w="11240"/>
          </w:cols>
          <w:pgMar w:left="320" w:top="360" w:right="339" w:bottom="1440" w:gutter="0" w:footer="0" w:header="0"/>
        </w:sect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Current portion of long-term borrowings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borrowings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81"/>
              <w:spacing w:after="0" w:line="12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15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Structured Payables</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Notes</w:t>
            </w: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360" w:type="dxa"/>
            <w:vAlign w:val="bottom"/>
            <w:vMerge w:val="restart"/>
          </w:tcPr>
          <w:p>
            <w:pPr>
              <w:jc w:val="right"/>
              <w:ind w:right="401"/>
              <w:spacing w:after="0" w:line="162" w:lineRule="exact"/>
              <w:rPr>
                <w:sz w:val="20"/>
                <w:szCs w:val="20"/>
                <w:color w:val="auto"/>
              </w:rPr>
            </w:pPr>
            <w:r>
              <w:rPr>
                <w:rFonts w:ascii="Times New Roman" w:cs="Times New Roman" w:eastAsia="Times New Roman" w:hAnsi="Times New Roman"/>
                <w:sz w:val="16"/>
                <w:szCs w:val="16"/>
                <w:b w:val="1"/>
                <w:bCs w:val="1"/>
                <w:color w:val="auto"/>
              </w:rPr>
              <w:t>Facility</w:t>
            </w:r>
          </w:p>
        </w:tc>
        <w:tc>
          <w:tcPr>
            <w:tcW w:w="15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40.0</w:t>
            </w: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0.9</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0" w:type="dxa"/>
            <w:vAlign w:val="bottom"/>
          </w:tcPr>
          <w:p>
            <w:pPr>
              <w:spacing w:after="0"/>
              <w:rPr>
                <w:sz w:val="1"/>
                <w:szCs w:val="1"/>
                <w:color w:val="auto"/>
              </w:rPr>
            </w:pPr>
          </w:p>
        </w:tc>
      </w:tr>
      <w:tr>
        <w:trPr>
          <w:trHeight w:val="45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59.0</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-749935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-433070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-140970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780" w:space="720"/>
            <w:col w:w="574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135.1</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194.1</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p>
        </w:tc>
      </w:tr>
    </w:tbl>
    <w:p>
      <w:pPr>
        <w:spacing w:after="0" w:line="14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*Unamortized debt issuance costs for our revolving Credit Facility of $0.5 million and $0.7 million as of December 31, 2020 and December 31, 2019, respectively, is presented under “Other current assets” and “Other assets” in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our July 2018 acquisition of SCIO.</w:t>
      </w:r>
    </w:p>
    <w:p>
      <w:pPr>
        <w:spacing w:after="0" w:line="13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our total net leverage ratio and ranges from 0% to 0.75% per annum with respect to loans pegged to the specified prime rate,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1.00% to 1.75% per annum on loans pegged to the adjusted LIBO rate. The revolving credit commitments under the Credit Agreement are subject to a commitment fee which is also tied to our total net leverage ratio, and ranges from 0.15% to 0.30% per annum on the average daily amount by which the aggregate revolving commitments exceed the sum of outstanding revolving loans and letter of credit obligations. See Part I, Item 1A, “Risk Factors” under “Risks Related to Our Indebtedness - We may be required to transition from the use of the LIBOR interest rate index in the future. We could be unable to refinance our outstanding indebtedness on reasonable terms or at all.”</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revolving Credit Facility carried an effective interest rate as shown below:-</w:t>
      </w:r>
    </w:p>
    <w:p>
      <w:pPr>
        <w:spacing w:after="0" w:line="214"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Credit Agreement are guaranteed by our material domestic subsidiaries and are secured by all or substantially all of our assets and that of our material domestic subsidiaries. The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December 31, 2020, we were in compliance with all financial and non-financial covenants listed under the Credit Agreement.</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entered into a second amendment (the “Amendment”) to our Credit Agreement,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dated as of October 4, 2018 and the other documents entered into in connection therewith.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 2018, we entered into an investment agreement (the “Investment Agreement”) with Orogen Echo LLC (the “Purchaser”), an affiliate of The Orogen Group LLC, relating to the issuance to the Purchaser of $150.0 million in an aggregate principal amount of 3.50% per annum Convertible Senior Notes due October 1, 2024 (the “Notes”). The Notes were issued on October 4, 2018. The Notes bear interest at a rate of 3.50% per annum, payable semi-annually in arrears in cash on April 1 and October 1 of each year.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redemption).We may elect to settle conversions of the Notes by paying or delivering, as the case may be, cash, shares of our common stock or a combination of cash and shares of our common stock. We presently intend and have the ability to settle the principal amount of the Notes in cash. In 2018, we used the proceeds from the issuance of the Notes to repay $150.0 million of our outstanding borrowings under the Credit Facility.</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per annum. The excess of the gross proceeds received over the estimated fair value of the liability component totaling $16.9 million,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2020 and 2019, we recognized interest expense and amortization of debt discount, on the Notes as below:</w:t>
      </w:r>
    </w:p>
    <w:p>
      <w:pPr>
        <w:spacing w:after="0" w:line="18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the Notes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on the Notes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December 31, 2020 and 2019, we had outstanding letters of credit of $0.5 million, each, that were not recognized 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2020:</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4"/>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1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0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Principal payments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30"/>
        </w:trPr>
        <w:tc>
          <w:tcPr>
            <w:tcW w:w="40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23"/>
                <w:szCs w:val="23"/>
                <w:color w:val="auto"/>
                <w:vertAlign w:val="superscript"/>
              </w:rPr>
              <w:t>(e)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undiscounted operating lease liabilities payable over the lease term.</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employee benefit payments under the Gratuity Plan.</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intent and ability to settle the principal amount of our Notes of $150 million in cash and does not reflect any assumptions about our ability or intent to settle the Notes before their maturity.</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borrowings is calculated based on the interest rate on the outstanding borrowings as of December 31, 2020.</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$0.9 million related to uncertain tax positions, since the extent of the amount and timing of payment is currently not reliably estimable or determinable.</w:t>
      </w:r>
    </w:p>
    <w:p>
      <w:pPr>
        <w:spacing w:after="0" w:line="10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Software Technology Parks of India (“STPI”) or Special Economic Zone ("SEZ")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Philippine Economic Zone Authority (“PEZA”).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56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171"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Our exposure to market risk arises principally from exchange rate risk. Our revenues are primarily denominated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 representing 88.1% of our total revenues and the U.K. pound sterling representing 8.3% of our total revenues in the year ended December 31, 2020. However, a significant portion of our total expenses are incurred and paid in Indian rupee and the Philippine peso representing 27.2% and 11.5% respectively, of our total expenses in the year ended December 31, 2020. We also incur expenses in the U.S. dollar and currencies of other countries in which we have operations. The exchange rates among the Indian rupee, the Philippine peso and the U.S. dollar have changed substantially in recent years and may fluctuate substantially in the future.</w:t>
      </w:r>
    </w:p>
    <w:p>
      <w:pPr>
        <w:spacing w:after="0" w:line="13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exchange rate risk primarily arises from our foreign currency revenues, expenses incurred by our foreign subsidiaries and foreign currency accounts receivable and payable. The average exchange rate of the Indian rupee against the U.S. dollar increased from 70.36 during the year ended December 31, 2019 to 74.07 during the year ended December 31, 2020, representing a depreciation of 5.3%. The average exchange rate of the Philippine peso against the U.S. dollar decreased from 51.57 during the year ended December 31, 2019 to 49.49 during the year ended December 31, 2020, representing an appreciation of 4.0%. Based upon our level of operations during the year ended December 31, 2020 and excluding any hedging arrangements that we had in place during that period, a 10% appreciation/depreciation in the Indian rupee against the U.S. dollar would have increased/decreased our revenues by approximately $6.2 million and increased/decreased our expenses incurred and paid in Indian rupees by approximately $23.0 million in the year ended December 31, 2020. Similarly, a 10% appreciation/depreciation in the Philippine peso against the U.S. dollar would have increased/decreased our revenues by approximately $0.2 million and increased/decreased our expenses incurred and paid in Philippine peso by approximately $9.7 million in the year ended December 31, 2020.</w:t>
      </w:r>
    </w:p>
    <w:p>
      <w:pPr>
        <w:spacing w:after="0" w:line="14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the Philippine peso foreign exchange currency risks. In addition, any such contracts may not perform adequately as a hedging mechanism. We may, in the future, adopt more active hedging policies, and have done so in the past.</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12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Cash flow hedges with notional amounts of $451.9 million and $410.4 million (including $4.3 million of range forward contracts) were outstanding as at December 31, 2020 and 2019, respectively, with maturity periods of one to forty five-months. The mark-to-market gain, net upon fair valuation of these cash flow hedges as of December 31, 2020 and 2019 was $16.5 million and $4.6 million, respectively, and is included in “Accumulated other comprehensive loss” on our consolidated balance sheets. During the year ended December 31, 2020, we recognized $2.3 million as a foreign exchange gain from the maturing cash flow hedges, which was largely offset by the foreign exchange loss on the related expenses of $2.5 million. The net impact on earnings for the year ended December 31, 2020 from the maturing cash flow hedges was insignificant, offset by an insignificant foreign currency impact on the related expenses.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4"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 xml:space="preserve">We also enter into foreign currency forward contracts to economically hedge our intercompany balances and other monetary assets and liabilities denominated in currencies other than functional currencies. These derivatives do not qualify as fair value hedges under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Changes in the fair value of these derivatives are recognized in our consolidated statements of income and are included in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net”. These derivative instruments mitigate balance sheet risk due to exchange rate movements because gains and losses on the settlement of these derivatives are intended to offset revaluation losses and gains on the foreign currency denominated monetary assets and monetary liabilities being hedged. Forward exchange contracts with notional amounts of USD 143.4 million, GBP 6.8 million, EUR 2.4 million and COP 8,288.0 million were outstanding as</w:t>
      </w:r>
    </w:p>
    <w:p>
      <w:pPr>
        <w:spacing w:after="0" w:line="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 December 31, 2020 compared to USD 124.0 million, GBP 10.8 million and EUR 1.3 million outstanding at December 31, 2019. The fair values of these derivative instruments as of December 31, 2020 and 2019 were insignificant in both year and are included in the “Foreign exchange gain, net” in our consolidated statements of income. As of December 31, 2020, the outstanding derivative instruments had maturities of 31 days or less except for the COP contract which has a remaining maturity of 62 days.</w:t>
      </w:r>
    </w:p>
    <w:p>
      <w:pPr>
        <w:spacing w:after="0" w:line="121"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described in Part II, Item 7, “Management’s Discussion and Analysis of Financial Condition and Results of Operations,”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21, 2017 we entered into the Credit Agreement that provides for a $200.0 million revolving credit facility and a letter of credit sub-facility. We have an option to increase the commitments under the Credit Facility by up to an additional $100.0 million. On July 2, 2018, we exercised our option under the Credit Agreement to increase the commitments to $300.0 million. The Credit Facility has a maturity date of November 21, 2022 and is voluntarily pre-payable from time to time without premium or penalty.</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Depending on the type of borrowing, loans under the Credit Facility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0.15% to 0.30% per annum on the average daily amount by which the aggregate revolving commitments exceed the sum of outstanding revolving loans and letter of credit obligations. A 50 basis point increase or decrease in interest rates may impact our interest expense for the year ended December 31, 2020 by approximately $0.5 million. See Part I, Item 1A, “Risk Factors” under “Risks Related to Our Indebtedness-We may be required to transition from the use of the LIBOR interest rate index in the future. We could be unable to refinance our outstanding indebtedness on reasonable terms or at all.”</w:t>
      </w:r>
    </w:p>
    <w:p>
      <w:pPr>
        <w:spacing w:after="0" w:line="13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October 2018, we issued the Notes with an aggregate principal amount of $150.0 million (see Note 18 - Borrowings to our consolidated financial statements). The Notes bear interest at a fixed rate, so we have no financial statement impact from changes in interest rates. However, changes in market interest rates impact the fair value of the Notes along with other variables such as our credit spreads and the market price and volatility of our common stock.</w:t>
      </w:r>
    </w:p>
    <w:p>
      <w:pPr>
        <w:spacing w:after="0" w:line="12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had cash, cash equivalents and short-term investments totaling $402.8 million and $321.4 million at December 31, 2020 and 2019, respectively. These amounts were invested principally in a short-term investment portfolio primarily comprised of highly-rated debt mutual funds, money market accounts and time deposits. The cash and cash equivalents are held for potential acquisitions of complementary businesses or assets, capital expenditures,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and dividend income for the year ended December 31, 2020 by approximately $0.9 million.</w:t>
      </w:r>
    </w:p>
    <w:p>
      <w:pPr>
        <w:spacing w:after="0" w:line="13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2020 and 2019, we have accounts receivable of $147.6 million and $171.9 million, respectively. We believe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accounts receivable balance as on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6" w:lineRule="exact"/>
        <w:rPr>
          <w:sz w:val="20"/>
          <w:szCs w:val="20"/>
          <w:color w:val="auto"/>
        </w:rPr>
      </w:pPr>
    </w:p>
    <w:p>
      <w:pPr>
        <w:ind w:right="660" w:firstLine="445"/>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is found at Part IV, Item 15, “Exhibits and Financial Statement Schedules.”</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2020. Based upon that evaluation, the CEO and CFO have concluded that the Company’s disclosure controls and procedures, as of December 31, 2020, were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Financial Statements</w:t>
      </w:r>
    </w:p>
    <w:p>
      <w:pPr>
        <w:spacing w:after="0" w:line="175"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12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the authorization of our management and our board of directors;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assessed the effectiveness of our internal control over financial reporting as of December 31, 2020. In making this assessment, management used the criteria described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w:t>
      </w:r>
      <w:r>
        <w:rPr>
          <w:rFonts w:ascii="Times New Roman" w:cs="Times New Roman" w:eastAsia="Times New Roman" w:hAnsi="Times New Roman"/>
          <w:sz w:val="18"/>
          <w:szCs w:val="18"/>
          <w:color w:val="auto"/>
        </w:rPr>
        <w:t>” issued by the Committee of Sponsoring Organizations of the Treadway Commission (2013 Framework).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2020. See Deloitte &amp; Touche LLP’s accompanying report on their audit of our internal controls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2020,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6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additional information required by this Item 10 will be set forth in the definitive proxy statement for our 2021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 of December 31, 2020.</w:t>
      </w:r>
    </w:p>
    <w:p>
      <w:pPr>
        <w:spacing w:after="0" w:line="3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2020”, “— Grants of Plan-Based Awards Table for Fiscal Year 2020”, “Outstanding Equity Awards at Fiscal 2020 Year-End”, “Option Exercises and Stock Vested During Fiscal Year 2020”, “— Pension Benefits for Fiscal Year 2020”, “— Potential Payments upon Termination or Change in Control at Fiscal 2020 Year-End”, “— Director Compensation for Fiscal Year 2020”, “— Risk and Compensation Policies” and “Corporate Governance —Compensation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“Principal Stockholders”.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75"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171"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in the Annual Report on Form 10-K are listed on page F-1 hereof. The required financial statements appear on pages F-5 through F-63 hereof.</w:t>
      </w:r>
    </w:p>
    <w:p>
      <w:pPr>
        <w:spacing w:after="0" w:line="108" w:lineRule="exact"/>
        <w:rPr>
          <w:sz w:val="20"/>
          <w:szCs w:val="20"/>
          <w:color w:val="auto"/>
        </w:rPr>
      </w:pPr>
    </w:p>
    <w:p>
      <w:pPr>
        <w:ind w:left="820" w:hanging="407"/>
        <w:spacing w:after="0"/>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10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15(a)(3) above.</w:t>
      </w:r>
    </w:p>
    <w:p>
      <w:pPr>
        <w:spacing w:after="0" w:line="1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85" w:lineRule="exact"/>
        <w:rPr>
          <w:sz w:val="20"/>
          <w:szCs w:val="20"/>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8"/>
          <w:szCs w:val="18"/>
          <w:color w:val="auto"/>
        </w:rPr>
        <w:t>Date: February 25, 2021</w:t>
      </w:r>
      <w:r>
        <w:rPr>
          <w:sz w:val="20"/>
          <w:szCs w:val="20"/>
          <w:color w:val="auto"/>
        </w:rPr>
        <w:tab/>
      </w:r>
      <w:r>
        <w:rPr>
          <w:rFonts w:ascii="Times New Roman" w:cs="Times New Roman" w:eastAsia="Times New Roman" w:hAnsi="Times New Roman"/>
          <w:sz w:val="17"/>
          <w:szCs w:val="17"/>
          <w:b w:val="1"/>
          <w:bCs w:val="1"/>
          <w:color w:val="auto"/>
        </w:rPr>
        <w:t>EXLSERVICE HOLDINGS, INC.</w:t>
      </w:r>
    </w:p>
    <w:p>
      <w:pPr>
        <w:spacing w:after="0" w:line="278" w:lineRule="exact"/>
        <w:rPr>
          <w:sz w:val="20"/>
          <w:szCs w:val="20"/>
          <w:color w:val="auto"/>
        </w:rPr>
      </w:pPr>
    </w:p>
    <w:p>
      <w:pPr>
        <w:ind w:left="492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29210</wp:posOffset>
            </wp:positionV>
            <wp:extent cx="36087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540"/>
        <w:spacing w:after="0" w:line="20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554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2"/>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400" w:type="dxa"/>
            <w:vAlign w:val="bottom"/>
            <w:gridSpan w:val="3"/>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6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OHIT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APOOR</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Vice-Chairman and 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Rohit Kapoor</w:t>
            </w:r>
          </w:p>
        </w:tc>
        <w:tc>
          <w:tcPr>
            <w:tcW w:w="440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4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96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AURIZIO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ICOLELLI</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Maurizio Nicolelli</w:t>
            </w:r>
          </w:p>
        </w:tc>
        <w:tc>
          <w:tcPr>
            <w:tcW w:w="440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6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40" w:type="dxa"/>
            <w:vAlign w:val="bottom"/>
            <w:tcBorders>
              <w:bottom w:val="single" w:sz="8" w:color="auto"/>
            </w:tcBorders>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TAGLIN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Garen K. Staglin</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B. K</w:t>
            </w:r>
            <w:r>
              <w:rPr>
                <w:rFonts w:ascii="Times New Roman" w:cs="Times New Roman" w:eastAsia="Times New Roman" w:hAnsi="Times New Roman"/>
                <w:sz w:val="14"/>
                <w:szCs w:val="14"/>
                <w:color w:val="auto"/>
              </w:rPr>
              <w:t>ELSO</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David B. Kelso</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9"/>
              </w:rPr>
              <w:t>/S/</w:t>
            </w: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EBORAH</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ERR</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Deborah Kerr</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NNE 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INTO</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Anne E. Minto</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right="15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ITTAL</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Som Mittal</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62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40" w:type="dxa"/>
            <w:vAlign w:val="bottom"/>
            <w:tcBorders>
              <w:bottom w:val="single" w:sz="8" w:color="auto"/>
            </w:tcBorders>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8"/>
              </w:rPr>
              <w:t>C</w:t>
            </w:r>
            <w:r>
              <w:rPr>
                <w:rFonts w:ascii="Times New Roman" w:cs="Times New Roman" w:eastAsia="Times New Roman" w:hAnsi="Times New Roman"/>
                <w:sz w:val="14"/>
                <w:szCs w:val="14"/>
                <w:color w:val="auto"/>
                <w:w w:val="98"/>
              </w:rPr>
              <w:t>LYDE</w:t>
            </w:r>
            <w:r>
              <w:rPr>
                <w:rFonts w:ascii="Times New Roman" w:cs="Times New Roman" w:eastAsia="Times New Roman" w:hAnsi="Times New Roman"/>
                <w:sz w:val="18"/>
                <w:szCs w:val="18"/>
                <w:color w:val="auto"/>
                <w:w w:val="98"/>
              </w:rPr>
              <w:t xml:space="preserve"> W. O</w:t>
            </w:r>
            <w:r>
              <w:rPr>
                <w:rFonts w:ascii="Times New Roman" w:cs="Times New Roman" w:eastAsia="Times New Roman" w:hAnsi="Times New Roman"/>
                <w:sz w:val="14"/>
                <w:szCs w:val="14"/>
                <w:color w:val="auto"/>
                <w:w w:val="98"/>
              </w:rPr>
              <w:t>STLER</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Clyde W. Ostler</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6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40" w:type="dxa"/>
            <w:vAlign w:val="bottom"/>
            <w:tcBorders>
              <w:bottom w:val="single" w:sz="8" w:color="auto"/>
            </w:tcBorders>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IKRAM</w:t>
            </w:r>
            <w:r>
              <w:rPr>
                <w:rFonts w:ascii="Times New Roman" w:cs="Times New Roman" w:eastAsia="Times New Roman" w:hAnsi="Times New Roman"/>
                <w:sz w:val="18"/>
                <w:szCs w:val="18"/>
                <w:color w:val="auto"/>
              </w:rPr>
              <w:t xml:space="preserve"> S. P</w:t>
            </w:r>
            <w:r>
              <w:rPr>
                <w:rFonts w:ascii="Times New Roman" w:cs="Times New Roman" w:eastAsia="Times New Roman" w:hAnsi="Times New Roman"/>
                <w:sz w:val="14"/>
                <w:szCs w:val="14"/>
                <w:color w:val="auto"/>
              </w:rPr>
              <w:t>ANDIT</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Vikram S. Pandit</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4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RISTY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IPES</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Kristy Pipes</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ITIN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AHNEY</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Nitin Sahney</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60" w:type="dxa"/>
            <w:vAlign w:val="bottom"/>
            <w:tcBorders>
              <w:bottom w:val="single" w:sz="8" w:color="auto"/>
            </w:tcBorders>
            <w:gridSpan w:val="5"/>
          </w:tcPr>
          <w:p>
            <w:pPr>
              <w:jc w:val="center"/>
              <w:ind w:right="102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AYNIE</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TUDENMUND</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25, 2021</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960" w:type="dxa"/>
            <w:vAlign w:val="bottom"/>
            <w:gridSpan w:val="5"/>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Jaynie M. Studenmund</w:t>
            </w: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80" w:type="dxa"/>
            <w:vAlign w:val="bottom"/>
            <w:gridSpan w:val="18"/>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420" w:type="dxa"/>
            <w:vAlign w:val="bottom"/>
          </w:tcPr>
          <w:p>
            <w:pPr>
              <w:spacing w:after="0"/>
              <w:rPr>
                <w:sz w:val="24"/>
                <w:szCs w:val="24"/>
                <w:color w:val="auto"/>
              </w:rPr>
            </w:pPr>
          </w:p>
        </w:tc>
        <w:tc>
          <w:tcPr>
            <w:tcW w:w="1076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tc>
      </w:tr>
      <w:tr>
        <w:trPr>
          <w:trHeight w:val="31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24"/>
                <w:szCs w:val="24"/>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Agreement of Merger, dated April 28, 2018, by and among ExlService.com, LLC, ExlService Cayman Merger Sub, and SCIOInspire</w:t>
              </w:r>
            </w:hyperlink>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100" w:type="dxa"/>
            <w:vAlign w:val="bottom"/>
            <w:gridSpan w:val="23"/>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Holdings Inc. (incorporated by reference to Exhibit 2.1 of the Company’s Current Report on Form 8-K (File No. 1-33089) filed on May 1,</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92">
              <w:r>
                <w:rPr>
                  <w:rFonts w:ascii="Times New Roman" w:cs="Times New Roman" w:eastAsia="Times New Roman" w:hAnsi="Times New Roman"/>
                  <w:sz w:val="18"/>
                  <w:szCs w:val="18"/>
                  <w:color w:val="0000FF"/>
                  <w:w w:val="94"/>
                </w:rPr>
                <w:t>2018).</w:t>
              </w:r>
            </w:hyperlink>
          </w:p>
        </w:tc>
        <w:tc>
          <w:tcPr>
            <w:tcW w:w="2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Certificate of Incorporation of the Company (incorporated by reference to Exhibit 3.1 of the Company’s Current</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Report on Form 8-K (File No. 1-33089) filed on October 25, 2006).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Certificate of Amendment to Amended and Restated Certificate of Incorporation of the Company (incorporated by reference to Annex A to</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the Company’s Definitive Proxy Statement on Schedule 14A (File No. 1-33089) filed on April 26, 2019).</w:t>
              </w:r>
            </w:hyperlink>
          </w:p>
        </w:tc>
        <w:tc>
          <w:tcPr>
            <w:tcW w:w="24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Fifth Amended and Restated By-laws of the Company (incorporated by reference to Exhibit 3.2 of the Company’s Current Report on Form</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8-K (File No. 1-33089) filed on June 19,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Registration Rights Agreement (incorporated by reference to Exhibit 4.1 of the Company’s Current Report on Form 8-K (File No. 1-33089)</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filed on October 25, 2006).</w:t>
              </w:r>
            </w:hyperlink>
          </w:p>
        </w:tc>
        <w:tc>
          <w:tcPr>
            <w:tcW w:w="81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Indenture, dated as of October 4, 2018, by and between the Company and Citibank, N.A., as trustee (incorporated by reference to Exhibit</w:t>
              </w:r>
            </w:hyperlink>
          </w:p>
        </w:tc>
      </w:tr>
      <w:tr>
        <w:trPr>
          <w:trHeight w:val="155"/>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 No. 1-33089) filed on October 4, 2018).</w:t>
              </w:r>
            </w:hyperlink>
          </w:p>
        </w:tc>
        <w:tc>
          <w:tcPr>
            <w:tcW w:w="29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Description of Common Stock (incorporated by reference to Exhibit 4.3 to the Company’s Annual Report on Form 10-K (File No. 1-33089)</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filed on February 27, 2020).</w:t>
              </w:r>
            </w:hyperlink>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Employment and Non-Competition Agreement, dated as of September 19, 2017 between ExlService Holdings, Inc.</w:t>
              </w:r>
            </w:hyperlink>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Rohit Kapoor, dated as of September 19, 2017 (incorporated by reference to Exhibit 10.1 to the Company’s Quarterly Report on Form</w:t>
              </w:r>
            </w:hyperlink>
          </w:p>
        </w:tc>
        <w:tc>
          <w:tcPr>
            <w:tcW w:w="80" w:type="dxa"/>
            <w:vAlign w:val="bottom"/>
            <w:gridSpan w:val="4"/>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10-Q (File No. 1-33089) filed on October 26, 2017).</w:t>
              </w:r>
            </w:hyperlink>
          </w:p>
        </w:tc>
        <w:tc>
          <w:tcPr>
            <w:tcW w:w="160" w:type="dxa"/>
            <w:vAlign w:val="bottom"/>
            <w:gridSpan w:val="6"/>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10.2+</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Second Amended and Restated Employment and Non-Competition Agreement, dated August 3, 2020, between the Company and Rohit</w:t>
              </w:r>
            </w:hyperlink>
          </w:p>
        </w:tc>
      </w:tr>
      <w:tr>
        <w:trPr>
          <w:trHeight w:val="155"/>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Kapoor (incorporated by reference to Exhibit 10.1 to the Company’s Quarterly Report on Form 10-Q (File No. 1-33089) filed on October</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0" w:type="dxa"/>
            <w:vAlign w:val="bottom"/>
            <w:gridSpan w:val="7"/>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00">
              <w:r>
                <w:rPr>
                  <w:rFonts w:ascii="Times New Roman" w:cs="Times New Roman" w:eastAsia="Times New Roman" w:hAnsi="Times New Roman"/>
                  <w:sz w:val="18"/>
                  <w:szCs w:val="18"/>
                  <w:color w:val="0000FF"/>
                  <w:w w:val="95"/>
                </w:rPr>
                <w:t>29, 2020)</w:t>
              </w:r>
            </w:hyperlink>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10.3+</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Employment Agreement, dated July 31, 2002, between ExlService Holdings, Inc. and Pavan Bagai (incorporated by reference to Exhibit</w:t>
              </w:r>
            </w:hyperlink>
          </w:p>
        </w:tc>
      </w:tr>
      <w:tr>
        <w:trPr>
          <w:trHeight w:val="228"/>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20" w:type="dxa"/>
            <w:vAlign w:val="bottom"/>
            <w:tcBorders>
              <w:top w:val="single" w:sz="8" w:color="0000FF"/>
            </w:tcBorders>
            <w:gridSpan w:val="13"/>
          </w:tcPr>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10.15 to the Company’s Registration Statement on Form S-1 (Registration No. 333-121001) filed on December 6, 2004).</w:t>
              </w:r>
            </w:hyperlink>
          </w:p>
        </w:tc>
        <w:tc>
          <w:tcPr>
            <w:tcW w:w="40" w:type="dxa"/>
            <w:vAlign w:val="bottom"/>
          </w:tcPr>
          <w:p>
            <w:pPr>
              <w:spacing w:after="0"/>
              <w:rPr>
                <w:sz w:val="19"/>
                <w:szCs w:val="19"/>
                <w:color w:val="auto"/>
              </w:rPr>
            </w:pPr>
          </w:p>
        </w:tc>
        <w:tc>
          <w:tcPr>
            <w:tcW w:w="240" w:type="dxa"/>
            <w:vAlign w:val="bottom"/>
            <w:gridSpan w:val="9"/>
          </w:tcPr>
          <w:p>
            <w:pPr>
              <w:spacing w:after="0"/>
              <w:rPr>
                <w:sz w:val="19"/>
                <w:szCs w:val="19"/>
                <w:color w:val="auto"/>
              </w:rPr>
            </w:pPr>
          </w:p>
        </w:tc>
      </w:tr>
      <w:tr>
        <w:trPr>
          <w:trHeight w:val="26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10.4+</w:t>
            </w:r>
          </w:p>
        </w:tc>
        <w:tc>
          <w:tcPr>
            <w:tcW w:w="660" w:type="dxa"/>
            <w:vAlign w:val="bottom"/>
          </w:tcPr>
          <w:p>
            <w:pPr>
              <w:spacing w:after="0"/>
              <w:rPr>
                <w:sz w:val="23"/>
                <w:szCs w:val="23"/>
                <w:color w:val="auto"/>
              </w:rPr>
            </w:pPr>
          </w:p>
        </w:tc>
        <w:tc>
          <w:tcPr>
            <w:tcW w:w="10100" w:type="dxa"/>
            <w:vAlign w:val="bottom"/>
            <w:gridSpan w:val="23"/>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Employment Agreement, effective as of February 3, 2020, between ExlService Holdings, Inc. and Maurizio Nicolelli.</w:t>
              </w:r>
            </w:hyperlink>
          </w:p>
        </w:tc>
      </w:tr>
      <w:tr>
        <w:trPr>
          <w:trHeight w:val="25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10.5+</w:t>
            </w:r>
          </w:p>
        </w:tc>
        <w:tc>
          <w:tcPr>
            <w:tcW w:w="660" w:type="dxa"/>
            <w:vAlign w:val="bottom"/>
          </w:tcPr>
          <w:p>
            <w:pPr>
              <w:spacing w:after="0"/>
              <w:rPr>
                <w:sz w:val="22"/>
                <w:szCs w:val="22"/>
                <w:color w:val="auto"/>
              </w:rPr>
            </w:pPr>
          </w:p>
        </w:tc>
        <w:tc>
          <w:tcPr>
            <w:tcW w:w="10100" w:type="dxa"/>
            <w:vAlign w:val="bottom"/>
            <w:gridSpan w:val="23"/>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Employment Agreement, dated as of September 15, 2014, between ExlService Holdings, Inc. and Nalin Kumar Miglani (incorporated by</w:t>
              </w:r>
            </w:hyperlink>
          </w:p>
        </w:tc>
      </w:tr>
      <w:tr>
        <w:trPr>
          <w:trHeight w:val="228"/>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6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reference to Exhibit 10.1 to the Company’s Quarterly Report on Form 10-Q (File No. 1-33089) filed on April 29, 2016).</w:t>
              </w:r>
            </w:hyperlink>
          </w:p>
        </w:tc>
        <w:tc>
          <w:tcPr>
            <w:tcW w:w="240" w:type="dxa"/>
            <w:vAlign w:val="bottom"/>
            <w:gridSpan w:val="9"/>
          </w:tcPr>
          <w:p>
            <w:pPr>
              <w:spacing w:after="0"/>
              <w:rPr>
                <w:sz w:val="19"/>
                <w:szCs w:val="19"/>
                <w:color w:val="auto"/>
              </w:rPr>
            </w:pPr>
          </w:p>
        </w:tc>
      </w:tr>
    </w:tbl>
    <w:p>
      <w:pPr>
        <w:spacing w:after="0" w:line="17" w:lineRule="exact"/>
        <w:rPr>
          <w:sz w:val="20"/>
          <w:szCs w:val="20"/>
          <w:color w:val="auto"/>
        </w:rPr>
      </w:pPr>
    </w:p>
    <w:p>
      <w:pPr>
        <w:sectPr>
          <w:pgSz w:w="11900" w:h="16838" w:orient="portrait"/>
          <w:cols w:equalWidth="0" w:num="1">
            <w:col w:w="11240"/>
          </w:cols>
          <w:pgMar w:left="320" w:top="36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w:anchor="page155">
        <w:r>
          <w:rPr>
            <w:rFonts w:ascii="Times New Roman" w:cs="Times New Roman" w:eastAsia="Times New Roman" w:hAnsi="Times New Roman"/>
            <w:sz w:val="18"/>
            <w:szCs w:val="18"/>
            <w:u w:val="single" w:color="auto"/>
            <w:color w:val="0000FF"/>
          </w:rPr>
          <w:t>Employment Agreement, dated April 28, 2001, between ExlService Holdings, Inc. and Vikas Bhalla</w:t>
        </w:r>
        <w:r>
          <w:rPr>
            <w:rFonts w:ascii="Times New Roman" w:cs="Times New Roman" w:eastAsia="Times New Roman" w:hAnsi="Times New Roman"/>
            <w:sz w:val="18"/>
            <w:szCs w:val="18"/>
            <w:color w:val="0000FF"/>
          </w:rPr>
          <w:t>.</w:t>
        </w:r>
      </w:hyperlink>
    </w:p>
    <w:p>
      <w:pPr>
        <w:spacing w:after="0" w:line="104" w:lineRule="exact"/>
        <w:rPr>
          <w:sz w:val="20"/>
          <w:szCs w:val="20"/>
          <w:color w:val="auto"/>
        </w:rPr>
      </w:pPr>
    </w:p>
    <w:p>
      <w:pPr>
        <w:spacing w:after="0"/>
        <w:rPr>
          <w:rFonts w:ascii="Times New Roman" w:cs="Times New Roman" w:eastAsia="Times New Roman" w:hAnsi="Times New Roman"/>
          <w:sz w:val="18"/>
          <w:szCs w:val="18"/>
          <w:color w:val="0000FF"/>
        </w:rPr>
      </w:pPr>
      <w:hyperlink w:anchor="page159">
        <w:r>
          <w:rPr>
            <w:rFonts w:ascii="Times New Roman" w:cs="Times New Roman" w:eastAsia="Times New Roman" w:hAnsi="Times New Roman"/>
            <w:sz w:val="18"/>
            <w:szCs w:val="18"/>
            <w:u w:val="single" w:color="auto"/>
            <w:color w:val="0000FF"/>
          </w:rPr>
          <w:t>Employment Agreement, effective November 5, 2018, between ExlService Holdings, Inc. and Samuel Meckey</w:t>
        </w:r>
        <w:r>
          <w:rPr>
            <w:rFonts w:ascii="Times New Roman" w:cs="Times New Roman" w:eastAsia="Times New Roman" w:hAnsi="Times New Roman"/>
            <w:sz w:val="18"/>
            <w:szCs w:val="18"/>
            <w:color w:val="0000FF"/>
          </w:rPr>
          <w:t>.</w:t>
        </w:r>
      </w:hyperlink>
    </w:p>
    <w:p>
      <w:pPr>
        <w:spacing w:after="0" w:line="90" w:lineRule="exact"/>
        <w:rPr>
          <w:sz w:val="20"/>
          <w:szCs w:val="20"/>
          <w:color w:val="auto"/>
        </w:rPr>
      </w:pPr>
    </w:p>
    <w:p>
      <w:pPr>
        <w:ind w:right="14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ExlService Holdings, Inc. 2006 Omnibus Plan (incorporated by reference to Exhibit 10.20 of Amendment 3 to the Company’s Registration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Statement on Form S-1 (Registration No. 333-121001) filed July 28, 2006).</w:t>
        </w:r>
      </w:hyperlink>
    </w:p>
    <w:p>
      <w:pPr>
        <w:spacing w:after="0" w:line="37" w:lineRule="exact"/>
        <w:rPr>
          <w:sz w:val="20"/>
          <w:szCs w:val="20"/>
          <w:color w:val="auto"/>
        </w:rPr>
      </w:pPr>
    </w:p>
    <w:p>
      <w:pPr>
        <w:sectPr>
          <w:pgSz w:w="11900" w:h="16838" w:orient="portrait"/>
          <w:cols w:equalWidth="0" w:num="2">
            <w:col w:w="440" w:space="660"/>
            <w:col w:w="1014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Non-Qualified Stock Option Agreement under the 2006 Omnibus Award Plan (incorporated by reference to Exhibit 10.32 of</w:t>
              </w:r>
            </w:hyperlink>
          </w:p>
        </w:tc>
      </w:tr>
      <w:tr>
        <w:trPr>
          <w:trHeight w:val="228"/>
        </w:trPr>
        <w:tc>
          <w:tcPr>
            <w:tcW w:w="1100" w:type="dxa"/>
            <w:vAlign w:val="bottom"/>
          </w:tcPr>
          <w:p>
            <w:pPr>
              <w:spacing w:after="0"/>
              <w:rPr>
                <w:sz w:val="19"/>
                <w:szCs w:val="19"/>
                <w:color w:val="auto"/>
              </w:rPr>
            </w:pPr>
          </w:p>
        </w:tc>
        <w:tc>
          <w:tcPr>
            <w:tcW w:w="9580" w:type="dxa"/>
            <w:vAlign w:val="bottom"/>
            <w:tcBorders>
              <w:top w:val="single" w:sz="8" w:color="0000FF"/>
            </w:tcBorders>
            <w:gridSpan w:val="2"/>
          </w:tcPr>
          <w:p>
            <w:pPr>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Amendment 5 to the Company’s Registration Statement on Form S-1 (Registration No. 333-121001) filed October 4, 2006).</w:t>
              </w:r>
            </w:hyperlink>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ExlService Holdings, Inc. 2006 Omnibus India Subplan 2 (incorporated by reference to Exhibit 10.38 of Amendment 6 to the Company’s</w:t>
              </w:r>
            </w:hyperlink>
          </w:p>
        </w:tc>
      </w:tr>
      <w:tr>
        <w:trPr>
          <w:trHeight w:val="155"/>
        </w:trPr>
        <w:tc>
          <w:tcPr>
            <w:tcW w:w="1100" w:type="dxa"/>
            <w:vAlign w:val="bottom"/>
          </w:tcPr>
          <w:p>
            <w:pPr>
              <w:spacing w:after="0"/>
              <w:rPr>
                <w:sz w:val="13"/>
                <w:szCs w:val="13"/>
                <w:color w:val="auto"/>
              </w:rPr>
            </w:pPr>
          </w:p>
        </w:tc>
        <w:tc>
          <w:tcPr>
            <w:tcW w:w="6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Registration Statement on Form S-1 (Registration No. 333-121001) filed October 17, 2006).</w:t>
              </w:r>
            </w:hyperlink>
          </w:p>
        </w:tc>
        <w:tc>
          <w:tcPr>
            <w:tcW w:w="326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r>
      <w:tr>
        <w:trPr>
          <w:trHeight w:val="26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Non-Qualified Stock Option Agreement under the 2006 Omnibus India Subplan 2 (incorporated by reference to Exhibit 10.39 of</w:t>
              </w:r>
            </w:hyperlink>
          </w:p>
        </w:tc>
      </w:tr>
      <w:tr>
        <w:trPr>
          <w:trHeight w:val="228"/>
        </w:trPr>
        <w:tc>
          <w:tcPr>
            <w:tcW w:w="1100" w:type="dxa"/>
            <w:vAlign w:val="bottom"/>
          </w:tcPr>
          <w:p>
            <w:pPr>
              <w:spacing w:after="0"/>
              <w:rPr>
                <w:sz w:val="19"/>
                <w:szCs w:val="19"/>
                <w:color w:val="auto"/>
              </w:rPr>
            </w:pPr>
          </w:p>
        </w:tc>
        <w:tc>
          <w:tcPr>
            <w:tcW w:w="988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Amendment 5 to the Company’s Registration Statement on Form S-1 (Registration No. 333-121001) filed October 4, 2006).</w:t>
              </w:r>
            </w:hyperlink>
          </w:p>
        </w:tc>
        <w:tc>
          <w:tcPr>
            <w:tcW w:w="260" w:type="dxa"/>
            <w:vAlign w:val="bottom"/>
            <w:gridSpan w:val="2"/>
          </w:tcPr>
          <w:p>
            <w:pPr>
              <w:spacing w:after="0"/>
              <w:rPr>
                <w:sz w:val="19"/>
                <w:szCs w:val="19"/>
                <w:color w:val="auto"/>
              </w:rPr>
            </w:pPr>
          </w:p>
        </w:tc>
      </w:tr>
      <w:tr>
        <w:trPr>
          <w:trHeight w:val="778"/>
        </w:trPr>
        <w:tc>
          <w:tcPr>
            <w:tcW w:w="1100" w:type="dxa"/>
            <w:vAlign w:val="bottom"/>
          </w:tcPr>
          <w:p>
            <w:pPr>
              <w:spacing w:after="0"/>
              <w:rPr>
                <w:sz w:val="24"/>
                <w:szCs w:val="24"/>
                <w:color w:val="auto"/>
              </w:rPr>
            </w:pPr>
          </w:p>
        </w:tc>
        <w:tc>
          <w:tcPr>
            <w:tcW w:w="66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71</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66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100" w:right="300" w:hanging="1065"/>
        <w:spacing w:after="0" w:line="237" w:lineRule="auto"/>
        <w:tabs>
          <w:tab w:leader="none" w:pos="1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09">
        <w:r>
          <w:rPr>
            <w:rFonts w:ascii="Times New Roman" w:cs="Times New Roman" w:eastAsia="Times New Roman" w:hAnsi="Times New Roman"/>
            <w:sz w:val="18"/>
            <w:szCs w:val="18"/>
            <w:u w:val="single" w:color="auto"/>
            <w:color w:val="0000FF"/>
          </w:rPr>
          <w:t>Amendment to ExlService Holdings, Inc. 2006 Omnibus Award Plan (incorporated by reference to Exhibit 10.43 of Amendment 5 to the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Company’s Registration Statement on Form S-1 (Registration No. 333-121001) filed October 4, 2006).</w:t>
        </w:r>
      </w:hyperlink>
    </w:p>
    <w:p>
      <w:pPr>
        <w:spacing w:after="0" w:line="50" w:lineRule="exact"/>
        <w:rPr>
          <w:sz w:val="20"/>
          <w:szCs w:val="20"/>
          <w:color w:val="auto"/>
        </w:rPr>
      </w:pPr>
    </w:p>
    <w:p>
      <w:pPr>
        <w:ind w:left="1100" w:right="120" w:hanging="1065"/>
        <w:spacing w:after="0" w:line="237" w:lineRule="auto"/>
        <w:tabs>
          <w:tab w:leader="none" w:pos="1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10">
        <w:r>
          <w:rPr>
            <w:rFonts w:ascii="Times New Roman" w:cs="Times New Roman" w:eastAsia="Times New Roman" w:hAnsi="Times New Roman"/>
            <w:sz w:val="18"/>
            <w:szCs w:val="18"/>
            <w:u w:val="single" w:color="auto"/>
            <w:color w:val="0000FF"/>
          </w:rPr>
          <w:t>Amendment No. 2 to ExlService Holdings, Inc. 2006 Omnibus Award Plan (incorporated by reference to Exhibit 10.46 of Amendment 6 to</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the Registration Statement on Form S-1 (Registration No. 333-121001) filed October 17, 2006).</w:t>
        </w:r>
      </w:hyperlink>
    </w:p>
    <w:p>
      <w:pPr>
        <w:spacing w:after="0" w:line="50" w:lineRule="exact"/>
        <w:rPr>
          <w:sz w:val="20"/>
          <w:szCs w:val="20"/>
          <w:color w:val="auto"/>
        </w:rPr>
      </w:pPr>
    </w:p>
    <w:p>
      <w:pPr>
        <w:ind w:left="1100" w:right="440" w:hanging="1065"/>
        <w:spacing w:after="0" w:line="237" w:lineRule="auto"/>
        <w:tabs>
          <w:tab w:leader="none" w:pos="1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11">
        <w:r>
          <w:rPr>
            <w:rFonts w:ascii="Times New Roman" w:cs="Times New Roman" w:eastAsia="Times New Roman" w:hAnsi="Times New Roman"/>
            <w:sz w:val="18"/>
            <w:szCs w:val="18"/>
            <w:u w:val="single" w:color="auto"/>
            <w:color w:val="0000FF"/>
          </w:rPr>
          <w:t>Amendment No. 3 to ExlService Holdings, Inc. 2006 Omnibus Award Plan (incorporated by reference to Exhibit 4.6 to the Company’s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Registration Statement on Form S-8 (Registration No. 333-157076) filed February 2, 2009).</w:t>
        </w:r>
      </w:hyperlink>
    </w:p>
    <w:p>
      <w:pPr>
        <w:sectPr>
          <w:pgSz w:w="11900" w:h="16838" w:orient="portrait"/>
          <w:cols w:equalWidth="0" w:num="1">
            <w:col w:w="11240"/>
          </w:cols>
          <w:pgMar w:left="320" w:top="360"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0"/>
        <w:spacing w:after="0" w:line="237"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Form of Restricted Stock Unit Agreement (U.S.) under the 2006 Omnibus Award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Company’s Quarterly Report on Form 10-Q (File No. 1-33089) filed on May 1, 2014).</w:t>
        </w:r>
      </w:hyperlink>
    </w:p>
    <w:p>
      <w:pPr>
        <w:spacing w:after="0" w:line="91"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ExlService Holdings, Inc. 2015 Amendment and Restatement of the 2006 Omnibus Award Plan (incorporated by reference to Exhibit 10.1</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to the Company’s Current Report on Form 8-K (File No. 1-33089) filed on June 25, 2015).</w:t>
        </w:r>
      </w:hyperlink>
    </w:p>
    <w:p>
      <w:pPr>
        <w:spacing w:after="0" w:line="91"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Form of Restricted Stock Unit Agreement (U.S.) under the ExlService Holdings, Inc. 2015 Amendment and Restatement of the 2006</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Omnibus Award Plan (incorporated by reference to Exhibit 10.1 to the Company’s Quarterly Report on Form 10-Q (File No. 1-33089) filed</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on October 27, 2016).</w:t>
        </w:r>
      </w:hyperlink>
    </w:p>
    <w:p>
      <w:pPr>
        <w:spacing w:after="0" w:line="7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560"/>
            <w:col w:w="1014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Restricted Stock Unit Agreement (U.S.) under the ExlService Holdings, Inc. 2015 Amendment and Restatement of the 2006</w:t>
              </w:r>
            </w:hyperlink>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Omnibus Award Plan “(incorporated by reference to Exhibit 10.40 to the Company’s Annual Report on Form 10-K (File No. 1-33089)</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12"/>
          </w:tcPr>
          <w:p>
            <w:pPr>
              <w:ind w:left="60"/>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filed</w:t>
              </w:r>
            </w:hyperlink>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on March 15, 2017).</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ExlService Holdings, Inc. 2018 Omnibus Incentive Plan (incorporated by reference to Exhibit 10.1 to the Company’s Current Report on</w:t>
              </w:r>
            </w:hyperlink>
          </w:p>
        </w:tc>
      </w:tr>
      <w:tr>
        <w:trPr>
          <w:trHeight w:val="156"/>
        </w:trPr>
        <w:tc>
          <w:tcPr>
            <w:tcW w:w="1100" w:type="dxa"/>
            <w:vAlign w:val="bottom"/>
          </w:tcPr>
          <w:p>
            <w:pPr>
              <w:spacing w:after="0"/>
              <w:rPr>
                <w:sz w:val="13"/>
                <w:szCs w:val="13"/>
                <w:color w:val="auto"/>
              </w:rPr>
            </w:pPr>
          </w:p>
        </w:tc>
        <w:tc>
          <w:tcPr>
            <w:tcW w:w="98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8-K (File No. 1-33089) filed on June 20, 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Restricted Stock Unit Agreement (U.S. Executive Officers Combined) under the 2018 Omnibus Incentive Plan (incorporated by</w:t>
              </w:r>
            </w:hyperlink>
          </w:p>
        </w:tc>
      </w:tr>
      <w:tr>
        <w:trPr>
          <w:trHeight w:val="228"/>
        </w:trPr>
        <w:tc>
          <w:tcPr>
            <w:tcW w:w="1100" w:type="dxa"/>
            <w:vAlign w:val="bottom"/>
          </w:tcPr>
          <w:p>
            <w:pPr>
              <w:spacing w:after="0"/>
              <w:rPr>
                <w:sz w:val="19"/>
                <w:szCs w:val="19"/>
                <w:color w:val="auto"/>
              </w:rPr>
            </w:pPr>
          </w:p>
        </w:tc>
        <w:tc>
          <w:tcPr>
            <w:tcW w:w="9840" w:type="dxa"/>
            <w:vAlign w:val="bottom"/>
            <w:tcBorders>
              <w:top w:val="single" w:sz="8" w:color="0000FF"/>
            </w:tcBorders>
            <w:gridSpan w:val="17"/>
          </w:tcPr>
          <w:p>
            <w:pPr>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reference to Exhibit 10.2 to the Company’s Current Report on Form 8-K (File No. 1-33089) filed on June 20, 2018).</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Restricted Stock Unit Agreement (International Executive Officers) under the 2018 Omnibus Incentive Plan (incorporated by</w:t>
              </w:r>
            </w:hyperlink>
          </w:p>
        </w:tc>
      </w:tr>
      <w:tr>
        <w:trPr>
          <w:trHeight w:val="228"/>
        </w:trPr>
        <w:tc>
          <w:tcPr>
            <w:tcW w:w="1100" w:type="dxa"/>
            <w:vAlign w:val="bottom"/>
          </w:tcPr>
          <w:p>
            <w:pPr>
              <w:spacing w:after="0"/>
              <w:rPr>
                <w:sz w:val="19"/>
                <w:szCs w:val="19"/>
                <w:color w:val="auto"/>
              </w:rPr>
            </w:pPr>
          </w:p>
        </w:tc>
        <w:tc>
          <w:tcPr>
            <w:tcW w:w="9640" w:type="dxa"/>
            <w:vAlign w:val="bottom"/>
            <w:tcBorders>
              <w:top w:val="single" w:sz="8" w:color="0000FF"/>
            </w:tcBorders>
            <w:gridSpan w:val="13"/>
          </w:tcPr>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reference to Exhibit 10.3 to the Company’s Current Report on Form 8-K (File No. 1-33089) filed on June 20, 2018).</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Restricted Stock Unit Agreement (Directors) under the 2018 Omnibus Incentive Plan (incorporated by reference to Exhibit 10.4 to</w:t>
              </w:r>
            </w:hyperlink>
          </w:p>
        </w:tc>
      </w:tr>
      <w:tr>
        <w:trPr>
          <w:trHeight w:val="155"/>
        </w:trPr>
        <w:tc>
          <w:tcPr>
            <w:tcW w:w="110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the Company’s Current Report on Form 8-K (File No. 1-33089) filed on June 20, 2018).</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Credit Agreement, dated as of November 21, 2017, among ExlService Holdings, Inc., the other loan parties thereto, the lenders party</w:t>
              </w:r>
            </w:hyperlink>
          </w:p>
        </w:tc>
      </w:tr>
      <w:tr>
        <w:trPr>
          <w:trHeight w:val="155"/>
        </w:trPr>
        <w:tc>
          <w:tcPr>
            <w:tcW w:w="110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thereto, and Citibank, N.A., as administrative agent, Citibank, N.A. and PNC Capital Markets LLC, as joint lead arrangers and joint</w:t>
              </w:r>
            </w:hyperlink>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94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bookrunners, and JPMorgan Chase Bank, N.A., as syndication agent (incorporated by reference to Exhibit 10.37 to the Company’s</w:t>
              </w:r>
            </w:hyperlink>
          </w:p>
        </w:tc>
        <w:tc>
          <w:tcPr>
            <w:tcW w:w="660" w:type="dxa"/>
            <w:vAlign w:val="bottom"/>
            <w:gridSpan w:val="1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Annual</w:t>
              </w:r>
            </w:hyperlink>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Report on Form 10-K (File No. 1-33089) filed on February 27, 2018).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First Amendment to Credit Agreement, dated as of July 2, 2018, by and among the Company and the other loan parties thereto, the lenders</w:t>
              </w:r>
            </w:hyperlink>
          </w:p>
        </w:tc>
      </w:tr>
      <w:tr>
        <w:trPr>
          <w:trHeight w:val="155"/>
        </w:trPr>
        <w:tc>
          <w:tcPr>
            <w:tcW w:w="110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party thereto, and Citibank, N.A., as administrative agent (incorporated by reference to Exhibit 10.24 to the Company’s Annual Report on</w:t>
              </w:r>
            </w:hyperlink>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Form 10-K (File No. 1-33089) filed on February 28, 2019).</w:t>
              </w:r>
            </w:hyperlink>
          </w:p>
        </w:tc>
        <w:tc>
          <w:tcPr>
            <w:tcW w:w="56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r>
      <w:tr>
        <w:trPr>
          <w:trHeight w:val="26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Amendment to Credit Agreement, dated as of October 1, 2018, by and among the Company and the other loan parties thereto, the</w:t>
              </w:r>
            </w:hyperlink>
          </w:p>
        </w:tc>
      </w:tr>
      <w:tr>
        <w:trPr>
          <w:trHeight w:val="156"/>
        </w:trPr>
        <w:tc>
          <w:tcPr>
            <w:tcW w:w="110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lenders party thereto, and Citibank, N.A., as administrative agent (incorporated by reference to Exhibit 10.2 to the Company’s Current</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Report on Form 8-K (File No. 1-33089) filed on October 4, 2018).</w:t>
              </w:r>
            </w:hyperlink>
          </w:p>
        </w:tc>
        <w:tc>
          <w:tcPr>
            <w:tcW w:w="488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r>
      <w:tr>
        <w:trPr>
          <w:trHeight w:val="26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Investment Agreement, dated as of October 1, 2018, by and between the Company and Orogen Echo LLC (incorporated by reference to</w:t>
              </w:r>
            </w:hyperlink>
          </w:p>
        </w:tc>
      </w:tr>
      <w:tr>
        <w:trPr>
          <w:trHeight w:val="155"/>
        </w:trPr>
        <w:tc>
          <w:tcPr>
            <w:tcW w:w="1100" w:type="dxa"/>
            <w:vAlign w:val="bottom"/>
          </w:tcPr>
          <w:p>
            <w:pPr>
              <w:spacing w:after="0"/>
              <w:rPr>
                <w:sz w:val="13"/>
                <w:szCs w:val="13"/>
                <w:color w:val="auto"/>
              </w:rPr>
            </w:pPr>
          </w:p>
        </w:tc>
        <w:tc>
          <w:tcPr>
            <w:tcW w:w="97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Exhibit 10.1 to the Company’s Current Report on Form 8-K (File No. 1-33089) filed on October 4, 2018).</w:t>
              </w:r>
            </w:hyperlink>
          </w:p>
        </w:tc>
        <w:tc>
          <w:tcPr>
            <w:tcW w:w="16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r>
      <w:tr>
        <w:trPr>
          <w:trHeight w:val="34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76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w:anchor="page174">
              <w:r>
                <w:rPr>
                  <w:rFonts w:ascii="Times New Roman" w:cs="Times New Roman" w:eastAsia="Times New Roman" w:hAnsi="Times New Roman"/>
                  <w:sz w:val="18"/>
                  <w:szCs w:val="18"/>
                  <w:u w:val="single" w:color="auto"/>
                  <w:color w:val="0000FF"/>
                </w:rPr>
                <w:t>Subsidiaries of the Company</w:t>
              </w:r>
            </w:hyperlink>
            <w:r>
              <w:rPr>
                <w:rFonts w:ascii="Times New Roman" w:cs="Times New Roman" w:eastAsia="Times New Roman" w:hAnsi="Times New Roman"/>
                <w:sz w:val="18"/>
                <w:szCs w:val="18"/>
                <w:color w:val="000000"/>
              </w:rPr>
              <w:t>.</w:t>
            </w:r>
          </w:p>
        </w:tc>
        <w:tc>
          <w:tcPr>
            <w:tcW w:w="2520" w:type="dxa"/>
            <w:vAlign w:val="bottom"/>
            <w:gridSpan w:val="17"/>
          </w:tcPr>
          <w:p>
            <w:pPr>
              <w:spacing w:after="0"/>
              <w:rPr>
                <w:sz w:val="24"/>
                <w:szCs w:val="24"/>
                <w:color w:val="auto"/>
              </w:rPr>
            </w:pPr>
          </w:p>
        </w:tc>
      </w:tr>
      <w:tr>
        <w:trPr>
          <w:trHeight w:val="28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26"/>
          </w:tcPr>
          <w:p>
            <w:pPr>
              <w:spacing w:after="0"/>
              <w:rPr>
                <w:rFonts w:ascii="Times New Roman" w:cs="Times New Roman" w:eastAsia="Times New Roman" w:hAnsi="Times New Roman"/>
                <w:sz w:val="18"/>
                <w:szCs w:val="18"/>
                <w:u w:val="single" w:color="auto"/>
                <w:color w:val="0000FF"/>
              </w:rPr>
            </w:pPr>
            <w:hyperlink w:anchor="page175">
              <w:r>
                <w:rPr>
                  <w:rFonts w:ascii="Times New Roman" w:cs="Times New Roman" w:eastAsia="Times New Roman" w:hAnsi="Times New Roman"/>
                  <w:sz w:val="18"/>
                  <w:szCs w:val="18"/>
                  <w:u w:val="single" w:color="auto"/>
                  <w:color w:val="0000FF"/>
                </w:rPr>
                <w:t>Consent of Deloitte &amp; Touche LLP, Independent Registered Public Accounting Firm.</w:t>
              </w:r>
            </w:hyperlink>
          </w:p>
        </w:tc>
      </w:tr>
      <w:tr>
        <w:trPr>
          <w:trHeight w:val="24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26"/>
          </w:tcPr>
          <w:p>
            <w:pPr>
              <w:spacing w:after="0"/>
              <w:rPr>
                <w:rFonts w:ascii="Times New Roman" w:cs="Times New Roman" w:eastAsia="Times New Roman" w:hAnsi="Times New Roman"/>
                <w:sz w:val="18"/>
                <w:szCs w:val="18"/>
                <w:color w:val="0000FF"/>
              </w:rPr>
            </w:pPr>
            <w:hyperlink w:anchor="page176">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w:t>
              </w:r>
            </w:hyperlink>
          </w:p>
        </w:tc>
      </w:tr>
      <w:tr>
        <w:trPr>
          <w:trHeight w:val="156"/>
        </w:trPr>
        <w:tc>
          <w:tcPr>
            <w:tcW w:w="110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176">
              <w:r>
                <w:rPr>
                  <w:rFonts w:ascii="Times New Roman" w:cs="Times New Roman" w:eastAsia="Times New Roman" w:hAnsi="Times New Roman"/>
                  <w:sz w:val="18"/>
                  <w:szCs w:val="18"/>
                  <w:color w:val="0000FF"/>
                  <w:w w:val="99"/>
                </w:rPr>
                <w:t>to Section 302 of the Sarbanes-Oxley Act of 2002.</w:t>
              </w:r>
            </w:hyperlink>
          </w:p>
        </w:tc>
        <w:tc>
          <w:tcPr>
            <w:tcW w:w="6300" w:type="dxa"/>
            <w:vAlign w:val="bottom"/>
            <w:tcBorders>
              <w:top w:val="single" w:sz="8" w:color="0000FF"/>
            </w:tcBorders>
            <w:gridSpan w:val="17"/>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r>
      <w:tr>
        <w:trPr>
          <w:trHeight w:val="26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26"/>
          </w:tcPr>
          <w:p>
            <w:pPr>
              <w:spacing w:after="0"/>
              <w:rPr>
                <w:rFonts w:ascii="Times New Roman" w:cs="Times New Roman" w:eastAsia="Times New Roman" w:hAnsi="Times New Roman"/>
                <w:sz w:val="18"/>
                <w:szCs w:val="18"/>
                <w:color w:val="0000FF"/>
              </w:rPr>
            </w:pPr>
            <w:hyperlink w:anchor="page177">
              <w:r>
                <w:rPr>
                  <w:rFonts w:ascii="Times New Roman" w:cs="Times New Roman" w:eastAsia="Times New Roman" w:hAnsi="Times New Roman"/>
                  <w:sz w:val="18"/>
                  <w:szCs w:val="18"/>
                  <w:color w:val="0000FF"/>
                </w:rPr>
                <w:t>Certification of the Chief Financial Officer of ExlService Holdings, pursuant to Rule 13a-14(a) of the Exchange Act, as adopted pursuant to</w:t>
              </w:r>
            </w:hyperlink>
          </w:p>
        </w:tc>
      </w:tr>
      <w:tr>
        <w:trPr>
          <w:trHeight w:val="155"/>
        </w:trPr>
        <w:tc>
          <w:tcPr>
            <w:tcW w:w="11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177">
              <w:r>
                <w:rPr>
                  <w:rFonts w:ascii="Times New Roman" w:cs="Times New Roman" w:eastAsia="Times New Roman" w:hAnsi="Times New Roman"/>
                  <w:sz w:val="18"/>
                  <w:szCs w:val="18"/>
                  <w:color w:val="0000FF"/>
                  <w:w w:val="99"/>
                </w:rPr>
                <w:t>Section 302 of the Sarbanes-Oxley Act of 2002.</w:t>
              </w:r>
            </w:hyperlink>
          </w:p>
        </w:tc>
        <w:tc>
          <w:tcPr>
            <w:tcW w:w="6600" w:type="dxa"/>
            <w:vAlign w:val="bottom"/>
            <w:tcBorders>
              <w:top w:val="single" w:sz="8" w:color="0000FF"/>
            </w:tcBorders>
            <w:gridSpan w:val="23"/>
          </w:tcPr>
          <w:p>
            <w:pPr>
              <w:spacing w:after="0"/>
              <w:rPr>
                <w:sz w:val="13"/>
                <w:szCs w:val="13"/>
                <w:color w:val="auto"/>
              </w:rPr>
            </w:pPr>
          </w:p>
        </w:tc>
        <w:tc>
          <w:tcPr>
            <w:tcW w:w="80" w:type="dxa"/>
            <w:vAlign w:val="bottom"/>
          </w:tcPr>
          <w:p>
            <w:pPr>
              <w:spacing w:after="0"/>
              <w:rPr>
                <w:sz w:val="13"/>
                <w:szCs w:val="13"/>
                <w:color w:val="auto"/>
              </w:rPr>
            </w:pPr>
          </w:p>
        </w:tc>
      </w:tr>
      <w:tr>
        <w:trPr>
          <w:trHeight w:val="885"/>
        </w:trPr>
        <w:tc>
          <w:tcPr>
            <w:tcW w:w="1100" w:type="dxa"/>
            <w:vAlign w:val="bottom"/>
          </w:tcPr>
          <w:p>
            <w:pPr>
              <w:spacing w:after="0"/>
              <w:rPr>
                <w:sz w:val="24"/>
                <w:szCs w:val="24"/>
                <w:color w:val="auto"/>
              </w:rPr>
            </w:pPr>
          </w:p>
        </w:tc>
        <w:tc>
          <w:tcPr>
            <w:tcW w:w="4780" w:type="dxa"/>
            <w:vAlign w:val="bottom"/>
            <w:gridSpan w:val="6"/>
          </w:tcPr>
          <w:p>
            <w:pPr>
              <w:ind w:left="444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560" w:type="dxa"/>
            <w:vAlign w:val="bottom"/>
            <w:gridSpan w:val="5"/>
          </w:tcPr>
          <w:p>
            <w:pPr>
              <w:spacing w:after="0"/>
              <w:rPr>
                <w:rFonts w:ascii="Times New Roman" w:cs="Times New Roman" w:eastAsia="Times New Roman" w:hAnsi="Times New Roman"/>
                <w:sz w:val="18"/>
                <w:szCs w:val="18"/>
                <w:color w:val="0000FF"/>
                <w:w w:val="99"/>
              </w:rPr>
            </w:pPr>
            <w:hyperlink w:anchor="page178">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w:t>
              </w:r>
            </w:hyperlink>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178">
              <w:r>
                <w:rPr>
                  <w:rFonts w:ascii="Times New Roman" w:cs="Times New Roman" w:eastAsia="Times New Roman" w:hAnsi="Times New Roman"/>
                  <w:sz w:val="18"/>
                  <w:szCs w:val="18"/>
                  <w:color w:val="0000FF"/>
                  <w:w w:val="99"/>
                </w:rPr>
                <w:t>pursuant to Section 906 of the Sarbanes-Oxley Act of 2002.</w:t>
              </w:r>
            </w:hyperlink>
          </w:p>
        </w:tc>
        <w:tc>
          <w:tcPr>
            <w:tcW w:w="52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2"/>
                <w:szCs w:val="22"/>
                <w:color w:val="auto"/>
              </w:rPr>
            </w:pPr>
          </w:p>
        </w:tc>
        <w:tc>
          <w:tcPr>
            <w:tcW w:w="9560" w:type="dxa"/>
            <w:vAlign w:val="bottom"/>
            <w:gridSpan w:val="5"/>
          </w:tcPr>
          <w:p>
            <w:pPr>
              <w:spacing w:after="0"/>
              <w:rPr>
                <w:rFonts w:ascii="Times New Roman" w:cs="Times New Roman" w:eastAsia="Times New Roman" w:hAnsi="Times New Roman"/>
                <w:sz w:val="18"/>
                <w:szCs w:val="18"/>
                <w:color w:val="0000FF"/>
              </w:rPr>
            </w:pPr>
            <w:hyperlink w:anchor="page179">
              <w:r>
                <w:rPr>
                  <w:rFonts w:ascii="Times New Roman" w:cs="Times New Roman" w:eastAsia="Times New Roman" w:hAnsi="Times New Roman"/>
                  <w:sz w:val="18"/>
                  <w:szCs w:val="18"/>
                  <w:color w:val="0000FF"/>
                </w:rPr>
                <w:t>Certification of the Chief Financial Officer pursuant to Rule 13a-14(b) of the Exchange Act and 18 U.S.C. Section 1350, as adopted</w:t>
              </w:r>
            </w:hyperlink>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179">
              <w:r>
                <w:rPr>
                  <w:rFonts w:ascii="Times New Roman" w:cs="Times New Roman" w:eastAsia="Times New Roman" w:hAnsi="Times New Roman"/>
                  <w:sz w:val="18"/>
                  <w:szCs w:val="18"/>
                  <w:color w:val="0000FF"/>
                  <w:w w:val="99"/>
                </w:rPr>
                <w:t>pursuant to Section 906 of the Sarbanes-Oxley Act of 2002.</w:t>
              </w:r>
            </w:hyperlink>
          </w:p>
        </w:tc>
        <w:tc>
          <w:tcPr>
            <w:tcW w:w="520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8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83"/>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jc w:val="both"/>
        <w:ind w:left="80" w:hanging="80"/>
        <w:spacing w:after="0" w:line="261" w:lineRule="auto"/>
        <w:rPr>
          <w:sz w:val="20"/>
          <w:szCs w:val="20"/>
          <w:color w:val="auto"/>
        </w:rPr>
      </w:pPr>
      <w:r>
        <w:rPr>
          <w:rFonts w:ascii="Times New Roman" w:cs="Times New Roman" w:eastAsia="Times New Roman" w:hAnsi="Times New Roman"/>
          <w:sz w:val="18"/>
          <w:szCs w:val="18"/>
          <w:color w:val="auto"/>
        </w:rPr>
        <w:t>*Pursuant to Item 601(b)(2) of Regulation S-K promulgated by the SEC, certain schedules to this agreement have been omitted. The Company hereby agrees to furnish supplementally to the SEC, upon its request, any or all of such omitted schedules.</w:t>
      </w:r>
    </w:p>
    <w:p>
      <w:pPr>
        <w:jc w:val="both"/>
        <w:ind w:left="80" w:hanging="80"/>
        <w:spacing w:after="0" w:line="250"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required to be filed as an Exhibit.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974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67"/>
        </w:trPr>
        <w:tc>
          <w:tcPr>
            <w:tcW w:w="974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9740" w:type="dxa"/>
            <w:vAlign w:val="bottom"/>
          </w:tcPr>
          <w:p>
            <w:pPr>
              <w:spacing w:after="0"/>
              <w:rPr>
                <w:sz w:val="24"/>
                <w:szCs w:val="2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49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Reports of Independent Registered Public Accounting Firm</w:t>
              </w:r>
            </w:hyperlink>
          </w:p>
        </w:tc>
        <w:tc>
          <w:tcPr>
            <w:tcW w:w="600" w:type="dxa"/>
            <w:vAlign w:val="bottom"/>
          </w:tcPr>
          <w:p>
            <w:pPr>
              <w:spacing w:after="0"/>
              <w:rPr>
                <w:sz w:val="24"/>
                <w:szCs w:val="24"/>
                <w:color w:val="auto"/>
              </w:rPr>
            </w:pPr>
          </w:p>
        </w:tc>
        <w:tc>
          <w:tcPr>
            <w:tcW w:w="840" w:type="dxa"/>
            <w:vAlign w:val="bottom"/>
            <w:gridSpan w:val="2"/>
          </w:tcPr>
          <w:p>
            <w:pPr>
              <w:jc w:val="center"/>
              <w:ind w:right="600"/>
              <w:spacing w:after="0"/>
              <w:rPr>
                <w:rFonts w:ascii="Times New Roman" w:cs="Times New Roman" w:eastAsia="Times New Roman" w:hAnsi="Times New Roman"/>
                <w:sz w:val="18"/>
                <w:szCs w:val="18"/>
                <w:color w:val="661DE8"/>
                <w:w w:val="95"/>
              </w:rPr>
            </w:pPr>
            <w:r>
              <w:rPr>
                <w:rFonts w:ascii="Times New Roman" w:cs="Times New Roman" w:eastAsia="Times New Roman" w:hAnsi="Times New Roman"/>
                <w:sz w:val="18"/>
                <w:szCs w:val="18"/>
                <w:color w:val="661DE8"/>
                <w:w w:val="95"/>
              </w:rPr>
              <w:t>F-</w:t>
            </w:r>
            <w:hyperlink w:anchor="page77">
              <w:r>
                <w:rPr>
                  <w:rFonts w:ascii="Times New Roman" w:cs="Times New Roman" w:eastAsia="Times New Roman" w:hAnsi="Times New Roman"/>
                  <w:sz w:val="18"/>
                  <w:szCs w:val="18"/>
                  <w:color w:val="661DE8"/>
                  <w:w w:val="95"/>
                </w:rPr>
                <w:t>2</w:t>
              </w:r>
            </w:hyperlink>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Consolidated Balance Sheets as of December 31, 2020 and 2019</w:t>
              </w:r>
            </w:hyperlink>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rFonts w:ascii="Times New Roman" w:cs="Times New Roman" w:eastAsia="Times New Roman" w:hAnsi="Times New Roman"/>
                <w:sz w:val="18"/>
                <w:szCs w:val="18"/>
                <w:color w:val="661DE8"/>
                <w:w w:val="95"/>
              </w:rPr>
            </w:pPr>
            <w:r>
              <w:rPr>
                <w:rFonts w:ascii="Times New Roman" w:cs="Times New Roman" w:eastAsia="Times New Roman" w:hAnsi="Times New Roman"/>
                <w:sz w:val="18"/>
                <w:szCs w:val="18"/>
                <w:color w:val="661DE8"/>
                <w:w w:val="95"/>
              </w:rPr>
              <w:t>F-</w:t>
            </w:r>
            <w:hyperlink w:anchor="page80">
              <w:r>
                <w:rPr>
                  <w:rFonts w:ascii="Times New Roman" w:cs="Times New Roman" w:eastAsia="Times New Roman" w:hAnsi="Times New Roman"/>
                  <w:sz w:val="18"/>
                  <w:szCs w:val="18"/>
                  <w:color w:val="661DE8"/>
                  <w:w w:val="95"/>
                </w:rPr>
                <w:t>5</w:t>
              </w:r>
            </w:hyperlink>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Consolidated Statements of Income for the years ended December 31, 2020, 2019 and 2018</w:t>
              </w:r>
            </w:hyperlink>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rFonts w:ascii="Times New Roman" w:cs="Times New Roman" w:eastAsia="Times New Roman" w:hAnsi="Times New Roman"/>
                <w:sz w:val="18"/>
                <w:szCs w:val="18"/>
                <w:color w:val="661DE8"/>
                <w:w w:val="95"/>
              </w:rPr>
            </w:pPr>
            <w:r>
              <w:rPr>
                <w:rFonts w:ascii="Times New Roman" w:cs="Times New Roman" w:eastAsia="Times New Roman" w:hAnsi="Times New Roman"/>
                <w:sz w:val="18"/>
                <w:szCs w:val="18"/>
                <w:color w:val="661DE8"/>
                <w:w w:val="95"/>
              </w:rPr>
              <w:t>F-</w:t>
            </w:r>
            <w:hyperlink w:anchor="page82">
              <w:r>
                <w:rPr>
                  <w:rFonts w:ascii="Times New Roman" w:cs="Times New Roman" w:eastAsia="Times New Roman" w:hAnsi="Times New Roman"/>
                  <w:sz w:val="18"/>
                  <w:szCs w:val="18"/>
                  <w:color w:val="661DE8"/>
                  <w:w w:val="95"/>
                </w:rPr>
                <w:t>7</w:t>
              </w:r>
            </w:hyperlink>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Consolidated Statements of Comprehensive Income for the years ended December 31, 2020, 2019 and 2018</w:t>
              </w:r>
            </w:hyperlink>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rFonts w:ascii="Times New Roman" w:cs="Times New Roman" w:eastAsia="Times New Roman" w:hAnsi="Times New Roman"/>
                <w:sz w:val="18"/>
                <w:szCs w:val="18"/>
                <w:color w:val="661DE8"/>
                <w:w w:val="95"/>
              </w:rPr>
            </w:pPr>
            <w:r>
              <w:rPr>
                <w:rFonts w:ascii="Times New Roman" w:cs="Times New Roman" w:eastAsia="Times New Roman" w:hAnsi="Times New Roman"/>
                <w:sz w:val="18"/>
                <w:szCs w:val="18"/>
                <w:color w:val="661DE8"/>
                <w:w w:val="95"/>
              </w:rPr>
              <w:t>F-</w:t>
            </w:r>
            <w:hyperlink w:anchor="page83">
              <w:r>
                <w:rPr>
                  <w:rFonts w:ascii="Times New Roman" w:cs="Times New Roman" w:eastAsia="Times New Roman" w:hAnsi="Times New Roman"/>
                  <w:sz w:val="18"/>
                  <w:szCs w:val="18"/>
                  <w:color w:val="661DE8"/>
                  <w:w w:val="95"/>
                </w:rPr>
                <w:t>8</w:t>
              </w:r>
            </w:hyperlink>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Consolidated Statements of Equity for the years ended December 31, 2020, 2019 and 2018</w:t>
              </w:r>
            </w:hyperlink>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rFonts w:ascii="Times New Roman" w:cs="Times New Roman" w:eastAsia="Times New Roman" w:hAnsi="Times New Roman"/>
                <w:sz w:val="18"/>
                <w:szCs w:val="18"/>
                <w:color w:val="661DE8"/>
                <w:w w:val="95"/>
              </w:rPr>
            </w:pPr>
            <w:r>
              <w:rPr>
                <w:rFonts w:ascii="Times New Roman" w:cs="Times New Roman" w:eastAsia="Times New Roman" w:hAnsi="Times New Roman"/>
                <w:sz w:val="18"/>
                <w:szCs w:val="18"/>
                <w:color w:val="661DE8"/>
                <w:w w:val="95"/>
              </w:rPr>
              <w:t>F-</w:t>
            </w:r>
            <w:hyperlink w:anchor="page85">
              <w:r>
                <w:rPr>
                  <w:rFonts w:ascii="Times New Roman" w:cs="Times New Roman" w:eastAsia="Times New Roman" w:hAnsi="Times New Roman"/>
                  <w:sz w:val="18"/>
                  <w:szCs w:val="18"/>
                  <w:color w:val="661DE8"/>
                  <w:w w:val="95"/>
                </w:rPr>
                <w:t>9</w:t>
              </w:r>
            </w:hyperlink>
          </w:p>
        </w:tc>
      </w:tr>
      <w:tr>
        <w:trPr>
          <w:trHeight w:val="20"/>
        </w:trPr>
        <w:tc>
          <w:tcPr>
            <w:tcW w:w="9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Consolidated Statements of Cash Flows for the years ended December 31, 2020, 2019 and 2018</w:t>
              </w:r>
            </w:hyperlink>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rFonts w:ascii="Times New Roman" w:cs="Times New Roman" w:eastAsia="Times New Roman" w:hAnsi="Times New Roman"/>
                <w:sz w:val="18"/>
                <w:szCs w:val="18"/>
                <w:color w:val="661DE8"/>
                <w:w w:val="82"/>
              </w:rPr>
            </w:pPr>
            <w:r>
              <w:rPr>
                <w:rFonts w:ascii="Times New Roman" w:cs="Times New Roman" w:eastAsia="Times New Roman" w:hAnsi="Times New Roman"/>
                <w:sz w:val="18"/>
                <w:szCs w:val="18"/>
                <w:color w:val="661DE8"/>
                <w:w w:val="82"/>
              </w:rPr>
              <w:t>F-</w:t>
            </w:r>
            <w:hyperlink w:anchor="page85">
              <w:r>
                <w:rPr>
                  <w:rFonts w:ascii="Times New Roman" w:cs="Times New Roman" w:eastAsia="Times New Roman" w:hAnsi="Times New Roman"/>
                  <w:sz w:val="18"/>
                  <w:szCs w:val="18"/>
                  <w:color w:val="661DE8"/>
                  <w:w w:val="82"/>
                </w:rPr>
                <w:t>10</w:t>
              </w:r>
            </w:hyperlink>
          </w:p>
        </w:tc>
      </w:tr>
      <w:tr>
        <w:trPr>
          <w:trHeight w:val="20"/>
        </w:trPr>
        <w:tc>
          <w:tcPr>
            <w:tcW w:w="9740" w:type="dxa"/>
            <w:vAlign w:val="bottom"/>
          </w:tcPr>
          <w:p>
            <w:pPr>
              <w:spacing w:after="0" w:line="20" w:lineRule="exact"/>
              <w:rPr>
                <w:sz w:val="1"/>
                <w:szCs w:val="1"/>
                <w:color w:val="auto"/>
              </w:rPr>
            </w:pPr>
          </w:p>
        </w:tc>
        <w:tc>
          <w:tcPr>
            <w:tcW w:w="600" w:type="dxa"/>
            <w:vAlign w:val="bottom"/>
            <w:tcBorders>
              <w:right w:val="single" w:sz="8" w:color="661DE8"/>
            </w:tcBorders>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Borders>
              <w:left w:val="single" w:sz="8" w:color="661DE8"/>
            </w:tcBorders>
          </w:tcPr>
          <w:p>
            <w:pPr>
              <w:spacing w:after="0" w:line="20" w:lineRule="exact"/>
              <w:rPr>
                <w:sz w:val="1"/>
                <w:szCs w:val="1"/>
                <w:color w:val="auto"/>
              </w:rPr>
            </w:pPr>
          </w:p>
        </w:tc>
      </w:tr>
      <w:tr>
        <w:trPr>
          <w:trHeight w:val="263"/>
        </w:trPr>
        <w:tc>
          <w:tcPr>
            <w:tcW w:w="9740" w:type="dxa"/>
            <w:vAlign w:val="bottom"/>
          </w:tcPr>
          <w:p>
            <w:pPr>
              <w:ind w:left="36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Notes to Consolidated Financial Statements</w:t>
              </w:r>
            </w:hyperlink>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rFonts w:ascii="Times New Roman" w:cs="Times New Roman" w:eastAsia="Times New Roman" w:hAnsi="Times New Roman"/>
                <w:sz w:val="18"/>
                <w:szCs w:val="18"/>
                <w:color w:val="661DE8"/>
                <w:w w:val="82"/>
              </w:rPr>
            </w:pPr>
            <w:r>
              <w:rPr>
                <w:rFonts w:ascii="Times New Roman" w:cs="Times New Roman" w:eastAsia="Times New Roman" w:hAnsi="Times New Roman"/>
                <w:sz w:val="18"/>
                <w:szCs w:val="18"/>
                <w:color w:val="661DE8"/>
                <w:w w:val="82"/>
              </w:rPr>
              <w:t>F-</w:t>
            </w:r>
            <w:hyperlink w:anchor="page86">
              <w:r>
                <w:rPr>
                  <w:rFonts w:ascii="Times New Roman" w:cs="Times New Roman" w:eastAsia="Times New Roman" w:hAnsi="Times New Roman"/>
                  <w:sz w:val="18"/>
                  <w:szCs w:val="18"/>
                  <w:color w:val="661DE8"/>
                  <w:w w:val="82"/>
                </w:rPr>
                <w:t>11</w:t>
              </w:r>
            </w:hyperlink>
          </w:p>
        </w:tc>
      </w:tr>
      <w:tr>
        <w:trPr>
          <w:trHeight w:val="20"/>
        </w:trPr>
        <w:tc>
          <w:tcPr>
            <w:tcW w:w="9740" w:type="dxa"/>
            <w:vAlign w:val="bottom"/>
          </w:tcPr>
          <w:p>
            <w:pPr>
              <w:spacing w:after="0" w:line="20" w:lineRule="exact"/>
              <w:rPr>
                <w:sz w:val="1"/>
                <w:szCs w:val="1"/>
                <w:color w:val="auto"/>
              </w:rPr>
            </w:pPr>
          </w:p>
        </w:tc>
        <w:tc>
          <w:tcPr>
            <w:tcW w:w="600" w:type="dxa"/>
            <w:vAlign w:val="bottom"/>
            <w:tcBorders>
              <w:right w:val="single" w:sz="8" w:color="661DE8"/>
            </w:tcBorders>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0" w:type="dxa"/>
            <w:vAlign w:val="bottom"/>
            <w:tcBorders>
              <w:left w:val="single" w:sz="8" w:color="661DE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ExlService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(the "Company") as of December 31, 2020 and 2019, the related consolidated statements of income, comprehensive income,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25, 2021,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2 to the financial statements, effective January 1, 2019, the Company adopted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approach.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 Refer to Notes 2 and 10 to the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determines the fair value of its reporting units using the discounted cash flow model and the market approach, as applicable. The determination of fair value using the discounted cash flow model requires management to make significant judgments and estimates, which include assumptions related to long-term future growth rates and estimated future cash flows, discounted at an appropriate risk-adjusted rate. The determination of fair value using the market approach requires management to make significant assumptions related to market multiples of revenues and earnings derived from comparable publicly-traded companies with characteristics similar to the reporting unit.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Based on the results of the Company’s 2019 annual goodwill impairment quantitative test, the fair value of the SCIOinspire Holdings, Inc. (SCIO) reporting unit was not substantially in excess of its carrying value. Effective January 1, 2020, the SCIO reporting unit has been integrated within the Healthcare Analytics reporting unit. The Company performed interim and annual goodwill impairment quantitative tests of its reporting units during the first and fourth quarters of 2020, respectively, and did not identify an impairment. As of December 31, 2020, the total goodwill balance was approximately $349 million, of which approximately $181 million has been allocated to the Healthcare Analytics reporting unit.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and assumptions are used by management to determine fair value and, thus, sensitivity in fair value may result from changes in these estimates. This requires a high degree of auditor judgment and an increased extent of efforts, including the need to involve our fair value specialists, when performing audit procedures to evaluate the reasonableness of management’s estimates and assumptions.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assumptions for long-term future growth rates and estimated future cash flows, and the selection of discount rates for the Healthcare Analytics reporting unit, used in both the Company’s interim and annual goodwill impairment tests performed during the first and fourth quarters of 2020, respectively, included the following, among others:</w:t>
      </w:r>
    </w:p>
    <w:p>
      <w:pPr>
        <w:spacing w:after="0" w:line="162" w:lineRule="exact"/>
        <w:rPr>
          <w:sz w:val="20"/>
          <w:szCs w:val="20"/>
          <w:color w:val="auto"/>
        </w:rPr>
      </w:pPr>
    </w:p>
    <w:p>
      <w:pPr>
        <w:ind w:left="660" w:hanging="328"/>
        <w:spacing w:after="0" w:line="234"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We tested the effectiveness of controls over the Company’s goodwill impairment evaluation, including those over the determination of fair value of the Healthcare Analytics reporting unit, such as controls related to management’s forecasts and selection of discount rates.</w:t>
      </w:r>
    </w:p>
    <w:p>
      <w:pPr>
        <w:spacing w:after="0" w:line="145" w:lineRule="exact"/>
        <w:rPr>
          <w:rFonts w:ascii="Arial" w:cs="Arial" w:eastAsia="Arial" w:hAnsi="Arial"/>
          <w:sz w:val="22"/>
          <w:szCs w:val="22"/>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 reviewing internal communications between management and the Board of Directors, and reviewing forecasted information included in Company press releases, and analyst and industry reports of the Company and companies in its peer group.</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growth rates and discount rates, including testing the underlying source information and the mathematical accuracy of the calculations.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revenue and earnings multiples, including testing the underlying source information and mathematical accuracy of the calculations, and comparing the multiples selected by management to its guideline companies.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evaluated all of the significant assumptions in the aggregate to determine if there is any indication of management bias.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ExlService Holdings, Inc.</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ExlService Holdings, Inc. (the “Company”) as of 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 — Integrated Framework (2013)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February 25, 2021, expressed an unqualified opinion on those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2020</w:t>
            </w:r>
          </w:p>
        </w:tc>
        <w:tc>
          <w:tcPr>
            <w:tcW w:w="180" w:type="dxa"/>
            <w:vAlign w:val="bottom"/>
          </w:tcPr>
          <w:p>
            <w:pPr>
              <w:spacing w:after="0"/>
              <w:rPr>
                <w:sz w:val="17"/>
                <w:szCs w:val="17"/>
                <w:color w:val="auto"/>
              </w:rPr>
            </w:pPr>
          </w:p>
        </w:tc>
        <w:tc>
          <w:tcPr>
            <w:tcW w:w="160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2019</w:t>
            </w:r>
          </w:p>
        </w:tc>
        <w:tc>
          <w:tcPr>
            <w:tcW w:w="0" w:type="dxa"/>
            <w:vAlign w:val="bottom"/>
          </w:tcPr>
          <w:p>
            <w:pPr>
              <w:spacing w:after="0"/>
              <w:rPr>
                <w:sz w:val="1"/>
                <w:szCs w:val="1"/>
                <w:color w:val="auto"/>
              </w:rPr>
            </w:pPr>
          </w:p>
        </w:tc>
      </w:tr>
      <w:tr>
        <w:trPr>
          <w:trHeight w:val="183"/>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119,165</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Short-term investments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184,286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202,238</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5,453</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171,864</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Prepaid expenses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13,246</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Advance income tax,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4,698</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37,109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24,594</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609,278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541,258</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79,142</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91,918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86,396</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2,426</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11,855</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73,982</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349,088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349,529</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36,016</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Investment in equity affiliate</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2,484</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1,247,857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6,992</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6,564</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40,867</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13,436</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Accrued employee costs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68,885</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74,017</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24,148</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Income taxes payable, net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1,432</w:t>
            </w: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221,078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229,349</w:t>
            </w:r>
          </w:p>
        </w:tc>
        <w:tc>
          <w:tcPr>
            <w:tcW w:w="0" w:type="dxa"/>
            <w:vAlign w:val="bottom"/>
          </w:tcPr>
          <w:p>
            <w:pPr>
              <w:spacing w:after="0"/>
              <w:rPr>
                <w:sz w:val="1"/>
                <w:szCs w:val="1"/>
                <w:color w:val="auto"/>
              </w:rPr>
            </w:pPr>
          </w:p>
        </w:tc>
      </w:tr>
      <w:tr>
        <w:trPr>
          <w:trHeight w:val="194"/>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201,961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194,131</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74,709</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Income taxes payable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18,135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12,142</w:t>
            </w: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528,685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513,087</w:t>
            </w:r>
          </w:p>
        </w:tc>
        <w:tc>
          <w:tcPr>
            <w:tcW w:w="0" w:type="dxa"/>
            <w:vAlign w:val="bottom"/>
          </w:tcPr>
          <w:p>
            <w:pPr>
              <w:spacing w:after="0"/>
              <w:rPr>
                <w:sz w:val="1"/>
                <w:szCs w:val="1"/>
                <w:color w:val="auto"/>
              </w:rPr>
            </w:pPr>
          </w:p>
        </w:tc>
      </w:tr>
      <w:tr>
        <w:trPr>
          <w:trHeight w:val="180"/>
        </w:trPr>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(Refer Note 26)</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ExlService Holdings, Inc. Stockholders’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340" w:type="dxa"/>
            <w:vAlign w:val="bottom"/>
            <w:shd w:val="clear" w:color="auto" w:fill="CCEEFF"/>
          </w:tcPr>
          <w:p>
            <w:pPr>
              <w:ind w:left="340"/>
              <w:spacing w:after="0" w:line="151" w:lineRule="exact"/>
              <w:rPr>
                <w:sz w:val="20"/>
                <w:szCs w:val="20"/>
                <w:color w:val="auto"/>
              </w:rPr>
            </w:pPr>
            <w:r>
              <w:rPr>
                <w:rFonts w:ascii="Times New Roman" w:cs="Times New Roman" w:eastAsia="Times New Roman" w:hAnsi="Times New Roman"/>
                <w:sz w:val="15"/>
                <w:szCs w:val="15"/>
                <w:color w:val="auto"/>
              </w:rPr>
              <w:t>Common stock, $0.001 par value; 100,000,000 shares authorized, 38,968,053 shares issued and 33,559,435</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5"/>
                <w:szCs w:val="15"/>
                <w:color w:val="auto"/>
              </w:rPr>
              <w:t>shares outstanding as of December 31, 2020 and 38,480,654 shares issued and 34,185,241 shares outstanding as</w:t>
            </w: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of December 31, 2019</w:t>
            </w: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420,976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391,240</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641,379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551,903</w:t>
            </w:r>
          </w:p>
        </w:tc>
        <w:tc>
          <w:tcPr>
            <w:tcW w:w="0" w:type="dxa"/>
            <w:vAlign w:val="bottom"/>
          </w:tcPr>
          <w:p>
            <w:pPr>
              <w:spacing w:after="0"/>
              <w:rPr>
                <w:sz w:val="1"/>
                <w:szCs w:val="1"/>
                <w:color w:val="auto"/>
              </w:rPr>
            </w:pPr>
          </w:p>
        </w:tc>
      </w:tr>
      <w:tr>
        <w:trPr>
          <w:trHeight w:val="200"/>
        </w:trPr>
        <w:tc>
          <w:tcPr>
            <w:tcW w:w="7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(74,984)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987,410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858,290</w:t>
            </w:r>
          </w:p>
        </w:tc>
        <w:tc>
          <w:tcPr>
            <w:tcW w:w="0" w:type="dxa"/>
            <w:vAlign w:val="bottom"/>
          </w:tcPr>
          <w:p>
            <w:pPr>
              <w:spacing w:after="0"/>
              <w:rPr>
                <w:sz w:val="1"/>
                <w:szCs w:val="1"/>
                <w:color w:val="auto"/>
              </w:rPr>
            </w:pPr>
          </w:p>
        </w:tc>
      </w:tr>
      <w:tr>
        <w:trPr>
          <w:trHeight w:val="128"/>
        </w:trPr>
        <w:tc>
          <w:tcPr>
            <w:tcW w:w="73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Less: 5,408,618 shares as of December 31, 2020 and 4,295,413 shares as of December 31, 2019, held in treasury, at</w:t>
            </w:r>
          </w:p>
        </w:tc>
        <w:tc>
          <w:tcPr>
            <w:tcW w:w="64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(268,238)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(188,289)</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719,172</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670,001</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719,172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670,001</w:t>
            </w:r>
          </w:p>
        </w:tc>
        <w:tc>
          <w:tcPr>
            <w:tcW w:w="0" w:type="dxa"/>
            <w:vAlign w:val="bottom"/>
          </w:tcPr>
          <w:p>
            <w:pPr>
              <w:spacing w:after="0"/>
              <w:rPr>
                <w:sz w:val="1"/>
                <w:szCs w:val="1"/>
                <w:color w:val="auto"/>
              </w:rPr>
            </w:pPr>
          </w:p>
        </w:tc>
      </w:tr>
      <w:tr>
        <w:trPr>
          <w:trHeight w:val="221"/>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1,247,857</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7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69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r>
      <w:tr>
        <w:trPr>
          <w:trHeight w:val="230"/>
        </w:trPr>
        <w:tc>
          <w:tcPr>
            <w:tcW w:w="6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623,936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655,490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584,855</w:t>
            </w:r>
          </w:p>
        </w:tc>
      </w:tr>
      <w:tr>
        <w:trPr>
          <w:trHeight w:val="223"/>
        </w:trPr>
        <w:tc>
          <w:tcPr>
            <w:tcW w:w="6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334,498</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335,856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298,257</w:t>
            </w: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w:t>
            </w:r>
          </w:p>
        </w:tc>
      </w:tr>
      <w:tr>
        <w:trPr>
          <w:trHeight w:val="229"/>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63,612</w:t>
            </w:r>
          </w:p>
        </w:tc>
      </w:tr>
      <w:tr>
        <w:trPr>
          <w:trHeight w:val="23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w:t>
            </w:r>
          </w:p>
        </w:tc>
      </w:tr>
      <w:tr>
        <w:trPr>
          <w:trHeight w:val="229"/>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224,476</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248,436</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49,821</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60,370</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175"/>
        </w:trPr>
        <w:tc>
          <w:tcPr>
            <w:tcW w:w="6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 share attributable to</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ExlService Holdings Inc. stockholders: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34,273,388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34,350,150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34,451,008</w:t>
            </w:r>
          </w:p>
        </w:tc>
      </w:tr>
      <w:tr>
        <w:trPr>
          <w:trHeight w:val="234"/>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34,555,164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34,732,683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35,030,984</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Borders>
              <w:bottom w:val="single" w:sz="8" w:color="auto"/>
            </w:tcBorders>
          </w:tcPr>
          <w:p>
            <w:pPr>
              <w:spacing w:after="0"/>
              <w:rPr>
                <w:sz w:val="18"/>
                <w:szCs w:val="18"/>
                <w:color w:val="auto"/>
              </w:rPr>
            </w:pPr>
          </w:p>
        </w:tc>
      </w:tr>
      <w:tr>
        <w:trPr>
          <w:trHeight w:val="211"/>
        </w:trPr>
        <w:tc>
          <w:tcPr>
            <w:tcW w:w="6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56,726</w:t>
            </w:r>
          </w:p>
        </w:tc>
      </w:tr>
      <w:tr>
        <w:trPr>
          <w:trHeight w:val="229"/>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r>
      <w:tr>
        <w:trPr>
          <w:trHeight w:val="229"/>
        </w:trPr>
        <w:tc>
          <w:tcPr>
            <w:tcW w:w="6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(31,798)</w:t>
            </w:r>
          </w:p>
        </w:tc>
      </w:tr>
      <w:tr>
        <w:trPr>
          <w:trHeight w:val="229"/>
        </w:trPr>
        <w:tc>
          <w:tcPr>
            <w:tcW w:w="6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Retirement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Gain on cash flow hedges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68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Retirement benefits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68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Income tax benefit/(expense) relating to above</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r>
      <w:tr>
        <w:trPr>
          <w:trHeight w:val="223"/>
        </w:trPr>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(37,757)</w:t>
            </w:r>
          </w:p>
        </w:tc>
      </w:tr>
      <w:tr>
        <w:trPr>
          <w:trHeight w:val="24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580" w:hanging="572"/>
        <w:spacing w:after="0" w:line="283" w:lineRule="auto"/>
        <w:tabs>
          <w:tab w:leader="none" w:pos="58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revenues or operating expenses, as applicable in the consolidated statements of income. Refer to Note 17 - Derivatives and Hedge Accounting to the consolidated financial statements.</w:t>
      </w:r>
    </w:p>
    <w:p>
      <w:pPr>
        <w:spacing w:after="0" w:line="52" w:lineRule="exact"/>
        <w:rPr>
          <w:rFonts w:ascii="Times New Roman" w:cs="Times New Roman" w:eastAsia="Times New Roman" w:hAnsi="Times New Roman"/>
          <w:sz w:val="16"/>
          <w:szCs w:val="16"/>
          <w:i w:val="1"/>
          <w:iCs w:val="1"/>
          <w:color w:val="auto"/>
        </w:rPr>
      </w:pPr>
    </w:p>
    <w:p>
      <w:pPr>
        <w:ind w:left="580" w:hanging="572"/>
        <w:spacing w:after="0" w:line="283" w:lineRule="auto"/>
        <w:tabs>
          <w:tab w:leader="none" w:pos="58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consolidated statements of income. Refer to Note 20 - Employee Benefit Plans to the consolidated financial statements.</w:t>
      </w:r>
    </w:p>
    <w:p>
      <w:pPr>
        <w:spacing w:after="0" w:line="52" w:lineRule="exact"/>
        <w:rPr>
          <w:rFonts w:ascii="Times New Roman" w:cs="Times New Roman" w:eastAsia="Times New Roman" w:hAnsi="Times New Roman"/>
          <w:sz w:val="16"/>
          <w:szCs w:val="16"/>
          <w:i w:val="1"/>
          <w:iCs w:val="1"/>
          <w:color w:val="auto"/>
        </w:rPr>
      </w:pPr>
    </w:p>
    <w:p>
      <w:pPr>
        <w:ind w:left="580" w:hanging="572"/>
        <w:spacing w:after="0" w:line="283" w:lineRule="auto"/>
        <w:tabs>
          <w:tab w:leader="none" w:pos="58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income tax (expense)/benefit recognized on cash flow hedges, retirement benefits and foreign currency translation gains/(losses). Refer to Note 22 -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00" w:type="dxa"/>
            <w:vAlign w:val="bottom"/>
          </w:tcPr>
          <w:p>
            <w:pPr>
              <w:spacing w:after="0"/>
              <w:rPr>
                <w:sz w:val="16"/>
                <w:szCs w:val="16"/>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0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600,045</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adoption of Topic 606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600,499</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990,334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issued, business acquisition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(43,109)</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Allocation of equity component</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related to issuance costs on</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12,555</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(37,757)</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56,726</w:t>
            </w:r>
          </w:p>
        </w:tc>
        <w:tc>
          <w:tcPr>
            <w:tcW w:w="0" w:type="dxa"/>
            <w:vAlign w:val="bottom"/>
          </w:tcPr>
          <w:p>
            <w:pPr>
              <w:spacing w:after="0"/>
              <w:rPr>
                <w:sz w:val="1"/>
                <w:szCs w:val="1"/>
                <w:color w:val="auto"/>
              </w:rPr>
            </w:pPr>
          </w:p>
        </w:tc>
      </w:tr>
      <w:tr>
        <w:trPr>
          <w:trHeight w:val="115"/>
        </w:trPr>
        <w:tc>
          <w:tcPr>
            <w:tcW w:w="20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37,850,544</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364,179</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484,244</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20" w:type="dxa"/>
            <w:vAlign w:val="bottom"/>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(3,628,068)</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(146,925)</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250</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618,319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26,070</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(41,364)</w:t>
            </w: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Allocation of equity component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to issuance costs 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Purchase of non-controlling</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67,659</w:t>
            </w:r>
          </w:p>
        </w:tc>
        <w:tc>
          <w:tcPr>
            <w:tcW w:w="0" w:type="dxa"/>
            <w:vAlign w:val="bottom"/>
          </w:tcPr>
          <w:p>
            <w:pPr>
              <w:spacing w:after="0"/>
              <w:rPr>
                <w:sz w:val="1"/>
                <w:szCs w:val="1"/>
                <w:color w:val="auto"/>
              </w:rPr>
            </w:pPr>
          </w:p>
        </w:tc>
      </w:tr>
      <w:tr>
        <w:trPr>
          <w:trHeight w:val="115"/>
        </w:trPr>
        <w:tc>
          <w:tcPr>
            <w:tcW w:w="20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38,480,654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391,240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551,903</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(84,892)</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(4,295,413)</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(188,289)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670,001</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487,399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28,235</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89,476</w:t>
            </w:r>
          </w:p>
        </w:tc>
        <w:tc>
          <w:tcPr>
            <w:tcW w:w="0" w:type="dxa"/>
            <w:vAlign w:val="bottom"/>
          </w:tcPr>
          <w:p>
            <w:pPr>
              <w:spacing w:after="0"/>
              <w:rPr>
                <w:sz w:val="1"/>
                <w:szCs w:val="1"/>
                <w:color w:val="auto"/>
              </w:rPr>
            </w:pPr>
          </w:p>
        </w:tc>
      </w:tr>
      <w:tr>
        <w:trPr>
          <w:trHeight w:val="115"/>
        </w:trPr>
        <w:tc>
          <w:tcPr>
            <w:tcW w:w="20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38,968,053</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420,976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641,379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(74,984)</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(5,408,618)</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(268,238)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719,172</w:t>
            </w:r>
          </w:p>
        </w:tc>
        <w:tc>
          <w:tcPr>
            <w:tcW w:w="0" w:type="dxa"/>
            <w:vAlign w:val="bottom"/>
          </w:tcPr>
          <w:p>
            <w:pPr>
              <w:spacing w:after="0"/>
              <w:rPr>
                <w:sz w:val="1"/>
                <w:szCs w:val="1"/>
                <w:color w:val="auto"/>
              </w:rPr>
            </w:pPr>
          </w:p>
        </w:tc>
      </w:tr>
      <w:tr>
        <w:trPr>
          <w:trHeight w:val="194"/>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89,476</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56,726</w:t>
            </w:r>
          </w:p>
        </w:tc>
      </w:tr>
      <w:tr>
        <w:trPr>
          <w:trHeight w:val="18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48,719</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23,901</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short term investments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exchange (gain)/loss, net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 (benefit)/expense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Allowance for expected credit losses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from equity-method investment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non-cash interest expense related to convertible senior notes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charges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20,056</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Others, net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(10,046)</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Advance income tax, net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(14,147)</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employee costs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r>
      <w:tr>
        <w:trPr>
          <w:trHeight w:val="18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202,973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168,421</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92,435</w:t>
            </w:r>
          </w:p>
        </w:tc>
      </w:tr>
      <w:tr>
        <w:trPr>
          <w:trHeight w:val="34"/>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(40,789)</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Business acquisition (net of cash acquired)</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(231,829)</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investments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(187,974)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(133,434)</w:t>
            </w:r>
          </w:p>
        </w:tc>
      </w:tr>
      <w:tr>
        <w:trPr>
          <w:trHeight w:val="18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176,968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128,208</w:t>
            </w:r>
          </w:p>
        </w:tc>
      </w:tr>
      <w:tr>
        <w:trPr>
          <w:trHeight w:val="19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(51,385)</w:t>
            </w: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(277,492)</w:t>
            </w:r>
          </w:p>
        </w:tc>
      </w:tr>
      <w:tr>
        <w:trPr>
          <w:trHeight w:val="34"/>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246,614</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(155,209)</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convertible notes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r>
      <w:tr>
        <w:trPr>
          <w:trHeight w:val="189"/>
        </w:trPr>
        <w:tc>
          <w:tcPr>
            <w:tcW w:w="6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8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(43,109)</w:t>
            </w:r>
          </w:p>
        </w:tc>
      </w:tr>
      <w:tr>
        <w:trPr>
          <w:trHeight w:val="18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w:t>
            </w:r>
          </w:p>
        </w:tc>
      </w:tr>
      <w:tr>
        <w:trPr>
          <w:trHeight w:val="18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for)/provided by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(89,564)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197,779</w:t>
            </w:r>
          </w:p>
        </w:tc>
      </w:tr>
      <w:tr>
        <w:trPr>
          <w:trHeight w:val="182"/>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w:t>
            </w: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w:t>
            </w:r>
          </w:p>
        </w:tc>
      </w:tr>
      <w:tr>
        <w:trPr>
          <w:trHeight w:val="18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127,044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94,277</w:t>
            </w:r>
          </w:p>
        </w:tc>
      </w:tr>
      <w:tr>
        <w:trPr>
          <w:trHeight w:val="20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225,519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127,044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104,131</w:t>
            </w:r>
          </w:p>
        </w:tc>
      </w:tr>
      <w:tr>
        <w:trPr>
          <w:trHeight w:val="21"/>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19,087</w:t>
            </w:r>
          </w:p>
        </w:tc>
        <w:tc>
          <w:tcPr>
            <w:tcW w:w="1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18,508</w:t>
            </w:r>
          </w:p>
        </w:tc>
      </w:tr>
      <w:tr>
        <w:trPr>
          <w:trHeight w:val="19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common stock issued for business acquisition</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 under finance lease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bl>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Effective January 1, 2020, the Company made certain operational and structural changes to more closely integrate the Company’s businesses and to simplify its organizational structure. Under the new structure, the Company reports its financial performance based on new segments described in Note 3 - Segment and Geographical Information to the consolidated financial statements. In conjunction with the new reporting structure, the Company has recast certain prior period amounts, wherever applicable, to conform to the way the Company internally manages and monitors segment performance. This change primarily impacted Note 3 - Segment and Geographical Information and Note 10 - Goodwill and Intangible Assets to the consolidated financial statements, with no impact on the consolidated balance sheets, statements of income, comprehensive income, equity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consolidated financial statements include, but are not limited to,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purchase price allocation and recoverability of long-lived assets, goodwill and intangibles.</w:t>
      </w:r>
    </w:p>
    <w:p>
      <w:pPr>
        <w:spacing w:after="0" w:line="126"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As of December 31, 2020,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127"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Share capital and other equity items are translated at exchange rates that prevailed on the date of inception of the transaction. Resulting translation adjustments are included in “Accumulated other comprehensive loss”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 to be entitled to in exchange for the services provided.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Services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w:t>
      </w:r>
    </w:p>
    <w:p>
      <w:pPr>
        <w:spacing w:after="0" w:line="175" w:lineRule="exact"/>
        <w:rPr>
          <w:sz w:val="20"/>
          <w:szCs w:val="20"/>
          <w:color w:val="auto"/>
        </w:rPr>
      </w:pPr>
    </w:p>
    <w:p>
      <w:pPr>
        <w:jc w:val="both"/>
        <w:ind w:left="740" w:hanging="408"/>
        <w:spacing w:after="0" w:line="261" w:lineRule="auto"/>
        <w:tabs>
          <w:tab w:leader="none" w:pos="7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25" w:lineRule="exact"/>
        <w:rPr>
          <w:rFonts w:ascii="Times New Roman" w:cs="Times New Roman" w:eastAsia="Times New Roman" w:hAnsi="Times New Roman"/>
          <w:sz w:val="18"/>
          <w:szCs w:val="18"/>
          <w:color w:val="auto"/>
        </w:rPr>
      </w:pPr>
    </w:p>
    <w:p>
      <w:pPr>
        <w:ind w:left="740" w:right="20" w:hanging="3"/>
        <w:spacing w:after="0" w:line="282"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arrangements involving subcontracting, either in part or whole of the assigned work, are recognized after the Company’s assessment of “Principal versus agent considerations”. The Company evaluates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whether it is in control of the services before the same are transferred to the customer to assess whether it is principal or agent in the arrangement.</w:t>
      </w:r>
    </w:p>
    <w:p>
      <w:pPr>
        <w:spacing w:after="0" w:line="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Revenues are recognized on a gross basis if the Company is in the capacity of principal and on a net basis if it falls in the capacity of an agent.</w:t>
      </w:r>
    </w:p>
    <w:p>
      <w:pPr>
        <w:spacing w:after="0" w:line="153" w:lineRule="exact"/>
        <w:rPr>
          <w:sz w:val="20"/>
          <w:szCs w:val="20"/>
          <w:color w:val="auto"/>
        </w:rPr>
      </w:pPr>
    </w:p>
    <w:p>
      <w:pPr>
        <w:jc w:val="both"/>
        <w:ind w:left="740" w:hanging="408"/>
        <w:spacing w:after="0" w:line="255" w:lineRule="auto"/>
        <w:tabs>
          <w:tab w:leader="none" w:pos="7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spacing w:after="0" w:line="134" w:lineRule="exact"/>
        <w:rPr>
          <w:rFonts w:ascii="Times New Roman" w:cs="Times New Roman" w:eastAsia="Times New Roman" w:hAnsi="Times New Roman"/>
          <w:sz w:val="18"/>
          <w:szCs w:val="18"/>
          <w:color w:val="auto"/>
        </w:rPr>
      </w:pPr>
    </w:p>
    <w:p>
      <w:pPr>
        <w:jc w:val="both"/>
        <w:ind w:left="740" w:hanging="408"/>
        <w:spacing w:after="0" w:line="266" w:lineRule="auto"/>
        <w:tabs>
          <w:tab w:leader="none" w:pos="7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121"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21"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07" w:lineRule="exact"/>
        <w:rPr>
          <w:rFonts w:ascii="Times New Roman" w:cs="Times New Roman" w:eastAsia="Times New Roman" w:hAnsi="Times New Roman"/>
          <w:sz w:val="18"/>
          <w:szCs w:val="18"/>
          <w:color w:val="auto"/>
        </w:rPr>
      </w:pPr>
    </w:p>
    <w:p>
      <w:pPr>
        <w:jc w:val="both"/>
        <w:ind w:left="740" w:hanging="408"/>
        <w:spacing w:after="0" w:line="256" w:lineRule="auto"/>
        <w:tabs>
          <w:tab w:leader="none" w:pos="7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Contracts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and volume discounts.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Transaction Price to Performance Obligations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Unbilled receivables represents revenues recognized for services rendered between the last billing date and the balance sheet date. Unbilled receivables also include revenues recognized from reimbursement optimization services where the Company identifies an overpayment claim. In such contracts, Company’s consideration is contingent upon and collectable only when the actual collections are made by its customers. Based on guidance on “variable consideration” in Topic 606, Company use its historical experience and projections to determine the expected recoveries from its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Contract Fulfillment Costs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contract liabilities (deferred revenue) consisting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the Company also defers revenues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ratably over the period during which the related services are performed.</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Upfront Payments Made to Customers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Out-of-Pocket Expenses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remaining performance obligations as a result of applying the practical expedient provided in Topic 606, for contracts that meet any of the following criteria:</w:t>
      </w:r>
    </w:p>
    <w:p>
      <w:pPr>
        <w:spacing w:after="0" w:line="108" w:lineRule="exact"/>
        <w:rPr>
          <w:sz w:val="20"/>
          <w:szCs w:val="20"/>
          <w:color w:val="auto"/>
        </w:rPr>
      </w:pPr>
    </w:p>
    <w:p>
      <w:pPr>
        <w:ind w:left="640" w:hanging="308"/>
        <w:spacing w:after="0"/>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 original expected length of one year or less as determined under ASC 606,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Company recognize revenue based on the right to invoice for service performed.</w:t>
      </w:r>
    </w:p>
    <w:p>
      <w:pPr>
        <w:spacing w:after="0" w:line="1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8 - Cash, Cash Equivalents and Restricted Cash to the consolidated financial statements for details). These deposits with banks have maturity dates after December 31, 2020. Restricted cash presented under current assets represents funds held on behalf of clients in dedicated bank accounts. The corresponding liability against the same is included under “Accrued Expenses and other current liabilities”.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purposes of the statements of cash flows, the Company includes in its cash and cash-equivalent balances those amounts that have been classified as restricted cash and restricted cash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Investments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Company's mutual fund investments are in debt and money market funds which invest in instruments of various maturities in India. These investments are accounted for in accordance with the fair value option under Financial Accounting Standard Board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(“Topic 825”). The fair value is represented by original cost on the acquisition date and the net asset value (“NAV”) as quoted, at each reporting period and any changes in fair value are included in other income, net. Gain or loss on the disposal of these investments is calculated using the weighted average cost of the investments sold or disposed and is included in other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 and Allowance for Expected Credit Losses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 As of December 31, 2020 and 2019, the Company had $1,189 and $1,163, respectively, of allowances for expected credit losses.</w:t>
      </w:r>
    </w:p>
    <w:p>
      <w:pPr>
        <w:spacing w:after="0" w:line="13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 revenues on contracts to be billed, in subsequent periods, as per the terms of the related contracts. As of December 31, 2020 and 2019, the Company had $63,995 and $73,920, respectively, of unbilled accounts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Equipment held under finance leases are capitalized at the commencement of the lease at the lower of present value of minimum lease payments at the inception of the leases or its fair value. Expenditures for replacements and improvements are capitalized, if they enhance the production capacity and future benefits whereas the costs of maintenance and repairs are charged to earnings as incurred.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Advances paid towards acquisition of property and equipment and the cost of property and equipment not yet placed in service before the end of the reporting period are classified as capital work in progress.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assets. Depreciation on equipment held under finance leases and leasehold improvements are computed using the straight-line method over the shorter of the asset's estimated useful lives or the lease term.</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property and equipment which are abandoned and disposed other than by sale, are assessed for revision of their useful life, thereby revising the future depreciation to reflect the use of property and equipment over the remaining shortened life.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related carrying amounts may not be recoverable.</w:t>
      </w:r>
    </w:p>
    <w:p>
      <w:pPr>
        <w:spacing w:after="0" w:line="12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89"/>
        </w:trPr>
        <w:tc>
          <w:tcPr>
            <w:tcW w:w="72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shd w:val="clear" w:color="auto" w:fill="CCEEFF"/>
          </w:tcPr>
          <w:p>
            <w:pPr>
              <w:spacing w:after="0"/>
              <w:rPr>
                <w:sz w:val="18"/>
                <w:szCs w:val="18"/>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2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Software Development Costs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or enhancements to existing software products to be sold, leased or otherwise marketed and / or used for internal 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The Company exercises judgment in determining the point at which various projects may be capitalized, in assessing the ongoing value of the capitalized costs, and in determining the estimated useful lives over which the costs are amortized.</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 use is based on the straight-line method over the estimated useful lives of the internally developed software products.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tab/>
        <w:t>Business Combinations, Goodwill and Other Intangible Assets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whereby such changes in fair value are recognized in earnings. These fair value measurements represent Level 3 measurements as they are based on significant inputs not observable in the market. Under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all assets and liabilities of the acquired businesses, including goodwill, are assigned to reporting units. Acquisition related costs are expensed as incurred under general and administrative expenses.</w:t>
      </w:r>
    </w:p>
    <w:p>
      <w:pPr>
        <w:spacing w:after="0" w:line="13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The Company undertakes studies to determine the fair values of assets and liabilities acquired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allocate purchase consideration to assets and liabilities, including property and equipment, goodwill and other identifiable intangibles. The Company examines the carrying value of the goodwill annually in the fourth quarter, or more frequently, as circumstances warrant, to determine whether there are any impairment losses. The Company tests for goodwill impairment at the reporting unit level, as that term is defined in U.S. GAAP. The Company also assesses any potential goodwill impairment for all its reporting units immediately prior to any segment changes and reallocates goodwill to its new reporting units using a relative fair value approach.</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Refer to Note 10 - Goodwill and Intangible Assets to the consolidated financial statements for discussion of the Company's goodwill impairment testing. The Company adopted ASU No.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effective January 1, 2018 in conjunction with our goodwill impairment assessment.</w:t>
      </w:r>
    </w:p>
    <w:p>
      <w:pPr>
        <w:spacing w:after="0" w:line="12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goodwill quantitative impairment test involves a comparison of the fair value of a reporting unit with its carrying amount. The Company estimates the fair value of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The Company uses its internal forecasts to estimate future cash flows and include an estimate of long-term future growth rates based on its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the Company’s control, provide the Company’s best estimate of all assumptions applied within the DCF model. The Company also uses the “Market approach” to corroborate the results of the income approach for some of the Company’s reporting units. Under the market approach, the Company estimates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the control of the Company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89"/>
        </w:trPr>
        <w:tc>
          <w:tcPr>
            <w:tcW w:w="84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Investment in Equity Affiliate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Investments in equity affiliate are initially recorded at cost and any excess purchase consideration paid over proportionate share of the fair value of the net assets of the investee at the acquisition date is recognized as goodwill. The proportionate share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(l)</w:t>
        <w:tab/>
        <w:t>Impairment of Long-lived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Derivative Financial Instruments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uses derivative instruments for the purpose of mitigating the exposure from risk of foreign currency fluctuation associated with forecasted transactions denominated in certain foreign currencies and to minimize earnings and cash flow volatility associated with changes in foreign currency exchange rates, and not for speculative trading purposes. These derivative contracts are purchased adhering to the Company’s policy and are with counterparties that are highly rated financial institutions.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hedges forecasted transactions that are subject to foreign exchange exposure with foreign currency exchange contracts that qualify as cash flow hedges. Changes in the fair value of these cash flow hedges are recorded as a component of accumulated other comprehensive income/(loss) ("AOCI"), net of tax, until the hedged transactions occurs. The resultant foreign exchange gain/(loss) upon settlement of cash flow hedges are recorded in the consolidated statements of income along with the underlying hedged item in the same line as either part of “Cost of revenues”, “General and administrative expenses”, “Selling and marketing expenses”, or “Depreciation and amortization expense”, as applicable.</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derivatives instruments consisting of foreign currency exchange contracts to economically hedge intercompany balances and other monetary assets or liabilities denominated in currencies other than the functional currency, against the risk of foreign currency fluctuations associated with remeasurement of such assets and liabilities to functional currency. Changes in the fair value of these derivatives are recognized in the consolidated statements of income and are included in foreign exchange gain/(loss).</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also uses forward contracts designated as net investment hedges to hedge the foreign currency risks related to the Company's investment in foreign subsidiaries. Gains and losses on these forward contracts are recognized in AOCI as part of the foreign currency translation adjustment.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Borrowings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convertible notes in accordance with the guidelines established by the ASC 470-20, </w:t>
      </w:r>
      <w:r>
        <w:rPr>
          <w:rFonts w:ascii="Times New Roman" w:cs="Times New Roman" w:eastAsia="Times New Roman" w:hAnsi="Times New Roman"/>
          <w:sz w:val="18"/>
          <w:szCs w:val="18"/>
          <w:i w:val="1"/>
          <w:iCs w:val="1"/>
          <w:color w:val="auto"/>
        </w:rPr>
        <w:t>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separates the convertible notes into liability and equity components. The Beneficial Conversion Feature ("BCF") of a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which is the equity component and recorded as additional paid-in capital, is normally characterized as the convertible portion or feature of certain notes payable that provide a rate of conversion that is below market value or in-the-money when issued. The Company records a BCF related to the issuance of a convertible note when issued.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If a convertible note is within the scope of the Cash Conversion Subsections and contains embedded features other than the embedded conversion option, the guidance in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(ASC 815-15), is applied to determine if any of those features must be separately accounted for as a derivative instrument.</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estimated fair value of the liability component at issuance is determined using a discounted cash flow technique, which considers debt issuances with similar features of the Company’s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amortized to interest expense over the expected term of the convertible notes using the effective interest method.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Employee Benefits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benefit cost over the expected remaining period of service of the covered employees using the corridor method. The Company believes that the assumptions utilized in recording its obligations under its plans are reasonable based on its experience and market conditions. These assumptions may not be within the control of the Company and accordingly it is reasonably possible that these assumptions could change in future periods.</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 “Other income, net”. Refer to Note 20 - Employee Benefit Plans to the consolidated financial statements for details.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Stock-Based Compensation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in the consolidated statements of income for awards of equity instruments to employees and non-employee directors based on the grant-date fair value of those awards. The Company recognizes these compensation costs over the requisite service period of the award. Forfeitures are accounted when the actual forfeitures occur.</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which was adopted by the Company's stockholders on June 15, 2018, which replaces and supersedes the 2015 Amendment and Restatement of the Company’s 2006 Omnibus Award Plan (the “Prior Plan”) and is effective upon the date approved by the Company’s stockholders, the Company grants performance-based restricted stock units (“PRSUs”) to executive officers and other specified employees. Generally the grants provide that 50% of the PRSUs cliff vest based on an aggregated revenue target (“PU”) for a three-year period. The remaining 50% vest based on a market condition (“MUs”) that is contingent on meeting or exceeding the Company's total shareholder return relative to a group of peer companies specified under the program, measured over a three-year performance period. The award recipient may earn up to 200% of the PRSUs granted based on the actual achievement of both targets. However, the features of the equity incentive compensation program are subject to change by the Compensation Committee of our Board of Directors.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PUs is recognized on a straight-line basis over the service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PUs as of December 31, 2020 was based on the Company's assessment of performance criteria for these grants that would most likely be met during the respective years of vesting against the targeted performance level.</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is determined using a Monte Carlo simulation model and the related compensation expense is expensed on a straight-line basis over the vesting period. All compensation expense related to the MUs will be recognized if the requisite performance period is fulfilled, regardless of the extent of the market condition achieved.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Income Taxes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3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Financial Instruments and Concentration of Credit Risk</w:t>
      </w:r>
    </w:p>
    <w:p>
      <w:pPr>
        <w:spacing w:after="0" w:line="17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financial instruments, including cash and cash equivalents, short-term investments (except investment in mutual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as disclosed in Note 16), restricted cash, accounts receivable,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short- term investments,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Leases</w:t>
      </w:r>
    </w:p>
    <w:p>
      <w:pPr>
        <w:spacing w:after="0" w:line="16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Operating leases are recorded in “Operating lease right-of-use assets”, “Current portion of operating lease liabilities” and “Operating lease liabilities, less current portion” in the Company's consolidated balance sheets.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Long-lived assets underlying finance leases are recorded in “Property and equipment” and the current and non-current portion of finance lease liabilities are presented within “Accrued expenses and other current liabilities” and “other non-current liabilities,” respectively, in the Company's consolidated balance sheets.</w:t>
      </w:r>
    </w:p>
    <w:p>
      <w:pPr>
        <w:spacing w:after="0" w:line="1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during the lease term and lease liabilities represent the Company’s obligation to make lease payments arising from the lease arrangement. Operating lease ROU assets and liabilities are recognized at commencement date based on the present value of lease payments over the lease term. For leases 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the rate implicit in the lease is not readily determinable, the Company uses its incremental borrowing rate based on the information available at commencement date for determining the present value of lease payments. Lease terms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lease-related concessions to mitigate the economic effects of COVID-19 on lessees in accordance with guidance in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determine, on a lease-by-lease basis, whether the concession provided by lessor should be accounted for as a lease modification.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Upon modification, the Company remeasures the lease liability to reflect changes to the remaining lease payments and discount rates and recognizes the amount of the remeasurement of the lease liability as an adjustment to the ROU assets. However, if the carrying amount of the ROU assets is reduced to zero as a result of modification, any remaining amount of the remeasurement is recognized as an expense in consolidated statements of income.</w:t>
      </w:r>
    </w:p>
    <w:p>
      <w:pPr>
        <w:spacing w:after="0" w:line="13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the date of initial application, the Company adopted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method. The modified retrospective method provides a method of recognizing those leases which had not expired as of the date of adoption of January 1, 2019. The prior period consolidated financial statements have not been retrospectively adjusted and continues to be reported under Topic 840.</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permitted under the transition guidance under Topic 842, which amongst other matters, allowed the Company (i) not to apply the recognition requirements to short-term leases (leases with a lease term of 12 months or less), (ii) not to reassess whether any expired or existing contracts are or contain leases, (iii) not to reassess the lease classification for any expired or existing leases, and (iv) not to reassess initial direct costs for any existing leases.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 The adoption had no impact on the opening balance of retained earnings. Refer to Note 21 - Leases to the consolidated financial statements for details.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reviews ROU assets for impairment whenever events or changes in circumstances indicate that the related carrying amount may not be recoverable.</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tab/>
        <w:t>Government Grants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Government grants related to income are recognized as a reduction of expenses in the consolidated statements of income when there is a reasonable assurance that the entity will comply with the conditions attached to the grant and that the grants will be received.</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Software Technology Parks of India (“STPI”) or Special Economic Zone ("SEZ") scheme promulgated by the Government of India. These units enjoy exemption from payment of customs, central excise duties, and levies on imported and indigenous capital goods, subject to certain performance conditions being fulfilled by these units. Such exemption is considered as a government grant. Grants from the government are recognized when there is reasonable assurance that these units will comply with those conditions. The carrying amount of an item of property and equipment is reduced by government grants received (i.e. the asset is accounted for on the basis of its net acquisition cost). The grant is recognized in the consolidated statements of income over the life of the depreciable asset in the form of reduced depreciation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Earnings per share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adjusted for outstanding shares that are subject to repurchase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and outstanding convertible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except where the results would be anti-dilutive.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calculates the dilutive effect of convertible notes using the treasury stock method through the maturity date of the convertible notes, if it has the intent and ability to settle the principal amount of the outstanding convertible notes in cash. Under the treasury stock method, the convertible notes shall have a dilutive impact related to the conversion premium, if any, on diluted earnings per share to the extent the issuance is dilutive based on the average market price of our common stock for a reporting period being greater the conversion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Commitments and contingencies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Recent Accounting Pronouncements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2020, FASB issued ASU No. 2020-04, Reference Rate Reform (Topic 848): Facilitation of the Effects of Reference Rate Reform on Financial Reporting. This ASU provides optional guidance for a limited period of time to ease potential accounting impacts associated with transitioning away from reference rates that are expected to be discontinued, such as interbank offered rates and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133"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In August 2020, FASB issued ASU No. 2020-06, Accounting for Convertible Instruments and Contracts in an Entity’s Own Equity. This ASU simplifies the accounting for certain financial instruments with characteristics of liabilities and equity, including convertible instruments and contracts on an entity’s own equity. The ASU removes separation models for (1) convertible debt with a cash conversion feature and (2) convertible instruments with a beneficial conversion feature and hence most of the instruments will be accounted for as a single model (either debt or equity). The ASU also states that entities must apply the if-converted method to all convertible instruments for calculation of diluted EPS and the treasury stock method is no longer available. An entity can use either a full or modified retrospective approach to adopt the ASU’s guidance. The ASU is effective for fiscal years beginning after December 15, 2021 and may be early adopted for fiscal years beginning after December 15, 2020, and interim periods within those fiscal years. The Company is currently evaluating the potential impact of adoption of this ASU on its consolidated financial statements.</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October 2020, FASB issued ASU No. 2020-10, Codification Improvements. This ASU provides guidance for technical corrections such as conforming amendments, clarifications to guidance, simplifications to wording or structure of guidance, and other minor improvements. The amendments in this ASU improves the consistency of the Codification by ensuring that all guidance that requires or provides an option for an entity to provide information in the notes to financial statements is codified in the Disclosure Section of the Codification. The amendments are varied in nature and may affect the application of the guidance in cases in which the original guidance may have been unclear. An entity has to apply the amendments retrospectively. The ASU is effective for fiscal years beginning after December 15, 2020. The Company is currently evaluating the potential impact of adoption of this ASU on its consolidated financial statements.</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(x)</w:t>
      </w:r>
      <w:r>
        <w:rPr>
          <w:sz w:val="20"/>
          <w:szCs w:val="20"/>
          <w:color w:val="auto"/>
        </w:rPr>
        <w:tab/>
      </w:r>
      <w:r>
        <w:rPr>
          <w:rFonts w:ascii="Times New Roman" w:cs="Times New Roman" w:eastAsia="Times New Roman" w:hAnsi="Times New Roman"/>
          <w:sz w:val="17"/>
          <w:szCs w:val="17"/>
          <w:b w:val="1"/>
          <w:bCs w:val="1"/>
          <w:i w:val="1"/>
          <w:iCs w:val="1"/>
          <w:color w:val="auto"/>
        </w:rPr>
        <w:t>Recently Adopted Accounting Pronouncements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June 2016, FASB issued ASU No. 2016-13, Financial Instruments - Credit Losses (Topic 326),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Company adopted Topic 326 as of January 1, 2020 using a modified retrospective approach through a cumulative-effect adjustment to its retained earnings. The adoption of the ASU had no impact to equity as of January 1,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the impact of adoption of this guidance did not have a material effect on the Company's accounting policies, processes, and systems. Refer to Note 5 - Revenues, net to the consolidated financial statements for details.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August 2018, FASB issued ASU No. 2018-13, Fair Value Measurement (Topic 820): Changes to the Disclosure Requirements for Fair Value Measurement. The amendments in this ASU modify the disclosure requirements on fair value measurements in Topic 820, by prescribing new disclosure requirements, and the elimination and modification of disclosure requirements based on the concepts in the Concepts Statement, including the consideration of costs and benefits. The amendments in this ASU are effective for fiscal years beginning after December 15, 2019, including interim periods within those fiscal years. An entity was permitted to early adopt either the entire standard or only the provisions that eliminate or modify requirements. The early adoption of this ASU, effective January 1, 2020, did not have any material effect on the Company’s disclosures in the consolidated financial statements.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August 2018, FASB issued ASU No. 2018-14, Compensation-Retirement Benefits-Defined Benefit Plans-General ("Subtopic 715-20"): Changes to the Disclosure Requirements for Defined Benefit Plans. The amendments in this ASU remove disclosures that no longer are considered cost beneficial, clarify the specific requirements of disclosures, and add disclosure requirements identified as relevant. The amendments in this ASU are effective for fiscal years beginning after December 15, 2020. Early adoption was permitted. The early adoption of this ASU, effective January 1, 2020, did not have any material effect on the Company’s disclosures in the consolidated financial statements.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August 2018, FASB issued ASU No. 2018-15, Intangibles - Goodwill and Other - Internal-Use Software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and adoption was allowed prospectively. The adoption of this ASU effective January 1, 2020 did not have any material effect on the Company’s consolidated financial statements.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2019, FASB issued ASU No. 2019-04, Codification Improvements to Financial Instruments-Credit Losses (Topic 326), Derivatives and Hedging (Topic 815), and Financial Instruments: Targeted Transition Relief (Topic 825). The amendments clarify the scope of the credit losses standard and 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the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was permitted. The adoption of this ASU did not have any material effect on the Company’s consolidated financial statements.</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2019, FASB issued ASU No. 2019-05, Financial Instruments-Credit Losses (Topic 326): Targeted Transition Relief. This ASU provides entities with the option to irrevocably elect the fair value option, on an instrument-by-instrument basis in accordance with Subtopic 825-10, for certain financial instruments that are within the scope of Subtopic 326-20, upon adopting Topic 326. The fair value option election does not apply to held-to-maturity debt securities. The amendments in this ASU provide entities with targeted transition relief that is intended to increase comparability of financial statement information for some entities that otherwise would have measured similar financial instruments using different measurement methodologies. The Company adopted Topic 326 as of January 1, 2020, whereby no such fair value election was made, accordingly, the adoption of this ASU did not have any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w:t>
      </w:r>
    </w:p>
    <w:p>
      <w:pPr>
        <w:spacing w:after="0" w:line="17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Effective January 1, 2020, the Company made certain operational and structural changes to more closely integrate its businesses and to simplify its organizational structure. The Company since then manages and reports financial information through its four strategic business units: Insurance, Healthcare, Analytics and Emerging Business, which reflects how management reviews financial information and makes operating decisions. These business units will develop client-specific solutions, build capabilities, maintain a unified go-to-market approach and be integrally responsible for service delivery, customer satisfaction, growth and profitability. In line with the Company’s strategy of vertical integration and focus on domain expertise, the Company has integrated its Finance &amp; Accounting and Consulting operating segments within each of the Insurance and Healthcare operating segments based on the corresponding industry-specific clients. Finance &amp; Accounting and Consulting services to clients outside of the Insurance and Healthcare industries are part of the Company’s “Emerging Business” segment. In addition, the Company integrated its former Travel, Transportation and Logistics, Banking and Financial Services, and Utilities operating segments under Emerging Business to further leverage and optimize the operating scale in providing operations management services.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reportable segments effective January 1, 2020 are as follows:</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Healthcare,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Emerging Business,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Analytics</w:t>
      </w:r>
    </w:p>
    <w:p>
      <w:pPr>
        <w:spacing w:after="0" w:line="17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new reporting structure, the Company has recast its segment disclosures for prior periods presented to conform to the way the Company internally manages and monitors segment performance.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Revenues and cost of revenues for each of the years ended December 31, 2020, 2019 and 2018, respectively, for each of the reportable segments,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1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7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jc w:val="center"/>
              <w:ind w:right="1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Emerging</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5"/>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341,770</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101,315</w:t>
            </w:r>
          </w:p>
        </w:tc>
        <w:tc>
          <w:tcPr>
            <w:tcW w:w="48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152,670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362,679</w:t>
            </w:r>
          </w:p>
        </w:tc>
        <w:tc>
          <w:tcPr>
            <w:tcW w:w="40" w:type="dxa"/>
            <w:vAlign w:val="bottom"/>
          </w:tcPr>
          <w:p>
            <w:pPr>
              <w:spacing w:after="0"/>
              <w:rPr>
                <w:sz w:val="19"/>
                <w:szCs w:val="19"/>
                <w:color w:val="auto"/>
              </w:rPr>
            </w:pP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231,884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229,450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w w:val="99"/>
              </w:rPr>
              <w:t>109,886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63,211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133,229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Foreign exchange gain, interest expense and other income,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5"/>
          </w:tcPr>
          <w:p>
            <w:pPr>
              <w:spacing w:after="0"/>
              <w:rPr>
                <w:sz w:val="10"/>
                <w:szCs w:val="10"/>
                <w:color w:val="auto"/>
              </w:rPr>
            </w:pPr>
          </w:p>
        </w:tc>
        <w:tc>
          <w:tcPr>
            <w:tcW w:w="740" w:type="dxa"/>
            <w:vAlign w:val="bottom"/>
            <w:tcBorders>
              <w:bottom w:val="single" w:sz="8" w:color="auto"/>
            </w:tcBorders>
            <w:gridSpan w:val="6"/>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40" w:type="dxa"/>
            <w:vAlign w:val="bottom"/>
            <w:tcBorders>
              <w:bottom w:val="single" w:sz="8" w:color="BFE4FF"/>
            </w:tcBorders>
          </w:tcPr>
          <w:p>
            <w:pPr>
              <w:spacing w:after="0"/>
              <w:rPr>
                <w:sz w:val="15"/>
                <w:szCs w:val="15"/>
                <w:color w:val="auto"/>
              </w:rPr>
            </w:pPr>
          </w:p>
        </w:tc>
        <w:tc>
          <w:tcPr>
            <w:tcW w:w="240" w:type="dxa"/>
            <w:vAlign w:val="bottom"/>
            <w:tcBorders>
              <w:bottom w:val="single" w:sz="8" w:color="BFE4FF"/>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140" w:type="dxa"/>
            <w:vAlign w:val="bottom"/>
            <w:tcBorders>
              <w:bottom w:val="single" w:sz="8" w:color="BFE4FF"/>
            </w:tcBorders>
          </w:tcPr>
          <w:p>
            <w:pPr>
              <w:spacing w:after="0"/>
              <w:rPr>
                <w:sz w:val="15"/>
                <w:szCs w:val="15"/>
                <w:color w:val="auto"/>
              </w:rPr>
            </w:pPr>
          </w:p>
        </w:tc>
        <w:tc>
          <w:tcPr>
            <w:tcW w:w="260" w:type="dxa"/>
            <w:vAlign w:val="bottom"/>
            <w:tcBorders>
              <w:bottom w:val="single" w:sz="8" w:color="BFE4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24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260" w:type="dxa"/>
            <w:vAlign w:val="bottom"/>
            <w:shd w:val="clear" w:color="auto" w:fill="BFE4FF"/>
          </w:tcPr>
          <w:p>
            <w:pPr>
              <w:spacing w:after="0"/>
              <w:rPr>
                <w:sz w:val="14"/>
                <w:szCs w:val="14"/>
                <w:color w:val="auto"/>
              </w:rPr>
            </w:pPr>
          </w:p>
        </w:tc>
        <w:tc>
          <w:tcPr>
            <w:tcW w:w="1220" w:type="dxa"/>
            <w:vAlign w:val="bottom"/>
            <w:gridSpan w:val="7"/>
            <w:vMerge w:val="restart"/>
            <w:shd w:val="clear" w:color="auto" w:fill="BFE4FF"/>
          </w:tcPr>
          <w:p>
            <w:pPr>
              <w:ind w:left="1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220" w:type="dxa"/>
            <w:vAlign w:val="bottom"/>
            <w:gridSpan w:val="6"/>
            <w:vMerge w:val="restart"/>
            <w:shd w:val="clear" w:color="auto" w:fill="BFE4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gridSpan w:val="4"/>
            <w:shd w:val="clear" w:color="auto" w:fill="BFE4FF"/>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Emerging</w:t>
            </w:r>
          </w:p>
        </w:tc>
        <w:tc>
          <w:tcPr>
            <w:tcW w:w="1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740" w:type="dxa"/>
            <w:vAlign w:val="bottom"/>
            <w:gridSpan w:val="2"/>
            <w:vMerge w:val="restart"/>
            <w:shd w:val="clear" w:color="auto" w:fill="BFE4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Analytics</w:t>
            </w:r>
          </w:p>
        </w:tc>
        <w:tc>
          <w:tcPr>
            <w:tcW w:w="8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00" w:type="dxa"/>
            <w:vAlign w:val="bottom"/>
            <w:shd w:val="clear" w:color="auto" w:fill="BFE4FF"/>
          </w:tcPr>
          <w:p>
            <w:pPr>
              <w:spacing w:after="0"/>
              <w:rPr>
                <w:sz w:val="14"/>
                <w:szCs w:val="14"/>
                <w:color w:val="auto"/>
              </w:rPr>
            </w:pPr>
          </w:p>
        </w:tc>
        <w:tc>
          <w:tcPr>
            <w:tcW w:w="940" w:type="dxa"/>
            <w:vAlign w:val="bottom"/>
            <w:vMerge w:val="restart"/>
            <w:shd w:val="clear" w:color="auto" w:fill="BFE4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20" w:type="dxa"/>
            <w:vAlign w:val="bottom"/>
            <w:gridSpan w:val="7"/>
            <w:vMerge w:val="continue"/>
            <w:shd w:val="clear" w:color="auto" w:fill="BFE4FF"/>
          </w:tcPr>
          <w:p>
            <w:pPr>
              <w:spacing w:after="0"/>
              <w:rPr>
                <w:sz w:val="19"/>
                <w:szCs w:val="19"/>
                <w:color w:val="auto"/>
              </w:rPr>
            </w:pPr>
          </w:p>
        </w:tc>
        <w:tc>
          <w:tcPr>
            <w:tcW w:w="1220" w:type="dxa"/>
            <w:vAlign w:val="bottom"/>
            <w:gridSpan w:val="6"/>
            <w:vMerge w:val="continue"/>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20" w:type="dxa"/>
            <w:vAlign w:val="bottom"/>
            <w:gridSpan w:val="4"/>
            <w:shd w:val="clear" w:color="auto" w:fill="BFE4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40" w:type="dxa"/>
            <w:vAlign w:val="bottom"/>
            <w:gridSpan w:val="2"/>
            <w:vMerge w:val="continue"/>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vMerge w:val="continue"/>
            <w:shd w:val="clear" w:color="auto" w:fill="BFE4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346,434</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97,465</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190,118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357,329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680" w:type="dxa"/>
            <w:vAlign w:val="bottom"/>
            <w:tcBorders>
              <w:bottom w:val="single" w:sz="8" w:color="auto"/>
            </w:tcBorders>
            <w:gridSpan w:val="5"/>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99"/>
              </w:rPr>
              <w:t>238,580</w:t>
            </w:r>
          </w:p>
        </w:tc>
        <w:tc>
          <w:tcPr>
            <w:tcW w:w="80" w:type="dxa"/>
            <w:vAlign w:val="bottom"/>
            <w:shd w:val="clear" w:color="auto" w:fill="BFE4FF"/>
          </w:tcPr>
          <w:p>
            <w:pPr>
              <w:spacing w:after="0"/>
              <w:rPr>
                <w:sz w:val="19"/>
                <w:szCs w:val="19"/>
                <w:color w:val="auto"/>
              </w:rPr>
            </w:pPr>
          </w:p>
        </w:tc>
        <w:tc>
          <w:tcPr>
            <w:tcW w:w="580" w:type="dxa"/>
            <w:vAlign w:val="bottom"/>
            <w:tcBorders>
              <w:bottom w:val="single" w:sz="8" w:color="auto"/>
            </w:tcBorders>
            <w:shd w:val="clear" w:color="auto" w:fill="BFE4FF"/>
          </w:tcPr>
          <w:p>
            <w:pPr>
              <w:spacing w:after="0"/>
              <w:rPr>
                <w:sz w:val="19"/>
                <w:szCs w:val="19"/>
                <w:color w:val="auto"/>
              </w:rPr>
            </w:pPr>
          </w:p>
        </w:tc>
        <w:tc>
          <w:tcPr>
            <w:tcW w:w="640" w:type="dxa"/>
            <w:vAlign w:val="bottom"/>
            <w:tcBorders>
              <w:bottom w:val="single" w:sz="8" w:color="auto"/>
            </w:tcBorders>
            <w:gridSpan w:val="5"/>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77,048</w:t>
            </w:r>
          </w:p>
        </w:tc>
        <w:tc>
          <w:tcPr>
            <w:tcW w:w="40" w:type="dxa"/>
            <w:vAlign w:val="bottom"/>
            <w:tcBorders>
              <w:bottom w:val="single" w:sz="8" w:color="auto"/>
            </w:tcBorders>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gridSpan w:val="5"/>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108,617</w:t>
            </w:r>
          </w:p>
        </w:tc>
        <w:tc>
          <w:tcPr>
            <w:tcW w:w="100" w:type="dxa"/>
            <w:vAlign w:val="bottom"/>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gridSpan w:val="5"/>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231,245</w:t>
            </w:r>
          </w:p>
        </w:tc>
        <w:tc>
          <w:tcPr>
            <w:tcW w:w="100" w:type="dxa"/>
            <w:vAlign w:val="bottom"/>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655,490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107,854</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126,084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BFE4FF"/>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42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259,403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 and other income, net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4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40" w:type="dxa"/>
            <w:vAlign w:val="bottom"/>
            <w:tcBorders>
              <w:bottom w:val="single" w:sz="8" w:color="BFE4FF"/>
            </w:tcBorders>
          </w:tcPr>
          <w:p>
            <w:pPr>
              <w:spacing w:after="0"/>
              <w:rPr>
                <w:sz w:val="19"/>
                <w:szCs w:val="19"/>
                <w:color w:val="auto"/>
              </w:rPr>
            </w:pPr>
          </w:p>
        </w:tc>
        <w:tc>
          <w:tcPr>
            <w:tcW w:w="260" w:type="dxa"/>
            <w:vAlign w:val="bottom"/>
            <w:tcBorders>
              <w:bottom w:val="single" w:sz="8" w:color="BFE4FF"/>
            </w:tcBorders>
          </w:tcPr>
          <w:p>
            <w:pPr>
              <w:spacing w:after="0"/>
              <w:rPr>
                <w:sz w:val="19"/>
                <w:szCs w:val="19"/>
                <w:color w:val="auto"/>
              </w:rPr>
            </w:pPr>
          </w:p>
        </w:tc>
        <w:tc>
          <w:tcPr>
            <w:tcW w:w="460" w:type="dxa"/>
            <w:vAlign w:val="bottom"/>
            <w:tcBorders>
              <w:bottom w:val="single" w:sz="8" w:color="BFE4FF"/>
            </w:tcBorders>
          </w:tcPr>
          <w:p>
            <w:pPr>
              <w:spacing w:after="0"/>
              <w:rPr>
                <w:sz w:val="19"/>
                <w:szCs w:val="19"/>
                <w:color w:val="auto"/>
              </w:rPr>
            </w:pPr>
          </w:p>
        </w:tc>
        <w:tc>
          <w:tcPr>
            <w:tcW w:w="4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38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58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320" w:type="dxa"/>
            <w:vAlign w:val="bottom"/>
            <w:tcBorders>
              <w:bottom w:val="single" w:sz="8" w:color="BFE4FF"/>
            </w:tcBorders>
          </w:tcPr>
          <w:p>
            <w:pPr>
              <w:spacing w:after="0"/>
              <w:rPr>
                <w:sz w:val="19"/>
                <w:szCs w:val="19"/>
                <w:color w:val="auto"/>
              </w:rPr>
            </w:pPr>
          </w:p>
        </w:tc>
        <w:tc>
          <w:tcPr>
            <w:tcW w:w="4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40" w:type="dxa"/>
            <w:vAlign w:val="bottom"/>
            <w:tcBorders>
              <w:bottom w:val="single" w:sz="8" w:color="BFE4FF"/>
            </w:tcBorders>
          </w:tcPr>
          <w:p>
            <w:pPr>
              <w:spacing w:after="0"/>
              <w:rPr>
                <w:sz w:val="19"/>
                <w:szCs w:val="19"/>
                <w:color w:val="auto"/>
              </w:rPr>
            </w:pPr>
          </w:p>
        </w:tc>
        <w:tc>
          <w:tcPr>
            <w:tcW w:w="58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4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80" w:type="dxa"/>
            <w:vAlign w:val="bottom"/>
            <w:tcBorders>
              <w:bottom w:val="single" w:sz="8" w:color="BFE4FF"/>
            </w:tcBorders>
          </w:tcPr>
          <w:p>
            <w:pPr>
              <w:spacing w:after="0"/>
              <w:rPr>
                <w:sz w:val="19"/>
                <w:szCs w:val="19"/>
                <w:color w:val="auto"/>
              </w:rPr>
            </w:pPr>
          </w:p>
        </w:tc>
        <w:tc>
          <w:tcPr>
            <w:tcW w:w="700" w:type="dxa"/>
            <w:vAlign w:val="bottom"/>
            <w:tcBorders>
              <w:bottom w:val="single" w:sz="8" w:color="BFE4FF"/>
            </w:tcBorders>
          </w:tcPr>
          <w:p>
            <w:pPr>
              <w:spacing w:after="0"/>
              <w:rPr>
                <w:sz w:val="19"/>
                <w:szCs w:val="19"/>
                <w:color w:val="auto"/>
              </w:rPr>
            </w:pPr>
          </w:p>
        </w:tc>
        <w:tc>
          <w:tcPr>
            <w:tcW w:w="4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2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40" w:type="dxa"/>
            <w:vAlign w:val="bottom"/>
            <w:tcBorders>
              <w:bottom w:val="single" w:sz="8" w:color="BFE4FF"/>
            </w:tcBorders>
            <w:shd w:val="clear" w:color="auto" w:fill="BFE4FF"/>
          </w:tcPr>
          <w:p>
            <w:pPr>
              <w:spacing w:after="0"/>
              <w:rPr>
                <w:sz w:val="19"/>
                <w:szCs w:val="19"/>
                <w:color w:val="auto"/>
              </w:rPr>
            </w:pPr>
          </w:p>
        </w:tc>
        <w:tc>
          <w:tcPr>
            <w:tcW w:w="26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38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5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32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40" w:type="dxa"/>
            <w:vAlign w:val="bottom"/>
            <w:tcBorders>
              <w:bottom w:val="single" w:sz="8" w:color="BFE4FF"/>
            </w:tcBorders>
            <w:shd w:val="clear" w:color="auto" w:fill="BFE4FF"/>
          </w:tcPr>
          <w:p>
            <w:pPr>
              <w:spacing w:after="0"/>
              <w:rPr>
                <w:sz w:val="19"/>
                <w:szCs w:val="19"/>
                <w:color w:val="auto"/>
              </w:rPr>
            </w:pPr>
          </w:p>
        </w:tc>
        <w:tc>
          <w:tcPr>
            <w:tcW w:w="58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4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80" w:type="dxa"/>
            <w:vAlign w:val="bottom"/>
            <w:tcBorders>
              <w:bottom w:val="single" w:sz="8" w:color="BFE4FF"/>
            </w:tcBorders>
            <w:shd w:val="clear" w:color="auto" w:fill="BFE4FF"/>
          </w:tcPr>
          <w:p>
            <w:pPr>
              <w:spacing w:after="0"/>
              <w:rPr>
                <w:sz w:val="19"/>
                <w:szCs w:val="19"/>
                <w:color w:val="auto"/>
              </w:rPr>
            </w:pPr>
          </w:p>
        </w:tc>
        <w:tc>
          <w:tcPr>
            <w:tcW w:w="70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20" w:type="dxa"/>
            <w:vAlign w:val="bottom"/>
            <w:tcBorders>
              <w:bottom w:val="single" w:sz="8" w:color="BFE4FF"/>
            </w:tcBorders>
            <w:shd w:val="clear" w:color="auto" w:fill="BFE4FF"/>
          </w:tcPr>
          <w:p>
            <w:pPr>
              <w:spacing w:after="0"/>
              <w:rPr>
                <w:sz w:val="19"/>
                <w:szCs w:val="19"/>
                <w:color w:val="auto"/>
              </w:rPr>
            </w:pPr>
          </w:p>
        </w:tc>
        <w:tc>
          <w:tcPr>
            <w:tcW w:w="8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67,659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shd w:val="clear" w:color="auto" w:fill="BFE4FF"/>
          </w:tcPr>
          <w:p>
            <w:pPr>
              <w:spacing w:after="0" w:line="20" w:lineRule="exact"/>
              <w:rPr>
                <w:sz w:val="1"/>
                <w:szCs w:val="1"/>
                <w:color w:val="auto"/>
              </w:rPr>
            </w:pPr>
          </w:p>
        </w:tc>
        <w:tc>
          <w:tcPr>
            <w:tcW w:w="24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BFE4FF"/>
          </w:tcPr>
          <w:p>
            <w:pPr>
              <w:spacing w:after="0" w:line="20" w:lineRule="exact"/>
              <w:rPr>
                <w:sz w:val="1"/>
                <w:szCs w:val="1"/>
                <w:color w:val="auto"/>
              </w:rPr>
            </w:pPr>
          </w:p>
        </w:tc>
        <w:tc>
          <w:tcPr>
            <w:tcW w:w="260" w:type="dxa"/>
            <w:vAlign w:val="bottom"/>
            <w:shd w:val="clear" w:color="auto" w:fill="BFE4FF"/>
          </w:tcPr>
          <w:p>
            <w:pPr>
              <w:spacing w:after="0" w:line="20" w:lineRule="exact"/>
              <w:rPr>
                <w:sz w:val="1"/>
                <w:szCs w:val="1"/>
                <w:color w:val="auto"/>
              </w:rPr>
            </w:pPr>
          </w:p>
        </w:tc>
        <w:tc>
          <w:tcPr>
            <w:tcW w:w="46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38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58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32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BFE4FF"/>
          </w:tcPr>
          <w:p>
            <w:pPr>
              <w:spacing w:after="0" w:line="20" w:lineRule="exact"/>
              <w:rPr>
                <w:sz w:val="1"/>
                <w:szCs w:val="1"/>
                <w:color w:val="auto"/>
              </w:rPr>
            </w:pPr>
          </w:p>
        </w:tc>
        <w:tc>
          <w:tcPr>
            <w:tcW w:w="58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80" w:type="dxa"/>
            <w:vAlign w:val="bottom"/>
            <w:shd w:val="clear" w:color="auto" w:fill="BFE4FF"/>
          </w:tcPr>
          <w:p>
            <w:pPr>
              <w:spacing w:after="0" w:line="20" w:lineRule="exact"/>
              <w:rPr>
                <w:sz w:val="1"/>
                <w:szCs w:val="1"/>
                <w:color w:val="auto"/>
              </w:rPr>
            </w:pPr>
          </w:p>
        </w:tc>
        <w:tc>
          <w:tcPr>
            <w:tcW w:w="70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200" w:type="dxa"/>
            <w:vAlign w:val="bottom"/>
            <w:shd w:val="clear" w:color="auto" w:fill="BFE4FF"/>
          </w:tcPr>
          <w:p>
            <w:pPr>
              <w:spacing w:after="0" w:line="20" w:lineRule="exact"/>
              <w:rPr>
                <w:sz w:val="1"/>
                <w:szCs w:val="1"/>
                <w:color w:val="auto"/>
              </w:rPr>
            </w:pPr>
          </w:p>
        </w:tc>
        <w:tc>
          <w:tcPr>
            <w:tcW w:w="940" w:type="dxa"/>
            <w:vAlign w:val="bottom"/>
            <w:shd w:val="clear" w:color="auto" w:fill="BFE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gridSpan w:val="1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960" w:type="dxa"/>
            <w:vAlign w:val="bottom"/>
            <w:gridSpan w:val="4"/>
            <w:vMerge w:val="restart"/>
            <w:shd w:val="clear" w:color="auto" w:fill="BFE4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4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40" w:type="dxa"/>
            <w:vAlign w:val="bottom"/>
            <w:gridSpan w:val="3"/>
            <w:vMerge w:val="restart"/>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280" w:type="dxa"/>
            <w:vAlign w:val="bottom"/>
            <w:gridSpan w:val="6"/>
            <w:shd w:val="clear" w:color="auto" w:fill="BFE4FF"/>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Emerging</w:t>
            </w:r>
          </w:p>
        </w:tc>
        <w:tc>
          <w:tcPr>
            <w:tcW w:w="1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140" w:type="dxa"/>
            <w:vAlign w:val="bottom"/>
            <w:gridSpan w:val="5"/>
            <w:vMerge w:val="restart"/>
            <w:shd w:val="clear" w:color="auto" w:fill="BFE4FF"/>
          </w:tcPr>
          <w:p>
            <w:pPr>
              <w:ind w:left="8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8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00" w:type="dxa"/>
            <w:vAlign w:val="bottom"/>
            <w:shd w:val="clear" w:color="auto" w:fill="BFE4FF"/>
          </w:tcPr>
          <w:p>
            <w:pPr>
              <w:spacing w:after="0"/>
              <w:rPr>
                <w:sz w:val="14"/>
                <w:szCs w:val="14"/>
                <w:color w:val="auto"/>
              </w:rPr>
            </w:pPr>
          </w:p>
        </w:tc>
        <w:tc>
          <w:tcPr>
            <w:tcW w:w="960" w:type="dxa"/>
            <w:vAlign w:val="bottom"/>
            <w:gridSpan w:val="2"/>
            <w:vMerge w:val="restart"/>
            <w:shd w:val="clear" w:color="auto" w:fill="BFE4FF"/>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60" w:type="dxa"/>
            <w:vAlign w:val="bottom"/>
            <w:gridSpan w:val="4"/>
            <w:vMerge w:val="continue"/>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40" w:type="dxa"/>
            <w:vAlign w:val="bottom"/>
            <w:gridSpan w:val="3"/>
            <w:vMerge w:val="continue"/>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280" w:type="dxa"/>
            <w:vAlign w:val="bottom"/>
            <w:gridSpan w:val="6"/>
            <w:shd w:val="clear" w:color="auto" w:fill="BFE4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140" w:type="dxa"/>
            <w:vAlign w:val="bottom"/>
            <w:gridSpan w:val="5"/>
            <w:vMerge w:val="continue"/>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60" w:type="dxa"/>
            <w:vAlign w:val="bottom"/>
            <w:gridSpan w:val="2"/>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311,152</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89,845</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196,825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883,112</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BFE4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720" w:type="dxa"/>
            <w:vAlign w:val="bottom"/>
            <w:tcBorders>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211,818</w:t>
            </w:r>
          </w:p>
        </w:tc>
        <w:tc>
          <w:tcPr>
            <w:tcW w:w="40" w:type="dxa"/>
            <w:vAlign w:val="bottom"/>
            <w:tcBorders>
              <w:bottom w:val="single" w:sz="8" w:color="auto"/>
            </w:tcBorders>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tcBorders>
              <w:bottom w:val="single" w:sz="8" w:color="auto"/>
            </w:tcBorders>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60" w:type="dxa"/>
            <w:vAlign w:val="bottom"/>
            <w:tcBorders>
              <w:bottom w:val="single" w:sz="8" w:color="auto"/>
            </w:tcBorders>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32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gridSpan w:val="4"/>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117,987</w:t>
            </w:r>
          </w:p>
        </w:tc>
        <w:tc>
          <w:tcPr>
            <w:tcW w:w="10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7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184,604</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tcBorders>
              <w:bottom w:val="single" w:sz="8" w:color="auto"/>
            </w:tcBorders>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584,855</w:t>
            </w:r>
          </w:p>
        </w:tc>
        <w:tc>
          <w:tcPr>
            <w:tcW w:w="20" w:type="dxa"/>
            <w:vAlign w:val="bottom"/>
            <w:tcBorders>
              <w:bottom w:val="single" w:sz="8" w:color="auto"/>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99,334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BFE4FF"/>
            </w:tcBorders>
          </w:tcPr>
          <w:p>
            <w:pPr>
              <w:spacing w:after="0" w:line="20" w:lineRule="exact"/>
              <w:rPr>
                <w:sz w:val="1"/>
                <w:szCs w:val="1"/>
                <w:color w:val="auto"/>
              </w:rPr>
            </w:pPr>
          </w:p>
        </w:tc>
        <w:tc>
          <w:tcPr>
            <w:tcW w:w="42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BFE4FF"/>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248,436</w:t>
            </w:r>
          </w:p>
        </w:tc>
        <w:tc>
          <w:tcPr>
            <w:tcW w:w="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gain, interest expense and other income,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5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4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BPM and related services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597,822</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285,290</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firstLine="413"/>
        <w:spacing w:after="0" w:line="213" w:lineRule="auto"/>
        <w:tabs>
          <w:tab w:leader="none" w:pos="622"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BPM and related services include revenues of the Company's Insurance, Healthcare and Emerging Business reportable segments. Refer to the reportable segment disclosure above.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5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732,589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114,515</w:t>
            </w:r>
          </w:p>
        </w:tc>
      </w:tr>
      <w:tr>
        <w:trPr>
          <w:trHeight w:val="229"/>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36,008</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150,523</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883,112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right-of-use assets, were as follows: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Pr>
          <w:p>
            <w:pPr>
              <w:spacing w:after="0"/>
              <w:rPr>
                <w:sz w:val="18"/>
                <w:szCs w:val="18"/>
                <w:color w:val="auto"/>
              </w:rPr>
            </w:pPr>
          </w:p>
        </w:tc>
        <w:tc>
          <w:tcPr>
            <w:tcW w:w="16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1"/>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78,244</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165,538</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w:t>
      </w:r>
    </w:p>
    <w:p>
      <w:pPr>
        <w:spacing w:after="0" w:line="121"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quarterly results for the years ended December 31, 2020 and 2019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2020 (Unaudited)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Year ended (Audited)</w:t>
            </w:r>
          </w:p>
        </w:tc>
        <w:tc>
          <w:tcPr>
            <w:tcW w:w="0" w:type="dxa"/>
            <w:vAlign w:val="bottom"/>
          </w:tcPr>
          <w:p>
            <w:pPr>
              <w:spacing w:after="0"/>
              <w:rPr>
                <w:sz w:val="1"/>
                <w:szCs w:val="1"/>
                <w:color w:val="auto"/>
              </w:rPr>
            </w:pPr>
          </w:p>
        </w:tc>
      </w:tr>
      <w:tr>
        <w:trPr>
          <w:trHeight w:val="211"/>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245,990</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958,434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334,498</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before equity method investment activity, net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34,979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39,462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115,329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shares used in computing</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34,401,565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34,486,202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34,327,477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34,273,388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34,720,603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34,597,688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34,536,049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34,370,023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34,555,164</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28,235</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14,412</w:t>
            </w:r>
          </w:p>
        </w:tc>
        <w:tc>
          <w:tcPr>
            <w:tcW w:w="0" w:type="dxa"/>
            <w:vAlign w:val="bottom"/>
          </w:tcPr>
          <w:p>
            <w:pPr>
              <w:spacing w:after="0"/>
              <w:rPr>
                <w:sz w:val="1"/>
                <w:szCs w:val="1"/>
                <w:color w:val="auto"/>
              </w:rPr>
            </w:pPr>
          </w:p>
        </w:tc>
      </w:tr>
      <w:tr>
        <w:trPr>
          <w:trHeight w:val="421"/>
        </w:trPr>
        <w:tc>
          <w:tcPr>
            <w:tcW w:w="3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2019 (Unaudited)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Year ended (Audited)</w:t>
            </w:r>
          </w:p>
        </w:tc>
        <w:tc>
          <w:tcPr>
            <w:tcW w:w="0" w:type="dxa"/>
            <w:vAlign w:val="bottom"/>
          </w:tcPr>
          <w:p>
            <w:pPr>
              <w:spacing w:after="0"/>
              <w:rPr>
                <w:sz w:val="1"/>
                <w:szCs w:val="1"/>
                <w:color w:val="auto"/>
              </w:rPr>
            </w:pPr>
          </w:p>
        </w:tc>
      </w:tr>
      <w:tr>
        <w:trPr>
          <w:trHeight w:val="211"/>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198"/>
        </w:trPr>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239,573</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991,346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335,856</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before equity method investment activity, net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18,962</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24,814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24,028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83,100</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shares used in computing</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34,374,815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34,451,671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34,322,449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34,253,308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34,350,150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34,833,435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34,702,547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34,699,497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34,696,896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34,732,683</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Exclusive of depreciation and amortization expense.</w:t>
      </w:r>
    </w:p>
    <w:p>
      <w:pPr>
        <w:spacing w:after="0" w:line="211" w:lineRule="exact"/>
        <w:rPr>
          <w:rFonts w:ascii="Times New Roman" w:cs="Times New Roman" w:eastAsia="Times New Roman" w:hAnsi="Times New Roman"/>
          <w:sz w:val="22"/>
          <w:szCs w:val="22"/>
          <w:color w:val="auto"/>
          <w:vertAlign w:val="superscript"/>
        </w:rPr>
      </w:pPr>
    </w:p>
    <w:p>
      <w:pPr>
        <w:ind w:left="260" w:hanging="252"/>
        <w:spacing w:after="0" w:line="208" w:lineRule="auto"/>
        <w:tabs>
          <w:tab w:leader="none" w:pos="202"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of quarterly basic and diluted earnings per share and weighted average number of shares used in computing earnings per share will not be equal to year end basic and diluted earnings per share and weighted average number of shares used in computing earnings per share,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net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 to Note 3 - Segment and Geographical Information to the consolidated financial statements for revenues disaggregated by reportable segments and geography.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37"/>
        </w:trPr>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171,864</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$63,995 and $73,920 as of December 31, 2020 and 2019,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 ended December 31, 2020 and 2019, which was included in the contract liabilities balance at the beginning of the respective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3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jc w:val="right"/>
        <w:ind w:righ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and fulfillment costs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ectPr>
          <w:pgSz w:w="11900" w:h="16838" w:orient="portrait"/>
          <w:cols w:equalWidth="0" w:num="1">
            <w:col w:w="11240"/>
          </w:cols>
          <w:pgMar w:left="320" w:top="117" w:right="339" w:bottom="1440" w:gutter="0" w:footer="0" w:header="0"/>
        </w:sect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Contract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19685</wp:posOffset>
            </wp:positionV>
            <wp:extent cx="22885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84911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6849110" cy="154305"/>
                    </a:xfrm>
                    <a:prstGeom prst="rect">
                      <a:avLst/>
                    </a:prstGeom>
                    <a:noFill/>
                  </pic:spPr>
                </pic:pic>
              </a:graphicData>
            </a:graphic>
          </wp:anchor>
        </w:drawing>
      </w:r>
    </w:p>
    <w:p>
      <w:pPr>
        <w:spacing w:after="0" w:line="16" w:lineRule="exact"/>
        <w:rPr>
          <w:sz w:val="20"/>
          <w:szCs w:val="20"/>
          <w:color w:val="auto"/>
        </w:rPr>
      </w:pPr>
    </w:p>
    <w:p>
      <w:pPr>
        <w:ind w:left="430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Fulfillment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19685</wp:posOffset>
            </wp:positionV>
            <wp:extent cx="22371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31" w:lineRule="exact"/>
        <w:rPr>
          <w:sz w:val="20"/>
          <w:szCs w:val="20"/>
          <w:color w:val="auto"/>
        </w:rPr>
      </w:pPr>
    </w:p>
    <w:p>
      <w:pPr>
        <w:sectPr>
          <w:pgSz w:w="11900" w:h="16838" w:orient="portrait"/>
          <w:cols w:equalWidth="0" w:num="2">
            <w:col w:w="7280" w:space="720"/>
            <w:col w:w="32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4,051</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4,652</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(1,448)</w:t>
            </w: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7,255</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There was no impairment for contract acquisition and contract fulfillment costs as of December 31, 2020 and 2019. The capitalized costs are amortized over the expected period of benefit of the contract.</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14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2020, the Company adopted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Accounts receivable and contract assets are in the scope for which assessment is made.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12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of January 1, 2020 the Company’s provision for credit losses was $1,163. There was no material impact on the provision when calculated by applying the Topic 326 guidance.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2020</w:t>
            </w:r>
          </w:p>
        </w:tc>
        <w:tc>
          <w:tcPr>
            <w:tcW w:w="240" w:type="dxa"/>
            <w:vAlign w:val="bottom"/>
          </w:tcPr>
          <w:p>
            <w:pPr>
              <w:spacing w:after="0"/>
              <w:rPr>
                <w:sz w:val="17"/>
                <w:szCs w:val="17"/>
                <w:color w:val="auto"/>
              </w:rPr>
            </w:pPr>
          </w:p>
        </w:tc>
        <w:tc>
          <w:tcPr>
            <w:tcW w:w="170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January 1, 2020</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173,027</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lifetime expected credit loss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41"/>
        </w:trPr>
        <w:tc>
          <w:tcPr>
            <w:tcW w:w="7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147,635</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171,864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7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movement in allowance for current expected credit loss on customer balances for the year ended December 31, 2020 and December 31, 2019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8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r>
      <w:tr>
        <w:trPr>
          <w:trHeight w:val="172"/>
        </w:trPr>
        <w:tc>
          <w:tcPr>
            <w:tcW w:w="7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7"/>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Borders>
              <w:bottom w:val="single" w:sz="8" w:color="auto"/>
            </w:tcBorders>
          </w:tcPr>
          <w:p>
            <w:pPr>
              <w:spacing w:after="0"/>
              <w:rPr>
                <w:sz w:val="14"/>
                <w:szCs w:val="14"/>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against allowance</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8"/>
        </w:trPr>
        <w:tc>
          <w:tcPr>
            <w:tcW w:w="79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140" w:type="dxa"/>
            <w:vAlign w:val="bottom"/>
            <w:tcBorders>
              <w:bottom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1,189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1,163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jc w:val="right"/>
        <w:ind w:righ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ectPr>
          <w:pgSz w:w="11900" w:h="16838" w:orient="portrait"/>
          <w:cols w:equalWidth="0" w:num="1">
            <w:col w:w="11240"/>
          </w:cols>
          <w:pgMar w:left="320" w:top="117" w:right="339" w:bottom="1440" w:gutter="0" w:footer="0" w:header="0"/>
        </w:sectPr>
      </w:pP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Gain on sale and mark-to-market of mutual funds</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and dividend income</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Others, net</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9"/>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r>
      <w:tr>
        <w:trPr>
          <w:trHeight w:val="247"/>
        </w:trPr>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34"/>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-650875</wp:posOffset>
            </wp:positionV>
            <wp:extent cx="641223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-334010</wp:posOffset>
            </wp:positionV>
            <wp:extent cx="641223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978" w:lineRule="exact"/>
        <w:rPr>
          <w:sz w:val="20"/>
          <w:szCs w:val="20"/>
          <w:color w:val="auto"/>
        </w:rPr>
      </w:pPr>
    </w:p>
    <w:p>
      <w:pPr>
        <w:sectPr>
          <w:pgSz w:w="11900" w:h="16838" w:orient="portrait"/>
          <w:cols w:equalWidth="0" w:num="2">
            <w:col w:w="5560" w:space="720"/>
            <w:col w:w="4960"/>
          </w:cols>
          <w:pgMar w:left="320" w:top="117" w:right="339" w:bottom="1440" w:gutter="0" w:footer="0" w:header="0"/>
          <w:type w:val="continuous"/>
        </w:sectPr>
      </w:pPr>
    </w:p>
    <w:p>
      <w:pPr>
        <w:spacing w:after="0" w:line="56"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assumed conversion premium of outstanding convertible notes, using the treasury stock method. Common stock equivalents and the conversion premium of outstanding convertible notes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8"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8"/>
          <w:szCs w:val="18"/>
          <w:color w:val="auto"/>
        </w:rPr>
        <w:t>The Company has a choice to settle the Notes in cash, shares or any combination of the two. The Company presently intends and has the ability to settle the principal balance of the Notes in cash, and as such, the Company has applied the treasury stock method. The dilution related to the conversion premium, if any, of the Notes is included in the calculation of diluted weighted-average shares outstanding to the extent the issuance is dilutive based on the average stock price during the reporting period being greater than the conversion price of $75. Refer to Note 18 - Borrowings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56,726</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34,273,388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34,350,150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34,451,008</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579,976</w:t>
            </w:r>
          </w:p>
        </w:tc>
        <w:tc>
          <w:tcPr>
            <w:tcW w:w="0" w:type="dxa"/>
            <w:vAlign w:val="bottom"/>
          </w:tcPr>
          <w:p>
            <w:pPr>
              <w:spacing w:after="0"/>
              <w:rPr>
                <w:sz w:val="1"/>
                <w:szCs w:val="1"/>
                <w:color w:val="auto"/>
              </w:rPr>
            </w:pPr>
          </w:p>
        </w:tc>
      </w:tr>
      <w:tr>
        <w:trPr>
          <w:trHeight w:val="257"/>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conversion premium on convertible notes</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34,555,164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34,732,683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35,030,984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76"/>
        </w:trPr>
        <w:tc>
          <w:tcPr>
            <w:tcW w:w="6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289,061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computing diluted earnings per share</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Cash Equivalents and Restricted Cash</w:t>
      </w: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purpose of statements of cash flows, cash, cash equivalents and restricted cash comprise of the following:</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95,881</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104,131</w:t>
            </w: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2016-18, </w:t>
      </w:r>
      <w:r>
        <w:rPr>
          <w:rFonts w:ascii="Times New Roman" w:cs="Times New Roman" w:eastAsia="Times New Roman" w:hAnsi="Times New Roman"/>
          <w:sz w:val="18"/>
          <w:szCs w:val="18"/>
          <w:i w:val="1"/>
          <w:iCs w:val="1"/>
          <w:color w:val="auto"/>
        </w:rPr>
        <w:t>Statements of Cash Flows (Topic 230), Restricted Cash</w:t>
      </w:r>
      <w:r>
        <w:rPr>
          <w:rFonts w:ascii="Times New Roman" w:cs="Times New Roman" w:eastAsia="Times New Roman" w:hAnsi="Times New Roman"/>
          <w:sz w:val="18"/>
          <w:szCs w:val="18"/>
          <w:color w:val="auto"/>
        </w:rPr>
        <w:t>. Accordingly, restricted cash and restricted cash equivalents is included with cash and cash equivalents when reconciling the beginning-of-period and end-of-period total amounts shown in the consolidated statements of cash flows.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74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6"/>
                <w:szCs w:val="16"/>
                <w:b w:val="1"/>
                <w:bCs w:val="1"/>
                <w:color w:val="auto"/>
              </w:rPr>
              <w:t>Estimated useful lives</w:t>
            </w:r>
          </w:p>
        </w:tc>
        <w:tc>
          <w:tcPr>
            <w:tcW w:w="180" w:type="dxa"/>
            <w:vAlign w:val="bottom"/>
          </w:tcPr>
          <w:p>
            <w:pPr>
              <w:spacing w:after="0"/>
              <w:rPr>
                <w:sz w:val="12"/>
                <w:szCs w:val="12"/>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Pr>
          <w:p>
            <w:pPr>
              <w:spacing w:after="0"/>
              <w:rPr>
                <w:sz w:val="12"/>
                <w:szCs w:val="12"/>
                <w:color w:val="auto"/>
              </w:rPr>
            </w:pPr>
          </w:p>
        </w:tc>
        <w:tc>
          <w:tcPr>
            <w:tcW w:w="1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14"/>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vMerge w:val="continue"/>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17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257,836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costs incurred on internally developed software, not yet ready to be placed in service.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2020, and 2019 there were no changes in estimated useful lives of property and equipment.</w:t>
      </w:r>
    </w:p>
    <w:p>
      <w:pPr>
        <w:spacing w:after="0" w:line="1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consolidated statements of income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211"/>
        </w:trPr>
        <w:tc>
          <w:tcPr>
            <w:tcW w:w="34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3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2"/>
        </w:trPr>
        <w:tc>
          <w:tcPr>
            <w:tcW w:w="340" w:type="dxa"/>
            <w:vAlign w:val="bottom"/>
          </w:tcPr>
          <w:p>
            <w:pPr>
              <w:spacing w:after="0"/>
              <w:rPr>
                <w:sz w:val="24"/>
                <w:szCs w:val="24"/>
                <w:color w:val="auto"/>
              </w:rPr>
            </w:pPr>
          </w:p>
        </w:tc>
        <w:tc>
          <w:tcPr>
            <w:tcW w:w="10560" w:type="dxa"/>
            <w:vAlign w:val="bottom"/>
            <w:gridSpan w:val="14"/>
          </w:tcPr>
          <w:p>
            <w:pPr>
              <w:jc w:val="right"/>
              <w:ind w:right="56"/>
              <w:spacing w:after="0"/>
              <w:rPr>
                <w:sz w:val="20"/>
                <w:szCs w:val="20"/>
                <w:color w:val="auto"/>
              </w:rPr>
            </w:pPr>
            <w:r>
              <w:rPr>
                <w:rFonts w:ascii="Times New Roman" w:cs="Times New Roman" w:eastAsia="Times New Roman" w:hAnsi="Times New Roman"/>
                <w:sz w:val="18"/>
                <w:szCs w:val="18"/>
                <w:color w:val="auto"/>
              </w:rPr>
              <w:t>The effect of foreign exchange gain / (loss) upon settlement of cash flow hedges recorded under depreciation and amortization, was as follows:</w:t>
            </w:r>
          </w:p>
        </w:tc>
        <w:tc>
          <w:tcPr>
            <w:tcW w:w="3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r>
      <w:tr>
        <w:trPr>
          <w:trHeight w:val="162"/>
        </w:trPr>
        <w:tc>
          <w:tcPr>
            <w:tcW w:w="340" w:type="dxa"/>
            <w:vAlign w:val="bottom"/>
            <w:tcBorders>
              <w:bottom w:val="single" w:sz="8" w:color="CCEEFF"/>
            </w:tcBorders>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gain/(loss)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11"/>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5"/>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18,371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15,784</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(4,989)</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12,373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10,795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consolidated statements of income was as follows: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8"/>
                <w:szCs w:val="18"/>
                <w:color w:val="auto"/>
              </w:rPr>
            </w:pPr>
          </w:p>
        </w:tc>
      </w:tr>
      <w:tr>
        <w:trPr>
          <w:trHeight w:val="211"/>
        </w:trPr>
        <w:tc>
          <w:tcPr>
            <w:tcW w:w="4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5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2019, the Company performed an impairment test of its long-lived assets related to its Health Integrated business. Based on the results, the long-lived assets carrying value exceeded its fair value. The primary factor contributing to a reduction in the fair value is the wind down of the Health Integrated business, due to an anticipated reduction to the Company's estimated future cash flows. As a result of this analysis, the Company recognized impairment charges of $2,178 during the year ended December 31, 2019, to write down the carrying value of property and equipment to its fair value. This impairment charge was recorded in the consolidated statements of income under "Impairment and restructuring charges". Refer to Note 24 - Impairment and Restructuring Charges to the consolidated financial statements for further details.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0" w:type="dxa"/>
            <w:vAlign w:val="bottom"/>
          </w:tcPr>
          <w:p>
            <w:pPr>
              <w:spacing w:after="0"/>
              <w:rPr>
                <w:sz w:val="17"/>
                <w:szCs w:val="17"/>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Emerging</w:t>
            </w:r>
          </w:p>
        </w:tc>
        <w:tc>
          <w:tcPr>
            <w:tcW w:w="120" w:type="dxa"/>
            <w:vAlign w:val="bottom"/>
          </w:tcPr>
          <w:p>
            <w:pPr>
              <w:spacing w:after="0"/>
              <w:rPr>
                <w:sz w:val="17"/>
                <w:szCs w:val="17"/>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180" w:type="dxa"/>
            <w:vAlign w:val="bottom"/>
          </w:tcPr>
          <w:p>
            <w:pPr>
              <w:spacing w:after="0"/>
              <w:rPr>
                <w:sz w:val="17"/>
                <w:szCs w:val="17"/>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1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20" w:type="dxa"/>
            <w:vAlign w:val="bottom"/>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7"/>
                <w:szCs w:val="17"/>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349,984</w:t>
            </w:r>
          </w:p>
        </w:tc>
        <w:tc>
          <w:tcPr>
            <w:tcW w:w="0" w:type="dxa"/>
            <w:vAlign w:val="bottom"/>
          </w:tcPr>
          <w:p>
            <w:pPr>
              <w:spacing w:after="0"/>
              <w:rPr>
                <w:sz w:val="1"/>
                <w:szCs w:val="1"/>
                <w:color w:val="auto"/>
              </w:rPr>
            </w:pPr>
          </w:p>
        </w:tc>
      </w:tr>
      <w:tr>
        <w:trPr>
          <w:trHeight w:val="176"/>
        </w:trPr>
        <w:tc>
          <w:tcPr>
            <w:tcW w:w="1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December 31,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349,529</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reallocation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December 31,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50,499</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49,348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227,288</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349,088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firstLine="8"/>
        <w:spacing w:after="0" w:line="242" w:lineRule="auto"/>
        <w:tabs>
          <w:tab w:leader="none" w:pos="183"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reallocation of goodwill because of the Company reorganizing its operating segments as described in Note 3 - Segment and Geographical Information to the consolidated financial statements.</w:t>
      </w:r>
    </w:p>
    <w:p>
      <w:pPr>
        <w:spacing w:after="0" w:line="14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2020, due to the deteriorating macroeconomic conditions arising from COVID-19, the Company performed an interim goodwill quantitative impairment test for its reporting units. The Company considered the effects of COVID-19 on its significant inputs used in determining the fair value of the Company’s reporting units. Based on the results, the fair value of each of the Company’s reporting units exceeded their carrying value and the Company’s goodwill was not impaired.</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second and third quarters of 2020, the Company evaluated the continuing effects of COVID-19 and its impact on the global economy on each of the Company’s reporting units to assess whether there was a triggering event during these quarters requiring the Company to perform a goodwill impairment test. The Company considered certain improvements in current and forecasted economic and market conditions and qualitative factors, such as the Company’s performance and business forecasts, stock price movements and expansion plans. The Company reviewed key assumptions, including revisions of projected future revenues for reporting units against the results of the interim quantitative impairment test performed during the first quarter of 2020. The Company did not identify any triggers or indications of potential impairment for its reporting units as of June 30, 2020 and September 30, 2020.</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2020, the Company performed its annual goodwill quantitative impairment test for those reporting units that had goodwill recorded. Key assumptions used in determining the fair value of the Company’s reporting units were, a long-term revenue growth rate in the terminal year of 3.0%, which was based upon expected long-term inflation rate and real gross domestic product growth over a long-term, and discount rates ranging from 10.4% to 12.0%, which vary based upon the risks and uncertainties inherent in each individual reporting unit. Based on the results, the fair value of each of the Company’s reporting units exceeded their carrying value and the Company’s goodwill was not impaired.</w:t>
      </w:r>
    </w:p>
    <w:p>
      <w:pPr>
        <w:spacing w:after="0" w:line="129"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recoverability of goodwill is dependent upon the continued growth of cash flows from the Company’s business activities. This growth is based on business forecasts and improvement in profitability of the respective reporting units. The Company continues to maintain its focus on cultivating long-term client relationships as well as attracting new clients. The Company believes there are significant opportunities for additional growth within its existing clients, and can expand these relationships by:</w:t>
      </w:r>
    </w:p>
    <w:p>
      <w:pPr>
        <w:spacing w:after="0" w:line="12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the Company provides across its clients’ value chains and geographies;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the Company's services that includes operations management and data and analytics;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Company's clients’ geographic expansion leveraging its global footprint.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also considers selective strategic relationships with industry leaders that add new long-term client relationships, enhance the depth and breadth of its services and solutions, and complement its business strategy. Through its Connected Intelligence Partnership programs, the Company expands its technology and innovation ecosystem with select partnerships, alliances or investments that the Company expects will enhance go-to-market opportunities and expand the scope and effectiveness of the Company’s services and solutions by adding digital assets and intellectual property, which will help the Company to win new clients or allowing it to enter new industry verticals and geographic markets.</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will continue to monitor the impacts of COVID-19 on the Company and significant changes in key assumptions that could result in future period impairment charges.</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2019, the Company performed its annual goodwill quantitative impairment test for all of its reporting units. These reporting units were based on the segment reporting structure that existed prior to the Company's transition to its new segment reporting structure effective January 1, 2020, which resulted in the former SCIO reporting unit being reflected as an integrated business within the Healthcare Analytics operating segment and reporting unit. Based on the results of the 2019 annual goodwill quantitative impairment test, the fair values of each of the Company’s reporting units exceeded their carrying values and the Company’s goodwill was not impaired. However, for the former SCIO reporting unit within the Analytics reportable segment, the fair value was not substantially in excess of its carrying value. The former SCIO reporting unit was formed as a result of the SCIO acquisition in July 2018 and its fair value was set at the time of acquisition. As of December 31, 2019, the goodwill associated with the former SCIO reporting unit was $163,751, representing approximately 47.0% of the Company’s total goodwill, and the percentage by which the fair value of the former SCIO reporting unit exceeded the carrying value as of the date of the annual impairment test was approximately 10.0%.</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8"/>
        </w:trPr>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22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45,893</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3"/>
        </w:trPr>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58,694</w:t>
            </w: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59,594</w:t>
            </w:r>
          </w:p>
        </w:tc>
      </w:tr>
      <w:tr>
        <w:trPr>
          <w:trHeight w:val="21"/>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58"/>
        </w:trPr>
        <w:tc>
          <w:tcPr>
            <w:tcW w:w="5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536"/>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8"/>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Pr>
          <w:p>
            <w:pPr>
              <w:spacing w:after="0"/>
              <w:rPr>
                <w:sz w:val="19"/>
                <w:szCs w:val="19"/>
                <w:color w:val="auto"/>
              </w:rPr>
            </w:pPr>
          </w:p>
        </w:tc>
        <w:tc>
          <w:tcPr>
            <w:tcW w:w="1340" w:type="dxa"/>
            <w:vAlign w:val="bottom"/>
            <w:gridSpan w:val="2"/>
          </w:tcPr>
          <w:p>
            <w:pPr>
              <w:jc w:val="center"/>
              <w:ind w:left="6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97,602</w:t>
            </w:r>
          </w:p>
        </w:tc>
        <w:tc>
          <w:tcPr>
            <w:tcW w:w="600" w:type="dxa"/>
            <w:vAlign w:val="bottom"/>
            <w:gridSpan w:val="3"/>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54,272</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16,289</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2,521</w:t>
            </w:r>
          </w:p>
        </w:tc>
      </w:tr>
      <w:tr>
        <w:trPr>
          <w:trHeight w:val="223"/>
        </w:trPr>
        <w:tc>
          <w:tcPr>
            <w:tcW w:w="54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73,082</w:t>
            </w:r>
          </w:p>
        </w:tc>
      </w:tr>
      <w:tr>
        <w:trPr>
          <w:trHeight w:val="21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1"/>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0" w:type="dxa"/>
            <w:vAlign w:val="bottom"/>
            <w:gridSpan w:val="3"/>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130,578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73,982</w:t>
            </w:r>
          </w:p>
        </w:tc>
      </w:tr>
      <w:tr>
        <w:trPr>
          <w:trHeight w:val="21"/>
        </w:trPr>
        <w:tc>
          <w:tcPr>
            <w:tcW w:w="5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72"/>
        </w:trPr>
        <w:tc>
          <w:tcPr>
            <w:tcW w:w="8260" w:type="dxa"/>
            <w:vAlign w:val="bottom"/>
            <w:gridSpan w:val="7"/>
          </w:tcPr>
          <w:p>
            <w:pPr>
              <w:jc w:val="right"/>
              <w:ind w:right="856"/>
              <w:spacing w:after="0"/>
              <w:rPr>
                <w:sz w:val="20"/>
                <w:szCs w:val="20"/>
                <w:color w:val="auto"/>
              </w:rPr>
            </w:pPr>
            <w:r>
              <w:rPr>
                <w:rFonts w:ascii="Times New Roman" w:cs="Times New Roman" w:eastAsia="Times New Roman" w:hAnsi="Times New Roman"/>
                <w:sz w:val="18"/>
                <w:szCs w:val="18"/>
                <w:color w:val="auto"/>
              </w:rPr>
              <w:t>The amortization expense recognized in the consolidated statements of income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2"/>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11"/>
        </w:trPr>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Pr>
          <w:p>
            <w:pPr>
              <w:spacing w:after="0"/>
              <w:rPr>
                <w:sz w:val="18"/>
                <w:szCs w:val="18"/>
                <w:color w:val="auto"/>
              </w:rPr>
            </w:pPr>
          </w:p>
        </w:tc>
        <w:tc>
          <w:tcPr>
            <w:tcW w:w="128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50"/>
        </w:trPr>
        <w:tc>
          <w:tcPr>
            <w:tcW w:w="540" w:type="dxa"/>
            <w:vAlign w:val="bottom"/>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14,412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5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33"/>
        </w:trPr>
        <w:tc>
          <w:tcPr>
            <w:tcW w:w="80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780" w:type="dxa"/>
            <w:vAlign w:val="bottom"/>
          </w:tcPr>
          <w:p>
            <w:pPr>
              <w:spacing w:after="0"/>
              <w:rPr>
                <w:sz w:val="20"/>
                <w:szCs w:val="20"/>
                <w:color w:val="auto"/>
              </w:rPr>
            </w:pPr>
          </w:p>
        </w:tc>
      </w:tr>
      <w:tr>
        <w:trPr>
          <w:trHeight w:val="230"/>
        </w:trPr>
        <w:tc>
          <w:tcPr>
            <w:tcW w:w="8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4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tcPr>
          <w:p>
            <w:pPr>
              <w:spacing w:after="0"/>
              <w:rPr>
                <w:sz w:val="19"/>
                <w:szCs w:val="19"/>
                <w:color w:val="auto"/>
              </w:rPr>
            </w:pPr>
          </w:p>
        </w:tc>
      </w:tr>
      <w:tr>
        <w:trPr>
          <w:trHeight w:val="418"/>
        </w:trPr>
        <w:tc>
          <w:tcPr>
            <w:tcW w:w="800" w:type="dxa"/>
            <w:vAlign w:val="bottom"/>
          </w:tcPr>
          <w:p>
            <w:pPr>
              <w:spacing w:after="0"/>
              <w:rPr>
                <w:sz w:val="24"/>
                <w:szCs w:val="24"/>
                <w:color w:val="auto"/>
              </w:rPr>
            </w:pPr>
          </w:p>
        </w:tc>
        <w:tc>
          <w:tcPr>
            <w:tcW w:w="8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December 31, 2020 was as follows: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9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78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44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780" w:type="dxa"/>
            <w:vAlign w:val="bottom"/>
          </w:tcPr>
          <w:p>
            <w:pPr>
              <w:spacing w:after="0"/>
              <w:rPr>
                <w:sz w:val="19"/>
                <w:szCs w:val="19"/>
                <w:color w:val="auto"/>
              </w:rPr>
            </w:pPr>
          </w:p>
        </w:tc>
      </w:tr>
      <w:tr>
        <w:trPr>
          <w:trHeight w:val="248"/>
        </w:trPr>
        <w:tc>
          <w:tcPr>
            <w:tcW w:w="8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58,694</w:t>
            </w:r>
          </w:p>
        </w:tc>
        <w:tc>
          <w:tcPr>
            <w:tcW w:w="78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65"/>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20" w:type="dxa"/>
            <w:vAlign w:val="bottom"/>
            <w:gridSpan w:val="2"/>
          </w:tcPr>
          <w:p>
            <w:pPr>
              <w:jc w:val="right"/>
              <w:ind w:right="3690"/>
              <w:spacing w:after="0"/>
              <w:rPr>
                <w:sz w:val="20"/>
                <w:szCs w:val="20"/>
                <w:color w:val="auto"/>
              </w:rPr>
            </w:pPr>
            <w:r>
              <w:rPr>
                <w:rFonts w:ascii="Times New Roman" w:cs="Times New Roman" w:eastAsia="Times New Roman" w:hAnsi="Times New Roman"/>
                <w:sz w:val="18"/>
                <w:szCs w:val="18"/>
                <w:color w:val="auto"/>
              </w:rPr>
              <w:t>F-36</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8"/>
              </w:rPr>
              <w:t>December 31, 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accrued on term deposits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64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32,099</w:t>
            </w:r>
          </w:p>
        </w:tc>
        <w:tc>
          <w:tcPr>
            <w:tcW w:w="80" w:type="dxa"/>
            <w:vAlign w:val="bottom"/>
            <w:tcBorders>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300" w:type="dxa"/>
            <w:vAlign w:val="bottom"/>
            <w:tcBorders>
              <w:right w:val="single" w:sz="8" w:color="CCEEFF"/>
            </w:tcBorders>
          </w:tcPr>
          <w:p>
            <w:pPr>
              <w:spacing w:after="0"/>
              <w:rPr>
                <w:sz w:val="19"/>
                <w:szCs w:val="19"/>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39,951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right w:val="single" w:sz="8" w:color="CCEEFF"/>
            </w:tcBorders>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right w:val="single" w:sz="8" w:color="CCEEFF"/>
            </w:tcBorders>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right w:val="single" w:sz="8" w:color="CCEEFF"/>
            </w:tcBorders>
          </w:tcPr>
          <w:p>
            <w:pPr>
              <w:spacing w:after="0"/>
              <w:rPr>
                <w:sz w:val="19"/>
                <w:szCs w:val="19"/>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66,410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CCEEFF"/>
            </w:tcBorders>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(“AOCI”) consists of actuarial gain/(loss) on retirement benefits and foreign currency translation adjustments. In addition, the Company enters into foreign currency exchange contracts, which are designated as cash flow hedges in accordance with ASC 815. Cumulative changes in the fair values of these foreign currency exchange contracts are recognized in AOCI on the Company's consolidated balance sheets until the settlement of those contracts. The balances as of December 31, 2020 and 2019 are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1, 2019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Gains / (losses) recognized during the year</w:t>
      </w:r>
    </w:p>
    <w:p>
      <w:pPr>
        <w:ind w:left="20"/>
        <w:spacing w:after="0" w:line="232" w:lineRule="auto"/>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p>
      <w:pPr>
        <w:ind w:left="20"/>
        <w:spacing w:after="0" w:line="218" w:lineRule="auto"/>
        <w:rPr>
          <w:sz w:val="20"/>
          <w:szCs w:val="20"/>
          <w:color w:val="auto"/>
        </w:rPr>
      </w:pPr>
      <w:r>
        <w:rPr>
          <w:rFonts w:ascii="Times New Roman" w:cs="Times New Roman" w:eastAsia="Times New Roman" w:hAnsi="Times New Roman"/>
          <w:sz w:val="18"/>
          <w:szCs w:val="18"/>
          <w:color w:val="auto"/>
        </w:rPr>
        <w:t>Income tax benefit / (expense)</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Accumulated other comprehensive loss as of December 31, 2019</w:t>
      </w:r>
    </w:p>
    <w:p>
      <w:pPr>
        <w:ind w:left="20"/>
        <w:spacing w:after="0"/>
        <w:rPr>
          <w:sz w:val="20"/>
          <w:szCs w:val="20"/>
          <w:color w:val="auto"/>
        </w:rPr>
      </w:pPr>
      <w:r>
        <w:rPr>
          <w:rFonts w:ascii="Times New Roman" w:cs="Times New Roman" w:eastAsia="Times New Roman" w:hAnsi="Times New Roman"/>
          <w:sz w:val="18"/>
          <w:szCs w:val="18"/>
          <w:color w:val="auto"/>
        </w:rPr>
        <w:t>Gains / (losses) recognized during the year</w:t>
      </w:r>
    </w:p>
    <w:p>
      <w:pPr>
        <w:ind w:left="20"/>
        <w:spacing w:after="0" w:line="232" w:lineRule="auto"/>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p>
      <w:pPr>
        <w:ind w:left="20"/>
        <w:spacing w:after="0" w:line="218" w:lineRule="auto"/>
        <w:rPr>
          <w:sz w:val="20"/>
          <w:szCs w:val="20"/>
          <w:color w:val="auto"/>
        </w:rPr>
      </w:pPr>
      <w:r>
        <w:rPr>
          <w:rFonts w:ascii="Times New Roman" w:cs="Times New Roman" w:eastAsia="Times New Roman" w:hAnsi="Times New Roman"/>
          <w:sz w:val="18"/>
          <w:szCs w:val="18"/>
          <w:color w:val="auto"/>
        </w:rPr>
        <w:t>Income tax benefit / (expense)</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Accumulated other comprehensive loss as of December 31, 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8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(loss)/gain</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68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translation (loss)/</w:t>
            </w:r>
          </w:p>
        </w:tc>
        <w:tc>
          <w:tcPr>
            <w:tcW w:w="18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vMerge w:val="restart"/>
          </w:tcPr>
          <w:p>
            <w:pPr>
              <w:jc w:val="right"/>
              <w:ind w:right="49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on cash flow hedges</w:t>
            </w:r>
          </w:p>
        </w:tc>
        <w:tc>
          <w:tcPr>
            <w:tcW w:w="200" w:type="dxa"/>
            <w:vAlign w:val="bottom"/>
          </w:tcPr>
          <w:p>
            <w:pPr>
              <w:spacing w:after="0"/>
              <w:rPr>
                <w:sz w:val="8"/>
                <w:szCs w:val="8"/>
                <w:color w:val="auto"/>
              </w:rPr>
            </w:pP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(84,105)</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38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(87,591)</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358"/>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-1559560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-1259840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-967740</wp:posOffset>
            </wp:positionV>
            <wp:extent cx="7132320"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-565150</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-273685</wp:posOffset>
            </wp:positionV>
            <wp:extent cx="7132320"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100"/>
            <w:col w:w="6840"/>
          </w:cols>
          <w:pgMar w:left="320" w:top="117" w:right="339" w:bottom="1440" w:gutter="0" w:footer="0" w:header="0"/>
          <w:type w:val="continuous"/>
        </w:sectPr>
      </w:pPr>
    </w:p>
    <w:p>
      <w:pPr>
        <w:spacing w:after="0" w:line="243" w:lineRule="exact"/>
        <w:rPr>
          <w:sz w:val="20"/>
          <w:szCs w:val="20"/>
          <w:color w:val="auto"/>
        </w:rPr>
      </w:pPr>
    </w:p>
    <w:p>
      <w:pPr>
        <w:ind w:left="660" w:hanging="328"/>
        <w:spacing w:after="0" w:line="283" w:lineRule="auto"/>
        <w:tabs>
          <w:tab w:leader="none" w:pos="6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Refer to Note 17 - Derivatives and Hedge Accounting and Note 20 - Employee Benefit Plans to the consolidated financial statements for reclassification to net income.</w:t>
      </w:r>
    </w:p>
    <w:p>
      <w:pPr>
        <w:spacing w:after="0" w:line="18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income tax benefit / (expense) recognized on changes in the fair values of cash flow hedges, actuarial (loss) / gain on</w:t>
      </w:r>
    </w:p>
    <w:p>
      <w:pPr>
        <w:spacing w:after="0" w:line="45" w:lineRule="exact"/>
        <w:rPr>
          <w:rFonts w:ascii="Times New Roman" w:cs="Times New Roman" w:eastAsia="Times New Roman" w:hAnsi="Times New Roman"/>
          <w:sz w:val="16"/>
          <w:szCs w:val="16"/>
          <w:i w:val="1"/>
          <w:iCs w:val="1"/>
          <w:color w:val="auto"/>
        </w:rPr>
      </w:pPr>
    </w:p>
    <w:p>
      <w:pPr>
        <w:ind w:left="660"/>
        <w:spacing w:after="0" w:line="283"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retirement benefits and foreign currency translation (loss) / gain, net of reclassifications related to the period activity. Refer to Note 22 - Income Taxes to the consolidated financial statements.</w:t>
      </w:r>
    </w:p>
    <w:p>
      <w:pPr>
        <w:spacing w:after="0" w:line="342" w:lineRule="exact"/>
        <w:rPr>
          <w:rFonts w:ascii="Times New Roman" w:cs="Times New Roman" w:eastAsia="Times New Roman" w:hAnsi="Times New Roman"/>
          <w:sz w:val="16"/>
          <w:szCs w:val="16"/>
          <w:i w:val="1"/>
          <w:iCs w:val="1"/>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as against assumptions specific to the entity. In addition, the fair value of liabilities should include consideration of non-performance risk, including the Company’s own credit risk.</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December 31, 2020 and 2019.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40" w:type="dxa"/>
            <w:vAlign w:val="bottom"/>
          </w:tcPr>
          <w:p>
            <w:pPr>
              <w:spacing w:after="0"/>
              <w:rPr>
                <w:sz w:val="16"/>
                <w:szCs w:val="16"/>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 Identical</w:t>
            </w:r>
          </w:p>
        </w:tc>
        <w:tc>
          <w:tcPr>
            <w:tcW w:w="1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7"/>
                <w:szCs w:val="7"/>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160,441</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160,441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177,129</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20" w:type="dxa"/>
            <w:vAlign w:val="bottom"/>
          </w:tcPr>
          <w:p>
            <w:pPr>
              <w:spacing w:after="0"/>
              <w:rPr>
                <w:sz w:val="24"/>
                <w:szCs w:val="24"/>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40" w:type="dxa"/>
            <w:vAlign w:val="bottom"/>
          </w:tcPr>
          <w:p>
            <w:pPr>
              <w:spacing w:after="0"/>
              <w:rPr>
                <w:sz w:val="24"/>
                <w:szCs w:val="24"/>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24"/>
                <w:szCs w:val="24"/>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 Identical</w:t>
            </w:r>
          </w:p>
        </w:tc>
        <w:tc>
          <w:tcPr>
            <w:tcW w:w="1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7"/>
                <w:szCs w:val="7"/>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173,839</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Represents those short-term investments which are carried at the fair value option under ASC 825 "Financial Instruments".</w:t>
      </w:r>
    </w:p>
    <w:p>
      <w:pPr>
        <w:spacing w:after="0" w:line="25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The Company’s derivative financial instruments consist of foreign currency forward exchange contracts. Fair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financial instruments are based on independent sources including highly rated financial institutions and are classified as Level 2. Refer to Note 17 - Derivatives and Hedge Accounting to the consolidated financial statements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The total estimated fair value of the convertible senior notes as of December 31, 2020 and 2019 was $152,384 and $149,934, respectively. The fair value was determined based on the market yields for similar convertible notes as of December 31, 2020 and 2019, respectively. The Company considers the fair value of the convertible senior notes to be a Level 2 measurement due to the limited inputs available for its fair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 of assets:</w:t>
      </w:r>
    </w:p>
    <w:p>
      <w:pPr>
        <w:spacing w:after="0" w:line="254"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Nonrecurring fair value measurements include impairment tests of goodwill conducted by the Company during the year ended December 31, 2020 and 2019. The fair value determination of the Company's reporting units was based on a combination of the income approach, using DCF model, which are Level 3 inputs, and also the market approach, as applicable, using market multiples for reporting units, which are Level 2 inputs. During the year ended December 31, 2020 and 2019, the Company did not recognize any impairment charges on goodwill as the fair values of the reporting units exceeded their carrying value. Refer to Note 10 - Goodwill and Intangible Assets to the consolidated financial statements for further details.</w:t>
      </w:r>
    </w:p>
    <w:p>
      <w:pPr>
        <w:spacing w:after="0" w:line="212"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2019, the Company conducted impairment tests of its long-lived assets and ROU assets related to its Health Integrated business. The fair value determination for ROU assets was based on third party quotes, which are Level 2 inputs, and for other long-lived assets, it was based on Company’s internal assessment, which are Level 3 inputs. During the year ended December 31, 2019, the Company recognized impairment charges on long-lived assets and ROU assets to write down the carrying value to their fair values. Refer to Note 9 - Property and Equipment, net and Note 21 - Leases to the consolidated financial statements for further details.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$451,935 as of December 31, 2020 and $410,390 (including $4,300 of range forward contracts) as of December 31, 2019.</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consolidated statements of income as either a part of “Cost of revenues”, “General and administrative expenses”, “Selling and marketing expenses”, “Depreciation and amortization expense”, as applicable. The impact of COVID-19 on the economic environment is uncertain and may cause variability in determination of fair value of these cash flow hedges, which could impact the effects of change in fair value that get recorded as a component of accumulated other comprehensive income/(loss) and also resultant exchange gain/(loss) upon settlement of derivative financial instruments</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that approximately $9,564 of derivative gains, net, excluding tax effects, included in AOCI, representing changes in the value of cash flow hedges, could be reclassified into earnings within the next twelve months based on exchange rates prevailing as of December 31, 2020. At December 31, 2020, the maximum outstanding term of the cash flow hedges was 45 months.</w:t>
      </w:r>
    </w:p>
    <w:p>
      <w:pPr>
        <w:spacing w:after="0" w:line="12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consolidated statements of income and are included in the foreign exchange gain/ (loss) line item. The Company’s primary exchange rate exposure is with the Indian rupee, the U.K. pound sterling and the Philippine peso. The Company also has exposure to Colombian pesos (COP), Czech koruna, the Euro, South African ZAR and other local currencies in which it operates. Outstanding foreign currency forward contracts amounted to USD 143,394, GBP 6,753, EUR 2,447 and COP 8,287,950 as of December 31, 2020 and USD 124,045, GBP 10,843 and EUR 1,289 as of December 31, 2019.</w:t>
      </w:r>
    </w:p>
    <w:p>
      <w:pPr>
        <w:spacing w:after="0" w:line="1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All the assets and liabilities related to our foreign exchange forward contracts are subject to master netting arrangements with each individual counterparty. These master netting arrangements generally provide for net settlement of all outstanding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the counterparty in the case of an event of default or a termination event. We have presented all the assets and liabilities related to our foreign exchange forward contracts on a gross basis, with no offsets, in our consolidated statements of financial position. There is no financial collateral (including cash collateral) provided or received by us related to our foreign exchange forward contracts.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consolidated financial statements:</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21590</wp:posOffset>
            </wp:positionV>
            <wp:extent cx="64465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2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6"/>
          <w:szCs w:val="16"/>
          <w:b w:val="1"/>
          <w:bCs w:val="1"/>
          <w:color w:val="auto"/>
        </w:rPr>
        <w:t>December 31, 2020</w:t>
      </w:r>
      <w:r>
        <w:rPr>
          <w:sz w:val="20"/>
          <w:szCs w:val="20"/>
          <w:color w:val="auto"/>
        </w:rPr>
        <w:tab/>
      </w:r>
      <w:r>
        <w:rPr>
          <w:rFonts w:ascii="Times New Roman" w:cs="Times New Roman" w:eastAsia="Times New Roman" w:hAnsi="Times New Roman"/>
          <w:sz w:val="16"/>
          <w:szCs w:val="16"/>
          <w:b w:val="1"/>
          <w:bCs w:val="1"/>
          <w:color w:val="auto"/>
        </w:rPr>
        <w:t>December 31, 2019</w:t>
      </w:r>
    </w:p>
    <w:p>
      <w:pPr>
        <w:spacing w:after="0" w:line="28" w:lineRule="exact"/>
        <w:rPr>
          <w:sz w:val="20"/>
          <w:szCs w:val="20"/>
          <w:color w:val="auto"/>
        </w:rPr>
      </w:pPr>
    </w:p>
    <w:p>
      <w:pPr>
        <w:sectPr>
          <w:pgSz w:w="11900" w:h="16838" w:orient="portrait"/>
          <w:cols w:equalWidth="0" w:num="2">
            <w:col w:w="6140" w:space="720"/>
            <w:col w:w="4380"/>
          </w:cols>
          <w:pgMar w:left="320" w:top="117"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21590</wp:posOffset>
            </wp:positionV>
            <wp:extent cx="3745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-114935</wp:posOffset>
            </wp:positionV>
            <wp:extent cx="64465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2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6"/>
          <w:szCs w:val="16"/>
          <w:b w:val="1"/>
          <w:bCs w:val="1"/>
          <w:color w:val="auto"/>
        </w:rPr>
        <w:t>December 31, 2020</w:t>
      </w:r>
      <w:r>
        <w:rPr>
          <w:sz w:val="20"/>
          <w:szCs w:val="20"/>
          <w:color w:val="auto"/>
        </w:rPr>
        <w:tab/>
      </w:r>
      <w:r>
        <w:rPr>
          <w:rFonts w:ascii="Times New Roman" w:cs="Times New Roman" w:eastAsia="Times New Roman" w:hAnsi="Times New Roman"/>
          <w:sz w:val="16"/>
          <w:szCs w:val="16"/>
          <w:b w:val="1"/>
          <w:bCs w:val="1"/>
          <w:color w:val="auto"/>
        </w:rPr>
        <w:t>December 31, 2019</w:t>
      </w:r>
    </w:p>
    <w:p>
      <w:pPr>
        <w:spacing w:after="0" w:line="28" w:lineRule="exact"/>
        <w:rPr>
          <w:sz w:val="20"/>
          <w:szCs w:val="20"/>
          <w:color w:val="auto"/>
        </w:rPr>
      </w:pPr>
    </w:p>
    <w:p>
      <w:pPr>
        <w:sectPr>
          <w:pgSz w:w="11900" w:h="16838" w:orient="portrait"/>
          <w:cols w:equalWidth="0" w:num="2">
            <w:col w:w="6140" w:space="720"/>
            <w:col w:w="4380"/>
          </w:cols>
          <w:pgMar w:left="320" w:top="117"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13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consolidated statements of income and accumulated other comprehensive loss for the years ended December 31,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11"/>
        </w:trPr>
        <w:tc>
          <w:tcPr>
            <w:tcW w:w="660" w:type="dxa"/>
            <w:vAlign w:val="bottom"/>
          </w:tcPr>
          <w:p>
            <w:pPr>
              <w:spacing w:after="0"/>
              <w:rPr>
                <w:sz w:val="18"/>
                <w:szCs w:val="18"/>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Forward Exchange Contracts:</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Unrealized gain/(loss) recognized in AOCI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1"/>
        </w:trPr>
        <w:tc>
          <w:tcPr>
            <w:tcW w:w="66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640" w:type="dxa"/>
            <w:vAlign w:val="bottom"/>
          </w:tcPr>
          <w:p>
            <w:pPr>
              <w:spacing w:after="0"/>
              <w:rPr>
                <w:sz w:val="20"/>
                <w:szCs w:val="20"/>
                <w:color w:val="auto"/>
              </w:rPr>
            </w:pPr>
          </w:p>
        </w:tc>
      </w:tr>
      <w:tr>
        <w:trPr>
          <w:trHeight w:val="270"/>
        </w:trPr>
        <w:tc>
          <w:tcPr>
            <w:tcW w:w="66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Gain/(loss) recognized in consolidated statements of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640" w:type="dxa"/>
            <w:vAlign w:val="bottom"/>
          </w:tcPr>
          <w:p>
            <w:pPr>
              <w:spacing w:after="0"/>
              <w:rPr>
                <w:sz w:val="20"/>
                <w:szCs w:val="20"/>
                <w:color w:val="auto"/>
              </w:rPr>
            </w:pPr>
          </w:p>
        </w:tc>
      </w:tr>
      <w:tr>
        <w:trPr>
          <w:trHeight w:val="886"/>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F-42</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Location and amount of gain/(loss) recognized in consolidated statements of income for cash flow hedging relationships and derivatives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 per</w:t>
            </w:r>
          </w:p>
        </w:tc>
        <w:tc>
          <w:tcPr>
            <w:tcW w:w="1060" w:type="dxa"/>
            <w:vAlign w:val="bottom"/>
            <w:gridSpan w:val="2"/>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Gain/(loss) on</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As per</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Gain on</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per</w:t>
            </w:r>
          </w:p>
        </w:tc>
        <w:tc>
          <w:tcPr>
            <w:tcW w:w="1160" w:type="dxa"/>
            <w:vAlign w:val="bottom"/>
            <w:gridSpan w:val="2"/>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Gain/(loss) on</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foreign</w:t>
            </w:r>
          </w:p>
        </w:tc>
        <w:tc>
          <w:tcPr>
            <w:tcW w:w="140" w:type="dxa"/>
            <w:vAlign w:val="bottom"/>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restart"/>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foreign</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restart"/>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statements of</w:t>
            </w:r>
          </w:p>
        </w:tc>
        <w:tc>
          <w:tcPr>
            <w:tcW w:w="16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statements of</w:t>
            </w: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statements of</w:t>
            </w:r>
          </w:p>
        </w:tc>
        <w:tc>
          <w:tcPr>
            <w:tcW w:w="1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restart"/>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exchange</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0" w:type="dxa"/>
            <w:vAlign w:val="bottom"/>
          </w:tcPr>
          <w:p>
            <w:pPr>
              <w:spacing w:after="0"/>
              <w:rPr>
                <w:sz w:val="1"/>
                <w:szCs w:val="1"/>
                <w:color w:val="auto"/>
              </w:rPr>
            </w:pPr>
          </w:p>
        </w:tc>
      </w:tr>
      <w:tr>
        <w:trPr>
          <w:trHeight w:val="85"/>
        </w:trPr>
        <w:tc>
          <w:tcPr>
            <w:tcW w:w="3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 was reclassed from AOCI</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51,981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the Company’s debt position as of December 31,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28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Pr>
          <w:p>
            <w:pPr>
              <w:spacing w:after="0"/>
              <w:rPr>
                <w:sz w:val="11"/>
                <w:szCs w:val="11"/>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Facility</w:t>
            </w:r>
          </w:p>
        </w:tc>
        <w:tc>
          <w:tcPr>
            <w:tcW w:w="2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6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214,000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137,961</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201,961</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89,000</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137,961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226,961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Structured Payables</w:t>
            </w:r>
          </w:p>
        </w:tc>
        <w:tc>
          <w:tcPr>
            <w:tcW w:w="28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Pr>
          <w:p>
            <w:pPr>
              <w:spacing w:after="0"/>
              <w:rPr>
                <w:sz w:val="11"/>
                <w:szCs w:val="11"/>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Facility</w:t>
            </w:r>
          </w:p>
        </w:tc>
        <w:tc>
          <w:tcPr>
            <w:tcW w:w="15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5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40,867</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209,000</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135,131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194,131</w:t>
            </w:r>
          </w:p>
        </w:tc>
        <w:tc>
          <w:tcPr>
            <w:tcW w:w="0" w:type="dxa"/>
            <w:vAlign w:val="bottom"/>
          </w:tcPr>
          <w:p>
            <w:pPr>
              <w:spacing w:after="0"/>
              <w:rPr>
                <w:sz w:val="1"/>
                <w:szCs w:val="1"/>
                <w:color w:val="auto"/>
              </w:rPr>
            </w:pPr>
          </w:p>
        </w:tc>
      </w:tr>
      <w:tr>
        <w:trPr>
          <w:trHeight w:val="208"/>
        </w:trPr>
        <w:tc>
          <w:tcPr>
            <w:tcW w:w="55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867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135,131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234,998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$490 and $748 as of December 31, 2020 and 2019, respectively, is presented under “Other current assets” and “Other assets” in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our July 2018 acquisition of SCIO.</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revolving Credit Facility carried an effective interest rate as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0" w:type="dxa"/>
            <w:vAlign w:val="bottom"/>
            <w:tcBorders>
              <w:bottom w:val="single" w:sz="8" w:color="auto"/>
            </w:tcBorders>
          </w:tcPr>
          <w:p>
            <w:pPr>
              <w:spacing w:after="0"/>
              <w:rPr>
                <w:sz w:val="18"/>
                <w:szCs w:val="18"/>
                <w:color w:val="auto"/>
              </w:rPr>
            </w:pPr>
          </w:p>
        </w:tc>
      </w:tr>
      <w:tr>
        <w:trPr>
          <w:trHeight w:val="226"/>
        </w:trPr>
        <w:tc>
          <w:tcPr>
            <w:tcW w:w="64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Obligations under the Credit Agreement are guaranteed by the Company’s material domestic subsidiaries and are secured by all or substantially all of the assets of the Company and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December 31, 2020, the Company was in compliance with all financial and non-financial covenants listed under the Credit Agreement.</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7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per annum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Until October 4, 2020, under the Investment Agreement, the Purchaser was restricted from transferring the Notes or any shares of common stock issuable upon conversion of the Notes, or entering into any transaction that transfers such interests to a third party.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that the Company to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 and shares of the Company’s common stock. The Company presently intends and has the ability to settle the principal amount of the Notes in cash. In 2018, the Company used the proceeds from the issuance of the Notes to repay $150,000 of its outstanding borrowings under the Credit Facility.</w:t>
      </w:r>
    </w:p>
    <w:p>
      <w:pPr>
        <w:spacing w:after="0" w:line="1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2019 and 2018 the Company recognized interest expense and amortization of debt discount, on the Notes as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223"/>
        </w:trPr>
        <w:tc>
          <w:tcPr>
            <w:tcW w:w="6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the Notes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on the Notes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bl>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Payments/maturities for all of the Company's borrowings as of December 31, 2020 were as follows:</w:t>
      </w: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8"/>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the Company had outstanding letters of credit of $461, each, that were not recognized in the consolidated balance sheets.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1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 purchased shares of common stock from employees in connection with withholding tax payments related to the vesting of restricted stock, as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 purchase</w:t>
            </w:r>
          </w:p>
        </w:tc>
      </w:tr>
      <w:tr>
        <w:trPr>
          <w:trHeight w:val="229"/>
        </w:trPr>
        <w:tc>
          <w:tcPr>
            <w:tcW w:w="58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repurchased</w:t>
            </w:r>
          </w:p>
        </w:tc>
        <w:tc>
          <w:tcPr>
            <w:tcW w:w="18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20" w:type="dxa"/>
            <w:vAlign w:val="bottom"/>
          </w:tcPr>
          <w:p>
            <w:pPr>
              <w:spacing w:after="0"/>
              <w:rPr>
                <w:sz w:val="19"/>
                <w:szCs w:val="19"/>
                <w:color w:val="auto"/>
              </w:rPr>
            </w:pPr>
          </w:p>
        </w:tc>
        <w:tc>
          <w:tcPr>
            <w:tcW w:w="2220" w:type="dxa"/>
            <w:vAlign w:val="bottom"/>
          </w:tcPr>
          <w:p>
            <w:pPr>
              <w:jc w:val="right"/>
              <w:ind w:right="41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price per share </w:t>
            </w:r>
            <w:r>
              <w:rPr>
                <w:rFonts w:ascii="Times New Roman" w:cs="Times New Roman" w:eastAsia="Times New Roman" w:hAnsi="Times New Roman"/>
                <w:sz w:val="23"/>
                <w:szCs w:val="23"/>
                <w:b w:val="1"/>
                <w:bCs w:val="1"/>
                <w:color w:val="auto"/>
                <w:vertAlign w:val="superscript"/>
              </w:rPr>
              <w:t>(1)</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r>
    </w:tbl>
    <w:p>
      <w:pPr>
        <w:spacing w:after="0" w:line="144" w:lineRule="exact"/>
        <w:rPr>
          <w:sz w:val="20"/>
          <w:szCs w:val="20"/>
          <w:color w:val="auto"/>
        </w:rPr>
      </w:pPr>
    </w:p>
    <w:p>
      <w:pPr>
        <w:ind w:firstLine="453"/>
        <w:spacing w:after="0" w:line="287" w:lineRule="auto"/>
        <w:tabs>
          <w:tab w:leader="none" w:pos="611"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authorized stock repurchases of up to $40,000 in each of 2018 and 2019.</w:t>
      </w:r>
    </w:p>
    <w:p>
      <w:pPr>
        <w:spacing w:after="0" w:line="180"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On December 16, 2019, the Company’s Board of Directors authorized a $200,000 common stock repurchase program beginning January 1, 2020 through December 31, 2022 (the "2019 Repurchase Program" and together with the 2017 Repurchase Program, the “Repurchase Programs”). Under the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8"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Company purchased shares of its common stock, including commissions, under the 2019 Repurchase Program and the 2017 Repurchase Program, as applicable, as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1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Shares repurchased</w:t>
            </w:r>
          </w:p>
        </w:tc>
        <w:tc>
          <w:tcPr>
            <w:tcW w:w="140" w:type="dxa"/>
            <w:vAlign w:val="bottom"/>
          </w:tcPr>
          <w:p>
            <w:pPr>
              <w:spacing w:after="0"/>
              <w:rPr>
                <w:sz w:val="15"/>
                <w:szCs w:val="15"/>
                <w:color w:val="auto"/>
              </w:rPr>
            </w:pPr>
          </w:p>
        </w:tc>
        <w:tc>
          <w:tcPr>
            <w:tcW w:w="1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60" w:type="dxa"/>
            <w:vAlign w:val="bottom"/>
          </w:tcPr>
          <w:p>
            <w:pPr>
              <w:spacing w:after="0"/>
              <w:rPr>
                <w:sz w:val="15"/>
                <w:szCs w:val="15"/>
                <w:color w:val="auto"/>
              </w:rPr>
            </w:pPr>
          </w:p>
        </w:tc>
        <w:tc>
          <w:tcPr>
            <w:tcW w:w="17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 price per</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ind w:right="90"/>
              <w:spacing w:after="0" w:line="230" w:lineRule="exact"/>
              <w:rPr>
                <w:sz w:val="20"/>
                <w:szCs w:val="20"/>
                <w:color w:val="auto"/>
              </w:rPr>
            </w:pPr>
            <w:r>
              <w:rPr>
                <w:rFonts w:ascii="Times New Roman" w:cs="Times New Roman" w:eastAsia="Times New Roman" w:hAnsi="Times New Roman"/>
                <w:sz w:val="18"/>
                <w:szCs w:val="18"/>
                <w:b w:val="1"/>
                <w:bCs w:val="1"/>
                <w:color w:val="auto"/>
                <w:w w:val="93"/>
              </w:rPr>
              <w:t xml:space="preserve">share </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2019 Repurchase Program may be suspended or discontinued at any time. During the quarter ended March 31, 2020, to enhance the Company’s liquidity position in response to COVID-19, the Company elected to temporarily suspend share repurchases under the 2019 Repurchase Program. The 2019 Repurchase Program remains authorized by the Board of Directors and the Company resumed share repurchases effective July 1, 2020, considering improved market conditions, the Company’s capital and liquidity needs and other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not paid or declared any cash dividends on its common stock during the years ended December 31, 2020, 2019 and 2018. The Company’s line of credit with a bank could restrict, or its terms of the Notes could impair, the Company’s ability to declare or make any dividends or similar distributions.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2020. The following table sets forth the activity and the funded status of the Gratuity Plans and the amounts recognized in the Company’s consolidated financial statements at the end of the relevant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projected benefit obligation, was as follows: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15,311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2,706</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20,466</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Unfunded amount-non-current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8,940</w:t>
            </w:r>
          </w:p>
        </w:tc>
        <w:tc>
          <w:tcPr>
            <w:tcW w:w="46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amount-current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8,954</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12,490</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54"/>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in excess of plan assets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actuarial loss was driven by changes in actuarial assumptions, offset by experience adjustments on present value of benefit obligations. During the year ended December 31, 2019, actuarial loss was driven by experience adjustments on present value of benefit obligations.</w:t>
      </w:r>
    </w:p>
    <w:p>
      <w:pPr>
        <w:spacing w:after="0" w:line="200" w:lineRule="exact"/>
        <w:rPr>
          <w:sz w:val="20"/>
          <w:szCs w:val="20"/>
          <w:color w:val="auto"/>
        </w:rPr>
      </w:pPr>
    </w:p>
    <w:p>
      <w:pPr>
        <w:spacing w:after="0" w:line="32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net periodic benefit costs, were as follows: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54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8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3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38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380" w:type="dxa"/>
            <w:vAlign w:val="bottom"/>
          </w:tcPr>
          <w:p>
            <w:pPr>
              <w:spacing w:after="0"/>
              <w:rPr>
                <w:sz w:val="19"/>
                <w:szCs w:val="19"/>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3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0"/>
        </w:trPr>
        <w:tc>
          <w:tcPr>
            <w:tcW w:w="38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components of actuarial (loss) / gain on retirement benefits included in accumulated other comprehensive (loss)/gain, excluding tax effects,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(loss)/gain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940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(loss)/gain, excluding tax effects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ind w:left="4660"/>
              <w:spacing w:after="0"/>
              <w:rPr>
                <w:sz w:val="20"/>
                <w:szCs w:val="20"/>
                <w:color w:val="auto"/>
              </w:rPr>
            </w:pPr>
            <w:r>
              <w:rPr>
                <w:rFonts w:ascii="Times New Roman" w:cs="Times New Roman" w:eastAsia="Times New Roman" w:hAnsi="Times New Roman"/>
                <w:sz w:val="18"/>
                <w:szCs w:val="18"/>
                <w:color w:val="auto"/>
              </w:rPr>
              <w:t>F-48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gratuity cost were:</w:t>
      </w:r>
    </w:p>
    <w:p>
      <w:pPr>
        <w:spacing w:after="0" w:line="214"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 per annum</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14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p>
      <w:pPr>
        <w:spacing w:after="0" w:line="148"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19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to 2030</w:t>
            </w:r>
          </w:p>
        </w:tc>
        <w:tc>
          <w:tcPr>
            <w:tcW w:w="1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r>
    </w:tbl>
    <w:p>
      <w:pPr>
        <w:spacing w:after="0" w:line="13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earned a return of approximately 7.5% per annum on the India Plan for the year ended December 31, 2020. The duration and severity of COVID-19 and continued market volatility is highly uncertain and, as such, the impact on plan assets and projected benefit obligations related to employee benefit plans is subject to significant judgment and may cause variability in the Company’s net periodic benefit cost in future periods.</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2019</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return</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3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December 31, 2019</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r>
      <w:tr>
        <w:trPr>
          <w:trHeight w:val="22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Actual return</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December 31, 2020</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i w:val="1"/>
          <w:iCs w:val="1"/>
          <w:color w:val="auto"/>
        </w:rPr>
        <w:t>* Benefits payments were substantially made from the plan assets during the year.</w:t>
      </w:r>
    </w:p>
    <w:p>
      <w:pPr>
        <w:spacing w:after="0" w:line="16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 of employee compensation within certain limits.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accrual for contributions to the 401(k) Plans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11430</wp:posOffset>
            </wp:positionV>
            <wp:extent cx="23831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 w:lineRule="exact"/>
        <w:rPr>
          <w:sz w:val="20"/>
          <w:szCs w:val="20"/>
          <w:color w:val="auto"/>
        </w:rPr>
      </w:pPr>
    </w:p>
    <w:p>
      <w:pPr>
        <w:ind w:left="7940"/>
        <w:spacing w:after="0"/>
        <w:tabs>
          <w:tab w:leader="none" w:pos="9060" w:val="left"/>
          <w:tab w:leader="none" w:pos="103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tabs>
          <w:tab w:leader="none" w:pos="7480" w:val="left"/>
          <w:tab w:leader="none" w:pos="8160" w:val="left"/>
          <w:tab w:leader="none" w:pos="8760" w:val="left"/>
          <w:tab w:leader="none" w:pos="9200" w:val="left"/>
          <w:tab w:leader="none" w:pos="9800" w:val="left"/>
          <w:tab w:leader="none" w:pos="10740" w:val="left"/>
        </w:tabs>
        <w:rPr>
          <w:sz w:val="20"/>
          <w:szCs w:val="20"/>
          <w:color w:val="auto"/>
        </w:rPr>
      </w:pPr>
      <w:r>
        <w:rPr>
          <w:rFonts w:ascii="Times New Roman" w:cs="Times New Roman" w:eastAsia="Times New Roman" w:hAnsi="Times New Roman"/>
          <w:sz w:val="18"/>
          <w:szCs w:val="18"/>
          <w:color w:val="auto"/>
        </w:rPr>
        <w:t>Contribution to the 401(k) Plans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3,577</w:t>
        <w:tab/>
        <w:t>$</w:t>
      </w:r>
      <w:r>
        <w:rPr>
          <w:sz w:val="20"/>
          <w:szCs w:val="20"/>
          <w:color w:val="auto"/>
        </w:rPr>
        <w:tab/>
      </w:r>
      <w:r>
        <w:rPr>
          <w:rFonts w:ascii="Times New Roman" w:cs="Times New Roman" w:eastAsia="Times New Roman" w:hAnsi="Times New Roman"/>
          <w:sz w:val="18"/>
          <w:szCs w:val="18"/>
          <w:color w:val="auto"/>
        </w:rPr>
        <w:t>3,617</w:t>
        <w:tab/>
        <w:t>$</w:t>
      </w:r>
      <w:r>
        <w:rPr>
          <w:sz w:val="20"/>
          <w:szCs w:val="20"/>
          <w:color w:val="auto"/>
        </w:rPr>
        <w:tab/>
      </w:r>
      <w:r>
        <w:rPr>
          <w:rFonts w:ascii="Times New Roman" w:cs="Times New Roman" w:eastAsia="Times New Roman" w:hAnsi="Times New Roman"/>
          <w:sz w:val="17"/>
          <w:szCs w:val="17"/>
          <w:color w:val="auto"/>
        </w:rPr>
        <w:t>3,423</w:t>
      </w:r>
    </w:p>
    <w:p>
      <w:pPr>
        <w:spacing w:after="0" w:line="200" w:lineRule="exact"/>
        <w:rPr>
          <w:sz w:val="20"/>
          <w:szCs w:val="20"/>
          <w:color w:val="auto"/>
        </w:rPr>
      </w:pPr>
    </w:p>
    <w:p>
      <w:pPr>
        <w:spacing w:after="0" w:line="38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Company's contribution for various defined benefit plans on behalf of employees in India, the Philippines, the Czech Republic, South Africa, Colombia, Australia and Singapore were as follows:</w:t>
      </w:r>
    </w:p>
    <w:p>
      <w:pPr>
        <w:spacing w:after="0" w:line="200" w:lineRule="exact"/>
        <w:rPr>
          <w:sz w:val="20"/>
          <w:szCs w:val="20"/>
          <w:color w:val="auto"/>
        </w:rPr>
      </w:pPr>
    </w:p>
    <w:p>
      <w:pPr>
        <w:spacing w:after="0" w:line="34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19685</wp:posOffset>
            </wp:positionV>
            <wp:extent cx="23742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7940"/>
        <w:spacing w:after="0"/>
        <w:tabs>
          <w:tab w:leader="none" w:pos="9200" w:val="left"/>
          <w:tab w:leader="none" w:pos="1046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500" w:val="left"/>
          <w:tab w:leader="none" w:pos="8160" w:val="left"/>
          <w:tab w:leader="none" w:pos="8840" w:val="left"/>
          <w:tab w:leader="none" w:pos="9380" w:val="left"/>
          <w:tab w:leader="none" w:pos="10060" w:val="left"/>
          <w:tab w:leader="none" w:pos="10740" w:val="left"/>
        </w:tabs>
        <w:rPr>
          <w:sz w:val="20"/>
          <w:szCs w:val="20"/>
          <w:color w:val="auto"/>
        </w:rPr>
      </w:pPr>
      <w:r>
        <w:rPr>
          <w:rFonts w:ascii="Times New Roman" w:cs="Times New Roman" w:eastAsia="Times New Roman" w:hAnsi="Times New Roman"/>
          <w:sz w:val="18"/>
          <w:szCs w:val="18"/>
          <w:color w:val="auto"/>
        </w:rPr>
        <w:t>Contribution to the defined benefit plans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11,332</w:t>
        <w:tab/>
        <w:t>$</w:t>
      </w:r>
      <w:r>
        <w:rPr>
          <w:sz w:val="20"/>
          <w:szCs w:val="20"/>
          <w:color w:val="auto"/>
        </w:rPr>
        <w:tab/>
      </w:r>
      <w:r>
        <w:rPr>
          <w:rFonts w:ascii="Times New Roman" w:cs="Times New Roman" w:eastAsia="Times New Roman" w:hAnsi="Times New Roman"/>
          <w:sz w:val="18"/>
          <w:szCs w:val="18"/>
          <w:color w:val="auto"/>
        </w:rPr>
        <w:t>10,614</w:t>
        <w:tab/>
        <w:t>$</w:t>
      </w:r>
      <w:r>
        <w:rPr>
          <w:sz w:val="20"/>
          <w:szCs w:val="20"/>
          <w:color w:val="auto"/>
        </w:rPr>
        <w:tab/>
      </w:r>
      <w:r>
        <w:rPr>
          <w:rFonts w:ascii="Times New Roman" w:cs="Times New Roman" w:eastAsia="Times New Roman" w:hAnsi="Times New Roman"/>
          <w:sz w:val="17"/>
          <w:szCs w:val="17"/>
          <w:color w:val="auto"/>
        </w:rPr>
        <w:t>7,663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2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During the year ended December 31, 2020, the Company changed the lease term for some leases and recognized the resultant amount of the remeasurement of the lease liability as an adjustment to the ROU assets.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accounted for lease-related concessions to mitigate the economic effects of COVID-19 on lessees in accordance with guidance in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whereby the Company assessed on a lease-by-lease basis, whether the concession provided by a lessor should be accounted for as a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Such concessions had an insignificant impact on the Company’s consolidated financial statements during the year ended December 31, 2020.</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20" w:type="dxa"/>
            <w:vAlign w:val="bottom"/>
            <w:tcBorders>
              <w:bottom w:val="single" w:sz="8" w:color="auto"/>
            </w:tcBorders>
          </w:tcPr>
          <w:p>
            <w:pPr>
              <w:spacing w:after="0"/>
              <w:rPr>
                <w:sz w:val="18"/>
                <w:szCs w:val="18"/>
                <w:color w:val="auto"/>
              </w:rPr>
            </w:pPr>
          </w:p>
        </w:tc>
      </w:tr>
      <w:tr>
        <w:trPr>
          <w:trHeight w:val="226"/>
        </w:trPr>
        <w:tc>
          <w:tcPr>
            <w:tcW w:w="7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86,396</w:t>
            </w:r>
          </w:p>
        </w:tc>
      </w:tr>
      <w:tr>
        <w:trPr>
          <w:trHeight w:val="250"/>
        </w:trPr>
        <w:tc>
          <w:tcPr>
            <w:tcW w:w="7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74,709</w:t>
            </w:r>
          </w:p>
        </w:tc>
      </w:tr>
      <w:tr>
        <w:trPr>
          <w:trHeight w:val="22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98,857</w:t>
            </w:r>
          </w:p>
        </w:tc>
      </w:tr>
      <w:tr>
        <w:trPr>
          <w:trHeight w:val="250"/>
        </w:trPr>
        <w:tc>
          <w:tcPr>
            <w:tcW w:w="7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3"/>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50"/>
        </w:trPr>
        <w:tc>
          <w:tcPr>
            <w:tcW w:w="7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8"/>
        </w:trPr>
        <w:tc>
          <w:tcPr>
            <w:tcW w:w="7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Finance lease liabilities are presented as a part of “Accrued expenses and other current liabilities” and “Other non-current liabilities,” as applicable, in the Company’s consolidated balance sheets.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consolidated statements of income,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tc>
        <w:tc>
          <w:tcPr>
            <w:tcW w:w="4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Year ended December 31,</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lease</w:t>
            </w:r>
            <w:r>
              <w:rPr>
                <w:rFonts w:ascii="Times New Roman" w:cs="Times New Roman" w:eastAsia="Times New Roman" w:hAnsi="Times New Roman"/>
                <w:sz w:val="23"/>
                <w:szCs w:val="23"/>
                <w:b w:val="1"/>
                <w:bCs w:val="1"/>
                <w:color w:val="auto"/>
                <w:vertAlign w:val="superscript"/>
              </w:rPr>
              <w:t>(a)</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Pr>
          <w:p>
            <w:pPr>
              <w:spacing w:after="0"/>
              <w:rPr>
                <w:sz w:val="16"/>
                <w:szCs w:val="16"/>
                <w:color w:val="auto"/>
              </w:rPr>
            </w:pPr>
          </w:p>
        </w:tc>
        <w:tc>
          <w:tcPr>
            <w:tcW w:w="192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6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 :</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w:t>
            </w: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280" w:type="dxa"/>
            <w:vAlign w:val="bottom"/>
          </w:tcPr>
          <w:p>
            <w:pPr>
              <w:spacing w:after="0"/>
              <w:rPr>
                <w:sz w:val="19"/>
                <w:szCs w:val="19"/>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280" w:type="dxa"/>
            <w:vAlign w:val="bottom"/>
          </w:tcPr>
          <w:p>
            <w:pPr>
              <w:spacing w:after="0"/>
              <w:rPr>
                <w:sz w:val="20"/>
                <w:szCs w:val="20"/>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0"/>
                <w:szCs w:val="20"/>
                <w:color w:val="auto"/>
              </w:rPr>
            </w:pP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and 2019, the Company modified certain of its operating leases resulting in a reduction of its lease liabilities by $3,143 and $0 respectively, with a corresponding reduction in ROU assets.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2019, the Company performed an impairment test of its long-lived assets of its Health Integrated business. Based on the results, the operating lease ROU assets carrying value exceeded their fair value. The primary factor contributing to a reduction in the fair value is the wind down of the Health Integrated business, due to an anticipated reduction to the Company's estimated future cash flows. As a result of this analysis, the Company recognized impairment on ROU assets of $1,449 during year ended December 31, 2019, to write down the carrying value of operating lease right-of-use assets to its fair value. This impairment charge was recorded in the consolidated statements of income under "impairment and restructuring charges".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2020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 w:type="dxa"/>
            <w:vAlign w:val="bottom"/>
          </w:tcPr>
          <w:p>
            <w:pPr>
              <w:spacing w:after="0"/>
              <w:rPr>
                <w:sz w:val="18"/>
                <w:szCs w:val="18"/>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26"/>
        </w:trPr>
        <w:tc>
          <w:tcPr>
            <w:tcW w:w="40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9"/>
                <w:szCs w:val="19"/>
                <w:color w:val="auto"/>
              </w:rPr>
            </w:pPr>
          </w:p>
        </w:tc>
      </w:tr>
      <w:tr>
        <w:trPr>
          <w:trHeight w:val="248"/>
        </w:trPr>
        <w:tc>
          <w:tcPr>
            <w:tcW w:w="40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tcPr>
          <w:p>
            <w:pPr>
              <w:spacing w:after="0"/>
              <w:rPr>
                <w:sz w:val="21"/>
                <w:szCs w:val="21"/>
                <w:color w:val="auto"/>
              </w:rPr>
            </w:pPr>
          </w:p>
        </w:tc>
      </w:tr>
      <w:tr>
        <w:trPr>
          <w:trHeight w:val="20"/>
        </w:trPr>
        <w:tc>
          <w:tcPr>
            <w:tcW w:w="40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65"/>
        </w:trPr>
        <w:tc>
          <w:tcPr>
            <w:tcW w:w="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F-52</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(loss) before income taxes consist of the following:</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provision/(benefit):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provision/(benefit):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taxes (deferred) recognized in other comprehensive income/(loss) are as follows: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(expense)/benefit recognized 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(2,251)</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income tax (expense)/benefit recognized in other</w:t>
            </w:r>
          </w:p>
        </w:tc>
        <w:tc>
          <w:tcPr>
            <w:tcW w:w="880" w:type="dxa"/>
            <w:vAlign w:val="bottom"/>
            <w:vMerge w:val="restart"/>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88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tax holiday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provision/(benefit)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and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Reform Act impact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 on 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period items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 increased from 18.3% during the year ended December 31, 2019 to 22.2% during the year ended December 31, 2020. The Company recorded income tax expense of $25,626 and $15,172 for the year ended December 31, 2020 and 2019, respectively. The increase in income tax expense was primarily as a result of: (i) higher profit during the year ended December 31, 2020 and (ii) recording of a one-time tax expense of $1,320 due to electing a new tax regime for two of the Company’s Indian subsidiaries which provides for a lower tax rate on earnings in exchange for foregoing certain tax credits during the year ended December 31, 2020, compared to a benefit of $1,449 recorded during the year ended December 31, 2019.</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2018, the Company made an election to change the tax status of most of its controlled foreign corporations (“CFC”) to disregarded entities for U.S. income tax purposes. As a result, the Company no longer has undistributed earnings in connection with these CFCs. The Transition Tax resulted in previously taxed income (“PTI”) which may be subject to withholding taxes and currency gains or losses upon repatriation. The Company periodically evaluate opportunities to repatriate PTI held by its foreign subsidiaries to fund its operations in the United States and other geographies, and as and when it decides to repatriate such PTI, it may have to accrue additional taxes in accordance with local tax laws, rules and regulations in the relevant foreign jurisdictions. The Company has adopted an accounting policy to treat Global Intangible Low-Taxed Income (“GILTI”) as a period cost.</w:t>
      </w:r>
    </w:p>
    <w:p>
      <w:pPr>
        <w:spacing w:after="0" w:line="1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Certain operations centers in India, which were established in SEZs, are eligible for tax incentives until 2025. These operations centers are eligible for a 100% income tax exemption for first 5 years of operations and 50% exemption for a period of 5 years thereafter.</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In 2019 and 2020, the Company elected this new tax regime for its Indian subsidiaries to obtain the benefit of a lower tax rate.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also benefitted from a corporate tax holiday in the Philippines for our operations centers established there over the last several years. The tax holiday expired for few of the Company’s operations centers in the last few years and will expire for other operations centers by year 2022, which may lead to an increase in the Company’s overall tax rate. Following the expiry of the tax exemption, income generated from operations centers in the Philippines will be taxed at the prevailing annual tax rate, which is currently 5.0% on gross income.</w:t>
      </w:r>
    </w:p>
    <w:p>
      <w:pPr>
        <w:spacing w:after="0" w:line="12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diluted earnings per share effect of the tax holiday is $0.02, $0.17 and $0.16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deferred tax balances as of December 31, 2020 and 2019 are as follows: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211"/>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1"/>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w:t>
            </w:r>
          </w:p>
        </w:tc>
      </w:tr>
      <w:tr>
        <w:trPr>
          <w:trHeight w:val="229"/>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29"/>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3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 forward</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29"/>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exchange loss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30"/>
        </w:trPr>
        <w:tc>
          <w:tcPr>
            <w:tcW w:w="6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3"/>
        </w:trPr>
        <w:tc>
          <w:tcPr>
            <w:tcW w:w="6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r>
      <w:tr>
        <w:trPr>
          <w:trHeight w:val="230"/>
        </w:trPr>
        <w:tc>
          <w:tcPr>
            <w:tcW w:w="6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w:t>
            </w:r>
          </w:p>
        </w:tc>
      </w:tr>
      <w:tr>
        <w:trPr>
          <w:trHeight w:val="237"/>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exchange gain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w:t>
            </w:r>
          </w:p>
        </w:tc>
      </w:tr>
      <w:tr>
        <w:trPr>
          <w:trHeight w:val="230"/>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discount on convertible senior notes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23"/>
        </w:trPr>
        <w:tc>
          <w:tcPr>
            <w:tcW w:w="6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29,626</w:t>
            </w:r>
          </w:p>
        </w:tc>
      </w:tr>
      <w:tr>
        <w:trPr>
          <w:trHeight w:val="248"/>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2020 and 2019, the Company performed an analysis of the deferred tax asset valuation allowance for net operating loss carry forward for its domestic and foreign entities. Based on this analysis, the Company continues to carry a valuation allowance on the deferred tax assets on certain net operating loss carry forwards. Accordingly, the Company had recorded a valuation allowance of $188 and $202 as of December 31, 2020 and 2019, respectively.</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income tax expense also includes the impact of provisions established for uncertain income tax positions determined in accordance with ASC 740.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 for the years ended December 31, 2020, 2019 and 2018.</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6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8"/>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unrecognized tax benefits as of December 31, 2020 of $907, if recognized, would impact the effective tax rate.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any interest in each of the years ended December 31, 2020, 2019 and 2018. As of December 31, 2020 and 2019, the Company has not accrued interest and penalties relating to unrecognized tax benefits.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 Based Compensation</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June 15, 2018, at the Company’s 2018 Annual Meeting of Stockholders, the Company's stockholders approved the 2018 Plan, which among other things, reserves 3,175,000 shares of the Company’s common stock for grants of awards under the 2018 Plan. As of December 31, 2020, the Company had 2,333,557 shares available for grant under the 2018 Plan (includes 76,145 shares against vested performance-based restricted stock units for which the underlying common stock was issued subsequent to December 31, 2020).</w:t>
      </w:r>
    </w:p>
    <w:p>
      <w:pPr>
        <w:spacing w:after="0" w:line="126"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Under the 2018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within ten years from the date of grant. Restricted stock units generally vest proportionally over a period of four years from the date of grant, unless specified otherwise.</w:t>
      </w:r>
    </w:p>
    <w:p>
      <w:pPr>
        <w:spacing w:after="0" w:line="12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account for its stock based compensation. Under the provisions of this guidance, the estimated fair value of stock-based awards granted under stock incentive plans is recognized as compensation expense based on straight-line method over the requisite service period, which is generally the vesting period.</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costs by nature of function related to the Company’s stock-based compensation plan are included in the consolidated statements of income:</w:t>
      </w:r>
    </w:p>
    <w:p>
      <w:pPr>
        <w:spacing w:after="0" w:line="151"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5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w:t>
            </w:r>
          </w:p>
        </w:tc>
      </w:tr>
      <w:tr>
        <w:trPr>
          <w:trHeight w:val="21"/>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each stock option granted to employees is estimated on the date of grant using the Black-Scholes option-pricing model.</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 of the awards, which is generally the vesting period. The Company accounts for the forfeitures as and when the actual forfeitures occur.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40" w:type="dxa"/>
            <w:vAlign w:val="bottom"/>
            <w:gridSpan w:val="3"/>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3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31"/>
        </w:trPr>
        <w:tc>
          <w:tcPr>
            <w:tcW w:w="5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5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74"/>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5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8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8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center"/>
              <w:ind w:left="874"/>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8"/>
                <w:szCs w:val="18"/>
                <w:color w:val="auto"/>
              </w:rPr>
            </w:pPr>
          </w:p>
        </w:tc>
        <w:tc>
          <w:tcPr>
            <w:tcW w:w="132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unrecognized compensation cost for unvested options as of December 31, 2020 was $nil. The Company did not grant any options during the years ended December 31, 2020, 2019 and 2018. The aggregate intrinsic value of options exercised during the years ended December 31, 2020, 2019 and 2018 was $3,488, $3,187 and $4,446, respectively.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stock options outstanding, vested and exercisable at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Options Outstanding, Vested and Exercisable</w:t>
            </w: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700" w:type="dxa"/>
            <w:vAlign w:val="bottom"/>
            <w:tcBorders>
              <w:bottom w:val="single" w:sz="8" w:color="CCEEFF"/>
            </w:tcBorders>
            <w:vMerge w:val="continue"/>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$21.01 to $28.00</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7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Pr>
          <w:p>
            <w:pPr>
              <w:spacing w:after="0"/>
              <w:rPr>
                <w:sz w:val="19"/>
                <w:szCs w:val="19"/>
                <w:color w:val="auto"/>
              </w:rPr>
            </w:pPr>
          </w:p>
        </w:tc>
        <w:tc>
          <w:tcPr>
            <w:tcW w:w="15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options exercised during the year</w:t>
            </w:r>
          </w:p>
        </w:tc>
        <w:tc>
          <w:tcPr>
            <w:tcW w:w="14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70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F-57</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8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2740" w:type="dxa"/>
            <w:vAlign w:val="bottom"/>
            <w:gridSpan w:val="4"/>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0" w:type="dxa"/>
            <w:vAlign w:val="bottom"/>
          </w:tcPr>
          <w:p>
            <w:pPr>
              <w:spacing w:after="0"/>
              <w:rPr>
                <w:sz w:val="1"/>
                <w:szCs w:val="1"/>
                <w:color w:val="auto"/>
              </w:rPr>
            </w:pPr>
          </w:p>
        </w:tc>
      </w:tr>
      <w:tr>
        <w:trPr>
          <w:trHeight w:val="159"/>
        </w:trPr>
        <w:tc>
          <w:tcPr>
            <w:tcW w:w="5600" w:type="dxa"/>
            <w:vAlign w:val="bottom"/>
          </w:tcPr>
          <w:p>
            <w:pPr>
              <w:spacing w:after="0"/>
              <w:rPr>
                <w:sz w:val="13"/>
                <w:szCs w:val="13"/>
                <w:color w:val="auto"/>
              </w:rPr>
            </w:pPr>
          </w:p>
        </w:tc>
        <w:tc>
          <w:tcPr>
            <w:tcW w:w="1420" w:type="dxa"/>
            <w:vAlign w:val="bottom"/>
            <w:tcBorders>
              <w:top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42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5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Outstanding at December 31, 2019</w:t>
            </w:r>
            <w:r>
              <w:rPr>
                <w:rFonts w:ascii="Times New Roman" w:cs="Times New Roman" w:eastAsia="Times New Roman" w:hAnsi="Times New Roman"/>
                <w:sz w:val="23"/>
                <w:szCs w:val="23"/>
                <w:color w:val="auto"/>
                <w:vertAlign w:val="superscript"/>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30"/>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230"/>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at December 31, 2020</w:t>
            </w:r>
            <w:r>
              <w:rPr>
                <w:rFonts w:ascii="Times New Roman" w:cs="Times New Roman" w:eastAsia="Times New Roman" w:hAnsi="Times New Roman"/>
                <w:sz w:val="23"/>
                <w:szCs w:val="23"/>
                <w:color w:val="auto"/>
                <w:vertAlign w:val="superscript"/>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80" w:hanging="172"/>
        <w:spacing w:after="0" w:line="283" w:lineRule="auto"/>
        <w:tabs>
          <w:tab w:leader="none" w:pos="145"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14,368 and 11,517 restricted stock units vested during the years ended December 31, 2020 and 2019, respectively, for which the underlying common stock is yet to be issued.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As of December 31, 2020 and 2019 restricted stock units vested for which the underlying common stock is yet to be issued are 181,638 and 167,270, respectively.</w:t>
      </w:r>
    </w:p>
    <w:p>
      <w:pPr>
        <w:spacing w:after="0" w:line="16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is generally the market price of the Company’s shares on the date of grant. As of December 31, 2020, unrecognized compensation cost of $42,317 is expected to be expensed over a weighted average period of 2.51 years.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weighted-average fair value of restricted stock units granted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60" w:type="dxa"/>
            <w:vAlign w:val="bottom"/>
            <w:tcBorders>
              <w:bottom w:val="single" w:sz="8" w:color="auto"/>
            </w:tcBorders>
          </w:tcPr>
          <w:p>
            <w:pPr>
              <w:spacing w:after="0"/>
              <w:rPr>
                <w:sz w:val="18"/>
                <w:szCs w:val="18"/>
                <w:color w:val="auto"/>
              </w:rPr>
            </w:pPr>
          </w:p>
        </w:tc>
      </w:tr>
      <w:tr>
        <w:trPr>
          <w:trHeight w:val="211"/>
        </w:trPr>
        <w:tc>
          <w:tcPr>
            <w:tcW w:w="54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grant date fair value of restricted stock and restricted stock units vested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60" w:type="dxa"/>
            <w:vAlign w:val="bottom"/>
            <w:tcBorders>
              <w:bottom w:val="single" w:sz="8" w:color="auto"/>
            </w:tcBorders>
          </w:tcPr>
          <w:p>
            <w:pPr>
              <w:spacing w:after="0"/>
              <w:rPr>
                <w:sz w:val="18"/>
                <w:szCs w:val="18"/>
                <w:color w:val="auto"/>
              </w:rPr>
            </w:pPr>
          </w:p>
        </w:tc>
      </w:tr>
      <w:tr>
        <w:trPr>
          <w:trHeight w:val="211"/>
        </w:trPr>
        <w:tc>
          <w:tcPr>
            <w:tcW w:w="54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grant date fair value</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the 2018 Plan, the Company grants PRSUs to executive officers and other specified employees. Generally the grants provide that 50% of the PRSUs cliff vest at the end of a three-year period based on an aggregated revenue target for a three year period (“PUs”). The remaining 50% is based on a market condition (“MUs”) that is contingent on the Company's meeting the total shareholder return (“TSR”) relative to a group of peer companies specified under the program measured over a three-year performance period. The award recipient may earn up to 200% of the PRSUs granted based on the actual achievement of targets. However, the features of the equity incentive compensation program are subject to change by the Compensation Committee of our Board of Directors.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MUs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10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each MU granted to employees is estimated on the date of grant using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ind w:left="10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36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5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21.79 %</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 restricted stock unit activity under the Company’s stock plans is shown below:</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Revenue Based PRSUs</w:t>
            </w:r>
          </w:p>
        </w:tc>
        <w:tc>
          <w:tcPr>
            <w:tcW w:w="2900" w:type="dxa"/>
            <w:vAlign w:val="bottom"/>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Market Condition Based PRSUs</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upon final determination of level of performance goal</w:t>
            </w: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0" w:right="20" w:firstLine="413"/>
        <w:spacing w:after="0" w:line="282" w:lineRule="auto"/>
        <w:tabs>
          <w:tab w:leader="none" w:pos="626"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Represents adjustment of shares vested in respect of PUs and MUs granted in February 2018 upon achievement of the performance targets for such awards for which the underlying common stock was issued subsequent to December 31, 2020.</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2020, unrecognized compensation cost of $7,993 is expected to be expensed over a weighted average period of 1.75 years.</w:t>
      </w:r>
    </w:p>
    <w:p>
      <w:pPr>
        <w:spacing w:after="0" w:line="171" w:lineRule="exact"/>
        <w:rPr>
          <w:sz w:val="20"/>
          <w:szCs w:val="20"/>
          <w:color w:val="auto"/>
        </w:rPr>
      </w:pPr>
    </w:p>
    <w:p>
      <w:pPr>
        <w:jc w:val="both"/>
        <w:ind w:left="100" w:right="20" w:firstLine="445"/>
        <w:spacing w:after="0" w:line="282" w:lineRule="auto"/>
        <w:rPr>
          <w:sz w:val="20"/>
          <w:szCs w:val="20"/>
          <w:color w:val="auto"/>
        </w:rPr>
      </w:pPr>
      <w:r>
        <w:rPr>
          <w:rFonts w:ascii="Times New Roman" w:cs="Times New Roman" w:eastAsia="Times New Roman" w:hAnsi="Times New Roman"/>
          <w:sz w:val="18"/>
          <w:szCs w:val="18"/>
          <w:color w:val="auto"/>
        </w:rPr>
        <w:t>The impact of COVID-19 on the economic environment is uncertain and has caused variability in the estimation of number of performance based restricted stock units that will eventually vest and the related compensation cost to be recognized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24. Impairment and Restructuring Charges</w:t>
      </w:r>
    </w:p>
    <w:p>
      <w:pPr>
        <w:spacing w:after="0" w:line="175" w:lineRule="exact"/>
        <w:rPr>
          <w:sz w:val="20"/>
          <w:szCs w:val="20"/>
          <w:color w:val="auto"/>
        </w:rPr>
      </w:pPr>
    </w:p>
    <w:p>
      <w:pPr>
        <w:jc w:val="both"/>
        <w:ind w:left="100" w:firstLine="486"/>
        <w:spacing w:after="0" w:line="261" w:lineRule="auto"/>
        <w:rPr>
          <w:sz w:val="20"/>
          <w:szCs w:val="20"/>
          <w:color w:val="auto"/>
        </w:rPr>
      </w:pPr>
      <w:r>
        <w:rPr>
          <w:rFonts w:ascii="Times New Roman" w:cs="Times New Roman" w:eastAsia="Times New Roman" w:hAnsi="Times New Roman"/>
          <w:sz w:val="18"/>
          <w:szCs w:val="18"/>
          <w:color w:val="auto"/>
        </w:rPr>
        <w:t>In March 2020, the Company completed the wind down of the operations of the Health Integrated business, which was reported within the former Healthcare reportable segment. The Healthcare reportable segment was based on segment reporting structure that existed prior to the Company's transition to new segment reporting structure effective January 1, 2020, which resulted in certain changes to its reportable segments. In connection with the wind down process, the Company recorded pre-tax costs in the consolidated statements of income under “Impairment and restructuring charges”.</w:t>
      </w:r>
    </w:p>
    <w:p>
      <w:pPr>
        <w:spacing w:after="0" w:line="126" w:lineRule="exact"/>
        <w:rPr>
          <w:sz w:val="20"/>
          <w:szCs w:val="20"/>
          <w:color w:val="auto"/>
        </w:rPr>
      </w:pPr>
    </w:p>
    <w:p>
      <w:pPr>
        <w:jc w:val="both"/>
        <w:ind w:left="1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restructuring costs incurred and paid for the wind down during the year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Employee-Related</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Other Associated</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Termination Costs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100" w:type="dxa"/>
            <w:vAlign w:val="bottom"/>
          </w:tcPr>
          <w:p>
            <w:pPr>
              <w:spacing w:after="0"/>
              <w:rPr>
                <w:sz w:val="22"/>
                <w:szCs w:val="22"/>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during the year</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r>
      <w:tr>
        <w:trPr>
          <w:trHeight w:val="25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during the year</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5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costs during the year</w:t>
            </w:r>
          </w:p>
        </w:tc>
        <w:tc>
          <w:tcPr>
            <w:tcW w:w="100" w:type="dxa"/>
            <w:vAlign w:val="bottom"/>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5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during the year</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5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the Company recognized impairment of ROU assets and long-lived assets of $0 and $3,627 during the years ended December 31, 2020 and 2019, respectively, in the consolidated statements of income under “Impairment and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Disclosures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had outstanding Notes with a principal amount of $150,000 as of December 31, 2020 and 2019, and interest accrued of $1,313 each as of December 31, 2020 and 2019, related to the Investment Agreement.</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recognized interest expense on the Notes related to the Investment Agreements as below. Refer to Note 18 – Borrowings to the consolidated financial statements for details.</w:t>
      </w:r>
    </w:p>
    <w:p>
      <w:pPr>
        <w:spacing w:after="0" w:line="144"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19685</wp:posOffset>
            </wp:positionV>
            <wp:extent cx="24085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880"/>
        <w:spacing w:after="0"/>
        <w:tabs>
          <w:tab w:leader="none" w:pos="9140" w:val="left"/>
          <w:tab w:leader="none" w:pos="1042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440" w:val="left"/>
          <w:tab w:leader="none" w:pos="8200" w:val="left"/>
          <w:tab w:leader="none" w:pos="8780" w:val="left"/>
          <w:tab w:leader="none" w:pos="9400" w:val="left"/>
          <w:tab w:leader="none" w:pos="10000" w:val="left"/>
          <w:tab w:leader="none" w:pos="10740" w:val="left"/>
        </w:tabs>
        <w:rPr>
          <w:sz w:val="20"/>
          <w:szCs w:val="20"/>
          <w:color w:val="auto"/>
        </w:rPr>
      </w:pPr>
      <w:r>
        <w:rPr>
          <w:rFonts w:ascii="Times New Roman" w:cs="Times New Roman" w:eastAsia="Times New Roman" w:hAnsi="Times New Roman"/>
          <w:sz w:val="18"/>
          <w:szCs w:val="18"/>
          <w:color w:val="auto"/>
        </w:rPr>
        <w:t>Interest expense on Notes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5,250</w:t>
        <w:tab/>
        <w:t>$</w:t>
      </w:r>
      <w:r>
        <w:rPr>
          <w:sz w:val="20"/>
          <w:szCs w:val="20"/>
          <w:color w:val="auto"/>
        </w:rPr>
        <w:tab/>
      </w:r>
      <w:r>
        <w:rPr>
          <w:rFonts w:ascii="Times New Roman" w:cs="Times New Roman" w:eastAsia="Times New Roman" w:hAnsi="Times New Roman"/>
          <w:sz w:val="18"/>
          <w:szCs w:val="18"/>
          <w:color w:val="auto"/>
        </w:rPr>
        <w:t>5,206</w:t>
        <w:tab/>
        <w:t>$</w:t>
      </w:r>
      <w:r>
        <w:rPr>
          <w:sz w:val="20"/>
          <w:szCs w:val="20"/>
          <w:color w:val="auto"/>
        </w:rPr>
        <w:tab/>
      </w:r>
      <w:r>
        <w:rPr>
          <w:rFonts w:ascii="Times New Roman" w:cs="Times New Roman" w:eastAsia="Times New Roman" w:hAnsi="Times New Roman"/>
          <w:sz w:val="17"/>
          <w:szCs w:val="17"/>
          <w:color w:val="auto"/>
        </w:rPr>
        <w:t>1,313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75" w:lineRule="exact"/>
        <w:rPr>
          <w:sz w:val="20"/>
          <w:szCs w:val="20"/>
          <w:color w:val="auto"/>
        </w:rPr>
      </w:pPr>
    </w:p>
    <w:p>
      <w:pPr>
        <w:jc w:val="both"/>
        <w:ind w:firstLine="445"/>
        <w:spacing w:after="0" w:line="275" w:lineRule="auto"/>
        <w:rPr>
          <w:sz w:val="20"/>
          <w:szCs w:val="20"/>
          <w:color w:val="auto"/>
        </w:rPr>
      </w:pPr>
      <w:r>
        <w:rPr>
          <w:rFonts w:ascii="Times New Roman" w:cs="Times New Roman" w:eastAsia="Times New Roman" w:hAnsi="Times New Roman"/>
          <w:sz w:val="18"/>
          <w:szCs w:val="18"/>
          <w:color w:val="auto"/>
        </w:rPr>
        <w:t>At December 31, 2020 and 2019, the Company had committed to spend approximately $6,100 and $6,500, respectively under agreements to purchase property and equipment. This amount is net of capital advances paid which are recognized in consolidated balance sheets as property and equipment.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STPI or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duty free, in the event that certain terms and conditions are not fulfilled. The Company’s management believes, however, that these units have in the past satisfied and will continue to satisfy the required conditions.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December 31, 2020.</w:t>
      </w:r>
    </w:p>
    <w:p>
      <w:pPr>
        <w:spacing w:after="0" w:line="13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amount demanded by income tax authorities (net of advance payments, if any) from the Company related to its transfer pricing issues for tax years 2003 to 2015 and its permanent establishment issues for tax years 2003 to 2007 as of December 31, 2020 and 2019 is $16,748 and $16,220, respectively, of which the Company has made payments and/or provided bank guarantees to the extent $8,120 and $8,108, respectively. Amounts paid as deposits in respect of such assessments aggregating to $6,307 and $6,252 as of December 31, 2020 and 2019, respectively, are included in “Other assets” and amounts deposited for bank guarantees aggregating to $1,813 and $1,856 as of December 31, 2020 and 2019, respectively, are included in “Restricted cash” in the non-current assets section of the Company’s consolidated balance sheets.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1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in the period in which, the Indian Social Security Code becomes effective and the related rules to determine the financial impact are published.</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17" w:right="339" w:bottom="1440" w:gutter="0" w:footer="0" w:header="0"/>
        </w:sectPr>
      </w:pPr>
    </w:p>
    <w:bookmarkStart w:id="139" w:name="page140"/>
    <w:bookmarkEnd w:id="139"/>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ExlService Holdings, Inc., a company organized under the laws of Delaware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(together with ExlService.com, LLC (“</w:t>
      </w:r>
      <w:r>
        <w:rPr>
          <w:rFonts w:ascii="Times New Roman" w:cs="Times New Roman" w:eastAsia="Times New Roman" w:hAnsi="Times New Roman"/>
          <w:sz w:val="18"/>
          <w:szCs w:val="18"/>
          <w:b w:val="1"/>
          <w:bCs w:val="1"/>
          <w:color w:val="auto"/>
        </w:rPr>
        <w:t>ExlService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Maurizio Nicolelli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and shall be effective as of the Effective Date as defined below.</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Executive has offered to serve the Company, and the Company desires to employ Executive, subject to the terms and conditions set forth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intending to be legally bound hereby, the parties hereto agree as set forth below:</w:t>
      </w:r>
    </w:p>
    <w:p>
      <w:pPr>
        <w:spacing w:after="0" w:line="162" w:lineRule="exact"/>
        <w:rPr>
          <w:sz w:val="20"/>
          <w:szCs w:val="20"/>
          <w:color w:val="auto"/>
        </w:rPr>
      </w:pPr>
    </w:p>
    <w:p>
      <w:pPr>
        <w:jc w:val="both"/>
        <w:ind w:firstLine="1304"/>
        <w:spacing w:after="0" w:line="261" w:lineRule="auto"/>
        <w:tabs>
          <w:tab w:leader="none" w:pos="19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Effectiveness</w:t>
      </w:r>
      <w:r>
        <w:rPr>
          <w:rFonts w:ascii="Times New Roman" w:cs="Times New Roman" w:eastAsia="Times New Roman" w:hAnsi="Times New Roman"/>
          <w:sz w:val="18"/>
          <w:szCs w:val="18"/>
          <w:color w:val="auto"/>
        </w:rPr>
        <w:t>. The term of Executive’s employment under this Agreement shall commence as of the later of (i) February 3, 2020, (ii) upon the successful completion of background checks, and (iii) Executive’s first day of active employment with the Company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shall continue until Executive’s employment under this Agreement is terminated pursuant to the provisions of Section 5 hereof. The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from the Effective Date through the termination of Executive’s employment hereunder is herein referred to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304"/>
        <w:spacing w:after="0" w:line="266" w:lineRule="auto"/>
        <w:tabs>
          <w:tab w:leader="none" w:pos="1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the parties upon the execution hereof.</w:t>
      </w:r>
    </w:p>
    <w:p>
      <w:pPr>
        <w:spacing w:after="0" w:line="225" w:lineRule="exact"/>
        <w:rPr>
          <w:sz w:val="20"/>
          <w:szCs w:val="20"/>
          <w:color w:val="auto"/>
        </w:rPr>
      </w:pPr>
    </w:p>
    <w:p>
      <w:pPr>
        <w:ind w:left="1960" w:hanging="656"/>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as used herein, shall have the definitions set forth below.</w:t>
      </w:r>
    </w:p>
    <w:p>
      <w:pPr>
        <w:spacing w:after="0" w:line="221" w:lineRule="exact"/>
        <w:rPr>
          <w:sz w:val="20"/>
          <w:szCs w:val="20"/>
          <w:color w:val="auto"/>
        </w:rPr>
      </w:pPr>
    </w:p>
    <w:p>
      <w:pPr>
        <w:jc w:val="both"/>
        <w:ind w:firstLine="1304"/>
        <w:spacing w:after="0" w:line="268" w:lineRule="auto"/>
        <w:tabs>
          <w:tab w:leader="none" w:pos="19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9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unincorporated organization, governmental or regulatory body or other entity.</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(1)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pacing w:after="0" w:line="180" w:lineRule="exact"/>
        <w:rPr>
          <w:sz w:val="20"/>
          <w:szCs w:val="20"/>
          <w:color w:val="auto"/>
        </w:rPr>
      </w:pPr>
    </w:p>
    <w:p>
      <w:pPr>
        <w:jc w:val="both"/>
        <w:ind w:firstLine="1304"/>
        <w:spacing w:after="0" w:line="261" w:lineRule="auto"/>
        <w:tabs>
          <w:tab w:leader="none" w:pos="19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Responsibilities</w:t>
      </w:r>
      <w:r>
        <w:rPr>
          <w:rFonts w:ascii="Times New Roman" w:cs="Times New Roman" w:eastAsia="Times New Roman" w:hAnsi="Times New Roman"/>
          <w:sz w:val="18"/>
          <w:szCs w:val="18"/>
          <w:color w:val="auto"/>
        </w:rPr>
        <w:t>. Executive agrees to be employed by the Company and be actively engaged on a full-time basis in the business and activities of the Company and its Affiliates for the entirety of the Term, and, subject to Section 3(b), to devote substantially all of Executive’s working time and attention to the Company and its Affiliates and the promotion of its business and interests and the performance of Executive’s duties and responsibilities hereunder. During the Term, Executive agrees to use his reasonable best efforts to ensure that</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and activities of the Company and its Subsidiaries, that are under his direction, are conducted in accordance with the Company’s practices and/or applicable laws, rules and regulations in all material respects and as such are interpreted by the Company’s law department and compliance professionals. Executive shall be employed hereunder as Executive Vice President and Chief Financial Officer, or such other title as agreed to between Executive and the Chief Executive Officer of Holdings with such duties and responsibilities customary for companies of comparable size to the Company in the Company’s industry and commensurate with Executive’s status and position hereunder and as directed from time to time by the Chief Executive Officer of Holdings. Executive shall report directly to the Chief Executive Officer of Holdings.</w:t>
      </w:r>
    </w:p>
    <w:p>
      <w:pPr>
        <w:spacing w:after="0" w:line="187" w:lineRule="exact"/>
        <w:rPr>
          <w:sz w:val="20"/>
          <w:szCs w:val="20"/>
          <w:color w:val="auto"/>
        </w:rPr>
      </w:pPr>
    </w:p>
    <w:p>
      <w:pPr>
        <w:jc w:val="both"/>
        <w:ind w:firstLine="1304"/>
        <w:spacing w:after="0" w:line="254" w:lineRule="auto"/>
        <w:tabs>
          <w:tab w:leader="none" w:pos="194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shall not be directly or indirectly materially engaged, or concerned or interested in any business activity, trade or occupation (other than employment with the Company and its Affiliates as contemplated by this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principal office location is at the Company’s offices in Manhattan, NY, but You will be required to work from or to travel to other Company locations, from time to time, on a temporary basis, to perform Your duties.</w:t>
      </w:r>
    </w:p>
    <w:p>
      <w:pPr>
        <w:spacing w:after="0" w:line="162" w:lineRule="exact"/>
        <w:rPr>
          <w:sz w:val="20"/>
          <w:szCs w:val="20"/>
          <w:color w:val="auto"/>
        </w:rPr>
      </w:pPr>
    </w:p>
    <w:p>
      <w:pPr>
        <w:ind w:left="1960" w:hanging="656"/>
        <w:spacing w:after="0"/>
        <w:tabs>
          <w:tab w:leader="none" w:pos="1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During the Term, for all services rendered under this Agreement, Executive shall receive an aggregate annualized base salary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at a rate of $475,000 per annum, payable in accordance with the Company’s applicable payroll practices. The Base Salary shall be reviewed no less frequently than annually during the Term for increase, if any, in the sole discretion of the Compensation Committee of the Board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Executive shall have the opportunity to earn a discretionary annual target bonus equivalent to 75% of Executive’s Base Salary at target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The actual amount of the Annual Bonus earned by Executive shall be determined in accordance with the terms of the Company’s executive bonus plan which is administered by the Compensation Committee. Any Annual Bonus due to Executive shall be paid in March for Executive’s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his duties in good faith on the date such Annual Bonus is paid. The Compensation Committee shall, in its sole discretion, determine the Company-wide objectives upon which the Annual Bonus shall be based and the Chief Executive Officer of the Company shall, in his or her sole discretion, determine the personal objectives upon which the Annual Bonus shall be based.</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Joining Bonus</w:t>
      </w:r>
      <w:r>
        <w:rPr>
          <w:rFonts w:ascii="Times New Roman" w:cs="Times New Roman" w:eastAsia="Times New Roman" w:hAnsi="Times New Roman"/>
          <w:sz w:val="18"/>
          <w:szCs w:val="18"/>
          <w:color w:val="auto"/>
        </w:rPr>
        <w:t>. Executive shall be eligible to receive a joining bonus of $225,000 (the “</w:t>
      </w:r>
      <w:r>
        <w:rPr>
          <w:rFonts w:ascii="Times New Roman" w:cs="Times New Roman" w:eastAsia="Times New Roman" w:hAnsi="Times New Roman"/>
          <w:sz w:val="18"/>
          <w:szCs w:val="18"/>
          <w:b w:val="1"/>
          <w:bCs w:val="1"/>
          <w:color w:val="auto"/>
        </w:rPr>
        <w:t>Joining Bonus</w:t>
      </w:r>
      <w:r>
        <w:rPr>
          <w:rFonts w:ascii="Times New Roman" w:cs="Times New Roman" w:eastAsia="Times New Roman" w:hAnsi="Times New Roman"/>
          <w:sz w:val="18"/>
          <w:szCs w:val="18"/>
          <w:color w:val="auto"/>
        </w:rPr>
        <w:t>”). The Joining Bonus shall be payable in two installments. $125,000 shall be due upon commencing employment with the Company, and will be paid no later than the second bi-monthly payroll cycle following the Effective Date. The remaining $100,000 will be due on the one year anniversary of the Effective Date and will be paid in the first payroll cycle following such anniversary. In the event that Executive’s employment is terminated within one year following the Effective Date</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Executive other than for Good Reason, or (ii) by the Company for Cause, Executive shall and hereby does agree to repay the Company in full for any portion of the Joining Bonus already paid to Executive.</w:t>
      </w:r>
    </w:p>
    <w:p>
      <w:pPr>
        <w:sectPr>
          <w:pgSz w:w="11900" w:h="16838" w:orient="portrait"/>
          <w:cols w:equalWidth="0" w:num="1">
            <w:col w:w="11240"/>
          </w:cols>
          <w:pgMar w:left="320" w:top="1417" w:right="339" w:bottom="1440" w:gutter="0" w:footer="0" w:header="0"/>
        </w:sectPr>
      </w:pPr>
    </w:p>
    <w:bookmarkStart w:id="141" w:name="page142"/>
    <w:bookmarkEnd w:id="141"/>
    <w:p>
      <w:pPr>
        <w:jc w:val="both"/>
        <w:ind w:left="-1120" w:firstLine="1304"/>
        <w:spacing w:after="0" w:line="253" w:lineRule="auto"/>
        <w:tabs>
          <w:tab w:leader="none" w:pos="8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Awards</w:t>
      </w:r>
      <w:r>
        <w:rPr>
          <w:rFonts w:ascii="Times New Roman" w:cs="Times New Roman" w:eastAsia="Times New Roman" w:hAnsi="Times New Roman"/>
          <w:sz w:val="18"/>
          <w:szCs w:val="18"/>
          <w:color w:val="auto"/>
        </w:rPr>
        <w:t>. Holdings will cause Executive to be granted restricted stock units of Holdings’ common stock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with a fair market value equal to $425,000 (the “</w:t>
      </w: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which will vest annually pro rata over a four-year period commencing from the date of grant. The number of restricted stock units granted will be based on Holdings’ average closing stock price during the 21 business day period ending on the day immediately prior to the Effective Date. The Initial Equity Grant will be effected within five business days following the Effective Date and will be governed by the terms and conditions of Holdings’ 2018 Omnibus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an RSU award agreement consistent with the terms of the Plan. Additionally, beginning in 2020 and in years thereafter, Executive will also be eligible during the Term, subject to performance and other conditions considered by the Compensation Committee in its sole discretion, to receive an annual target equity award. Annual equity grants may be allocated between performance based RSUs and time based vesting RSUs as determined by the Compensation Committee for each fiscal year. For the current fiscal year annual equity grants for senior management are comprised 50% of performance based RSUs and 50% of time based vesting RSUs which vest over four years in the manner set forth above.</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that a Change in Control (as defined in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and Perquisites</w:t>
      </w:r>
      <w:r>
        <w:rPr>
          <w:rFonts w:ascii="Times New Roman" w:cs="Times New Roman" w:eastAsia="Times New Roman" w:hAnsi="Times New Roman"/>
          <w:sz w:val="18"/>
          <w:szCs w:val="18"/>
          <w:color w:val="auto"/>
        </w:rPr>
        <w:t>.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 Reimbursements</w:t>
      </w:r>
      <w:r>
        <w:rPr>
          <w:rFonts w:ascii="Times New Roman" w:cs="Times New Roman" w:eastAsia="Times New Roman" w:hAnsi="Times New Roman"/>
          <w:sz w:val="18"/>
          <w:szCs w:val="18"/>
          <w:color w:val="auto"/>
        </w:rPr>
        <w:t>. During the Term, the Company shall reimburse Executive for reasonable and properly documented business expenses (including reasonable weekly commuting expenses between Your residence in Rhode Island and the Company’s offices in New York) in accordance with the Company’s then-prevailing policies and procedures for expense reimbursement.</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8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Executive shall be entitled to annual paid vacation of no less than four (4) weeks and to reasonable sick leave in accordance with Company policy.</w:t>
      </w:r>
    </w:p>
    <w:p>
      <w:pPr>
        <w:spacing w:after="0" w:line="162" w:lineRule="exact"/>
        <w:rPr>
          <w:sz w:val="20"/>
          <w:szCs w:val="20"/>
          <w:color w:val="auto"/>
        </w:rPr>
      </w:pPr>
    </w:p>
    <w:p>
      <w:pPr>
        <w:ind w:left="840" w:hanging="656"/>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120" w:firstLine="1304"/>
        <w:spacing w:after="0" w:line="253" w:lineRule="auto"/>
        <w:tabs>
          <w:tab w:leader="none" w:pos="8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employment may be terminated by either party at any time and for any reason; provided, however, that (i) the Company shall be required to give Executive at least 30 days advanced written notice if the termination is </w:t>
      </w:r>
      <w:r>
        <w:rPr>
          <w:rFonts w:ascii="Times New Roman" w:cs="Times New Roman" w:eastAsia="Times New Roman" w:hAnsi="Times New Roman"/>
          <w:sz w:val="18"/>
          <w:szCs w:val="18"/>
          <w:u w:val="single" w:color="auto"/>
          <w:color w:val="auto"/>
        </w:rPr>
        <w:t>without</w:t>
      </w:r>
      <w:r>
        <w:rPr>
          <w:rFonts w:ascii="Times New Roman" w:cs="Times New Roman" w:eastAsia="Times New Roman" w:hAnsi="Times New Roman"/>
          <w:sz w:val="18"/>
          <w:szCs w:val="18"/>
          <w:color w:val="auto"/>
        </w:rPr>
        <w:t xml:space="preserve"> Cause and (ii) Executive shall be required to give the Company at least 90 days advance written notice of any resignation of Executive’s employment hereunder. For the avoidance of doubt, the Company shall not be required to give Executive any notice if the termination is for Cause. The Employment terminates at the end of the applicable notice period, if any. During the notice period, the Company reserves the right, in its sole discretion, to (i) alter, reduce, or eliminate any of the Executive’s duties, (ii) 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w:t>
      </w:r>
    </w:p>
    <w:p>
      <w:pPr>
        <w:sectPr>
          <w:pgSz w:w="11900" w:h="16838" w:orient="portrait"/>
          <w:cols w:equalWidth="0" w:num="1">
            <w:col w:w="10120"/>
          </w:cols>
          <w:pgMar w:left="1440" w:top="1417" w:right="339" w:bottom="1440" w:gutter="0" w:footer="0" w:header="0"/>
        </w:sectPr>
      </w:pPr>
    </w:p>
    <w:bookmarkStart w:id="142" w:name="page143"/>
    <w:bookmarkEnd w:id="142"/>
    <w:p>
      <w:pPr>
        <w:spacing w:after="0" w:line="282" w:lineRule="auto"/>
        <w:rPr>
          <w:sz w:val="20"/>
          <w:szCs w:val="20"/>
          <w:color w:val="auto"/>
        </w:rPr>
      </w:pPr>
      <w:r>
        <w:rPr>
          <w:rFonts w:ascii="Times New Roman" w:cs="Times New Roman" w:eastAsia="Times New Roman" w:hAnsi="Times New Roman"/>
          <w:sz w:val="18"/>
          <w:szCs w:val="18"/>
          <w:color w:val="auto"/>
        </w:rPr>
        <w:t>Company, shall assist in the transition of his duties as reasonably requested by the Company. Notwithstanding the foregoing, Executive’s employment shall automatically terminate upon Executive’s death.</w:t>
      </w:r>
    </w:p>
    <w:p>
      <w:pPr>
        <w:spacing w:after="0" w:line="162" w:lineRule="exact"/>
        <w:rPr>
          <w:sz w:val="20"/>
          <w:szCs w:val="20"/>
          <w:color w:val="auto"/>
        </w:rPr>
      </w:pPr>
    </w:p>
    <w:p>
      <w:pPr>
        <w:jc w:val="both"/>
        <w:ind w:firstLine="1304"/>
        <w:spacing w:after="0" w:line="254" w:lineRule="auto"/>
        <w:tabs>
          <w:tab w:leader="none" w:pos="193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4(g)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the Company without Cause (other than due to death or Disability), or by Executive for Good Reason, Executive shall be entitled to receive severance payments in an aggregate amount equal to 12 months Base Salary, payable as follows: (i) a lump sum payment equal to three months’ Base Salary shall be paid in the first payroll that is as least 10 days after the termination date,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payment (per the Company’s payroll policies and practices) of Executive’s Base Salary for a consecutive nine-month period commencing on the third month following the termination date.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pacing w:after="0" w:line="189" w:lineRule="exact"/>
        <w:rPr>
          <w:sz w:val="20"/>
          <w:szCs w:val="20"/>
          <w:color w:val="auto"/>
        </w:rPr>
      </w:pPr>
    </w:p>
    <w:p>
      <w:pPr>
        <w:jc w:val="both"/>
        <w:ind w:left="660" w:firstLine="1126"/>
        <w:spacing w:after="0" w:line="255" w:lineRule="auto"/>
        <w:rPr>
          <w:sz w:val="20"/>
          <w:szCs w:val="20"/>
          <w:color w:val="auto"/>
        </w:rPr>
      </w:pPr>
      <w:r>
        <w:rPr>
          <w:rFonts w:ascii="Times New Roman" w:cs="Times New Roman" w:eastAsia="Times New Roman" w:hAnsi="Times New Roman"/>
          <w:sz w:val="18"/>
          <w:szCs w:val="18"/>
          <w:color w:val="auto"/>
        </w:rPr>
        <w:t>(i)Any severance payments or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in a form reasonably satisfactory to the Company, that has become effective in accordance with its terms, (B) subject to Executive’s continued compliance with the terms of the restrictive covenants in Sections 7, 8, 9 and 10 of this Agreement and (C) subject to the provisions of Section 19(d) of this Agreement.</w:t>
      </w:r>
    </w:p>
    <w:p>
      <w:pPr>
        <w:spacing w:after="0" w:line="185" w:lineRule="exact"/>
        <w:rPr>
          <w:sz w:val="20"/>
          <w:szCs w:val="20"/>
          <w:color w:val="auto"/>
        </w:rPr>
      </w:pPr>
    </w:p>
    <w:p>
      <w:pPr>
        <w:jc w:val="both"/>
        <w:ind w:left="660" w:firstLine="1076"/>
        <w:spacing w:after="0" w:line="253" w:lineRule="auto"/>
        <w:rPr>
          <w:sz w:val="20"/>
          <w:szCs w:val="20"/>
          <w:color w:val="auto"/>
        </w:rPr>
      </w:pPr>
      <w:r>
        <w:rPr>
          <w:rFonts w:ascii="Times New Roman" w:cs="Times New Roman" w:eastAsia="Times New Roman" w:hAnsi="Times New Roman"/>
          <w:sz w:val="18"/>
          <w:szCs w:val="18"/>
          <w:color w:val="auto"/>
        </w:rPr>
        <w:t>(ii)For purposes of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have acted in accordance with such applicable laws: Executive is following, in good faith, the written advice of counsel, such counsel having</w:t>
      </w:r>
    </w:p>
    <w:p>
      <w:pPr>
        <w:sectPr>
          <w:pgSz w:w="11900" w:h="16838" w:orient="portrait"/>
          <w:cols w:equalWidth="0" w:num="1">
            <w:col w:w="11240"/>
          </w:cols>
          <w:pgMar w:left="320" w:top="1417" w:right="339" w:bottom="1440" w:gutter="0" w:footer="0" w:header="0"/>
        </w:sectPr>
      </w:pPr>
    </w:p>
    <w:bookmarkStart w:id="143" w:name="page144"/>
    <w:bookmarkEnd w:id="143"/>
    <w:p>
      <w:pPr>
        <w:jc w:val="both"/>
        <w:spacing w:after="0" w:line="258" w:lineRule="auto"/>
        <w:rPr>
          <w:sz w:val="20"/>
          <w:szCs w:val="20"/>
          <w:color w:val="auto"/>
        </w:rPr>
      </w:pPr>
      <w:r>
        <w:rPr>
          <w:rFonts w:ascii="Times New Roman" w:cs="Times New Roman" w:eastAsia="Times New Roman" w:hAnsi="Times New Roman"/>
          <w:sz w:val="18"/>
          <w:szCs w:val="18"/>
          <w:color w:val="auto"/>
        </w:rPr>
        <w:t>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spacing w:after="0" w:line="179" w:lineRule="exact"/>
        <w:rPr>
          <w:sz w:val="20"/>
          <w:szCs w:val="20"/>
          <w:color w:val="auto"/>
        </w:rPr>
      </w:pPr>
    </w:p>
    <w:p>
      <w:pPr>
        <w:jc w:val="both"/>
        <w:ind w:firstLine="1026"/>
        <w:spacing w:after="0" w:line="254"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the occurrence, without Executive’s prior written consent, of any of the 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or (C) a change in the office or location where Executive is based of more than fifty (50) miles which new location is more than fifty (50) miles from Manhattan, NY,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pacing w:after="0" w:line="182" w:lineRule="exact"/>
        <w:rPr>
          <w:sz w:val="20"/>
          <w:szCs w:val="20"/>
          <w:color w:val="auto"/>
        </w:rPr>
      </w:pPr>
    </w:p>
    <w:p>
      <w:pPr>
        <w:jc w:val="both"/>
        <w:ind w:right="20" w:firstLine="1036"/>
        <w:spacing w:after="0" w:line="286" w:lineRule="auto"/>
        <w:rPr>
          <w:sz w:val="20"/>
          <w:szCs w:val="20"/>
          <w:color w:val="auto"/>
        </w:rPr>
      </w:pPr>
      <w:r>
        <w:rPr>
          <w:rFonts w:ascii="Times New Roman" w:cs="Times New Roman" w:eastAsia="Times New Roman" w:hAnsi="Times New Roman"/>
          <w:sz w:val="18"/>
          <w:szCs w:val="18"/>
          <w:color w:val="auto"/>
        </w:rPr>
        <w:t>(iv)For purposes of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Executive’s incapacity, due to mental, physical or emotional injury or illness, such that Executive is substantially unable to perform his duties hereunder for a period of six (6) consecutive months.</w:t>
      </w:r>
    </w:p>
    <w:p>
      <w:pPr>
        <w:spacing w:after="0" w:line="159" w:lineRule="exact"/>
        <w:rPr>
          <w:sz w:val="20"/>
          <w:szCs w:val="20"/>
          <w:color w:val="auto"/>
        </w:rPr>
      </w:pPr>
    </w:p>
    <w:p>
      <w:pPr>
        <w:jc w:val="both"/>
        <w:ind w:left="-660" w:firstLine="1304"/>
        <w:spacing w:after="0" w:line="266" w:lineRule="auto"/>
        <w:tabs>
          <w:tab w:leader="none" w:pos="1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76" w:lineRule="exact"/>
        <w:rPr>
          <w:sz w:val="20"/>
          <w:szCs w:val="20"/>
          <w:color w:val="auto"/>
        </w:rPr>
      </w:pPr>
    </w:p>
    <w:p>
      <w:pPr>
        <w:ind w:left="1300" w:hanging="656"/>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304"/>
        <w:spacing w:after="0" w:line="253" w:lineRule="auto"/>
        <w:tabs>
          <w:tab w:leader="none" w:pos="12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ectPr>
          <w:pgSz w:w="11900" w:h="16838" w:orient="portrait"/>
          <w:cols w:equalWidth="0" w:num="1">
            <w:col w:w="10580"/>
          </w:cols>
          <w:pgMar w:left="980" w:top="1417" w:right="339" w:bottom="1440" w:gutter="0" w:footer="0" w:header="0"/>
        </w:sectPr>
      </w:pPr>
    </w:p>
    <w:bookmarkStart w:id="144" w:name="page145"/>
    <w:bookmarkEnd w:id="144"/>
    <w:p>
      <w:pPr>
        <w:jc w:val="both"/>
        <w:ind w:firstLine="1304"/>
        <w:spacing w:after="0" w:line="261"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90" w:lineRule="exact"/>
        <w:rPr>
          <w:sz w:val="20"/>
          <w:szCs w:val="20"/>
          <w:color w:val="auto"/>
        </w:rPr>
      </w:pPr>
    </w:p>
    <w:p>
      <w:pPr>
        <w:jc w:val="both"/>
        <w:ind w:firstLine="1304"/>
        <w:spacing w:after="0" w:line="252" w:lineRule="auto"/>
        <w:tabs>
          <w:tab w:leader="none" w:pos="19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 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Times New Roman" w:cs="Times New Roman" w:eastAsia="Times New Roman" w:hAnsi="Times New Roman"/>
          <w:sz w:val="18"/>
          <w:szCs w:val="18"/>
          <w:b w:val="1"/>
          <w:bCs w:val="1"/>
          <w:color w:val="auto"/>
        </w:rPr>
        <w:t>Non-Competition Period</w:t>
      </w:r>
      <w:r>
        <w:rPr>
          <w:rFonts w:ascii="Times New Roman" w:cs="Times New Roman" w:eastAsia="Times New Roman" w:hAnsi="Times New Roman"/>
          <w:sz w:val="18"/>
          <w:szCs w:val="18"/>
          <w:color w:val="auto"/>
        </w:rPr>
        <w:t>” shall be the one year period following Executive’s termination of employment for any reason.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w:t>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55" w:lineRule="auto"/>
        <w:rPr>
          <w:sz w:val="20"/>
          <w:szCs w:val="20"/>
          <w:color w:val="auto"/>
        </w:rPr>
      </w:pPr>
      <w:r>
        <w:rPr>
          <w:rFonts w:ascii="Times New Roman" w:cs="Times New Roman" w:eastAsia="Times New Roman" w:hAnsi="Times New Roman"/>
          <w:sz w:val="18"/>
          <w:szCs w:val="18"/>
          <w:color w:val="auto"/>
        </w:rPr>
        <w:t>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w:t>
      </w:r>
    </w:p>
    <w:p>
      <w:pPr>
        <w:spacing w:after="0" w:line="189" w:lineRule="exact"/>
        <w:rPr>
          <w:sz w:val="20"/>
          <w:szCs w:val="20"/>
          <w:color w:val="auto"/>
        </w:rPr>
      </w:pPr>
    </w:p>
    <w:p>
      <w:pPr>
        <w:jc w:val="both"/>
        <w:ind w:firstLine="1304"/>
        <w:spacing w:after="0" w:line="252" w:lineRule="auto"/>
        <w:tabs>
          <w:tab w:leader="none" w:pos="19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Executive’s employment with the Group and for a period of one year thereafter Executive shall make no unfavorable, disparaging or negative comment, remark or statement, whether written or oral (a “</w:t>
      </w:r>
      <w:r>
        <w:rPr>
          <w:rFonts w:ascii="Times New Roman" w:cs="Times New Roman" w:eastAsia="Times New Roman" w:hAnsi="Times New Roman"/>
          <w:sz w:val="18"/>
          <w:szCs w:val="18"/>
          <w:b w:val="1"/>
          <w:bCs w:val="1"/>
          <w:color w:val="auto"/>
        </w:rPr>
        <w:t>Disparaging Statement</w:t>
      </w:r>
      <w:r>
        <w:rPr>
          <w:rFonts w:ascii="Times New Roman" w:cs="Times New Roman" w:eastAsia="Times New Roman" w:hAnsi="Times New Roman"/>
          <w:sz w:val="18"/>
          <w:szCs w:val="18"/>
          <w:color w:val="auto"/>
        </w:rPr>
        <w: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 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183" w:lineRule="exact"/>
        <w:rPr>
          <w:sz w:val="20"/>
          <w:szCs w:val="20"/>
          <w:color w:val="auto"/>
        </w:rPr>
      </w:pPr>
    </w:p>
    <w:p>
      <w:pPr>
        <w:ind w:left="1960" w:hanging="656"/>
        <w:spacing w:after="0"/>
        <w:tabs>
          <w:tab w:leader="none" w:pos="1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Trade Secrets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w:t>
      </w:r>
    </w:p>
    <w:p>
      <w:pPr>
        <w:sectPr>
          <w:pgSz w:w="11900" w:h="16838" w:orient="portrait"/>
          <w:cols w:equalWidth="0" w:num="1">
            <w:col w:w="11240"/>
          </w:cols>
          <w:pgMar w:left="320" w:top="1417"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18"/>
          <w:szCs w:val="18"/>
          <w:color w:val="auto"/>
        </w:rPr>
        <w:t>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92" w:lineRule="exact"/>
        <w:rPr>
          <w:sz w:val="20"/>
          <w:szCs w:val="20"/>
          <w:color w:val="auto"/>
        </w:rPr>
      </w:pPr>
    </w:p>
    <w:p>
      <w:pPr>
        <w:jc w:val="both"/>
        <w:ind w:firstLine="1304"/>
        <w:spacing w:after="0" w:line="253" w:lineRule="auto"/>
        <w:tabs>
          <w:tab w:leader="none" w:pos="19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the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further agree that if You are questioned about information subject to this Agreement by any person or entity not authorized to receive such information, You will notify the Company within twenty-four (24) hours.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Company is a public company and that You may receive or have access to material non-public information that is restricted from use and disclosure by federal and state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 information, The term “use” includes, but is not limited to, purchase or sale of securities influenced by such inside information.</w:t>
      </w:r>
    </w:p>
    <w:p>
      <w:pPr>
        <w:spacing w:after="0" w:line="187" w:lineRule="exact"/>
        <w:rPr>
          <w:sz w:val="20"/>
          <w:szCs w:val="20"/>
          <w:color w:val="auto"/>
        </w:rPr>
      </w:pPr>
    </w:p>
    <w:p>
      <w:pPr>
        <w:jc w:val="both"/>
        <w:ind w:firstLine="1304"/>
        <w:spacing w:after="0" w:line="254" w:lineRule="auto"/>
        <w:tabs>
          <w:tab w:leader="none" w:pos="1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Confidential Information and Company Property</w:t>
      </w:r>
      <w:r>
        <w:rPr>
          <w:rFonts w:ascii="Times New Roman" w:cs="Times New Roman" w:eastAsia="Times New Roman" w:hAnsi="Times New Roman"/>
          <w:sz w:val="18"/>
          <w:szCs w:val="18"/>
          <w:color w:val="auto"/>
        </w:rPr>
        <w:t>.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w:t>
      </w:r>
    </w:p>
    <w:p>
      <w:pPr>
        <w:sectPr>
          <w:pgSz w:w="11900" w:h="16838" w:orient="portrait"/>
          <w:cols w:equalWidth="0" w:num="1">
            <w:col w:w="11240"/>
          </w:cols>
          <w:pgMar w:left="320" w:top="1417" w:right="339" w:bottom="1440" w:gutter="0" w:footer="0" w:header="0"/>
        </w:sectPr>
      </w:pPr>
    </w:p>
    <w:bookmarkStart w:id="147" w:name="page148"/>
    <w:bookmarkEnd w:id="147"/>
    <w:p>
      <w:pPr>
        <w:spacing w:after="0" w:line="282" w:lineRule="auto"/>
        <w:rPr>
          <w:sz w:val="20"/>
          <w:szCs w:val="20"/>
          <w:color w:val="auto"/>
        </w:rPr>
      </w:pPr>
      <w:r>
        <w:rPr>
          <w:rFonts w:ascii="Times New Roman" w:cs="Times New Roman" w:eastAsia="Times New Roman" w:hAnsi="Times New Roman"/>
          <w:sz w:val="18"/>
          <w:szCs w:val="18"/>
          <w:color w:val="auto"/>
        </w:rPr>
        <w:t>execute and provide the information set forth in the Termination Certification attached hereto as Exhibit C. In addition, upon request of the Company, You shall provide a copy of this Agreement to any subsequent employer.</w:t>
      </w:r>
    </w:p>
    <w:p>
      <w:pPr>
        <w:spacing w:after="0" w:line="162" w:lineRule="exact"/>
        <w:rPr>
          <w:sz w:val="20"/>
          <w:szCs w:val="20"/>
          <w:color w:val="auto"/>
        </w:rPr>
      </w:pPr>
    </w:p>
    <w:p>
      <w:pPr>
        <w:ind w:left="1940" w:hanging="636"/>
        <w:spacing w:after="0"/>
        <w:tabs>
          <w:tab w:leader="none" w:pos="1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Times New Roman" w:cs="Times New Roman" w:eastAsia="Times New Roman" w:hAnsi="Times New Roman"/>
          <w:sz w:val="18"/>
          <w:szCs w:val="18"/>
          <w:b w:val="1"/>
          <w:bCs w:val="1"/>
          <w:color w:val="auto"/>
        </w:rPr>
        <w:t>Proprietary Rights</w:t>
      </w:r>
      <w:r>
        <w:rPr>
          <w:rFonts w:ascii="Times New Roman" w:cs="Times New Roman" w:eastAsia="Times New Roman" w:hAnsi="Times New Roman"/>
          <w:sz w:val="18"/>
          <w:szCs w:val="18"/>
          <w:color w:val="auto"/>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 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waives and quitclaims to the Company any and all claims, of any nature whatsoever, that Executive now or may hereafter have for infringement of any Proprietary Rights assigned hereunder to the Company.</w:t>
      </w:r>
    </w:p>
    <w:p>
      <w:pPr>
        <w:spacing w:after="0" w:line="162" w:lineRule="exact"/>
        <w:rPr>
          <w:sz w:val="20"/>
          <w:szCs w:val="20"/>
          <w:color w:val="auto"/>
        </w:rPr>
      </w:pPr>
    </w:p>
    <w:p>
      <w:pPr>
        <w:ind w:firstLine="1304"/>
        <w:spacing w:after="0" w:line="282" w:lineRule="auto"/>
        <w:tabs>
          <w:tab w:leader="none" w:pos="19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Employment or Service Provider Relationship</w:t>
      </w:r>
      <w:r>
        <w:rPr>
          <w:rFonts w:ascii="Times New Roman" w:cs="Times New Roman" w:eastAsia="Times New Roman" w:hAnsi="Times New Roman"/>
          <w:sz w:val="18"/>
          <w:szCs w:val="18"/>
          <w:color w:val="auto"/>
        </w:rPr>
        <w:t>. Executive hereby agrees that as soon as practical, upon Executive’s consideration of accepting employment with, or agreeing to provide</w:t>
      </w:r>
    </w:p>
    <w:p>
      <w:pPr>
        <w:sectPr>
          <w:pgSz w:w="11900" w:h="16838" w:orient="portrait"/>
          <w:cols w:equalWidth="0" w:num="1">
            <w:col w:w="11240"/>
          </w:cols>
          <w:pgMar w:left="320" w:top="1417" w:right="339" w:bottom="1440" w:gutter="0" w:footer="0" w:header="0"/>
        </w:sectPr>
      </w:pPr>
    </w:p>
    <w:bookmarkStart w:id="148" w:name="page149"/>
    <w:bookmarkEnd w:id="148"/>
    <w:p>
      <w:pPr>
        <w:jc w:val="both"/>
        <w:spacing w:after="0" w:line="256" w:lineRule="auto"/>
        <w:rPr>
          <w:sz w:val="20"/>
          <w:szCs w:val="20"/>
          <w:color w:val="auto"/>
        </w:rPr>
      </w:pPr>
      <w:r>
        <w:rPr>
          <w:rFonts w:ascii="Times New Roman" w:cs="Times New Roman" w:eastAsia="Times New Roman" w:hAnsi="Times New Roman"/>
          <w:sz w:val="18"/>
          <w:szCs w:val="18"/>
          <w:color w:val="auto"/>
        </w:rPr>
        <w:t>services to, any other Person during any period which Executive remains subject to any of the covenants set forth in Section 7, Executive shall advise his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87" w:lineRule="exact"/>
        <w:rPr>
          <w:sz w:val="20"/>
          <w:szCs w:val="20"/>
          <w:color w:val="auto"/>
        </w:rPr>
      </w:pPr>
    </w:p>
    <w:p>
      <w:pPr>
        <w:jc w:val="both"/>
        <w:ind w:firstLine="1304"/>
        <w:spacing w:after="0" w:line="254" w:lineRule="auto"/>
        <w:tabs>
          <w:tab w:leader="none" w:pos="19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and Injunctive Relief</w:t>
      </w:r>
      <w:r>
        <w:rPr>
          <w:rFonts w:ascii="Times New Roman" w:cs="Times New Roman" w:eastAsia="Times New Roman" w:hAnsi="Times New Roman"/>
          <w:sz w:val="18"/>
          <w:szCs w:val="18"/>
          <w:color w:val="auto"/>
        </w:rPr>
        <w:t>.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preliminary or interim injunctive relief (including temporary restraining orders and preliminary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sentences shall not be construed as a waiver of the rights that the Company and/or Employee may have to recover in arbitration pursuant to Section 18 any damages available to it under this Agreement or otherwise, and all of the Company’s rights shall be unrestricted.</w:t>
      </w:r>
    </w:p>
    <w:p>
      <w:pPr>
        <w:spacing w:after="0" w:line="18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Executive and Company; Advice of Counsel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warrants and covenants that as of the date 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his duties for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87" w:lineRule="exact"/>
        <w:rPr>
          <w:sz w:val="20"/>
          <w:szCs w:val="20"/>
          <w:color w:val="auto"/>
        </w:rPr>
      </w:pPr>
    </w:p>
    <w:p>
      <w:pPr>
        <w:jc w:val="both"/>
        <w:ind w:firstLine="1304"/>
        <w:spacing w:after="0" w:line="254" w:lineRule="auto"/>
        <w:tabs>
          <w:tab w:leader="none" w:pos="19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w:t>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282" w:lineRule="auto"/>
        <w:rPr>
          <w:sz w:val="20"/>
          <w:szCs w:val="20"/>
          <w:color w:val="auto"/>
        </w:rPr>
      </w:pPr>
      <w:r>
        <w:rPr>
          <w:rFonts w:ascii="Times New Roman" w:cs="Times New Roman" w:eastAsia="Times New Roman" w:hAnsi="Times New Roman"/>
          <w:sz w:val="18"/>
          <w:szCs w:val="18"/>
          <w:color w:val="auto"/>
        </w:rPr>
        <w:t>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spacing w:after="0" w:line="162" w:lineRule="exact"/>
        <w:rPr>
          <w:sz w:val="20"/>
          <w:szCs w:val="20"/>
          <w:color w:val="auto"/>
        </w:rPr>
      </w:pPr>
    </w:p>
    <w:p>
      <w:pPr>
        <w:jc w:val="both"/>
        <w:ind w:firstLine="1304"/>
        <w:spacing w:after="0" w:line="266" w:lineRule="auto"/>
        <w:tabs>
          <w:tab w:leader="none" w:pos="193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deduct and withhold from any amounts payable under this Agreement such Federal, state, local, non-U.S. or other taxes as are required or permitted to be withheld pursuant to any applicable law or regulation. Executive shall be responsible for all taxes (including self-employment taxes) in connection with his status as a member of the Company for U.S. federal income tax purposes.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9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Executive and without the prior written consent of the Board shall not be assignable by Executive, and any assignment in violation of this Agreement shall be void.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spacing w:after="0" w:line="176" w:lineRule="exact"/>
        <w:rPr>
          <w:sz w:val="20"/>
          <w:szCs w:val="20"/>
          <w:color w:val="auto"/>
        </w:rPr>
      </w:pPr>
    </w:p>
    <w:p>
      <w:pPr>
        <w:jc w:val="both"/>
        <w:ind w:firstLine="1304"/>
        <w:spacing w:after="0" w:line="258" w:lineRule="auto"/>
        <w:tabs>
          <w:tab w:leader="none" w:pos="19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deemed to be made in New York, and the validity, interpretation, construction, and performance of this Agreement in all respects (except as provided below)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and Arbitration</w:t>
      </w:r>
      <w:r>
        <w:rPr>
          <w:rFonts w:ascii="Times New Roman" w:cs="Times New Roman" w:eastAsia="Times New Roman" w:hAnsi="Times New Roman"/>
          <w:sz w:val="18"/>
          <w:szCs w:val="18"/>
          <w:color w:val="auto"/>
        </w:rPr>
        <w:t>. Except as otherwise provided in this Dispute Resolution and Arbitration provision (“</w:t>
      </w:r>
      <w:r>
        <w:rPr>
          <w:rFonts w:ascii="Times New Roman" w:cs="Times New Roman" w:eastAsia="Times New Roman" w:hAnsi="Times New Roman"/>
          <w:sz w:val="18"/>
          <w:szCs w:val="18"/>
          <w:b w:val="1"/>
          <w:bCs w:val="1"/>
          <w:color w:val="auto"/>
        </w:rPr>
        <w:t>Arbitration Agreement</w:t>
      </w:r>
      <w:r>
        <w:rPr>
          <w:rFonts w:ascii="Times New Roman" w:cs="Times New Roman" w:eastAsia="Times New Roman" w:hAnsi="Times New Roman"/>
          <w:sz w:val="18"/>
          <w:szCs w:val="18"/>
          <w:color w:val="auto"/>
        </w:rPr>
        <w:t>”), any dispute, controversy or other claim, past, present, or future, between Executive and the Company that otherwise would be subject to resolution in court by a judge and/or jury shall be resolved solely by final and binding arbitration and not by way of court or jury trial, except for claims for temporary, interim and/or preliminary injunctive relief pursuant to Sections 7, 8, 9, and/or 10 of this Agreement, which may be sought from a court of competent jurisdiction at any time and shall be subject to modification or dissolution as part of the final arbitration award, and/or claims for workers’ compensation, state disability, or unemployment insurance benefits. This arbitration commitment extends to, but is not limited to, any and all claims, disputes or controversies (i) arising out of or relating to this Agreement and/or any aspect of Executive’s employment with the Company, including those that the Company may assert against Executive and those that Executive may assert against the Company, its clients or related entities, and/or any of its or their respective members, shareholders, owners, directors, officers, employees, agents and representatives, and (ii) arising out of, relating to, or concerning the validity, enforceability, applicability, scope, or alleged breach of this Arbitration Agreement, including whether or not a dispute must be arbitrated. All such claims, disputes and controversies brought by Executive shall be subject to resolution in arbitration on an individual basis only, and not on a class or collective basis on behalf of, or in concert with, any persons not party to this Agreement. There will be no right or authority for any such claim, dispute or controversy to be brought, heard or arbitrated as a class, collective or multi-plaintiff action, and Executive agrees to not serve as a member in any class or collective action against the Company or any other party to whom his arbitration commitment extends. This arbitration commitment will continue throughout Executive’s employment with the Company and after that employment ends, for any reason, however, nothing in this Agreement prevents Executive from making a report to or filing a claim or charge with a government agency, including without limitation, the Equal Employment Opportunity Commission, U.S. Department of Labor, U.S. Securities and Exchange Commission, or the Office of Federal Contract Compliance Programs. This Arbitration Agreement also does not prevent or prohibit Executive in any way from reporting,</w:t>
      </w:r>
    </w:p>
    <w:p>
      <w:pPr>
        <w:sectPr>
          <w:pgSz w:w="11900" w:h="16838" w:orient="portrait"/>
          <w:cols w:equalWidth="0" w:num="1">
            <w:col w:w="11240"/>
          </w:cols>
          <w:pgMar w:left="320" w:top="1417" w:right="33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18"/>
          <w:szCs w:val="18"/>
          <w:color w:val="auto"/>
        </w:rPr>
        <w:t>communicating about, or disclosing claims for discrimination, harassment, retaliation, or sexual abuse. This Arbitration Agreement does not cover disputes that an applicable federal statute expressly states cannot be arbitrated or subject to a pre-dispute arbitration agreement. Arbitration shall be conducted in New York County, New York, before a single arbitrator, who shall be a lawyer admitted to the New York bar and has at least 15 years’ experience in employment law or a retired state or federal judge, in accordance with the Employment Arbitration Rules of the American Arbitration Association for disputes arising out of individually-negotiated employment agreements and contracts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Unless prohibited by applicable law, all fees and expenses of the AAA and the arbitrator shall be borne equally by the parties. This Arbitration Agreement shall be governed by the Federal Arbitration Act, 9 U.S.C.</w:t>
      </w:r>
    </w:p>
    <w:p>
      <w:pPr>
        <w:spacing w:after="0" w:line="5" w:lineRule="exact"/>
        <w:rPr>
          <w:sz w:val="20"/>
          <w:szCs w:val="20"/>
          <w:color w:val="auto"/>
        </w:rPr>
      </w:pPr>
    </w:p>
    <w:p>
      <w:pPr>
        <w:jc w:val="both"/>
        <w:ind w:firstLine="8"/>
        <w:spacing w:after="0" w:line="255" w:lineRule="auto"/>
        <w:tabs>
          <w:tab w:leader="none" w:pos="2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FAA</w:t>
      </w:r>
      <w:r>
        <w:rPr>
          <w:rFonts w:ascii="Times New Roman" w:cs="Times New Roman" w:eastAsia="Times New Roman" w:hAnsi="Times New Roman"/>
          <w:sz w:val="18"/>
          <w:szCs w:val="18"/>
          <w:color w:val="auto"/>
        </w:rPr>
        <w:t>”) and, to the extent not preempted by the FAA, the applicable provisions of New York law. In making the decision and award, the arbitrator shall apply applicable substantive law and, on issues of state law, the substantive law of New York, without regard to choice of law rules, shall control. Judgment upon the arbitrator’s award may be entered in any court having jurisdiction thereof.</w:t>
      </w:r>
    </w:p>
    <w:p>
      <w:pPr>
        <w:spacing w:after="0" w:line="18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No Waiver;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9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Executive and a duly authorized officer of the Company (other than Executive).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reimbursements pursuant to Section 4(g) or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4(g) and 14 are not subject to liquidation or exchange for another benefit and the amount of such benefits and reimbursements that Executive receives in one</w:t>
      </w:r>
    </w:p>
    <w:p>
      <w:pPr>
        <w:sectPr>
          <w:pgSz w:w="11900" w:h="16838" w:orient="portrait"/>
          <w:cols w:equalWidth="0" w:num="1">
            <w:col w:w="11240"/>
          </w:cols>
          <w:pgMar w:left="320" w:top="14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taxable year shall not affect the amount of such benefits or reimbursements that Executive receives in any other taxable year.</w:t>
      </w:r>
    </w:p>
    <w:p>
      <w:pPr>
        <w:spacing w:after="0" w:line="225" w:lineRule="exact"/>
        <w:rPr>
          <w:sz w:val="20"/>
          <w:szCs w:val="20"/>
          <w:color w:val="auto"/>
        </w:rPr>
      </w:pPr>
    </w:p>
    <w:p>
      <w:pPr>
        <w:jc w:val="both"/>
        <w:ind w:firstLine="1304"/>
        <w:spacing w:after="0" w:line="255" w:lineRule="auto"/>
        <w:tabs>
          <w:tab w:leader="none" w:pos="19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any part thereof of this Agreement, including Sections 7, 8, 9 and 10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of the parties under the provisions of this Agreement (including without limitation, Sections 7 through 12 and Sections 14 and 18)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Ajay Ayyappan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GeneralCounsel@exlservice.com</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Nalin Kumar Miglani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624-5933</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 FOR PRIVACY**]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Maurizio Nicolelli</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Notices delivered by electronic mail shall have the same legal effect as if such notice had been delivered in person.</w:t>
      </w:r>
    </w:p>
    <w:p>
      <w:pPr>
        <w:sectPr>
          <w:pgSz w:w="11900" w:h="16838" w:orient="portrait"/>
          <w:cols w:equalWidth="0" w:num="1">
            <w:col w:w="11240"/>
          </w:cols>
          <w:pgMar w:left="320" w:top="1417" w:right="339" w:bottom="1440" w:gutter="0" w:footer="0" w:header="0"/>
        </w:sectPr>
      </w:pPr>
    </w:p>
    <w:bookmarkStart w:id="152" w:name="page153"/>
    <w:bookmarkEnd w:id="152"/>
    <w:p>
      <w:pPr>
        <w:jc w:val="both"/>
        <w:ind w:left="-20" w:firstLine="1304"/>
        <w:spacing w:after="0" w:line="266" w:lineRule="auto"/>
        <w:tabs>
          <w:tab w:leader="none" w:pos="19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References</w:t>
      </w:r>
      <w:r>
        <w:rPr>
          <w:rFonts w:ascii="Times New Roman" w:cs="Times New Roman" w:eastAsia="Times New Roman" w:hAnsi="Times New Roman"/>
          <w:sz w:val="18"/>
          <w:szCs w:val="18"/>
          <w:color w:val="auto"/>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9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two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party. Copies and facsimile or scanned copies of this Agreement, and the signatures contained therein, shall be as effective as the original Agreement and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20"/>
          </w:cols>
          <w:pgMar w:left="340" w:top="1417" w:right="339" w:bottom="1440" w:gutter="0" w:footer="0" w:header="0"/>
        </w:sectPr>
      </w:pPr>
    </w:p>
    <w:bookmarkStart w:id="153" w:name="page154"/>
    <w:bookmarkEnd w:id="153"/>
    <w:p>
      <w:pPr>
        <w:ind w:left="180"/>
        <w:spacing w:after="0"/>
        <w:rPr>
          <w:sz w:val="20"/>
          <w:szCs w:val="20"/>
          <w:color w:val="auto"/>
        </w:rPr>
      </w:pPr>
      <w:r>
        <w:rPr>
          <w:rFonts w:ascii="Times New Roman" w:cs="Times New Roman" w:eastAsia="Times New Roman" w:hAnsi="Times New Roman"/>
          <w:sz w:val="17"/>
          <w:szCs w:val="17"/>
          <w:color w:val="auto"/>
        </w:rPr>
        <w:t>IN WITNESS WHEREOF, this Agreement has been duly executed by the parties as of the date set forth below.</w:t>
      </w: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 Rohit Kapoor</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Name: Rohit Kapoor</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Title: Vice Chairman &amp; CEO</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Date: January 17,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Date: January 18, 2020</w:t>
      </w:r>
    </w:p>
    <w:p>
      <w:pPr>
        <w:sectPr>
          <w:pgSz w:w="11900" w:h="16838" w:orient="portrait"/>
          <w:cols w:equalWidth="0" w:num="1">
            <w:col w:w="9019"/>
          </w:cols>
          <w:pgMar w:left="1440" w:top="1417" w:right="1440" w:bottom="1440" w:gutter="0" w:footer="0" w:header="0"/>
        </w:sectPr>
      </w:pPr>
    </w:p>
    <w:bookmarkStart w:id="154" w:name="page155"/>
    <w:bookmarkEnd w:id="154"/>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&amp; Confidential</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Saturday, April 28, 2001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VIKAS BHALLA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Extension 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Delhi 110049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91 11 4624768, 4602544, 9811007305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Vikas,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 xml:space="preserve">Subsequent to the meetings between </w:t>
      </w:r>
      <w:r>
        <w:rPr>
          <w:rFonts w:ascii="Times New Roman" w:cs="Times New Roman" w:eastAsia="Times New Roman" w:hAnsi="Times New Roman"/>
          <w:sz w:val="18"/>
          <w:szCs w:val="18"/>
          <w:b w:val="1"/>
          <w:bCs w:val="1"/>
          <w:color w:val="auto"/>
        </w:rPr>
        <w:t>exl Service.com (I) Pvt. Ltd.</w:t>
      </w:r>
      <w:r>
        <w:rPr>
          <w:rFonts w:ascii="Times New Roman" w:cs="Times New Roman" w:eastAsia="Times New Roman" w:hAnsi="Times New Roman"/>
          <w:sz w:val="18"/>
          <w:szCs w:val="18"/>
          <w:color w:val="auto"/>
        </w:rPr>
        <w:t xml:space="preserve"> and you, we are pleased to make an offer of employment on the following terms and conditions:</w:t>
      </w:r>
    </w:p>
    <w:p>
      <w:pPr>
        <w:spacing w:after="0" w:line="15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5" w:lineRule="exact"/>
        <w:rPr>
          <w:rFonts w:ascii="Times New Roman" w:cs="Times New Roman" w:eastAsia="Times New Roman" w:hAnsi="Times New Roman"/>
          <w:sz w:val="18"/>
          <w:szCs w:val="18"/>
          <w:b w:val="1"/>
          <w:bCs w:val="1"/>
          <w:color w:val="auto"/>
        </w:rPr>
      </w:pPr>
    </w:p>
    <w:p>
      <w:pPr>
        <w:ind w:left="1120" w:hanging="464"/>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appointed to the position of </w:t>
      </w:r>
      <w:r>
        <w:rPr>
          <w:rFonts w:ascii="Times New Roman" w:cs="Times New Roman" w:eastAsia="Times New Roman" w:hAnsi="Times New Roman"/>
          <w:sz w:val="18"/>
          <w:szCs w:val="18"/>
          <w:b w:val="1"/>
          <w:bCs w:val="1"/>
          <w:color w:val="auto"/>
        </w:rPr>
        <w:t>Director — Quality Initiatives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join as early as possible but not later than </w:t>
      </w:r>
      <w:r>
        <w:rPr>
          <w:rFonts w:ascii="Times New Roman" w:cs="Times New Roman" w:eastAsia="Times New Roman" w:hAnsi="Times New Roman"/>
          <w:sz w:val="18"/>
          <w:szCs w:val="18"/>
          <w:b w:val="1"/>
          <w:bCs w:val="1"/>
          <w:color w:val="auto"/>
        </w:rPr>
        <w:t>May 16, 2001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11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based in </w:t>
      </w:r>
      <w:r>
        <w:rPr>
          <w:rFonts w:ascii="Times New Roman" w:cs="Times New Roman" w:eastAsia="Times New Roman" w:hAnsi="Times New Roman"/>
          <w:sz w:val="18"/>
          <w:szCs w:val="18"/>
          <w:b w:val="1"/>
          <w:bCs w:val="1"/>
          <w:color w:val="auto"/>
        </w:rPr>
        <w:t>NOIDA</w:t>
      </w:r>
      <w:r>
        <w:rPr>
          <w:rFonts w:ascii="Times New Roman" w:cs="Times New Roman" w:eastAsia="Times New Roman" w:hAnsi="Times New Roman"/>
          <w:sz w:val="18"/>
          <w:szCs w:val="18"/>
          <w:color w:val="auto"/>
        </w:rPr>
        <w:t xml:space="preserve"> but will serve the Company or any of its subsidiaries or associated companies in any location within or outside of India.</w:t>
      </w:r>
    </w:p>
    <w:p>
      <w:pPr>
        <w:spacing w:after="0" w:line="158"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with the Company is subject to:</w:t>
      </w:r>
    </w:p>
    <w:p>
      <w:pPr>
        <w:spacing w:after="0" w:line="225" w:lineRule="exact"/>
        <w:rPr>
          <w:rFonts w:ascii="Times New Roman" w:cs="Times New Roman" w:eastAsia="Times New Roman" w:hAnsi="Times New Roman"/>
          <w:sz w:val="18"/>
          <w:szCs w:val="18"/>
          <w:color w:val="auto"/>
        </w:rPr>
      </w:pPr>
    </w:p>
    <w:p>
      <w:pPr>
        <w:ind w:left="1960" w:hanging="826"/>
        <w:spacing w:after="0"/>
        <w:tabs>
          <w:tab w:leader="none" w:pos="19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undergoing a pre-employment medical examination and being declared fit; and,</w:t>
      </w:r>
    </w:p>
    <w:p>
      <w:pPr>
        <w:spacing w:after="0" w:line="225" w:lineRule="exact"/>
        <w:rPr>
          <w:rFonts w:ascii="Times New Roman" w:cs="Times New Roman" w:eastAsia="Times New Roman" w:hAnsi="Times New Roman"/>
          <w:sz w:val="18"/>
          <w:szCs w:val="18"/>
          <w:color w:val="auto"/>
        </w:rPr>
      </w:pPr>
    </w:p>
    <w:p>
      <w:pPr>
        <w:ind w:left="1960" w:hanging="876"/>
        <w:spacing w:after="0"/>
        <w:tabs>
          <w:tab w:leader="none" w:pos="19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testimonials and information provided by you; and,</w:t>
      </w:r>
    </w:p>
    <w:p>
      <w:pPr>
        <w:spacing w:after="0" w:line="225" w:lineRule="exact"/>
        <w:rPr>
          <w:rFonts w:ascii="Times New Roman" w:cs="Times New Roman" w:eastAsia="Times New Roman" w:hAnsi="Times New Roman"/>
          <w:sz w:val="18"/>
          <w:szCs w:val="18"/>
          <w:color w:val="auto"/>
        </w:rPr>
      </w:pPr>
    </w:p>
    <w:p>
      <w:pPr>
        <w:ind w:left="1960" w:right="20" w:hanging="925"/>
        <w:spacing w:after="0" w:line="282" w:lineRule="auto"/>
        <w:tabs>
          <w:tab w:leader="none" w:pos="19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free from any contractual restrictions preventing you from accepting this offer or starting work on the above-mentioned date; and,</w:t>
      </w:r>
    </w:p>
    <w:p>
      <w:pPr>
        <w:spacing w:after="0" w:line="161" w:lineRule="exact"/>
        <w:rPr>
          <w:rFonts w:ascii="Times New Roman" w:cs="Times New Roman" w:eastAsia="Times New Roman" w:hAnsi="Times New Roman"/>
          <w:sz w:val="18"/>
          <w:szCs w:val="18"/>
          <w:color w:val="auto"/>
        </w:rPr>
      </w:pPr>
    </w:p>
    <w:p>
      <w:pPr>
        <w:ind w:left="1960" w:hanging="916"/>
        <w:spacing w:after="0"/>
        <w:tabs>
          <w:tab w:leader="none" w:pos="19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providing two satisfactory references.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line="268" w:lineRule="auto"/>
        <w:tabs>
          <w:tab w:leader="none" w:pos="111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employee of the Company you will receive an Annual Cash of </w:t>
      </w:r>
      <w:r>
        <w:rPr>
          <w:rFonts w:ascii="Times New Roman" w:cs="Times New Roman" w:eastAsia="Times New Roman" w:hAnsi="Times New Roman"/>
          <w:sz w:val="18"/>
          <w:szCs w:val="18"/>
          <w:b w:val="1"/>
          <w:bCs w:val="1"/>
          <w:color w:val="auto"/>
        </w:rPr>
        <w:t>Rupees 1,659,382.00</w:t>
      </w:r>
      <w:r>
        <w:rPr>
          <w:rFonts w:ascii="Times New Roman" w:cs="Times New Roman" w:eastAsia="Times New Roman" w:hAnsi="Times New Roman"/>
          <w:sz w:val="18"/>
          <w:szCs w:val="18"/>
          <w:color w:val="auto"/>
        </w:rPr>
        <w:t>. This will be disbursed to you in accordance with the prevailing standard compensation plans of the company, information on which will be provided to you upon joining the company.</w:t>
      </w:r>
    </w:p>
    <w:p>
      <w:pPr>
        <w:spacing w:after="0" w:line="174" w:lineRule="exact"/>
        <w:rPr>
          <w:rFonts w:ascii="Times New Roman" w:cs="Times New Roman" w:eastAsia="Times New Roman" w:hAnsi="Times New Roman"/>
          <w:sz w:val="18"/>
          <w:szCs w:val="18"/>
          <w:color w:val="auto"/>
        </w:rPr>
      </w:pPr>
    </w:p>
    <w:p>
      <w:pPr>
        <w:ind w:left="1300" w:hanging="644"/>
        <w:spacing w:after="0" w:line="282" w:lineRule="auto"/>
        <w:tabs>
          <w:tab w:leader="none" w:pos="111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eligible to participate in the Company's Stock Options Program and we are pleased to award you fifteen thousand stocks from the date of joining. The details of the scheme will be separately discussed with you by the management.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11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an amount towards annual qualifying discretionary bonus based entirely on the management's assessment of your performance during the previous year (January to December).</w:t>
      </w:r>
    </w:p>
    <w:p>
      <w:pPr>
        <w:sectPr>
          <w:pgSz w:w="11900" w:h="16838" w:orient="portrait"/>
          <w:cols w:equalWidth="0" w:num="1">
            <w:col w:w="11240"/>
          </w:cols>
          <w:pgMar w:left="320" w:top="1413" w:right="339" w:bottom="1440" w:gutter="0" w:footer="0" w:header="0"/>
        </w:sectPr>
      </w:pPr>
    </w:p>
    <w:bookmarkStart w:id="155" w:name="page156"/>
    <w:bookmarkEnd w:id="155"/>
    <w:p>
      <w:pPr>
        <w:ind w:left="1292"/>
        <w:spacing w:after="0" w:line="282" w:lineRule="auto"/>
        <w:rPr>
          <w:sz w:val="20"/>
          <w:szCs w:val="20"/>
          <w:color w:val="auto"/>
        </w:rPr>
      </w:pPr>
      <w:r>
        <w:rPr>
          <w:rFonts w:ascii="Times New Roman" w:cs="Times New Roman" w:eastAsia="Times New Roman" w:hAnsi="Times New Roman"/>
          <w:sz w:val="18"/>
          <w:szCs w:val="18"/>
          <w:color w:val="auto"/>
        </w:rPr>
        <w:t>The details of the scheme, including the nature of your participation and extent of the award, will be separately discussed with you by the management.</w:t>
      </w:r>
    </w:p>
    <w:p>
      <w:pPr>
        <w:spacing w:after="0" w:line="162" w:lineRule="exact"/>
        <w:rPr>
          <w:sz w:val="20"/>
          <w:szCs w:val="20"/>
          <w:color w:val="auto"/>
        </w:rPr>
      </w:pPr>
    </w:p>
    <w:p>
      <w:pPr>
        <w:ind w:left="1292" w:hanging="644"/>
        <w:spacing w:after="0" w:line="282" w:lineRule="auto"/>
        <w:tabs>
          <w:tab w:leader="none" w:pos="110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described above will not be further grossed up for taxes and you will be responsible for the payment of taxes with respect to such payments, that are deducted at source as per the prevailing rules.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10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paid to you has taken into consideration the status and responsibilities of the appointment and as such, you will not be entitled to any other payment by way of overtime and other allowances.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Probation</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line="266" w:lineRule="auto"/>
        <w:tabs>
          <w:tab w:leader="none" w:pos="11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serve a probationary period of six months. During the period pf probation the contract may be terminated by either party by giving one month's notice in writing or payment of salary in lieu thereof. On satisfactory completion of your probation your services will be confirmed by the management in writing.</w:t>
      </w:r>
    </w:p>
    <w:p>
      <w:pPr>
        <w:spacing w:after="0" w:line="175" w:lineRule="exact"/>
        <w:rPr>
          <w:rFonts w:ascii="Times New Roman" w:cs="Times New Roman" w:eastAsia="Times New Roman" w:hAnsi="Times New Roman"/>
          <w:sz w:val="18"/>
          <w:szCs w:val="18"/>
          <w:color w:val="auto"/>
        </w:rPr>
      </w:pPr>
    </w:p>
    <w:p>
      <w:pPr>
        <w:ind w:left="1112" w:hanging="464"/>
        <w:spacing w:after="0"/>
        <w:tabs>
          <w:tab w:leader="none" w:pos="111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reserves the right to extend the probationary period in the event that your performance is not up to expectation.</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Conduct</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line="266" w:lineRule="auto"/>
        <w:tabs>
          <w:tab w:leader="none" w:pos="11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at all times, be required to carry out such duties and responsibilities as may be assigned to you by the Company and shall faithfully and diligently perform these in compliance with established policies and procedures, endeavoring to the best of your ability to protect and promote the interests of the Company.</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10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not, except with the written permission of the Company, engage directly or indirectly in any other business, occupation or activity, whether as a principal, agent or otherwise, which will be detrimental, whether directly or indirectly, to the Company's interests.</w:t>
      </w:r>
    </w:p>
    <w:p>
      <w:pPr>
        <w:spacing w:after="0" w:line="161" w:lineRule="exact"/>
        <w:rPr>
          <w:rFonts w:ascii="Times New Roman" w:cs="Times New Roman" w:eastAsia="Times New Roman" w:hAnsi="Times New Roman"/>
          <w:sz w:val="18"/>
          <w:szCs w:val="18"/>
          <w:color w:val="auto"/>
        </w:rPr>
      </w:pPr>
    </w:p>
    <w:p>
      <w:pPr>
        <w:ind w:left="1112" w:hanging="464"/>
        <w:spacing w:after="0"/>
        <w:tabs>
          <w:tab w:leader="none" w:pos="111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keep strictly confidential details of your salary and employment benefits within and outside the Company.</w:t>
      </w:r>
    </w:p>
    <w:p>
      <w:pPr>
        <w:spacing w:after="0" w:line="225" w:lineRule="exact"/>
        <w:rPr>
          <w:rFonts w:ascii="Times New Roman" w:cs="Times New Roman" w:eastAsia="Times New Roman" w:hAnsi="Times New Roman"/>
          <w:sz w:val="18"/>
          <w:szCs w:val="18"/>
          <w:color w:val="auto"/>
        </w:rPr>
      </w:pPr>
    </w:p>
    <w:p>
      <w:pPr>
        <w:ind w:left="1292" w:hanging="644"/>
        <w:spacing w:after="0" w:line="266" w:lineRule="auto"/>
        <w:tabs>
          <w:tab w:leader="none" w:pos="110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not disclose or divulge any confidential information related to the Company's business or its customers which may come to your knowledge or possession during the tenure of your employment, and which should not be disclosed or made public save in the course of the proper execution of your duties.</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1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undertake not to make copies or duplicates of confidential or sensitive property or material including but not limited to keys, access cards, diskettes, photographs or such other proprietary information relating to the Company's business.</w:t>
      </w:r>
    </w:p>
    <w:p>
      <w:pPr>
        <w:spacing w:after="0" w:line="161" w:lineRule="exact"/>
        <w:rPr>
          <w:rFonts w:ascii="Times New Roman" w:cs="Times New Roman" w:eastAsia="Times New Roman" w:hAnsi="Times New Roman"/>
          <w:sz w:val="18"/>
          <w:szCs w:val="18"/>
          <w:color w:val="auto"/>
        </w:rPr>
      </w:pPr>
    </w:p>
    <w:p>
      <w:pPr>
        <w:ind w:left="1292" w:hanging="644"/>
        <w:spacing w:after="0" w:line="266" w:lineRule="auto"/>
        <w:tabs>
          <w:tab w:leader="none" w:pos="11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bound by the Code of Conduct and all other rules, regulations, policies and orders issued by the Company from time to time in relation to your conduct, discipline and service condition such as leave, medical, retirement, etc. as if these conduct rules, regulations, policies et al, were part of this contract of appointment.</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Hours</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line="282" w:lineRule="auto"/>
        <w:tabs>
          <w:tab w:leader="none" w:pos="11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practices a 48-hour work week for all staff and management employees. Actual work timings and shifts may vary from time to time based on business and customer service requirements. You</w:t>
      </w:r>
    </w:p>
    <w:p>
      <w:pPr>
        <w:sectPr>
          <w:pgSz w:w="11900" w:h="16838" w:orient="portrait"/>
          <w:cols w:equalWidth="0" w:num="1">
            <w:col w:w="11232"/>
          </w:cols>
          <w:pgMar w:left="328" w:top="1417" w:right="339" w:bottom="1440" w:gutter="0" w:footer="0" w:header="0"/>
        </w:sectPr>
      </w:pPr>
    </w:p>
    <w:bookmarkStart w:id="156" w:name="page157"/>
    <w:bookmarkEnd w:id="156"/>
    <w:p>
      <w:pPr>
        <w:jc w:val="center"/>
        <w:ind w:right="140"/>
        <w:spacing w:after="0"/>
        <w:rPr>
          <w:sz w:val="20"/>
          <w:szCs w:val="20"/>
          <w:color w:val="auto"/>
        </w:rPr>
      </w:pPr>
      <w:r>
        <w:rPr>
          <w:rFonts w:ascii="Times New Roman" w:cs="Times New Roman" w:eastAsia="Times New Roman" w:hAnsi="Times New Roman"/>
          <w:sz w:val="18"/>
          <w:szCs w:val="18"/>
          <w:color w:val="auto"/>
        </w:rPr>
        <w:t>will be advised by your supervisor or manager of the working hours, break period and weekly rest day(s) for your unit</w:t>
      </w:r>
    </w:p>
    <w:p>
      <w:pPr>
        <w:spacing w:after="0" w:line="221"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66" w:lineRule="auto"/>
        <w:tabs>
          <w:tab w:leader="none" w:pos="111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you may at any time terminate this agreement by giving in writing to the other party one month's notice during your probationary period or three months' notice after confirmation or in lieu thereof a sum equal to the amount or prorated amount of salary which would have been accrued to you during the period or remaining period of notice.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11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reserves the right not to relieve you of your services in the event that all Company documents / property in your custody have not been properly handed over by you to an authorized representative.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1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for a continuous period of eight days without prior approval of your superior, (including overstay of leave / training), can lead to your services being terminated without notice or explanation.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w:t>
      </w:r>
    </w:p>
    <w:p>
      <w:pPr>
        <w:spacing w:after="0" w:line="229" w:lineRule="exact"/>
        <w:rPr>
          <w:rFonts w:ascii="Times New Roman" w:cs="Times New Roman" w:eastAsia="Times New Roman" w:hAnsi="Times New Roman"/>
          <w:sz w:val="18"/>
          <w:szCs w:val="18"/>
          <w:b w:val="1"/>
          <w:bCs w:val="1"/>
          <w:color w:val="auto"/>
        </w:rPr>
      </w:pPr>
    </w:p>
    <w:p>
      <w:pPr>
        <w:ind w:left="1120" w:hanging="464"/>
        <w:spacing w:after="0"/>
        <w:tabs>
          <w:tab w:leader="none" w:pos="11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retire on your 58th birthday or the last day before this, if your birthday does not fall on a working day.</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retired earlier if found medically unfit.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Kindly sign and return a copy of this letter. Please initial each page in acceptance of the terms and conditions set out herein.</w:t>
      </w:r>
    </w:p>
    <w:p>
      <w:pPr>
        <w:sectPr>
          <w:pgSz w:w="11900" w:h="16838" w:orient="portrait"/>
          <w:cols w:equalWidth="0" w:num="1">
            <w:col w:w="11240"/>
          </w:cols>
          <w:pgMar w:left="320" w:top="14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1"/>
          <w:szCs w:val="21"/>
          <w:color w:val="auto"/>
        </w:rPr>
        <w:t>We welcome you and wish you every success in your career with Exl-Service India Private Limited.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sincerely,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w:t>
      </w:r>
      <w:r>
        <w:rPr>
          <w:rFonts w:ascii="Times New Roman" w:cs="Times New Roman" w:eastAsia="Times New Roman" w:hAnsi="Times New Roman"/>
          <w:sz w:val="22"/>
          <w:szCs w:val="22"/>
          <w:b w:val="1"/>
          <w:bCs w:val="1"/>
          <w:color w:val="auto"/>
        </w:rPr>
        <w:t>exl Service.com (I) Pvt Ltd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PK Gupta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 K GUPTA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Manager — Human Resources</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 accept terms and conditions of this letter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Vikas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147955</wp:posOffset>
            </wp:positionV>
            <wp:extent cx="8229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Vikas Bhalla</w:t>
      </w:r>
    </w:p>
    <w:p>
      <w:pPr>
        <w:sectPr>
          <w:pgSz w:w="11900" w:h="16838" w:orient="portrait"/>
          <w:cols w:equalWidth="0" w:num="1">
            <w:col w:w="10139"/>
          </w:cols>
          <w:pgMar w:left="320" w:top="1422" w:right="1440" w:bottom="1440" w:gutter="0" w:footer="0" w:header="0"/>
        </w:sectPr>
      </w:pPr>
    </w:p>
    <w:bookmarkStart w:id="158" w:name="page159"/>
    <w:bookmarkEnd w:id="158"/>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entered into by and between ExlService Holdings, Inc., a company organized under the laws of Delaware (“Holdings”) (together with ExlService.com, LLC (“ExlService”), the “Company”), and Sam Meckey (“Executive” or “You”) and shall be effective as of the Effective Date as defined below.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Executive has offered to serve the Company, and the Company desires to employ Executive, subject to the terms and conditions set forth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intending to be legally bound hereby, the parties hereto agree as set forth below:</w:t>
      </w:r>
    </w:p>
    <w:p>
      <w:pPr>
        <w:spacing w:after="0" w:line="162" w:lineRule="exact"/>
        <w:rPr>
          <w:sz w:val="20"/>
          <w:szCs w:val="20"/>
          <w:color w:val="auto"/>
        </w:rPr>
      </w:pPr>
    </w:p>
    <w:p>
      <w:pPr>
        <w:jc w:val="both"/>
        <w:ind w:firstLine="1304"/>
        <w:spacing w:after="0" w:line="261" w:lineRule="auto"/>
        <w:tabs>
          <w:tab w:leader="none" w:pos="19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Effectiveness</w:t>
      </w:r>
      <w:r>
        <w:rPr>
          <w:rFonts w:ascii="Times New Roman" w:cs="Times New Roman" w:eastAsia="Times New Roman" w:hAnsi="Times New Roman"/>
          <w:sz w:val="18"/>
          <w:szCs w:val="18"/>
          <w:color w:val="auto"/>
        </w:rPr>
        <w:t>. (a) The term of Executive’s employment under this Agreement shall commence as of the later of November 5, 2018 or Executive’s first day of active employment with the Company (the “Effective Date”) and shall continue until Executive’s employment under this Agreement is terminated pursuant to the provisions of Section 5 hereof. The period of time from the Effective Date through the termination of Executive’s employment hereunder is herein referred to as the “Term.”</w:t>
      </w:r>
    </w:p>
    <w:p>
      <w:pPr>
        <w:spacing w:after="0" w:line="180" w:lineRule="exact"/>
        <w:rPr>
          <w:sz w:val="20"/>
          <w:szCs w:val="20"/>
          <w:color w:val="auto"/>
        </w:rPr>
      </w:pPr>
    </w:p>
    <w:p>
      <w:pPr>
        <w:jc w:val="both"/>
        <w:ind w:firstLine="1304"/>
        <w:spacing w:after="0" w:line="266" w:lineRule="auto"/>
        <w:tabs>
          <w:tab w:leader="none" w:pos="19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the parties upon the execution hereof.</w:t>
      </w:r>
    </w:p>
    <w:p>
      <w:pPr>
        <w:spacing w:after="0" w:line="225" w:lineRule="exact"/>
        <w:rPr>
          <w:sz w:val="20"/>
          <w:szCs w:val="20"/>
          <w:color w:val="auto"/>
        </w:rPr>
      </w:pPr>
    </w:p>
    <w:p>
      <w:pPr>
        <w:ind w:left="1960" w:hanging="656"/>
        <w:spacing w:after="0"/>
        <w:tabs>
          <w:tab w:leader="none" w:pos="1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as used herein, shall have the definitions set forth below.</w:t>
      </w:r>
    </w:p>
    <w:p>
      <w:pPr>
        <w:spacing w:after="0" w:line="225" w:lineRule="exact"/>
        <w:rPr>
          <w:sz w:val="20"/>
          <w:szCs w:val="20"/>
          <w:color w:val="auto"/>
        </w:rPr>
      </w:pPr>
    </w:p>
    <w:p>
      <w:pPr>
        <w:jc w:val="both"/>
        <w:ind w:right="20" w:firstLine="1304"/>
        <w:spacing w:after="0" w:line="266" w:lineRule="auto"/>
        <w:tabs>
          <w:tab w:leader="none" w:pos="19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the possession, direct or indirect, of the power to direct or cause the direction of the management and policies of a Person, whether through the ownership of voting securities, by contract or otherwise.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corporation, partnership, limited liability company, firm, joint venture, association, joint-stock company, trust, unincorporated organization, governmental or regulatory body or other entity.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pacing w:after="0" w:line="180" w:lineRule="exact"/>
        <w:rPr>
          <w:sz w:val="20"/>
          <w:szCs w:val="20"/>
          <w:color w:val="auto"/>
        </w:rPr>
      </w:pPr>
    </w:p>
    <w:p>
      <w:pPr>
        <w:jc w:val="both"/>
        <w:ind w:firstLine="1304"/>
        <w:spacing w:after="0" w:line="258" w:lineRule="auto"/>
        <w:tabs>
          <w:tab w:leader="none" w:pos="19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Responsibilities</w:t>
      </w:r>
      <w:r>
        <w:rPr>
          <w:rFonts w:ascii="Times New Roman" w:cs="Times New Roman" w:eastAsia="Times New Roman" w:hAnsi="Times New Roman"/>
          <w:sz w:val="18"/>
          <w:szCs w:val="18"/>
          <w:color w:val="auto"/>
        </w:rPr>
        <w:t>. (a) Executive agrees to be employed by the Company and be actively engaged on a full-time basis in the business and activities of the Company and its Affiliates for the entirety of the Term, and, subject to Section 3(e), to devote substantially all of Executive’s working time and attention to the Company and its Affiliates and the promotion of its business and interests and the performance of Executive’s duties and responsibilities hereunder. During the Term, Executive agrees to use his reasonable best efforts to ensure that the business and activities of the Company and its Subsidiaries, that are under his direction, are conducted in</w:t>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82" w:lineRule="auto"/>
        <w:rPr>
          <w:sz w:val="20"/>
          <w:szCs w:val="20"/>
          <w:color w:val="auto"/>
        </w:rPr>
      </w:pPr>
      <w:r>
        <w:rPr>
          <w:rFonts w:ascii="Times New Roman" w:cs="Times New Roman" w:eastAsia="Times New Roman" w:hAnsi="Times New Roman"/>
          <w:sz w:val="18"/>
          <w:szCs w:val="18"/>
          <w:color w:val="auto"/>
        </w:rPr>
        <w:t>accordance with the Company’s practices and/or applicable laws, rules and regulations in all material respects and as such are interpreted by the Company’s law department and compliance professionals. Executive shall report directly to the Chief Executive Officer of Holdings.</w:t>
      </w:r>
    </w:p>
    <w:p>
      <w:pPr>
        <w:spacing w:after="0" w:line="162" w:lineRule="exact"/>
        <w:rPr>
          <w:sz w:val="20"/>
          <w:szCs w:val="20"/>
          <w:color w:val="auto"/>
        </w:rPr>
      </w:pPr>
    </w:p>
    <w:p>
      <w:pPr>
        <w:jc w:val="both"/>
        <w:ind w:firstLine="1201"/>
        <w:spacing w:after="0" w:line="258" w:lineRule="auto"/>
        <w:rPr>
          <w:sz w:val="20"/>
          <w:szCs w:val="20"/>
          <w:color w:val="auto"/>
        </w:rPr>
      </w:pPr>
      <w:r>
        <w:rPr>
          <w:rFonts w:ascii="Times New Roman" w:cs="Times New Roman" w:eastAsia="Times New Roman" w:hAnsi="Times New Roman"/>
          <w:sz w:val="18"/>
          <w:szCs w:val="18"/>
          <w:color w:val="auto"/>
        </w:rPr>
        <w:t>i.From the Effective Date through June 30, 2019, Executive shall be employed hereunder as an Executive Vice President responsible for assisting the Chief Executive Officer of Holdings with the Company’s healthcare capability and solutions development, healthcare compliance infrastructure and healthcare team development. Executive will not have any responsibilities or involvement with respect to the Company’s relationship with United Health Group or with any other entities to which Optum Global Solutions (“OGS”) or Population Health Management Shared Services provided services during Executive’s last thirty six (36) months of employment at OGS or any affiliated Optum entities.</w:t>
      </w:r>
    </w:p>
    <w:p>
      <w:pPr>
        <w:spacing w:after="0" w:line="183" w:lineRule="exact"/>
        <w:rPr>
          <w:sz w:val="20"/>
          <w:szCs w:val="20"/>
          <w:color w:val="auto"/>
        </w:rPr>
      </w:pPr>
    </w:p>
    <w:p>
      <w:pPr>
        <w:jc w:val="both"/>
        <w:ind w:firstLine="1151"/>
        <w:spacing w:after="0" w:line="261" w:lineRule="auto"/>
        <w:rPr>
          <w:sz w:val="20"/>
          <w:szCs w:val="20"/>
          <w:color w:val="auto"/>
        </w:rPr>
      </w:pPr>
      <w:r>
        <w:rPr>
          <w:rFonts w:ascii="Times New Roman" w:cs="Times New Roman" w:eastAsia="Times New Roman" w:hAnsi="Times New Roman"/>
          <w:sz w:val="18"/>
          <w:szCs w:val="18"/>
          <w:color w:val="auto"/>
        </w:rPr>
        <w:t>ii.Provided that Executive is still employed by the Company on June 30, 2019, then Executive shall be employed hereunder as Executive Vice President, Head of Healthcare, or such other title as agreed to between Executive and the Chief Executive Officer of Holdings with such duties and responsibilities customary for such a role and companies of comparable size to the Company in the Company’s industry and commensurate with Executive’s status and position hereunder and as directed from time to time by the Chief Executive Officer of Holdings.</w:t>
      </w:r>
    </w:p>
    <w:p>
      <w:pPr>
        <w:spacing w:after="0" w:line="180" w:lineRule="exact"/>
        <w:rPr>
          <w:sz w:val="20"/>
          <w:szCs w:val="20"/>
          <w:color w:val="auto"/>
        </w:rPr>
      </w:pPr>
    </w:p>
    <w:p>
      <w:pPr>
        <w:jc w:val="both"/>
        <w:ind w:firstLine="1101"/>
        <w:spacing w:after="0" w:line="266" w:lineRule="auto"/>
        <w:rPr>
          <w:sz w:val="20"/>
          <w:szCs w:val="20"/>
          <w:color w:val="auto"/>
        </w:rPr>
      </w:pPr>
      <w:r>
        <w:rPr>
          <w:rFonts w:ascii="Times New Roman" w:cs="Times New Roman" w:eastAsia="Times New Roman" w:hAnsi="Times New Roman"/>
          <w:sz w:val="18"/>
          <w:szCs w:val="18"/>
          <w:color w:val="auto"/>
        </w:rPr>
        <w:t>iii.Executive’s principal base of operations for the performance of Executive’s duties and responsibilities hereunder shall be Minnesota; provided, however, that Executive will be expected to travel to New York and other key locations, on a frequent basis, as communicated to Executive by the Company, and shall undertake such other travel as necessary, to fulfill Executive’s obligations to the Company.</w:t>
      </w:r>
    </w:p>
    <w:p>
      <w:pPr>
        <w:spacing w:after="0" w:line="176" w:lineRule="exact"/>
        <w:rPr>
          <w:sz w:val="20"/>
          <w:szCs w:val="20"/>
          <w:color w:val="auto"/>
        </w:rPr>
      </w:pPr>
    </w:p>
    <w:p>
      <w:pPr>
        <w:jc w:val="both"/>
        <w:ind w:firstLine="1111"/>
        <w:spacing w:after="0" w:line="254" w:lineRule="auto"/>
        <w:rPr>
          <w:sz w:val="20"/>
          <w:szCs w:val="20"/>
          <w:color w:val="auto"/>
        </w:rPr>
      </w:pPr>
      <w:r>
        <w:rPr>
          <w:rFonts w:ascii="Times New Roman" w:cs="Times New Roman" w:eastAsia="Times New Roman" w:hAnsi="Times New Roman"/>
          <w:sz w:val="18"/>
          <w:szCs w:val="18"/>
          <w:color w:val="auto"/>
        </w:rPr>
        <w:t>iv.During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“Board”), and shall not be directly or indirectly materially engaged, or concerned or interested in any business activity, trade or occupation (other than employment with the Company and its Affiliates as contemplated by this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w:t>
      </w:r>
    </w:p>
    <w:p>
      <w:pPr>
        <w:spacing w:after="0" w:line="192" w:lineRule="exact"/>
        <w:rPr>
          <w:sz w:val="20"/>
          <w:szCs w:val="20"/>
          <w:color w:val="auto"/>
        </w:rPr>
      </w:pPr>
    </w:p>
    <w:p>
      <w:pPr>
        <w:jc w:val="both"/>
        <w:ind w:firstLine="1161"/>
        <w:spacing w:after="0" w:line="282" w:lineRule="auto"/>
        <w:rPr>
          <w:sz w:val="20"/>
          <w:szCs w:val="20"/>
          <w:color w:val="auto"/>
        </w:rPr>
      </w:pPr>
      <w:r>
        <w:rPr>
          <w:rFonts w:ascii="Times New Roman" w:cs="Times New Roman" w:eastAsia="Times New Roman" w:hAnsi="Times New Roman"/>
          <w:sz w:val="18"/>
          <w:szCs w:val="18"/>
          <w:color w:val="auto"/>
        </w:rPr>
        <w:t>v.Nothing in this Section 3 creates a contract of employment for any definite period of time. Executive’s employment at the Company will be on an at-will basis as set forth in Section 1(b).</w:t>
      </w:r>
    </w:p>
    <w:p>
      <w:pPr>
        <w:spacing w:after="0" w:line="162" w:lineRule="exact"/>
        <w:rPr>
          <w:sz w:val="20"/>
          <w:szCs w:val="20"/>
          <w:color w:val="auto"/>
        </w:rPr>
      </w:pPr>
    </w:p>
    <w:p>
      <w:pPr>
        <w:ind w:left="1960" w:hanging="656"/>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11"/>
        <w:spacing w:after="0" w:line="261" w:lineRule="auto"/>
        <w:rPr>
          <w:sz w:val="20"/>
          <w:szCs w:val="20"/>
          <w:color w:val="auto"/>
        </w:rPr>
      </w:pPr>
      <w:r>
        <w:rPr>
          <w:rFonts w:ascii="Times New Roman" w:cs="Times New Roman" w:eastAsia="Times New Roman" w:hAnsi="Times New Roman"/>
          <w:sz w:val="18"/>
          <w:szCs w:val="18"/>
          <w:color w:val="auto"/>
        </w:rPr>
        <w:t>vi.</w:t>
      </w: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During the Term, for all services rendered under this Agreement, Executive shall receive an aggregate annual base salary (“Base Salary”) at a rate of $425,000 per annum, payable in accordance with the Company’s applicable payroll practices. The Base Salary shall be reviewed no less frequently than annually during the Term for increase, if any, in the sole discretion of the Compensation Committee of the Board (“Compensation Committee”).</w:t>
      </w:r>
    </w:p>
    <w:p>
      <w:pPr>
        <w:spacing w:after="0" w:line="180" w:lineRule="exact"/>
        <w:rPr>
          <w:sz w:val="20"/>
          <w:szCs w:val="20"/>
          <w:color w:val="auto"/>
        </w:rPr>
      </w:pPr>
    </w:p>
    <w:p>
      <w:pPr>
        <w:jc w:val="both"/>
        <w:ind w:firstLine="1061"/>
        <w:spacing w:after="0" w:line="256" w:lineRule="auto"/>
        <w:rPr>
          <w:sz w:val="20"/>
          <w:szCs w:val="20"/>
          <w:color w:val="auto"/>
        </w:rPr>
      </w:pPr>
      <w:r>
        <w:rPr>
          <w:rFonts w:ascii="Times New Roman" w:cs="Times New Roman" w:eastAsia="Times New Roman" w:hAnsi="Times New Roman"/>
          <w:sz w:val="18"/>
          <w:szCs w:val="18"/>
          <w:color w:val="auto"/>
        </w:rPr>
        <w:t>vii.</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Executive shall have the opportunity to earn an annual target bonus equivalent to 75% of Executive’s Base Salary (the “Annual Bonus”). The actual amount of the Annual Bonus earned by Executive shall be determined in accordance with Executive’s performance and the terms of the Company’s executive bonus plan which is administered by the Compensation Committee. Any Annual Bonus due to Executive shall be paid in March for Executive’s performance during the preceding fiscal year. Subject to the terms of the Company’s bonus policy as in effect from time to time, in order to receive an Annual Bonus, Executive must (A) be actively employed by the Company, (B) not be serving any notice period relating to the anticipated</w:t>
      </w:r>
    </w:p>
    <w:p>
      <w:pPr>
        <w:sectPr>
          <w:pgSz w:w="11900" w:h="16838" w:orient="portrait"/>
          <w:cols w:equalWidth="0" w:num="1">
            <w:col w:w="11240"/>
          </w:cols>
          <w:pgMar w:left="320" w:top="14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termination of the employment relationship and (C) be performing his duties in good faith on the date such Annual Bonus is paid.</w:t>
      </w:r>
    </w:p>
    <w:p>
      <w:pPr>
        <w:spacing w:after="0" w:line="225" w:lineRule="exact"/>
        <w:rPr>
          <w:sz w:val="20"/>
          <w:szCs w:val="20"/>
          <w:color w:val="auto"/>
        </w:rPr>
      </w:pPr>
    </w:p>
    <w:p>
      <w:pPr>
        <w:jc w:val="both"/>
        <w:ind w:firstLine="1011"/>
        <w:spacing w:after="0" w:line="261"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u w:val="single" w:color="auto"/>
          <w:color w:val="auto"/>
        </w:rPr>
        <w:t>Bonus Performance Targets</w:t>
      </w:r>
      <w:r>
        <w:rPr>
          <w:rFonts w:ascii="Times New Roman" w:cs="Times New Roman" w:eastAsia="Times New Roman" w:hAnsi="Times New Roman"/>
          <w:sz w:val="18"/>
          <w:szCs w:val="18"/>
          <w:color w:val="auto"/>
        </w:rPr>
        <w:t>. Executive acknowledges he is not entitled to any Annual Bonus for the fiscal year ending December 31, 2018. With respect to fiscal years ending after December 31, 2018, the Compensation Committee shall, in its sole discretion, determine the Company-wide objectives upon which the Annual Bonus shall be based and the Chief Executive Officer of the Company shall, in his or her sole discretion, determine the personal objectives upon which the Annual Bonus shall be based.</w:t>
      </w:r>
    </w:p>
    <w:p>
      <w:pPr>
        <w:spacing w:after="0" w:line="180" w:lineRule="exact"/>
        <w:rPr>
          <w:sz w:val="20"/>
          <w:szCs w:val="20"/>
          <w:color w:val="auto"/>
        </w:rPr>
      </w:pPr>
    </w:p>
    <w:p>
      <w:pPr>
        <w:jc w:val="both"/>
        <w:ind w:firstLine="1111"/>
        <w:spacing w:after="0" w:line="253" w:lineRule="auto"/>
        <w:rPr>
          <w:sz w:val="20"/>
          <w:szCs w:val="20"/>
          <w:color w:val="auto"/>
        </w:rPr>
      </w:pPr>
      <w:r>
        <w:rPr>
          <w:rFonts w:ascii="Times New Roman" w:cs="Times New Roman" w:eastAsia="Times New Roman" w:hAnsi="Times New Roman"/>
          <w:sz w:val="18"/>
          <w:szCs w:val="18"/>
          <w:color w:val="auto"/>
        </w:rPr>
        <w:t>ix.</w:t>
      </w:r>
      <w:r>
        <w:rPr>
          <w:rFonts w:ascii="Times New Roman" w:cs="Times New Roman" w:eastAsia="Times New Roman" w:hAnsi="Times New Roman"/>
          <w:sz w:val="18"/>
          <w:szCs w:val="18"/>
          <w:u w:val="single" w:color="auto"/>
          <w:color w:val="auto"/>
        </w:rPr>
        <w:t>Equity Incentive Awards</w:t>
      </w:r>
      <w:r>
        <w:rPr>
          <w:rFonts w:ascii="Times New Roman" w:cs="Times New Roman" w:eastAsia="Times New Roman" w:hAnsi="Times New Roman"/>
          <w:sz w:val="18"/>
          <w:szCs w:val="18"/>
          <w:color w:val="auto"/>
        </w:rPr>
        <w:t>. Holdings will cause Executive to be granted restricted stock units representing the right to receive shares of Holdings’ common stock (“RSUs”) equivalent to $500,000 based upon the closing price of the common stock of Holdings on the trading day immediately prior to the grant date (the “Initial Equity Grant”). The Initial Equity Grant will be effected within five business days following the Effective Date and will vest annually pro rata over a four year period commencing from the date of the Initial Equity Grant. The Initial Equity Grant will be governed by the terms and conditions of (i) Holdings omnibus equity plan as approved by the shareholders and in effect on the date of the Initial Equity Grant and (ii) an award agreement attached to this Agreement as Exhibit A. Beginning in 2019 and in years thereafter, Executive will also be eligible during the Term, subject to performance and other conditions considered by the Compensation Committee in its sole discretion, to receive an annual target equity award equivalent to a value of $650,000 based upon the closing price of the common stock of Holdings on the trading day immediately prior to the grant date. Annual equity grants may be allocated between performance based RSUs and time based vesting RSUs as determined by the Compensation Committee for each fiscal year. For the current fiscal year annual equity grants for senior management are comprised 50% of performance based RSUs and 50% of time based vesting RSUs which vest over four years in the manner set forth above. For the avoidance of doubt, the first such annual grant, if any, shall be made in 2019.</w:t>
      </w:r>
    </w:p>
    <w:p>
      <w:pPr>
        <w:spacing w:after="0" w:line="192" w:lineRule="exact"/>
        <w:rPr>
          <w:sz w:val="20"/>
          <w:szCs w:val="20"/>
          <w:color w:val="auto"/>
        </w:rPr>
      </w:pPr>
    </w:p>
    <w:p>
      <w:pPr>
        <w:jc w:val="both"/>
        <w:ind w:firstLine="1161"/>
        <w:spacing w:after="0" w:line="254" w:lineRule="auto"/>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that a Change in Control (as defined in the 2018 Omnibus Incentive Plan (as amended)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spacing w:after="0" w:line="188" w:lineRule="exact"/>
        <w:rPr>
          <w:sz w:val="20"/>
          <w:szCs w:val="20"/>
          <w:color w:val="auto"/>
        </w:rPr>
      </w:pPr>
    </w:p>
    <w:p>
      <w:pPr>
        <w:jc w:val="both"/>
        <w:ind w:firstLine="1111"/>
        <w:spacing w:after="0" w:line="266" w:lineRule="auto"/>
        <w:rPr>
          <w:sz w:val="20"/>
          <w:szCs w:val="20"/>
          <w:color w:val="auto"/>
        </w:rPr>
      </w:pPr>
      <w:r>
        <w:rPr>
          <w:rFonts w:ascii="Times New Roman" w:cs="Times New Roman" w:eastAsia="Times New Roman" w:hAnsi="Times New Roman"/>
          <w:sz w:val="18"/>
          <w:szCs w:val="18"/>
          <w:color w:val="auto"/>
        </w:rPr>
        <w:t>xi.</w:t>
      </w:r>
      <w:r>
        <w:rPr>
          <w:rFonts w:ascii="Times New Roman" w:cs="Times New Roman" w:eastAsia="Times New Roman" w:hAnsi="Times New Roman"/>
          <w:sz w:val="18"/>
          <w:szCs w:val="18"/>
          <w:u w:val="single" w:color="auto"/>
          <w:color w:val="auto"/>
        </w:rPr>
        <w:t>Benefits and Perquisites</w:t>
      </w:r>
      <w:r>
        <w:rPr>
          <w:rFonts w:ascii="Times New Roman" w:cs="Times New Roman" w:eastAsia="Times New Roman" w:hAnsi="Times New Roman"/>
          <w:sz w:val="18"/>
          <w:szCs w:val="18"/>
          <w:color w:val="auto"/>
        </w:rPr>
        <w:t>.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spacing w:after="0" w:line="176" w:lineRule="exact"/>
        <w:rPr>
          <w:sz w:val="20"/>
          <w:szCs w:val="20"/>
          <w:color w:val="auto"/>
        </w:rPr>
      </w:pPr>
    </w:p>
    <w:p>
      <w:pPr>
        <w:jc w:val="both"/>
        <w:ind w:firstLine="1061"/>
        <w:spacing w:after="0" w:line="282" w:lineRule="auto"/>
        <w:rPr>
          <w:sz w:val="20"/>
          <w:szCs w:val="20"/>
          <w:color w:val="auto"/>
        </w:rPr>
      </w:pPr>
      <w:r>
        <w:rPr>
          <w:rFonts w:ascii="Times New Roman" w:cs="Times New Roman" w:eastAsia="Times New Roman" w:hAnsi="Times New Roman"/>
          <w:sz w:val="18"/>
          <w:szCs w:val="18"/>
          <w:color w:val="auto"/>
        </w:rPr>
        <w:t>xii.</w:t>
      </w:r>
      <w:r>
        <w:rPr>
          <w:rFonts w:ascii="Times New Roman" w:cs="Times New Roman" w:eastAsia="Times New Roman" w:hAnsi="Times New Roman"/>
          <w:sz w:val="18"/>
          <w:szCs w:val="18"/>
          <w:u w:val="single" w:color="auto"/>
          <w:color w:val="auto"/>
        </w:rPr>
        <w:t>Business Expense Reimbursements</w:t>
      </w:r>
      <w:r>
        <w:rPr>
          <w:rFonts w:ascii="Times New Roman" w:cs="Times New Roman" w:eastAsia="Times New Roman" w:hAnsi="Times New Roman"/>
          <w:sz w:val="18"/>
          <w:szCs w:val="18"/>
          <w:color w:val="auto"/>
        </w:rPr>
        <w:t>. During the Term, the Company shall reimburse Executive for reasonable and properly documented business expenses in accordance with the Company’s then-prevailing policies and procedures for expense reimbursement.</w:t>
      </w:r>
    </w:p>
    <w:p>
      <w:pPr>
        <w:spacing w:after="0" w:line="162" w:lineRule="exact"/>
        <w:rPr>
          <w:sz w:val="20"/>
          <w:szCs w:val="20"/>
          <w:color w:val="auto"/>
        </w:rPr>
      </w:pPr>
    </w:p>
    <w:p>
      <w:pPr>
        <w:jc w:val="both"/>
        <w:ind w:firstLine="1011"/>
        <w:spacing w:after="0" w:line="282" w:lineRule="auto"/>
        <w:rPr>
          <w:sz w:val="20"/>
          <w:szCs w:val="20"/>
          <w:color w:val="auto"/>
        </w:rPr>
      </w:pPr>
      <w:r>
        <w:rPr>
          <w:rFonts w:ascii="Times New Roman" w:cs="Times New Roman" w:eastAsia="Times New Roman" w:hAnsi="Times New Roman"/>
          <w:sz w:val="18"/>
          <w:szCs w:val="18"/>
          <w:color w:val="auto"/>
        </w:rPr>
        <w:t>xiii.</w:t>
      </w: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Executive shall be entitled to annual paid vacation of no less than four (4) weeks and to reasonable sick leave in accordance with Company policy.</w:t>
      </w:r>
    </w:p>
    <w:p>
      <w:pPr>
        <w:spacing w:after="0" w:line="162" w:lineRule="exact"/>
        <w:rPr>
          <w:sz w:val="20"/>
          <w:szCs w:val="20"/>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21"/>
        <w:spacing w:after="0" w:line="266" w:lineRule="auto"/>
        <w:rPr>
          <w:sz w:val="20"/>
          <w:szCs w:val="20"/>
          <w:color w:val="auto"/>
        </w:rPr>
      </w:pPr>
      <w:r>
        <w:rPr>
          <w:rFonts w:ascii="Times New Roman" w:cs="Times New Roman" w:eastAsia="Times New Roman" w:hAnsi="Times New Roman"/>
          <w:sz w:val="18"/>
          <w:szCs w:val="18"/>
          <w:color w:val="auto"/>
        </w:rPr>
        <w:t xml:space="preserve">xiv.Executive’s employment may be terminated by either party at any time and for any reason; provided, however, that (i) the Company shall be required to give Executive at least 30 days advanced written notice if the termination is </w:t>
      </w:r>
      <w:r>
        <w:rPr>
          <w:rFonts w:ascii="Times New Roman" w:cs="Times New Roman" w:eastAsia="Times New Roman" w:hAnsi="Times New Roman"/>
          <w:sz w:val="18"/>
          <w:szCs w:val="18"/>
          <w:u w:val="single" w:color="auto"/>
          <w:color w:val="auto"/>
        </w:rPr>
        <w:t>without</w:t>
      </w:r>
      <w:r>
        <w:rPr>
          <w:rFonts w:ascii="Times New Roman" w:cs="Times New Roman" w:eastAsia="Times New Roman" w:hAnsi="Times New Roman"/>
          <w:sz w:val="18"/>
          <w:szCs w:val="18"/>
          <w:color w:val="auto"/>
        </w:rPr>
        <w:t xml:space="preserve"> Cause and (ii) Executive shall be required to give the Company at least 60 days advance</w:t>
      </w:r>
    </w:p>
    <w:p>
      <w:pPr>
        <w:sectPr>
          <w:pgSz w:w="11900" w:h="16838" w:orient="portrait"/>
          <w:cols w:equalWidth="0" w:num="1">
            <w:col w:w="11240"/>
          </w:cols>
          <w:pgMar w:left="320" w:top="1417" w:right="339" w:bottom="1440" w:gutter="0" w:footer="0" w:header="0"/>
        </w:sectPr>
      </w:pPr>
    </w:p>
    <w:bookmarkStart w:id="161" w:name="page162"/>
    <w:bookmarkEnd w:id="161"/>
    <w:p>
      <w:pPr>
        <w:jc w:val="both"/>
        <w:spacing w:after="0" w:line="254" w:lineRule="auto"/>
        <w:rPr>
          <w:sz w:val="20"/>
          <w:szCs w:val="20"/>
          <w:color w:val="auto"/>
        </w:rPr>
      </w:pPr>
      <w:r>
        <w:rPr>
          <w:rFonts w:ascii="Times New Roman" w:cs="Times New Roman" w:eastAsia="Times New Roman" w:hAnsi="Times New Roman"/>
          <w:sz w:val="18"/>
          <w:szCs w:val="18"/>
          <w:color w:val="auto"/>
        </w:rPr>
        <w:t>written notice of any resignation of Executive’s employment hereunder. For the avoidance of doubt, the Company shall not be required to give Executive any notice if the termination is for Cause. The Employment terminates at the end of the applicable notice period, if any. During the notice period, if any, the Company reserves the right, in its sole discretion, to (i) alter, reduce, or eliminate any of the Executive’s duties, (ii) 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his duties as reasonably requested by the Company. Notwithstanding the foregoing, Executive’s employment shall automatically terminate upon Executive’s death.</w:t>
      </w:r>
    </w:p>
    <w:p>
      <w:pPr>
        <w:spacing w:after="0" w:line="188" w:lineRule="exact"/>
        <w:rPr>
          <w:sz w:val="20"/>
          <w:szCs w:val="20"/>
          <w:color w:val="auto"/>
        </w:rPr>
      </w:pPr>
    </w:p>
    <w:p>
      <w:pPr>
        <w:jc w:val="both"/>
        <w:ind w:firstLine="1071"/>
        <w:spacing w:after="0" w:line="254" w:lineRule="auto"/>
        <w:rPr>
          <w:sz w:val="20"/>
          <w:szCs w:val="20"/>
          <w:color w:val="auto"/>
        </w:rPr>
      </w:pPr>
      <w:r>
        <w:rPr>
          <w:rFonts w:ascii="Times New Roman" w:cs="Times New Roman" w:eastAsia="Times New Roman" w:hAnsi="Times New Roman"/>
          <w:sz w:val="18"/>
          <w:szCs w:val="18"/>
          <w:color w:val="auto"/>
        </w:rPr>
        <w:t>xv.Following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4(g) accrued or incurred through the date of termination of employment, (ii) as explicitly set forth in any other benefit plans, programs or arrangements applicable to terminated employees in which Executive participates, other than severance plans or policies, (iii) as otherwise expressly required by applicable statute, and (iv) to the extent required by subsection 5(c) below.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pacing w:after="0" w:line="188" w:lineRule="exact"/>
        <w:rPr>
          <w:sz w:val="20"/>
          <w:szCs w:val="20"/>
          <w:color w:val="auto"/>
        </w:rPr>
      </w:pPr>
    </w:p>
    <w:p>
      <w:pPr>
        <w:jc w:val="both"/>
        <w:ind w:firstLine="1021"/>
        <w:spacing w:after="0" w:line="255" w:lineRule="auto"/>
        <w:rPr>
          <w:sz w:val="20"/>
          <w:szCs w:val="20"/>
          <w:color w:val="auto"/>
        </w:rPr>
      </w:pPr>
      <w:r>
        <w:rPr>
          <w:rFonts w:ascii="Times New Roman" w:cs="Times New Roman" w:eastAsia="Times New Roman" w:hAnsi="Times New Roman"/>
          <w:sz w:val="18"/>
          <w:szCs w:val="18"/>
          <w:color w:val="auto"/>
        </w:rPr>
        <w:t>xvi.(i) If Executive’s employment is terminated by the Company without Cause (other than due to death or Disability), or by Executive for Good Reason, Executive shall be entitled to receive severance payments in an aggregate amount equal to 12 months Base Salary, payable as follows: (i) a lump sum payment equal to three months’ Base Salary shall be paid in the first payroll that is as least 10 days after the termination date, and (ii) a continuing payment (per the Company’s payroll policies and practices) of Executive’s Base Salary for a consecutive nine-month period commencing on the third month following the termination date.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pacing w:after="0" w:line="189" w:lineRule="exact"/>
        <w:rPr>
          <w:sz w:val="20"/>
          <w:szCs w:val="20"/>
          <w:color w:val="auto"/>
        </w:rPr>
      </w:pPr>
    </w:p>
    <w:p>
      <w:pPr>
        <w:jc w:val="both"/>
        <w:ind w:left="660" w:firstLine="1292"/>
        <w:spacing w:after="0" w:line="255" w:lineRule="auto"/>
        <w:tabs>
          <w:tab w:leader="none" w:pos="25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payments or Company-paid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“Released Parties”), in a form reasonably satisfactory to the Company, that has become effective in accordance with its terms, (B) subject to Executive’s continued compliance with the terms of the restrictive covenants in Sections 7, 8, 9 and 10 of this Agreement and (C) subject to the provisions of Section 19(d) of this Agreement.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w:t>
      </w:r>
    </w:p>
    <w:p>
      <w:pPr>
        <w:sectPr>
          <w:pgSz w:w="11900" w:h="16838" w:orient="portrait"/>
          <w:cols w:equalWidth="0" w:num="1">
            <w:col w:w="11240"/>
          </w:cols>
          <w:pgMar w:left="320" w:top="1417" w:right="339" w:bottom="1440" w:gutter="0" w:footer="0" w:header="0"/>
        </w:sectPr>
      </w:pPr>
    </w:p>
    <w:bookmarkStart w:id="162" w:name="page163"/>
    <w:bookmarkEnd w:id="162"/>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spacing w:after="0" w:line="187" w:lineRule="exact"/>
        <w:rPr>
          <w:sz w:val="20"/>
          <w:szCs w:val="20"/>
          <w:color w:val="auto"/>
        </w:rPr>
      </w:pPr>
    </w:p>
    <w:p>
      <w:pPr>
        <w:ind w:left="2580" w:hanging="628"/>
        <w:spacing w:after="0"/>
        <w:tabs>
          <w:tab w:leader="none" w:pos="25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the occurrence, without Executive’s prior written consent, of any of the following events:</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or (C) a change in the office or location where Executive is based of more than fifty (50) miles which new location is more than fifty (50) miles from Executive’s primary residence,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pacing w:after="0" w:line="192" w:lineRule="exact"/>
        <w:rPr>
          <w:rFonts w:ascii="Times New Roman" w:cs="Times New Roman" w:eastAsia="Times New Roman" w:hAnsi="Times New Roman"/>
          <w:sz w:val="18"/>
          <w:szCs w:val="18"/>
          <w:color w:val="auto"/>
        </w:rPr>
      </w:pPr>
    </w:p>
    <w:p>
      <w:pPr>
        <w:ind w:left="660" w:firstLine="1292"/>
        <w:spacing w:after="0" w:line="282" w:lineRule="auto"/>
        <w:tabs>
          <w:tab w:leader="none" w:pos="260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means Executive’s incapacity, due to mental, physical or emotional injury or illness, such that Executive is substantially unable to perform his duties hereunder for a period of six (6) consecutive months.</w:t>
      </w:r>
    </w:p>
    <w:p>
      <w:pPr>
        <w:spacing w:after="0" w:line="162" w:lineRule="exact"/>
        <w:rPr>
          <w:sz w:val="20"/>
          <w:szCs w:val="20"/>
          <w:color w:val="auto"/>
        </w:rPr>
      </w:pPr>
    </w:p>
    <w:p>
      <w:pPr>
        <w:jc w:val="both"/>
        <w:ind w:firstLine="971"/>
        <w:spacing w:after="0" w:line="266" w:lineRule="auto"/>
        <w:rPr>
          <w:sz w:val="20"/>
          <w:szCs w:val="20"/>
          <w:color w:val="auto"/>
        </w:rPr>
      </w:pPr>
      <w:r>
        <w:rPr>
          <w:rFonts w:ascii="Times New Roman" w:cs="Times New Roman" w:eastAsia="Times New Roman" w:hAnsi="Times New Roman"/>
          <w:sz w:val="18"/>
          <w:szCs w:val="18"/>
          <w:color w:val="auto"/>
        </w:rPr>
        <w:t>xvii.Upon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76" w:lineRule="exact"/>
        <w:rPr>
          <w:sz w:val="20"/>
          <w:szCs w:val="20"/>
          <w:color w:val="auto"/>
        </w:rPr>
      </w:pPr>
    </w:p>
    <w:p>
      <w:pPr>
        <w:jc w:val="both"/>
        <w:ind w:firstLine="921"/>
        <w:spacing w:after="0" w:line="266" w:lineRule="auto"/>
        <w:rPr>
          <w:sz w:val="20"/>
          <w:szCs w:val="20"/>
          <w:color w:val="auto"/>
        </w:rPr>
      </w:pPr>
      <w:r>
        <w:rPr>
          <w:rFonts w:ascii="Times New Roman" w:cs="Times New Roman" w:eastAsia="Times New Roman" w:hAnsi="Times New Roman"/>
          <w:sz w:val="18"/>
          <w:szCs w:val="18"/>
          <w:color w:val="auto"/>
        </w:rPr>
        <w:t>xviii.The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76" w:lineRule="exact"/>
        <w:rPr>
          <w:sz w:val="20"/>
          <w:szCs w:val="20"/>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21"/>
        <w:spacing w:after="0" w:line="266" w:lineRule="auto"/>
        <w:rPr>
          <w:sz w:val="20"/>
          <w:szCs w:val="20"/>
          <w:color w:val="auto"/>
        </w:rPr>
      </w:pPr>
      <w:r>
        <w:rPr>
          <w:rFonts w:ascii="Times New Roman" w:cs="Times New Roman" w:eastAsia="Times New Roman" w:hAnsi="Times New Roman"/>
          <w:sz w:val="18"/>
          <w:szCs w:val="18"/>
          <w:color w:val="auto"/>
        </w:rPr>
        <w:t>xix.Executive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w:t>
      </w:r>
    </w:p>
    <w:p>
      <w:pPr>
        <w:sectPr>
          <w:pgSz w:w="11900" w:h="16838" w:orient="portrait"/>
          <w:cols w:equalWidth="0" w:num="1">
            <w:col w:w="11240"/>
          </w:cols>
          <w:pgMar w:left="320" w:top="1417" w:right="339" w:bottom="1440" w:gutter="0" w:footer="0" w:header="0"/>
        </w:sectPr>
      </w:pPr>
    </w:p>
    <w:bookmarkStart w:id="163" w:name="page164"/>
    <w:bookmarkEnd w:id="163"/>
    <w:p>
      <w:pPr>
        <w:jc w:val="both"/>
        <w:spacing w:after="0" w:line="254" w:lineRule="auto"/>
        <w:rPr>
          <w:sz w:val="20"/>
          <w:szCs w:val="20"/>
          <w:color w:val="auto"/>
        </w:rPr>
      </w:pPr>
      <w:r>
        <w:rPr>
          <w:rFonts w:ascii="Times New Roman" w:cs="Times New Roman" w:eastAsia="Times New Roman" w:hAnsi="Times New Roman"/>
          <w:sz w:val="18"/>
          <w:szCs w:val="18"/>
          <w:color w:val="auto"/>
        </w:rPr>
        <w:t>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pacing w:after="0" w:line="200" w:lineRule="exact"/>
        <w:rPr>
          <w:sz w:val="20"/>
          <w:szCs w:val="20"/>
          <w:color w:val="auto"/>
        </w:rPr>
      </w:pPr>
    </w:p>
    <w:p>
      <w:pPr>
        <w:spacing w:after="0" w:line="208" w:lineRule="exact"/>
        <w:rPr>
          <w:sz w:val="20"/>
          <w:szCs w:val="20"/>
          <w:color w:val="auto"/>
        </w:rPr>
      </w:pPr>
    </w:p>
    <w:p>
      <w:pPr>
        <w:jc w:val="both"/>
        <w:ind w:firstLine="1071"/>
        <w:spacing w:after="0" w:line="261" w:lineRule="auto"/>
        <w:rPr>
          <w:sz w:val="20"/>
          <w:szCs w:val="20"/>
          <w:color w:val="auto"/>
        </w:rPr>
      </w:pPr>
      <w:r>
        <w:rPr>
          <w:rFonts w:ascii="Times New Roman" w:cs="Times New Roman" w:eastAsia="Times New Roman" w:hAnsi="Times New Roman"/>
          <w:sz w:val="18"/>
          <w:szCs w:val="18"/>
          <w:color w:val="auto"/>
        </w:rPr>
        <w:t>xx.Executive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pacing w:after="0" w:line="180" w:lineRule="exact"/>
        <w:rPr>
          <w:sz w:val="20"/>
          <w:szCs w:val="20"/>
          <w:color w:val="auto"/>
        </w:rPr>
      </w:pPr>
    </w:p>
    <w:p>
      <w:pPr>
        <w:jc w:val="both"/>
        <w:ind w:firstLine="1021"/>
        <w:spacing w:after="0" w:line="253" w:lineRule="auto"/>
        <w:rPr>
          <w:sz w:val="20"/>
          <w:szCs w:val="20"/>
          <w:color w:val="auto"/>
        </w:rPr>
      </w:pPr>
      <w:r>
        <w:rPr>
          <w:rFonts w:ascii="Times New Roman" w:cs="Times New Roman" w:eastAsia="Times New Roman" w:hAnsi="Times New Roman"/>
          <w:sz w:val="18"/>
          <w:szCs w:val="18"/>
          <w:color w:val="auto"/>
        </w:rPr>
        <w:t>xxi.Executive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w:t>
      </w:r>
    </w:p>
    <w:p>
      <w:pPr>
        <w:spacing w:after="0" w:line="3" w:lineRule="exact"/>
        <w:rPr>
          <w:sz w:val="20"/>
          <w:szCs w:val="20"/>
          <w:color w:val="auto"/>
        </w:rPr>
      </w:pPr>
    </w:p>
    <w:p>
      <w:pPr>
        <w:jc w:val="both"/>
        <w:ind w:firstLine="8"/>
        <w:spacing w:after="0" w:line="253"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8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 (a) 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“Group”) of the services of Executive for which the Company has contracted hereunder, because of the confidential information to be obtained by, or disclosed to, Executive as herein above set forth, Executive covenants and agrees that during Executive’s employment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 is accused of being in competition with any of the Group pursuant to this Agreement; (ii) in the provision of the business processes provided by the Group at the time Executive is accused of being in competition with any member of the Group pursuant to this Agreement; (iii) in the provision of business processes that any of the Group has taken substantial steps to provide to customers at the time Executive is accused of being in competition with any of the Group pursuant to this Agreement; or (iv) in the provision of business processes that any of the Group are in the process of marketing to existing or potential clients, at the time Executive is accused of being in competition with any of the Group pursuant to this Agreement. Executive and the Company acknowledge that clauses (ii), (iii) and (iv) in the immediately preceding sentence shall not be deemed or interpreted to narrow or otherwise limit the scope of clause (i) of such sentence.</w:t>
      </w:r>
    </w:p>
    <w:p>
      <w:pPr>
        <w:sectPr>
          <w:pgSz w:w="11900" w:h="16838" w:orient="portrait"/>
          <w:cols w:equalWidth="0" w:num="1">
            <w:col w:w="11240"/>
          </w:cols>
          <w:pgMar w:left="320" w:top="1417" w:right="339" w:bottom="1440" w:gutter="0" w:footer="0" w:header="0"/>
        </w:sectPr>
      </w:pPr>
    </w:p>
    <w:bookmarkStart w:id="164" w:name="page165"/>
    <w:bookmarkEnd w:id="164"/>
    <w:p>
      <w:pPr>
        <w:jc w:val="both"/>
        <w:ind w:firstLine="1201"/>
        <w:spacing w:after="0" w:line="252" w:lineRule="auto"/>
        <w:rPr>
          <w:sz w:val="20"/>
          <w:szCs w:val="20"/>
          <w:color w:val="auto"/>
        </w:rPr>
      </w:pPr>
      <w:r>
        <w:rPr>
          <w:rFonts w:ascii="Times New Roman" w:cs="Times New Roman" w:eastAsia="Times New Roman" w:hAnsi="Times New Roman"/>
          <w:sz w:val="18"/>
          <w:szCs w:val="18"/>
          <w:color w:val="auto"/>
        </w:rPr>
        <w:t>i.In further view of the unique value to the Group of the services of Executive for which the Company has contracted hereunder, because of the confidential information to be obtained by, or disclosed to, Executive as herein above set forth, Executive covenants and agrees that during the Non-Competition Period (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business process outsourcing industry that the members of the Group provide to the healthcare industry (or any other industry that Executive was responsible for while employed by the Company) at the time Executive’s employment is terminated; (ii) in the provision of the business processes to the healthcare industry (or any other industry that Executive was responsible for while employed by the Company) provided by the Group at the time Executive’s employment is terminated; (iii) in the provision of business processes to the healthcare industry (or any other industry that Executive was responsible for while employed by the Company) that any of the Group has taken substantial steps to provide to customers at the time Executive’s employment is terminated; (iv) in the provision of business processes to the healthcare industry (or any other industry that Executive was responsible for while employed by the Company) that any of the Group are in the process of marketing to existing or potential clients, at the time Executive’s employment is terminated. Executive and the Company acknowledge that clauses (ii), (iii) and (iv) in the immediately preceding sentence shall not be deemed or interpreted to narrow or otherwise limit the scope of clause (i) of such sentence. For purposes of this Agreement, the “Non-Competition Period” shall be the one year period following Executive’s termination of employment for any reason.</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w:t>
      </w:r>
    </w:p>
    <w:p>
      <w:pPr>
        <w:spacing w:after="0" w:line="188" w:lineRule="exact"/>
        <w:rPr>
          <w:sz w:val="20"/>
          <w:szCs w:val="20"/>
          <w:color w:val="auto"/>
        </w:rPr>
      </w:pPr>
    </w:p>
    <w:p>
      <w:pPr>
        <w:jc w:val="both"/>
        <w:ind w:firstLine="1151"/>
        <w:spacing w:after="0" w:line="254" w:lineRule="auto"/>
        <w:rPr>
          <w:sz w:val="20"/>
          <w:szCs w:val="20"/>
          <w:color w:val="auto"/>
        </w:rPr>
      </w:pPr>
      <w:r>
        <w:rPr>
          <w:rFonts w:ascii="Times New Roman" w:cs="Times New Roman" w:eastAsia="Times New Roman" w:hAnsi="Times New Roman"/>
          <w:sz w:val="18"/>
          <w:szCs w:val="18"/>
          <w:color w:val="auto"/>
        </w:rPr>
        <w:t>ii.During Executive’s employment with the Group and for a period of one year thereafter Executive shall make no unfavorable, disparaging or negative comment, remark or statement, whether written or oral (a “Disparaging Statement”),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92" w:lineRule="exact"/>
        <w:rPr>
          <w:sz w:val="20"/>
          <w:szCs w:val="20"/>
          <w:color w:val="auto"/>
        </w:rPr>
      </w:pPr>
    </w:p>
    <w:p>
      <w:pPr>
        <w:jc w:val="both"/>
        <w:ind w:firstLine="1101"/>
        <w:spacing w:after="0" w:line="256" w:lineRule="auto"/>
        <w:rPr>
          <w:sz w:val="20"/>
          <w:szCs w:val="20"/>
          <w:color w:val="auto"/>
        </w:rPr>
      </w:pPr>
      <w:r>
        <w:rPr>
          <w:rFonts w:ascii="Times New Roman" w:cs="Times New Roman" w:eastAsia="Times New Roman" w:hAnsi="Times New Roman"/>
          <w:sz w:val="18"/>
          <w:szCs w:val="18"/>
          <w:color w:val="auto"/>
        </w:rPr>
        <w:t>iii.During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during Executive’s employment not to establish a relationship with any of the Group, (ii) induce or attempt to induce any current customer to terminate its relationship with any of the Group, or (iii) induce any potential customer with whom the Company has had discussions or negotiations during Executive’s employment not to establish a relationship with any of the Group.</w:t>
      </w:r>
    </w:p>
    <w:p>
      <w:pPr>
        <w:sectPr>
          <w:pgSz w:w="11900" w:h="16838" w:orient="portrait"/>
          <w:cols w:equalWidth="0" w:num="1">
            <w:col w:w="11240"/>
          </w:cols>
          <w:pgMar w:left="320" w:top="1417" w:right="339" w:bottom="1440" w:gutter="0" w:footer="0" w:header="0"/>
        </w:sectPr>
      </w:pPr>
    </w:p>
    <w:bookmarkStart w:id="165" w:name="page166"/>
    <w:bookmarkEnd w:id="165"/>
    <w:p>
      <w:pPr>
        <w:jc w:val="both"/>
        <w:ind w:firstLine="1111"/>
        <w:spacing w:after="0" w:line="254" w:lineRule="auto"/>
        <w:rPr>
          <w:sz w:val="20"/>
          <w:szCs w:val="20"/>
          <w:color w:val="auto"/>
        </w:rPr>
      </w:pPr>
      <w:r>
        <w:rPr>
          <w:rFonts w:ascii="Times New Roman" w:cs="Times New Roman" w:eastAsia="Times New Roman" w:hAnsi="Times New Roman"/>
          <w:sz w:val="18"/>
          <w:szCs w:val="18"/>
          <w:color w:val="auto"/>
        </w:rPr>
        <w:t>iv.Executive further agrees that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in the healthcare industry (or any other industry that Executive was responsible for while employed by the Company) to terminate its relationship with any of the Group, or (iii) induce any potential customer in the healthcare industry (or any other industry that Executive was responsible for while employed by the Company) with whom the Company has had discussions or negotiations within six months prior to Executive’s termination of employment not to establish a relationship with any of the Group.</w:t>
      </w:r>
    </w:p>
    <w:p>
      <w:pPr>
        <w:spacing w:after="0" w:line="192" w:lineRule="exact"/>
        <w:rPr>
          <w:sz w:val="20"/>
          <w:szCs w:val="20"/>
          <w:color w:val="auto"/>
        </w:rPr>
      </w:pPr>
    </w:p>
    <w:p>
      <w:pPr>
        <w:jc w:val="both"/>
        <w:ind w:firstLine="1161"/>
        <w:spacing w:after="0" w:line="258" w:lineRule="auto"/>
        <w:rPr>
          <w:sz w:val="20"/>
          <w:szCs w:val="20"/>
          <w:color w:val="auto"/>
        </w:rPr>
      </w:pPr>
      <w:r>
        <w:rPr>
          <w:rFonts w:ascii="Times New Roman" w:cs="Times New Roman" w:eastAsia="Times New Roman" w:hAnsi="Times New Roman"/>
          <w:sz w:val="18"/>
          <w:szCs w:val="18"/>
          <w:color w:val="auto"/>
        </w:rPr>
        <w:t>v.If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183" w:lineRule="exact"/>
        <w:rPr>
          <w:sz w:val="20"/>
          <w:szCs w:val="20"/>
          <w:color w:val="auto"/>
        </w:rPr>
      </w:pPr>
    </w:p>
    <w:p>
      <w:pPr>
        <w:ind w:left="1960" w:hanging="656"/>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Trade Secrets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11"/>
        <w:spacing w:after="0" w:line="252" w:lineRule="auto"/>
        <w:rPr>
          <w:sz w:val="20"/>
          <w:szCs w:val="20"/>
          <w:color w:val="auto"/>
        </w:rPr>
      </w:pPr>
      <w:r>
        <w:rPr>
          <w:rFonts w:ascii="Times New Roman" w:cs="Times New Roman" w:eastAsia="Times New Roman" w:hAnsi="Times New Roman"/>
          <w:sz w:val="18"/>
          <w:szCs w:val="18"/>
          <w:color w:val="auto"/>
        </w:rPr>
        <w:t>vi.Access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“Confidential Information”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“Trade Secrets”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89" w:lineRule="exact"/>
        <w:rPr>
          <w:sz w:val="20"/>
          <w:szCs w:val="20"/>
          <w:color w:val="auto"/>
        </w:rPr>
      </w:pPr>
    </w:p>
    <w:p>
      <w:pPr>
        <w:jc w:val="both"/>
        <w:ind w:firstLine="1061"/>
        <w:spacing w:after="0" w:line="266" w:lineRule="auto"/>
        <w:rPr>
          <w:sz w:val="20"/>
          <w:szCs w:val="20"/>
          <w:color w:val="auto"/>
        </w:rPr>
      </w:pPr>
      <w:r>
        <w:rPr>
          <w:rFonts w:ascii="Times New Roman" w:cs="Times New Roman" w:eastAsia="Times New Roman" w:hAnsi="Times New Roman"/>
          <w:sz w:val="18"/>
          <w:szCs w:val="18"/>
          <w:color w:val="auto"/>
        </w:rPr>
        <w:t>vii.You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w:t>
      </w:r>
    </w:p>
    <w:p>
      <w:pPr>
        <w:sectPr>
          <w:pgSz w:w="11900" w:h="16838" w:orient="portrait"/>
          <w:cols w:equalWidth="0" w:num="1">
            <w:col w:w="11240"/>
          </w:cols>
          <w:pgMar w:left="320" w:top="1417"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and Trade Secrets, other than in connection with the Company’s business or as specifically authorized by the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88" w:lineRule="exact"/>
        <w:rPr>
          <w:sz w:val="20"/>
          <w:szCs w:val="20"/>
          <w:color w:val="auto"/>
        </w:rPr>
      </w:pPr>
    </w:p>
    <w:p>
      <w:pPr>
        <w:jc w:val="both"/>
        <w:ind w:firstLine="1011"/>
        <w:spacing w:after="0" w:line="282" w:lineRule="auto"/>
        <w:rPr>
          <w:sz w:val="20"/>
          <w:szCs w:val="20"/>
          <w:color w:val="auto"/>
        </w:rPr>
      </w:pPr>
      <w:r>
        <w:rPr>
          <w:rFonts w:ascii="Times New Roman" w:cs="Times New Roman" w:eastAsia="Times New Roman" w:hAnsi="Times New Roman"/>
          <w:sz w:val="18"/>
          <w:szCs w:val="18"/>
          <w:color w:val="auto"/>
        </w:rPr>
        <w:t>viii.If You become aware that an unauthorized third party is in possession of any of the Company’s Confidential Information or Trade Secrets, then you agree to notify the Company within twenty-four (24) hours of becoming aware of such fact.</w:t>
      </w:r>
    </w:p>
    <w:p>
      <w:pPr>
        <w:spacing w:after="0" w:line="162" w:lineRule="exact"/>
        <w:rPr>
          <w:sz w:val="20"/>
          <w:szCs w:val="20"/>
          <w:color w:val="auto"/>
        </w:rPr>
      </w:pPr>
    </w:p>
    <w:p>
      <w:pPr>
        <w:jc w:val="both"/>
        <w:ind w:firstLine="1111"/>
        <w:spacing w:after="0" w:line="258" w:lineRule="auto"/>
        <w:rPr>
          <w:sz w:val="20"/>
          <w:szCs w:val="20"/>
          <w:color w:val="auto"/>
        </w:rPr>
      </w:pPr>
      <w:r>
        <w:rPr>
          <w:rFonts w:ascii="Times New Roman" w:cs="Times New Roman" w:eastAsia="Times New Roman" w:hAnsi="Times New Roman"/>
          <w:sz w:val="18"/>
          <w:szCs w:val="18"/>
          <w:color w:val="auto"/>
        </w:rPr>
        <w:t>ix.You acknowledge and agree that the Company is a public company and that You may receive or have access to material non-public information that is restricted from use and disclosure by federal and state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 information, The term “use” includes, but is not limited to, purchase or sale of securities influenced by such inside information.</w:t>
      </w:r>
    </w:p>
    <w:p>
      <w:pPr>
        <w:spacing w:after="0" w:line="183" w:lineRule="exact"/>
        <w:rPr>
          <w:sz w:val="20"/>
          <w:szCs w:val="20"/>
          <w:color w:val="auto"/>
        </w:rPr>
      </w:pPr>
    </w:p>
    <w:p>
      <w:pPr>
        <w:jc w:val="both"/>
        <w:ind w:firstLine="1304"/>
        <w:spacing w:after="0" w:line="271" w:lineRule="auto"/>
        <w:tabs>
          <w:tab w:leader="none" w:pos="194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Confidential Information and Company Property</w:t>
      </w:r>
      <w:r>
        <w:rPr>
          <w:rFonts w:ascii="Times New Roman" w:cs="Times New Roman" w:eastAsia="Times New Roman" w:hAnsi="Times New Roman"/>
          <w:sz w:val="17"/>
          <w:szCs w:val="17"/>
          <w:color w:val="auto"/>
        </w:rPr>
        <w:t>.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set forth in the Termination Certification attached hereto as Exhibit B. In addition, upon request of the Company, You shall provide a copy of this Agreement to any subsequent employer.</w:t>
      </w:r>
    </w:p>
    <w:p>
      <w:pPr>
        <w:spacing w:after="0" w:line="173" w:lineRule="exact"/>
        <w:rPr>
          <w:rFonts w:ascii="Times New Roman" w:cs="Times New Roman" w:eastAsia="Times New Roman" w:hAnsi="Times New Roman"/>
          <w:sz w:val="17"/>
          <w:szCs w:val="17"/>
          <w:color w:val="auto"/>
        </w:rPr>
      </w:pPr>
    </w:p>
    <w:p>
      <w:pPr>
        <w:ind w:left="1940" w:hanging="636"/>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161"/>
        <w:spacing w:after="0" w:line="253" w:lineRule="auto"/>
        <w:rPr>
          <w:sz w:val="20"/>
          <w:szCs w:val="20"/>
          <w:color w:val="auto"/>
        </w:rPr>
      </w:pPr>
      <w:r>
        <w:rPr>
          <w:rFonts w:ascii="Times New Roman" w:cs="Times New Roman" w:eastAsia="Times New Roman" w:hAnsi="Times New Roman"/>
          <w:sz w:val="18"/>
          <w:szCs w:val="18"/>
          <w:color w:val="auto"/>
        </w:rPr>
        <w:t>x.Executive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“Inventions”), shall be works-made-for-hire and the Company (or, if applicable or as directed by the Board, any of its Subsidiaries or Affiliates)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 made-for-hire</w:t>
      </w:r>
    </w:p>
    <w:p>
      <w:pPr>
        <w:sectPr>
          <w:pgSz w:w="11900" w:h="16838" w:orient="portrait"/>
          <w:cols w:equalWidth="0" w:num="1">
            <w:col w:w="11240"/>
          </w:cols>
          <w:pgMar w:left="320" w:top="1417" w:right="339" w:bottom="1440" w:gutter="0" w:footer="0" w:header="0"/>
        </w:sectPr>
      </w:pPr>
    </w:p>
    <w:bookmarkStart w:id="167" w:name="page168"/>
    <w:bookmarkEnd w:id="167"/>
    <w:p>
      <w:pPr>
        <w:jc w:val="both"/>
        <w:spacing w:after="0" w:line="255" w:lineRule="auto"/>
        <w:rPr>
          <w:sz w:val="20"/>
          <w:szCs w:val="20"/>
          <w:color w:val="auto"/>
        </w:rPr>
      </w:pPr>
      <w:r>
        <w:rPr>
          <w:rFonts w:ascii="Times New Roman" w:cs="Times New Roman" w:eastAsia="Times New Roman" w:hAnsi="Times New Roman"/>
          <w:sz w:val="18"/>
          <w:szCs w:val="18"/>
          <w:color w:val="auto"/>
        </w:rPr>
        <w:t>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spacing w:after="0" w:line="189" w:lineRule="exact"/>
        <w:rPr>
          <w:sz w:val="20"/>
          <w:szCs w:val="20"/>
          <w:color w:val="auto"/>
        </w:rPr>
      </w:pPr>
    </w:p>
    <w:p>
      <w:pPr>
        <w:jc w:val="both"/>
        <w:ind w:firstLine="1111"/>
        <w:spacing w:after="0" w:line="253" w:lineRule="auto"/>
        <w:rPr>
          <w:sz w:val="20"/>
          <w:szCs w:val="20"/>
          <w:color w:val="auto"/>
        </w:rPr>
      </w:pPr>
      <w:r>
        <w:rPr>
          <w:rFonts w:ascii="Times New Roman" w:cs="Times New Roman" w:eastAsia="Times New Roman" w:hAnsi="Times New Roman"/>
          <w:sz w:val="18"/>
          <w:szCs w:val="18"/>
          <w:color w:val="auto"/>
        </w:rPr>
        <w:t>xi.Executive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187" w:lineRule="exact"/>
        <w:rPr>
          <w:sz w:val="20"/>
          <w:szCs w:val="20"/>
          <w:color w:val="auto"/>
        </w:rPr>
      </w:pPr>
    </w:p>
    <w:p>
      <w:pPr>
        <w:jc w:val="both"/>
        <w:ind w:firstLine="1061"/>
        <w:spacing w:after="0" w:line="282" w:lineRule="auto"/>
        <w:rPr>
          <w:sz w:val="20"/>
          <w:szCs w:val="20"/>
          <w:color w:val="auto"/>
        </w:rPr>
      </w:pPr>
      <w:r>
        <w:rPr>
          <w:rFonts w:ascii="Times New Roman" w:cs="Times New Roman" w:eastAsia="Times New Roman" w:hAnsi="Times New Roman"/>
          <w:sz w:val="18"/>
          <w:szCs w:val="18"/>
          <w:color w:val="auto"/>
        </w:rPr>
        <w:t>xii.Executive hereby waives and quitclaims to the Company any and all claims, of any nature whatsoever, that Executive now or may hereafter have for infringement of any Proprietary Rights assigned hereunder to the Company.</w:t>
      </w:r>
    </w:p>
    <w:p>
      <w:pPr>
        <w:spacing w:after="0" w:line="162" w:lineRule="exact"/>
        <w:rPr>
          <w:sz w:val="20"/>
          <w:szCs w:val="20"/>
          <w:color w:val="auto"/>
        </w:rPr>
      </w:pPr>
    </w:p>
    <w:p>
      <w:pPr>
        <w:jc w:val="both"/>
        <w:ind w:firstLine="1304"/>
        <w:spacing w:after="0" w:line="255" w:lineRule="auto"/>
        <w:tabs>
          <w:tab w:leader="none" w:pos="19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Employment or Service Provider Relationship</w:t>
      </w:r>
      <w:r>
        <w:rPr>
          <w:rFonts w:ascii="Times New Roman" w:cs="Times New Roman" w:eastAsia="Times New Roman" w:hAnsi="Times New Roman"/>
          <w:sz w:val="18"/>
          <w:szCs w:val="18"/>
          <w:color w:val="auto"/>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his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and Injunctive Relief</w:t>
      </w:r>
      <w:r>
        <w:rPr>
          <w:rFonts w:ascii="Times New Roman" w:cs="Times New Roman" w:eastAsia="Times New Roman" w:hAnsi="Times New Roman"/>
          <w:sz w:val="18"/>
          <w:szCs w:val="18"/>
          <w:color w:val="auto"/>
        </w:rPr>
        <w:t>.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preliminary or interim injunctive relief (including temporary restraining orders and preliminary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 shall not be construed as a waiver of the rights that the Company may have to recover in arbitration pursuant to Section 18 any damages available to it under this Agreement or otherwise, and all of the Company’s rights shall be unrestricted.</w:t>
      </w:r>
    </w:p>
    <w:p>
      <w:pPr>
        <w:sectPr>
          <w:pgSz w:w="11900" w:h="16838" w:orient="portrait"/>
          <w:cols w:equalWidth="0" w:num="1">
            <w:col w:w="11240"/>
          </w:cols>
          <w:pgMar w:left="320" w:top="1417" w:right="339" w:bottom="1440" w:gutter="0" w:footer="0" w:header="0"/>
        </w:sectPr>
      </w:pPr>
    </w:p>
    <w:bookmarkStart w:id="168" w:name="page169"/>
    <w:bookmarkEnd w:id="168"/>
    <w:p>
      <w:pPr>
        <w:ind w:left="1940" w:hanging="636"/>
        <w:spacing w:after="0"/>
        <w:tabs>
          <w:tab w:leader="none" w:pos="1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Executive and Company; Advice of Counsel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11"/>
        <w:spacing w:after="0" w:line="254" w:lineRule="auto"/>
        <w:rPr>
          <w:sz w:val="20"/>
          <w:szCs w:val="20"/>
          <w:color w:val="auto"/>
        </w:rPr>
      </w:pPr>
      <w:r>
        <w:rPr>
          <w:rFonts w:ascii="Times New Roman" w:cs="Times New Roman" w:eastAsia="Times New Roman" w:hAnsi="Times New Roman"/>
          <w:sz w:val="18"/>
          <w:szCs w:val="18"/>
          <w:color w:val="auto"/>
        </w:rPr>
        <w:t>xiii.Executive represents, warrants and covenants that as of the date 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his duties for the Company.</w:t>
      </w:r>
    </w:p>
    <w:p>
      <w:pPr>
        <w:spacing w:after="0" w:line="192" w:lineRule="exact"/>
        <w:rPr>
          <w:sz w:val="20"/>
          <w:szCs w:val="20"/>
          <w:color w:val="auto"/>
        </w:rPr>
      </w:pPr>
    </w:p>
    <w:p>
      <w:pPr>
        <w:jc w:val="both"/>
        <w:ind w:firstLine="1021"/>
        <w:spacing w:after="0" w:line="256" w:lineRule="auto"/>
        <w:rPr>
          <w:sz w:val="20"/>
          <w:szCs w:val="20"/>
          <w:color w:val="auto"/>
        </w:rPr>
      </w:pPr>
      <w:r>
        <w:rPr>
          <w:rFonts w:ascii="Times New Roman" w:cs="Times New Roman" w:eastAsia="Times New Roman" w:hAnsi="Times New Roman"/>
          <w:sz w:val="18"/>
          <w:szCs w:val="18"/>
          <w:color w:val="auto"/>
        </w:rPr>
        <w:t>xiv.Prior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87" w:lineRule="exact"/>
        <w:rPr>
          <w:sz w:val="20"/>
          <w:szCs w:val="20"/>
          <w:color w:val="auto"/>
        </w:rPr>
      </w:pPr>
    </w:p>
    <w:p>
      <w:pPr>
        <w:jc w:val="both"/>
        <w:ind w:firstLine="1304"/>
        <w:spacing w:after="0" w:line="253" w:lineRule="auto"/>
        <w:tabs>
          <w:tab w:leader="none" w:pos="19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deduct and withhold from any amounts payable under this Agreement such Federal, state, local, non-U.S. or other taxes as are required or permitted to be withheld pursuant to any applicable law or regulation. Executive shall be responsible for all taxes (including self-employment taxes) in connection with his status as a member of the Company for U.S. federal income tax purposes.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71"/>
        <w:spacing w:after="0" w:line="282" w:lineRule="auto"/>
        <w:rPr>
          <w:sz w:val="20"/>
          <w:szCs w:val="20"/>
          <w:color w:val="auto"/>
        </w:rPr>
      </w:pPr>
      <w:r>
        <w:rPr>
          <w:rFonts w:ascii="Times New Roman" w:cs="Times New Roman" w:eastAsia="Times New Roman" w:hAnsi="Times New Roman"/>
          <w:sz w:val="18"/>
          <w:szCs w:val="18"/>
          <w:color w:val="auto"/>
        </w:rPr>
        <w:t>xv.This Agreement is personal to Executive and without the prior written consent of the Board shall not be assignable by Executive, and any assignment in violation of this Agreement shall be void.</w:t>
      </w:r>
    </w:p>
    <w:p>
      <w:pPr>
        <w:spacing w:after="0" w:line="162" w:lineRule="exact"/>
        <w:rPr>
          <w:sz w:val="20"/>
          <w:szCs w:val="20"/>
          <w:color w:val="auto"/>
        </w:rPr>
      </w:pPr>
    </w:p>
    <w:p>
      <w:pPr>
        <w:jc w:val="both"/>
        <w:ind w:firstLine="1021"/>
        <w:spacing w:after="0" w:line="266" w:lineRule="auto"/>
        <w:rPr>
          <w:sz w:val="20"/>
          <w:szCs w:val="20"/>
          <w:color w:val="auto"/>
        </w:rPr>
      </w:pPr>
      <w:r>
        <w:rPr>
          <w:rFonts w:ascii="Times New Roman" w:cs="Times New Roman" w:eastAsia="Times New Roman" w:hAnsi="Times New Roman"/>
          <w:sz w:val="18"/>
          <w:szCs w:val="18"/>
          <w:color w:val="auto"/>
        </w:rPr>
        <w:t>xvi.This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ectPr>
          <w:pgSz w:w="11900" w:h="16838" w:orient="portrait"/>
          <w:cols w:equalWidth="0" w:num="1">
            <w:col w:w="11240"/>
          </w:cols>
          <w:pgMar w:left="320" w:top="1417" w:right="339" w:bottom="1440" w:gutter="0" w:footer="0" w:header="0"/>
        </w:sectPr>
      </w:pPr>
    </w:p>
    <w:bookmarkStart w:id="169" w:name="page170"/>
    <w:bookmarkEnd w:id="169"/>
    <w:p>
      <w:pPr>
        <w:jc w:val="both"/>
        <w:ind w:right="20" w:firstLine="971"/>
        <w:spacing w:after="0" w:line="266" w:lineRule="auto"/>
        <w:rPr>
          <w:sz w:val="20"/>
          <w:szCs w:val="20"/>
          <w:color w:val="auto"/>
        </w:rPr>
      </w:pPr>
      <w:r>
        <w:rPr>
          <w:rFonts w:ascii="Times New Roman" w:cs="Times New Roman" w:eastAsia="Times New Roman" w:hAnsi="Times New Roman"/>
          <w:sz w:val="18"/>
          <w:szCs w:val="18"/>
          <w:color w:val="auto"/>
        </w:rPr>
        <w:t>xvii.Executive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spacing w:after="0" w:line="176" w:lineRule="exact"/>
        <w:rPr>
          <w:sz w:val="20"/>
          <w:szCs w:val="20"/>
          <w:color w:val="auto"/>
        </w:rPr>
      </w:pPr>
    </w:p>
    <w:p>
      <w:pPr>
        <w:jc w:val="both"/>
        <w:ind w:firstLine="1304"/>
        <w:spacing w:after="0" w:line="258" w:lineRule="auto"/>
        <w:tabs>
          <w:tab w:leader="none" w:pos="193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No Construction Against Drafter</w:t>
      </w:r>
      <w:r>
        <w:rPr>
          <w:rFonts w:ascii="Times New Roman" w:cs="Times New Roman" w:eastAsia="Times New Roman" w:hAnsi="Times New Roman"/>
          <w:sz w:val="18"/>
          <w:szCs w:val="18"/>
          <w:color w:val="auto"/>
        </w:rPr>
        <w:t>. This Agreement shall be deemed to be made in New York, and the validity, interpretation, construction, and performance of this Agreement in all respects (except as provided below)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other claim between Executive and the Company that otherwise would be subject to resolution in court by a judge and/or jury shall be resolved solely by binding, confidential arbitration, except for claims for temporary, interim and/or preliminary injunctive relief pursuant to Sections 7, 8, 9, and/or 10 of this Agreement, which may be sought from a court of competent jurisdiction at any time and shall be subject to modification or dissolution as part of the final arbitration award, and/or claims for workers’ compensation, state disability, or unemployment insurance benefits. This arbitration commitment extends to, but is not limited to, any and all claims, disputes or controversies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2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to this Agreement and/or any aspect of Executive’s employment with the Company, including those that Executive may assert against the Company, its clients or related entities, and/or any of its or their respective members, shareholders, owners, directors, officers, employees, agents and representatives, and (ii) arising out of, relating to, or concerning the validity, enforceability or alleged breach of this Agreement, including whether or not a dispute must be arbitrated. All such claims, disputes and controversies brought by Executive shall be subject to resolution in arbitration on an individual basis only, and not on a class or collective basis on behalf of, or in concert with, any persons not party to this Agreement. There will be no right or authority for any such claim, dispute or controversy to be brought, heard or arbitrated as a class, collective or multi-plaintiff action, and Executive agrees to not serve as a member in any class or collective action against the Company or any other party to whom his arbitration commitment extends. This arbitration commitment will continue throughout Executive’s employment with the Company and after that employment ends, for any reason, however, nothing in this Agreement prevents Executive from making a report to or filing a claim or charge with a government agency, including without limitation, the Equal Employment Opportunity Commission, U.S. Department of Labor, U.S. Securities and Exchange Commission, or the Office of Federal Contract Compliance Programs. Arbitration shall be conducted in New York County, New York, before a single arbitrator, who shall be a lawyer admitted to the New York bar and has at least 15 years’ experience in employment law, in accordance with the Commercial Arbitration Rules of the American Arbitration Association (“AAA”). All fees and expenses of the AAA and the arbitrator shall be borne 75% by the Company and 25% by Executive. This Section of the Agreement shall be governed by the Federal Arbitration Act, 9 U.S.C. §§ 1 et seq. (“FAA”) and, to the extent not preempted by the FAA, the applicable provisions of New York law. In making the decision and award, the arbitrator shall apply applicable substantive law and, on issues of state law, the substantive law of New York, without regard to choice of law rules, shall control. Judgment upon the arbitrator’s award may be entered in any court having jurisdiction thereof.</w:t>
      </w:r>
    </w:p>
    <w:p>
      <w:pPr>
        <w:spacing w:after="0" w:line="18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No Waiver: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21"/>
        <w:spacing w:after="0" w:line="282" w:lineRule="auto"/>
        <w:rPr>
          <w:sz w:val="20"/>
          <w:szCs w:val="20"/>
          <w:color w:val="auto"/>
        </w:rPr>
      </w:pPr>
      <w:r>
        <w:rPr>
          <w:rFonts w:ascii="Times New Roman" w:cs="Times New Roman" w:eastAsia="Times New Roman" w:hAnsi="Times New Roman"/>
          <w:sz w:val="18"/>
          <w:szCs w:val="18"/>
          <w:color w:val="auto"/>
        </w:rPr>
        <w:t>xviii.No provisions of this Agreement may be amended, modified, waived or discharged except by a written document signed by Executive and a duly authorized officer of the Company (other than Executive).</w:t>
      </w:r>
    </w:p>
    <w:p>
      <w:pPr>
        <w:spacing w:after="0" w:line="162" w:lineRule="exact"/>
        <w:rPr>
          <w:sz w:val="20"/>
          <w:szCs w:val="20"/>
          <w:color w:val="auto"/>
        </w:rPr>
      </w:pPr>
    </w:p>
    <w:p>
      <w:pPr>
        <w:jc w:val="both"/>
        <w:ind w:firstLine="1021"/>
        <w:spacing w:after="0" w:line="258" w:lineRule="auto"/>
        <w:rPr>
          <w:sz w:val="20"/>
          <w:szCs w:val="20"/>
          <w:color w:val="auto"/>
        </w:rPr>
      </w:pPr>
      <w:r>
        <w:rPr>
          <w:rFonts w:ascii="Times New Roman" w:cs="Times New Roman" w:eastAsia="Times New Roman" w:hAnsi="Times New Roman"/>
          <w:sz w:val="18"/>
          <w:szCs w:val="18"/>
          <w:color w:val="auto"/>
        </w:rPr>
        <w:t>xix.The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ectPr>
          <w:pgSz w:w="11900" w:h="16838" w:orient="portrait"/>
          <w:cols w:equalWidth="0" w:num="1">
            <w:col w:w="11240"/>
          </w:cols>
          <w:pgMar w:left="320" w:top="1417" w:right="339" w:bottom="1440" w:gutter="0" w:footer="0" w:header="0"/>
        </w:sectPr>
      </w:pPr>
    </w:p>
    <w:bookmarkStart w:id="170" w:name="page171"/>
    <w:bookmarkEnd w:id="170"/>
    <w:p>
      <w:pPr>
        <w:jc w:val="both"/>
        <w:ind w:firstLine="1071"/>
        <w:spacing w:after="0" w:line="256" w:lineRule="auto"/>
        <w:rPr>
          <w:sz w:val="20"/>
          <w:szCs w:val="20"/>
          <w:color w:val="auto"/>
        </w:rPr>
      </w:pPr>
      <w:r>
        <w:rPr>
          <w:rFonts w:ascii="Times New Roman" w:cs="Times New Roman" w:eastAsia="Times New Roman" w:hAnsi="Times New Roman"/>
          <w:sz w:val="18"/>
          <w:szCs w:val="18"/>
          <w:color w:val="auto"/>
        </w:rPr>
        <w:t>xx.It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87" w:lineRule="exact"/>
        <w:rPr>
          <w:sz w:val="20"/>
          <w:szCs w:val="20"/>
          <w:color w:val="auto"/>
        </w:rPr>
      </w:pPr>
    </w:p>
    <w:p>
      <w:pPr>
        <w:jc w:val="both"/>
        <w:ind w:firstLine="1021"/>
        <w:spacing w:after="0" w:line="256" w:lineRule="auto"/>
        <w:rPr>
          <w:sz w:val="20"/>
          <w:szCs w:val="20"/>
          <w:color w:val="auto"/>
        </w:rPr>
      </w:pPr>
      <w:r>
        <w:rPr>
          <w:rFonts w:ascii="Times New Roman" w:cs="Times New Roman" w:eastAsia="Times New Roman" w:hAnsi="Times New Roman"/>
          <w:sz w:val="18"/>
          <w:szCs w:val="18"/>
          <w:color w:val="auto"/>
        </w:rPr>
        <w:t>xxi.Notwithstanding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spacing w:after="0" w:line="187" w:lineRule="exact"/>
        <w:rPr>
          <w:sz w:val="20"/>
          <w:szCs w:val="20"/>
          <w:color w:val="auto"/>
        </w:rPr>
      </w:pPr>
    </w:p>
    <w:p>
      <w:pPr>
        <w:jc w:val="both"/>
        <w:ind w:firstLine="971"/>
        <w:spacing w:after="0" w:line="266" w:lineRule="auto"/>
        <w:rPr>
          <w:sz w:val="20"/>
          <w:szCs w:val="20"/>
          <w:color w:val="auto"/>
        </w:rPr>
      </w:pPr>
      <w:r>
        <w:rPr>
          <w:rFonts w:ascii="Times New Roman" w:cs="Times New Roman" w:eastAsia="Times New Roman" w:hAnsi="Times New Roman"/>
          <w:sz w:val="18"/>
          <w:szCs w:val="18"/>
          <w:color w:val="auto"/>
        </w:rPr>
        <w:t>xxii.For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76" w:lineRule="exact"/>
        <w:rPr>
          <w:sz w:val="20"/>
          <w:szCs w:val="20"/>
          <w:color w:val="auto"/>
        </w:rPr>
      </w:pPr>
    </w:p>
    <w:p>
      <w:pPr>
        <w:jc w:val="both"/>
        <w:ind w:firstLine="921"/>
        <w:spacing w:after="0" w:line="258" w:lineRule="auto"/>
        <w:rPr>
          <w:sz w:val="20"/>
          <w:szCs w:val="20"/>
          <w:color w:val="auto"/>
        </w:rPr>
      </w:pPr>
      <w:r>
        <w:rPr>
          <w:rFonts w:ascii="Times New Roman" w:cs="Times New Roman" w:eastAsia="Times New Roman" w:hAnsi="Times New Roman"/>
          <w:sz w:val="18"/>
          <w:szCs w:val="18"/>
          <w:color w:val="auto"/>
        </w:rPr>
        <w:t>xxiii.To the extent that any reimbursements pursuant to Section 4(j) or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4(j) and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83" w:lineRule="exact"/>
        <w:rPr>
          <w:sz w:val="20"/>
          <w:szCs w:val="20"/>
          <w:color w:val="auto"/>
        </w:rPr>
      </w:pPr>
    </w:p>
    <w:p>
      <w:pPr>
        <w:jc w:val="both"/>
        <w:ind w:firstLine="1304"/>
        <w:spacing w:after="0" w:line="255" w:lineRule="auto"/>
        <w:tabs>
          <w:tab w:leader="none" w:pos="19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any part thereof of this Agreement, including Sections 7, 8, 9 and 10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of the parties under the provisions of this Agreement (including without limitation, Sections 7 through 12 and Section 14)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hereunder shall be in writing and shall be delivered by hand or sent by facsimile or sent, postage prepaid, by registered,</w:t>
      </w:r>
    </w:p>
    <w:p>
      <w:pPr>
        <w:sectPr>
          <w:pgSz w:w="11900" w:h="16838" w:orient="portrait"/>
          <w:cols w:equalWidth="0" w:num="1">
            <w:col w:w="11240"/>
          </w:cols>
          <w:pgMar w:left="320" w:top="1417" w:right="339" w:bottom="1440" w:gutter="0" w:footer="0" w:header="0"/>
        </w:sectPr>
      </w:pPr>
    </w:p>
    <w:bookmarkStart w:id="171" w:name="page172"/>
    <w:bookmarkEnd w:id="171"/>
    <w:p>
      <w:pPr>
        <w:jc w:val="both"/>
        <w:spacing w:after="0" w:line="266" w:lineRule="auto"/>
        <w:rPr>
          <w:sz w:val="20"/>
          <w:szCs w:val="20"/>
          <w:color w:val="auto"/>
        </w:rPr>
      </w:pPr>
      <w:r>
        <w:rPr>
          <w:rFonts w:ascii="Times New Roman" w:cs="Times New Roman" w:eastAsia="Times New Roman" w:hAnsi="Times New Roman"/>
          <w:sz w:val="18"/>
          <w:szCs w:val="18"/>
          <w:color w:val="auto"/>
        </w:rPr>
        <w:t>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Ajay Ayyappan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GeneralCounsel@exlservice.com</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Nalin Kumar Miglani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624-5933</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Meckey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delivered by electronic mail shall have the same legal effect as if such notice had been delivered in person.</w:t>
      </w:r>
    </w:p>
    <w:p>
      <w:pPr>
        <w:spacing w:after="0" w:line="225" w:lineRule="exact"/>
        <w:rPr>
          <w:sz w:val="20"/>
          <w:szCs w:val="20"/>
          <w:color w:val="auto"/>
        </w:rPr>
      </w:pPr>
    </w:p>
    <w:p>
      <w:pPr>
        <w:jc w:val="both"/>
        <w:ind w:firstLine="1304"/>
        <w:spacing w:after="0" w:line="266" w:lineRule="auto"/>
        <w:tabs>
          <w:tab w:leader="none" w:pos="19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References</w:t>
      </w:r>
      <w:r>
        <w:rPr>
          <w:rFonts w:ascii="Times New Roman" w:cs="Times New Roman" w:eastAsia="Times New Roman" w:hAnsi="Times New Roman"/>
          <w:sz w:val="18"/>
          <w:szCs w:val="18"/>
          <w:color w:val="auto"/>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two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party. Copies and facsimile or scanned copies of this Agreement, and the signatures contained therein, shall be as effective as the original Agreement and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1417" w:right="339" w:bottom="1440" w:gutter="0" w:footer="0" w:header="0"/>
        </w:sectPr>
      </w:pPr>
    </w:p>
    <w:bookmarkStart w:id="172" w:name="page173"/>
    <w:bookmarkEnd w:id="172"/>
    <w:p>
      <w:pPr>
        <w:ind w:left="180"/>
        <w:spacing w:after="0"/>
        <w:rPr>
          <w:sz w:val="20"/>
          <w:szCs w:val="20"/>
          <w:color w:val="auto"/>
        </w:rPr>
      </w:pPr>
      <w:r>
        <w:rPr>
          <w:rFonts w:ascii="Times New Roman" w:cs="Times New Roman" w:eastAsia="Times New Roman" w:hAnsi="Times New Roman"/>
          <w:sz w:val="21"/>
          <w:szCs w:val="21"/>
          <w:color w:val="auto"/>
        </w:rPr>
        <w:t>IN WITNESS WHEREOF, this Agreement has been duly executed by the parties as of the Effective Date.</w:t>
      </w:r>
    </w:p>
    <w:p>
      <w:pPr>
        <w:spacing w:after="0" w:line="2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Rohit Kapoor</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Rohit Kapoor</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Date: 11/1/18</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SAM MECKEY</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Sam Meckey</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Date: 11/3/18</w:t>
      </w:r>
    </w:p>
    <w:p>
      <w:pPr>
        <w:sectPr>
          <w:pgSz w:w="11900" w:h="16838" w:orient="portrait"/>
          <w:cols w:equalWidth="0" w:num="1">
            <w:col w:w="9340"/>
          </w:cols>
          <w:pgMar w:left="1440" w:top="1422" w:right="11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1232"/>
          </w:cols>
          <w:pgMar w:left="328" w:top="648" w:right="339" w:bottom="1440" w:gutter="0" w:footer="0" w:header="0"/>
        </w:sectPr>
      </w:pPr>
    </w:p>
    <w:p>
      <w:pPr>
        <w:spacing w:after="0" w:line="149"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7"/>
          <w:szCs w:val="17"/>
          <w:b w:val="1"/>
          <w:bCs w:val="1"/>
          <w:color w:val="auto"/>
        </w:rPr>
        <w:t>Name of Subsidiary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65" w:lineRule="exact"/>
        <w:rPr>
          <w:sz w:val="20"/>
          <w:szCs w:val="20"/>
          <w:color w:val="auto"/>
        </w:rPr>
      </w:pPr>
    </w:p>
    <w:p>
      <w:pPr>
        <w:sectPr>
          <w:pgSz w:w="11900" w:h="16838" w:orient="portrait"/>
          <w:cols w:equalWidth="0" w:num="2">
            <w:col w:w="6892" w:space="720"/>
            <w:col w:w="3620"/>
          </w:cols>
          <w:pgMar w:left="328" w:top="648" w:right="339" w:bottom="1440" w:gutter="0" w:footer="0" w:header="0"/>
          <w:type w:val="continuous"/>
        </w:sectPr>
      </w:pPr>
    </w:p>
    <w:p>
      <w:pPr>
        <w:ind w:left="1032"/>
        <w:spacing w:after="0"/>
        <w:rPr>
          <w:sz w:val="20"/>
          <w:szCs w:val="20"/>
          <w:color w:val="auto"/>
        </w:rPr>
      </w:pPr>
      <w:r>
        <w:rPr>
          <w:rFonts w:ascii="Times New Roman" w:cs="Times New Roman" w:eastAsia="Times New Roman" w:hAnsi="Times New Roman"/>
          <w:sz w:val="18"/>
          <w:szCs w:val="18"/>
          <w:color w:val="auto"/>
        </w:rPr>
        <w:t>Business Process Solutions (India) Pvt. Ltd.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Business Process Outsourcing Ltd.</w:t>
      </w:r>
    </w:p>
    <w:p>
      <w:pPr>
        <w:spacing w:after="0" w:line="36"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Business Process Outsourcing, LLC</w:t>
      </w:r>
    </w:p>
    <w:p>
      <w:pPr>
        <w:spacing w:after="0" w:line="63"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Data Intelligence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Datasource Consulting, LLC</w:t>
      </w:r>
      <w:r>
        <w:rPr>
          <w:rFonts w:ascii="Times New Roman" w:cs="Times New Roman" w:eastAsia="Times New Roman" w:hAnsi="Times New Roman"/>
          <w:sz w:val="11"/>
          <w:szCs w:val="11"/>
          <w:color w:val="auto"/>
        </w:rPr>
        <w:t>(4)</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 Analytics SA (Pty)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 Service.com (India) Private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(UK)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Australia Pty Ltd.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Bulgaria EAD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Canada Inc.</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Colombia, S.A.S.</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Czech Republic s.r.o.</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Germany GmbH</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Mauritius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Philippines, Inc.</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Romania Private Limited S.R.L.</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 Service South Africa (PTY) Ltd.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Switzerland GmbH</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 Technology Solutions, LLC</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ExlService.com, LLC</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Inductis (India) Private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Inductis (Singapore) PTE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 xml:space="preserve">Insight Solutions, LLC </w:t>
      </w:r>
      <w:r>
        <w:rPr>
          <w:rFonts w:ascii="Times New Roman" w:cs="Times New Roman" w:eastAsia="Times New Roman" w:hAnsi="Times New Roman"/>
          <w:sz w:val="11"/>
          <w:szCs w:val="11"/>
          <w:color w:val="auto"/>
        </w:rPr>
        <w:t>(2)</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IQR Analytics Private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IQR Consulting, Inc.</w:t>
      </w:r>
      <w:r>
        <w:rPr>
          <w:rFonts w:ascii="Times New Roman" w:cs="Times New Roman" w:eastAsia="Times New Roman" w:hAnsi="Times New Roman"/>
          <w:sz w:val="11"/>
          <w:szCs w:val="11"/>
          <w:color w:val="auto"/>
        </w:rPr>
        <w:t>(1)</w:t>
      </w:r>
    </w:p>
    <w:p>
      <w:pPr>
        <w:spacing w:after="0" w:line="46"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JCG New Media, LLC</w:t>
      </w:r>
      <w:r>
        <w:rPr>
          <w:rFonts w:ascii="Times New Roman" w:cs="Times New Roman" w:eastAsia="Times New Roman" w:hAnsi="Times New Roman"/>
          <w:sz w:val="11"/>
          <w:szCs w:val="11"/>
          <w:color w:val="auto"/>
        </w:rPr>
        <w:t>(4)</w:t>
      </w:r>
    </w:p>
    <w:p>
      <w:pPr>
        <w:spacing w:after="0" w:line="53"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Liss Systems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OPI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Outsource Partners International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Outsource Partners International, Inc.</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Outsourcepartners International Pvt. Ltd.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Overland Holdings, Inc.</w:t>
      </w:r>
      <w:r>
        <w:rPr>
          <w:rFonts w:ascii="Times New Roman" w:cs="Times New Roman" w:eastAsia="Times New Roman" w:hAnsi="Times New Roman"/>
          <w:sz w:val="11"/>
          <w:szCs w:val="11"/>
          <w:color w:val="auto"/>
        </w:rPr>
        <w:t>(3)</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Overland Solutions, Inc.</w:t>
      </w:r>
      <w:r>
        <w:rPr>
          <w:rFonts w:ascii="Times New Roman" w:cs="Times New Roman" w:eastAsia="Times New Roman" w:hAnsi="Times New Roman"/>
          <w:sz w:val="11"/>
          <w:szCs w:val="11"/>
          <w:color w:val="auto"/>
        </w:rPr>
        <w:t>(1)</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RPM Data Solutions, LLC</w:t>
      </w:r>
      <w:r>
        <w:rPr>
          <w:rFonts w:ascii="Times New Roman" w:cs="Times New Roman" w:eastAsia="Times New Roman" w:hAnsi="Times New Roman"/>
          <w:sz w:val="11"/>
          <w:szCs w:val="11"/>
          <w:color w:val="auto"/>
        </w:rPr>
        <w:t>(4)</w:t>
      </w:r>
    </w:p>
    <w:p>
      <w:pPr>
        <w:spacing w:after="0" w:line="46"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RPM Direct, LLC</w:t>
      </w:r>
      <w:r>
        <w:rPr>
          <w:rFonts w:ascii="Times New Roman" w:cs="Times New Roman" w:eastAsia="Times New Roman" w:hAnsi="Times New Roman"/>
          <w:sz w:val="11"/>
          <w:szCs w:val="11"/>
          <w:color w:val="auto"/>
        </w:rPr>
        <w:t>(4)</w:t>
      </w:r>
    </w:p>
    <w:p>
      <w:pPr>
        <w:spacing w:after="0" w:line="53"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SCIOinspire Holdings Inc.</w:t>
      </w:r>
      <w:r>
        <w:rPr>
          <w:rFonts w:ascii="Times New Roman" w:cs="Times New Roman" w:eastAsia="Times New Roman" w:hAnsi="Times New Roman"/>
          <w:sz w:val="11"/>
          <w:szCs w:val="11"/>
          <w:color w:val="auto"/>
        </w:rPr>
        <w:t>(4)</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SCIO Health Analytics (UK) Limited</w:t>
      </w:r>
    </w:p>
    <w:p>
      <w:pPr>
        <w:spacing w:after="0" w:line="50"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7"/>
          <w:szCs w:val="17"/>
          <w:color w:val="auto"/>
        </w:rPr>
        <w:t>SCIOinspire Consulting Services (India) Private Limited</w:t>
      </w:r>
    </w:p>
    <w:p>
      <w:pPr>
        <w:spacing w:after="0" w:line="61" w:lineRule="exact"/>
        <w:rPr>
          <w:sz w:val="20"/>
          <w:szCs w:val="20"/>
          <w:color w:val="auto"/>
        </w:rPr>
      </w:pPr>
    </w:p>
    <w:p>
      <w:pPr>
        <w:ind w:left="1032"/>
        <w:spacing w:after="0"/>
        <w:rPr>
          <w:sz w:val="20"/>
          <w:szCs w:val="20"/>
          <w:color w:val="auto"/>
        </w:rPr>
      </w:pPr>
      <w:r>
        <w:rPr>
          <w:rFonts w:ascii="Times New Roman" w:cs="Times New Roman" w:eastAsia="Times New Roman" w:hAnsi="Times New Roman"/>
          <w:sz w:val="18"/>
          <w:szCs w:val="18"/>
          <w:color w:val="auto"/>
        </w:rPr>
        <w:t>SCIOinspire Corp.</w:t>
      </w: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892" w:space="720"/>
            <w:col w:w="3620"/>
          </w:cols>
          <w:pgMar w:left="328" w:top="648" w:right="339" w:bottom="1440" w:gutter="0" w:footer="0" w:header="0"/>
          <w:type w:val="continuous"/>
        </w:sectPr>
      </w:pPr>
    </w:p>
    <w:p>
      <w:pPr>
        <w:spacing w:after="0" w:line="322" w:lineRule="exact"/>
        <w:rPr>
          <w:sz w:val="20"/>
          <w:szCs w:val="20"/>
          <w:color w:val="auto"/>
        </w:rPr>
      </w:pPr>
    </w:p>
    <w:p>
      <w:pPr>
        <w:ind w:left="252" w:hanging="252"/>
        <w:spacing w:after="0" w:line="282" w:lineRule="auto"/>
        <w:tabs>
          <w:tab w:leader="none" w:pos="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IQR Consulting, Inc. and Overland Solutions, Inc. have been renamed as IQR Consulting, LLC and Overland Solutions, LLC, respectively, and converted from corporations into LLCs effective December 31, 2020.</w:t>
      </w:r>
    </w:p>
    <w:p>
      <w:pPr>
        <w:spacing w:after="0" w:line="18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subsidiary was merged with and into Overland Holdings, Inc. effective December 31, 2020.</w:t>
      </w:r>
    </w:p>
    <w:p>
      <w:pPr>
        <w:spacing w:after="0" w:line="23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subsidiary was merged with and into Overland Solutions, Inc. effective December 31, 2020.</w:t>
      </w:r>
    </w:p>
    <w:p>
      <w:pPr>
        <w:spacing w:after="0" w:line="23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subsidiaries were merged with and into ExlService.com, LLC effective December 31, 2020.</w:t>
      </w:r>
    </w:p>
    <w:p>
      <w:pPr>
        <w:sectPr>
          <w:pgSz w:w="11900" w:h="16838" w:orient="portrait"/>
          <w:cols w:equalWidth="0" w:num="1">
            <w:col w:w="11232"/>
          </w:cols>
          <w:pgMar w:left="328" w:top="648" w:right="3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333-229967 and 333-179098 on Form S-3 and Nos. 333-139211; 333-157076; 333-206022; and 333-226527 on Form S-8 of our reports dated February 25, 2021, relating to the consolidated financial statements of ExlService Holdings, Inc., and the effectiveness of ExlService Holdings, Inc.’s internal control over financial reporting, appearing in this Annual Report on Form 10-K of ExlService Holdings,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88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2020;</w:t>
      </w:r>
    </w:p>
    <w:p>
      <w:pPr>
        <w:spacing w:after="0" w:line="225"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3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327"/>
        <w:spacing w:after="0" w:line="266" w:lineRule="auto"/>
        <w:tabs>
          <w:tab w:leader="none" w:pos="73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Rohit Kapoor</w:t>
            </w:r>
          </w:p>
        </w:tc>
      </w:tr>
      <w:tr>
        <w:trPr>
          <w:trHeight w:val="234"/>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Vice-Chairman and Chief Executive Officer</w:t>
            </w:r>
          </w:p>
        </w:tc>
      </w:tr>
    </w:tbl>
    <w:p>
      <w:pPr>
        <w:sectPr>
          <w:pgSz w:w="11900" w:h="16838" w:orient="portrait"/>
          <w:cols w:equalWidth="0" w:num="1">
            <w:col w:w="11240"/>
          </w:cols>
          <w:pgMar w:left="320" w:top="88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2020;</w:t>
      </w:r>
    </w:p>
    <w:p>
      <w:pPr>
        <w:spacing w:after="0" w:line="225"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7"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327"/>
        <w:spacing w:after="0" w:line="266" w:lineRule="auto"/>
        <w:tabs>
          <w:tab w:leader="none" w:pos="7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34"/>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2020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6"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750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88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2020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886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1)"/>
      <w:numFmt w:val="upperLetter"/>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lowerLetter"/>
      <w:start w:val="1"/>
    </w:lvl>
  </w:abstractNum>
  <w:abstractNum w:abstractNumId="21">
    <w:nsid w:val="6590700B"/>
    <w:multiLevelType w:val="hybridMultilevel"/>
    <w:lvl w:ilvl="0">
      <w:lvlJc w:val="left"/>
      <w:lvlText w:val="%1."/>
      <w:numFmt w:val="lowerLetter"/>
      <w:start w:val="2"/>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1)"/>
      <w:numFmt w:val="lowerLetter"/>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1)"/>
      <w:numFmt w:val="lowerLetter"/>
      <w:start w:val="1"/>
    </w:lvl>
  </w:abstractNum>
  <w:abstractNum w:abstractNumId="28">
    <w:nsid w:val="168E121F"/>
    <w:multiLevelType w:val="hybridMultilevel"/>
    <w:lvl w:ilvl="0">
      <w:lvlJc w:val="left"/>
      <w:lvlText w:val="%1"/>
      <w:numFmt w:val="lowerLetter"/>
      <w:start w:val="1"/>
    </w:lvl>
    <w:lvl w:ilvl="1">
      <w:lvlJc w:val="left"/>
      <w:lvlText w:val="%2."/>
      <w:numFmt w:val="decimal"/>
      <w:start w:val="2"/>
    </w:lvl>
  </w:abstractNum>
  <w:abstractNum w:abstractNumId="29">
    <w:nsid w:val="1EBA5D23"/>
    <w:multiLevelType w:val="hybridMultilevel"/>
    <w:lvl w:ilvl="0">
      <w:lvlJc w:val="left"/>
      <w:lvlText w:val="(%1)"/>
      <w:numFmt w:val="lowerLetter"/>
      <w:start w:val="2"/>
    </w:lvl>
    <w:lvl w:ilvl="1">
      <w:lvlJc w:val="left"/>
      <w:lvlText w:val="%2"/>
      <w:numFmt w:val="decimal"/>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lowerLetter"/>
      <w:start w:val="3"/>
    </w:lvl>
  </w:abstractNum>
  <w:abstractNum w:abstractNumId="33">
    <w:nsid w:val="7BD3EE7B"/>
    <w:multiLevelType w:val="hybridMultilevel"/>
    <w:lvl w:ilvl="0">
      <w:lvlJc w:val="left"/>
      <w:lvlText w:val="%1."/>
      <w:numFmt w:val="lowerRoman"/>
      <w:start w:val="1"/>
    </w:lvl>
    <w:lvl w:ilvl="1">
      <w:lvlJc w:val="left"/>
      <w:lvlText w:val="%2)"/>
      <w:numFmt w:val="lowerLetter"/>
      <w:start w:val="2"/>
    </w:lvl>
  </w:abstractNum>
  <w:abstractNum w:abstractNumId="34">
    <w:nsid w:val="51D9C564"/>
    <w:multiLevelType w:val="hybridMultilevel"/>
    <w:lvl w:ilvl="0">
      <w:lvlJc w:val="left"/>
      <w:lvlText w:val="%1."/>
      <w:numFmt w:val="lowerRoman"/>
      <w:start w:val="2"/>
    </w:lvl>
  </w:abstractNum>
  <w:abstractNum w:abstractNumId="35">
    <w:nsid w:val="613EFDC5"/>
    <w:multiLevelType w:val="hybridMultilevel"/>
    <w:lvl w:ilvl="0">
      <w:lvlJc w:val="left"/>
      <w:lvlText w:val="%1"/>
      <w:numFmt w:val="lowerLetter"/>
      <w:start w:val="1"/>
    </w:lvl>
    <w:lvl w:ilvl="1">
      <w:lvlJc w:val="left"/>
      <w:lvlText w:val="%2."/>
      <w:numFmt w:val="lowerRoman"/>
      <w:start w:val="1"/>
    </w:lvl>
  </w:abstractNum>
  <w:abstractNum w:abstractNumId="36">
    <w:nsid w:val="BF72B14"/>
    <w:multiLevelType w:val="hybridMultilevel"/>
    <w:lvl w:ilvl="0">
      <w:lvlJc w:val="left"/>
      <w:lvlText w:val="(%1)"/>
      <w:numFmt w:val="lowerLetter"/>
      <w:start w:val="5"/>
    </w:lvl>
    <w:lvl w:ilvl="1">
      <w:lvlJc w:val="left"/>
      <w:lvlText w:val="%2"/>
      <w:numFmt w:val="lowerRoman"/>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4"/>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1"/>
      <w:numFmt w:val="decimal"/>
      <w:start w:val="1"/>
    </w:lvl>
    <w:lvl w:ilvl="1">
      <w:lvlJc w:val="left"/>
      <w:lvlText w:val="%2."/>
      <w:numFmt w:val="decimal"/>
      <w:start w:val="1"/>
    </w:lvl>
  </w:abstractNum>
  <w:abstractNum w:abstractNumId="44">
    <w:nsid w:val="4962813B"/>
    <w:multiLevelType w:val="hybridMultilevel"/>
    <w:lvl w:ilvl="0">
      <w:lvlJc w:val="left"/>
      <w:lvlText w:val="%1."/>
      <w:numFmt w:val="decimal"/>
      <w:start w:val="16"/>
    </w:lvl>
    <w:lvl w:ilvl="1">
      <w:lvlJc w:val="left"/>
      <w:lvlText w:val="%2"/>
      <w:numFmt w:val="decimal"/>
      <w:start w:val="1"/>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1."/>
      <w:numFmt w:val="decimal"/>
      <w:start w:val="1"/>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1."/>
      <w:numFmt w:val="decimal"/>
      <w:start w:val="2"/>
    </w:lvl>
  </w:abstractNum>
  <w:abstractNum w:abstractNumId="52">
    <w:nsid w:val="7FB7E0AA"/>
    <w:multiLevelType w:val="hybridMultilevel"/>
    <w:lvl w:ilvl="0">
      <w:lvlJc w:val="left"/>
      <w:lvlText w:val="(%1)"/>
      <w:numFmt w:val="lowerLetter"/>
      <w:start w:val="1"/>
    </w:lvl>
  </w:abstractNum>
  <w:abstractNum w:abstractNumId="53">
    <w:nsid w:val="6EB5BD4"/>
    <w:multiLevelType w:val="hybridMultilevel"/>
    <w:lvl w:ilvl="0">
      <w:lvlJc w:val="left"/>
      <w:lvlText w:val="%1."/>
      <w:numFmt w:val="decimal"/>
      <w:start w:val="3"/>
    </w:lvl>
  </w:abstractNum>
  <w:abstractNum w:abstractNumId="54">
    <w:nsid w:val="6F6DD9AC"/>
    <w:multiLevelType w:val="hybridMultilevel"/>
    <w:lvl w:ilvl="0">
      <w:lvlJc w:val="left"/>
      <w:lvlText w:val="(%1)"/>
      <w:numFmt w:val="lowerLetter"/>
      <w:start w:val="1"/>
    </w:lvl>
  </w:abstractNum>
  <w:abstractNum w:abstractNumId="55">
    <w:nsid w:val="94211F2"/>
    <w:multiLevelType w:val="hybridMultilevel"/>
    <w:lvl w:ilvl="0">
      <w:lvlJc w:val="left"/>
      <w:lvlText w:val="%1."/>
      <w:numFmt w:val="decimal"/>
      <w:start w:val="4"/>
    </w:lvl>
  </w:abstractNum>
  <w:abstractNum w:abstractNumId="56">
    <w:nsid w:val="885E1B"/>
    <w:multiLevelType w:val="hybridMultilevel"/>
    <w:lvl w:ilvl="0">
      <w:lvlJc w:val="left"/>
      <w:lvlText w:val="%1"/>
      <w:numFmt w:val="lowerLetter"/>
      <w:start w:val="1"/>
    </w:lvl>
    <w:lvl w:ilvl="1">
      <w:lvlJc w:val="left"/>
      <w:lvlText w:val="(%2)"/>
      <w:numFmt w:val="lowerLetter"/>
      <w:start w:val="1"/>
    </w:lvl>
  </w:abstractNum>
  <w:abstractNum w:abstractNumId="57">
    <w:nsid w:val="76272110"/>
    <w:multiLevelType w:val="hybridMultilevel"/>
    <w:lvl w:ilvl="0">
      <w:lvlJc w:val="left"/>
      <w:lvlText w:val="(%1)"/>
      <w:numFmt w:val="lowerLetter"/>
      <w:start w:val="9"/>
    </w:lvl>
    <w:lvl w:ilvl="1">
      <w:lvlJc w:val="left"/>
      <w:lvlText w:val="%2"/>
      <w:numFmt w:val="lowerLetter"/>
      <w:start w:val="1"/>
    </w:lvl>
  </w:abstractNum>
  <w:abstractNum w:abstractNumId="58">
    <w:nsid w:val="4C04A8AF"/>
    <w:multiLevelType w:val="hybridMultilevel"/>
    <w:lvl w:ilvl="0">
      <w:lvlJc w:val="left"/>
      <w:lvlText w:val="(%1)"/>
      <w:numFmt w:val="lowerLetter"/>
      <w:start w:val="4"/>
    </w:lvl>
  </w:abstractNum>
  <w:abstractNum w:abstractNumId="59">
    <w:nsid w:val="1716703B"/>
    <w:multiLevelType w:val="hybridMultilevel"/>
    <w:lvl w:ilvl="0">
      <w:lvlJc w:val="left"/>
      <w:lvlText w:val="%1."/>
      <w:numFmt w:val="decimal"/>
      <w:start w:val="5"/>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1"/>
    </w:lvl>
    <w:lvl w:ilvl="1">
      <w:lvlJc w:val="left"/>
      <w:lvlText w:val="(%2)"/>
      <w:numFmt w:val="lowerLetter"/>
      <w:start w:val="2"/>
    </w:lvl>
  </w:abstractNum>
  <w:abstractNum w:abstractNumId="62">
    <w:nsid w:val="74DE0EE3"/>
    <w:multiLevelType w:val="hybridMultilevel"/>
    <w:lvl w:ilvl="0">
      <w:lvlJc w:val="left"/>
      <w:lvlText w:val="(%1)"/>
      <w:numFmt w:val="lowerLetter"/>
      <w:start w:val="35"/>
    </w:lvl>
    <w:lvl w:ilvl="1">
      <w:lvlJc w:val="left"/>
      <w:lvlText w:val="%2"/>
      <w:numFmt w:val="lowerLetter"/>
      <w:start w:val="1"/>
    </w:lvl>
  </w:abstractNum>
  <w:abstractNum w:abstractNumId="63">
    <w:nsid w:val="68EBC550"/>
    <w:multiLevelType w:val="hybridMultilevel"/>
    <w:lvl w:ilvl="0">
      <w:lvlJc w:val="left"/>
      <w:lvlText w:val="(%1)"/>
      <w:numFmt w:val="lowerLetter"/>
      <w:start w:val="4"/>
    </w:lvl>
  </w:abstractNum>
  <w:abstractNum w:abstractNumId="64">
    <w:nsid w:val="2DF6D648"/>
    <w:multiLevelType w:val="hybridMultilevel"/>
    <w:lvl w:ilvl="0">
      <w:lvlJc w:val="left"/>
      <w:lvlText w:val="%1."/>
      <w:numFmt w:val="decimal"/>
      <w:start w:val="6"/>
    </w:lvl>
  </w:abstractNum>
  <w:abstractNum w:abstractNumId="65">
    <w:nsid w:val="46B7D447"/>
    <w:multiLevelType w:val="hybridMultilevel"/>
    <w:lvl w:ilvl="0">
      <w:lvlJc w:val="left"/>
      <w:lvlText w:val="(%1)"/>
      <w:numFmt w:val="lowerLetter"/>
      <w:start w:val="1"/>
    </w:lvl>
  </w:abstractNum>
  <w:abstractNum w:abstractNumId="66">
    <w:nsid w:val="4A2AC315"/>
    <w:multiLevelType w:val="hybridMultilevel"/>
    <w:lvl w:ilvl="0">
      <w:lvlJc w:val="left"/>
      <w:lvlText w:val="(%1)"/>
      <w:numFmt w:val="lowerLetter"/>
      <w:start w:val="2"/>
    </w:lvl>
  </w:abstractNum>
  <w:abstractNum w:abstractNumId="67">
    <w:nsid w:val="39EE015C"/>
    <w:multiLevelType w:val="hybridMultilevel"/>
    <w:lvl w:ilvl="0">
      <w:lvlJc w:val="left"/>
      <w:lvlText w:val="%1."/>
      <w:numFmt w:val="decimal"/>
      <w:start w:val="7"/>
    </w:lvl>
  </w:abstractNum>
  <w:abstractNum w:abstractNumId="68">
    <w:nsid w:val="57FC4FBB"/>
    <w:multiLevelType w:val="hybridMultilevel"/>
    <w:lvl w:ilvl="0">
      <w:lvlJc w:val="left"/>
      <w:lvlText w:val="(%1)"/>
      <w:numFmt w:val="lowerLetter"/>
      <w:start w:val="1"/>
    </w:lvl>
  </w:abstractNum>
  <w:abstractNum w:abstractNumId="69">
    <w:nsid w:val="CC1016F"/>
    <w:multiLevelType w:val="hybridMultilevel"/>
    <w:lvl w:ilvl="0">
      <w:lvlJc w:val="left"/>
      <w:lvlText w:val="%1."/>
      <w:numFmt w:val="decimal"/>
      <w:start w:val="8"/>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lowerLetter"/>
      <w:start w:val="2"/>
    </w:lvl>
  </w:abstractNum>
  <w:abstractNum w:abstractNumId="72">
    <w:nsid w:val="26F324BA"/>
    <w:multiLevelType w:val="hybridMultilevel"/>
    <w:lvl w:ilvl="0">
      <w:lvlJc w:val="left"/>
      <w:lvlText w:val="%1."/>
      <w:numFmt w:val="decimal"/>
      <w:start w:val="9"/>
    </w:lvl>
  </w:abstractNum>
  <w:abstractNum w:abstractNumId="73">
    <w:nsid w:val="7F01579B"/>
    <w:multiLevelType w:val="hybridMultilevel"/>
    <w:lvl w:ilvl="0">
      <w:lvlJc w:val="left"/>
      <w:lvlText w:val="%1."/>
      <w:numFmt w:val="decimal"/>
      <w:start w:val="10"/>
    </w:lvl>
  </w:abstractNum>
  <w:abstractNum w:abstractNumId="74">
    <w:nsid w:val="49DA307D"/>
    <w:multiLevelType w:val="hybridMultilevel"/>
    <w:lvl w:ilvl="0">
      <w:lvlJc w:val="left"/>
      <w:lvlText w:val="(%1)"/>
      <w:numFmt w:val="lowerLetter"/>
      <w:start w:val="1"/>
    </w:lvl>
  </w:abstractNum>
  <w:abstractNum w:abstractNumId="75">
    <w:nsid w:val="7055A5F5"/>
    <w:multiLevelType w:val="hybridMultilevel"/>
    <w:lvl w:ilvl="0">
      <w:lvlJc w:val="left"/>
      <w:lvlText w:val="%1."/>
      <w:numFmt w:val="decimal"/>
      <w:start w:val="11"/>
    </w:lvl>
  </w:abstractNum>
  <w:abstractNum w:abstractNumId="76">
    <w:nsid w:val="5FB8370B"/>
    <w:multiLevelType w:val="hybridMultilevel"/>
    <w:lvl w:ilvl="0">
      <w:lvlJc w:val="left"/>
      <w:lvlText w:val="%1."/>
      <w:numFmt w:val="decimal"/>
      <w:start w:val="12"/>
    </w:lvl>
  </w:abstractNum>
  <w:abstractNum w:abstractNumId="77">
    <w:nsid w:val="50801EE1"/>
    <w:multiLevelType w:val="hybridMultilevel"/>
    <w:lvl w:ilvl="0">
      <w:lvlJc w:val="left"/>
      <w:lvlText w:val="(%1)"/>
      <w:numFmt w:val="lowerLetter"/>
      <w:start w:val="1"/>
    </w:lvl>
  </w:abstractNum>
  <w:abstractNum w:abstractNumId="78">
    <w:nsid w:val="488AC1A"/>
    <w:multiLevelType w:val="hybridMultilevel"/>
    <w:lvl w:ilvl="0">
      <w:lvlJc w:val="left"/>
      <w:lvlText w:val="%1."/>
      <w:numFmt w:val="decimal"/>
      <w:start w:val="14"/>
    </w:lvl>
  </w:abstractNum>
  <w:abstractNum w:abstractNumId="79">
    <w:nsid w:val="5FB8011C"/>
    <w:multiLevelType w:val="hybridMultilevel"/>
    <w:lvl w:ilvl="0">
      <w:lvlJc w:val="left"/>
      <w:lvlText w:val="%1."/>
      <w:numFmt w:val="decimal"/>
      <w:start w:val="15"/>
    </w:lvl>
  </w:abstractNum>
  <w:abstractNum w:abstractNumId="80">
    <w:nsid w:val="6AA78F7F"/>
    <w:multiLevelType w:val="hybridMultilevel"/>
    <w:lvl w:ilvl="0">
      <w:lvlJc w:val="left"/>
      <w:lvlText w:val="(%1)"/>
      <w:numFmt w:val="lowerLetter"/>
      <w:start w:val="1"/>
    </w:lvl>
  </w:abstractNum>
  <w:abstractNum w:abstractNumId="81">
    <w:nsid w:val="7672BD23"/>
    <w:multiLevelType w:val="hybridMultilevel"/>
    <w:lvl w:ilvl="0">
      <w:lvlJc w:val="left"/>
      <w:lvlText w:val="%1."/>
      <w:numFmt w:val="decimal"/>
      <w:start w:val="17"/>
    </w:lvl>
  </w:abstractNum>
  <w:abstractNum w:abstractNumId="82">
    <w:nsid w:val="6FC75AF8"/>
    <w:multiLevelType w:val="hybridMultilevel"/>
    <w:lvl w:ilvl="0">
      <w:lvlJc w:val="left"/>
      <w:lvlText w:val="§§"/>
      <w:numFmt w:val="bullet"/>
      <w:start w:val="1"/>
    </w:lvl>
    <w:lvl w:ilvl="1">
      <w:lvlJc w:val="left"/>
      <w:lvlText w:val="%2."/>
      <w:numFmt w:val="decimal"/>
      <w:start w:val="19"/>
    </w:lvl>
  </w:abstractNum>
  <w:abstractNum w:abstractNumId="83">
    <w:nsid w:val="6A5F7029"/>
    <w:multiLevelType w:val="hybridMultilevel"/>
    <w:lvl w:ilvl="0">
      <w:lvlJc w:val="left"/>
      <w:lvlText w:val="(%1)"/>
      <w:numFmt w:val="lowerLetter"/>
      <w:start w:val="1"/>
    </w:lvl>
  </w:abstractNum>
  <w:abstractNum w:abstractNumId="84">
    <w:nsid w:val="7D5E18F8"/>
    <w:multiLevelType w:val="hybridMultilevel"/>
    <w:lvl w:ilvl="0">
      <w:lvlJc w:val="left"/>
      <w:lvlText w:val="%1."/>
      <w:numFmt w:val="decimal"/>
      <w:start w:val="20"/>
    </w:lvl>
  </w:abstractNum>
  <w:abstractNum w:abstractNumId="85">
    <w:nsid w:val="5F3534A4"/>
    <w:multiLevelType w:val="hybridMultilevel"/>
    <w:lvl w:ilvl="0">
      <w:lvlJc w:val="left"/>
      <w:lvlText w:val="%1."/>
      <w:numFmt w:val="decimal"/>
      <w:start w:val="24"/>
    </w:lvl>
  </w:abstractNum>
  <w:abstractNum w:abstractNumId="86">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7DE67713"/>
    <w:multiLevelType w:val="hybridMultilevel"/>
    <w:lvl w:ilvl="0">
      <w:lvlJc w:val="left"/>
      <w:lvlText w:val="%1"/>
      <w:numFmt w:val="decimal"/>
      <w:start w:val="1"/>
    </w:lvl>
    <w:lvl w:ilvl="1">
      <w:lvlJc w:val="left"/>
      <w:lvlText w:val="%2."/>
      <w:numFmt w:val="lowerLetter"/>
      <w:start w:val="4"/>
    </w:lvl>
  </w:abstractNum>
  <w:abstractNum w:abstractNumId="88">
    <w:nsid w:val="555C55B5"/>
    <w:multiLevelType w:val="hybridMultilevel"/>
    <w:lvl w:ilvl="0">
      <w:lvlJc w:val="left"/>
      <w:lvlText w:val="%1."/>
      <w:numFmt w:val="decimal"/>
      <w:start w:val="3"/>
    </w:lvl>
    <w:lvl w:ilvl="1">
      <w:lvlJc w:val="left"/>
      <w:lvlText w:val="%2."/>
      <w:numFmt w:val="lowerLetter"/>
      <w:start w:val="1"/>
    </w:lvl>
  </w:abstractNum>
  <w:abstractNum w:abstractNumId="89">
    <w:nsid w:val="3FA62ACA"/>
    <w:multiLevelType w:val="hybridMultilevel"/>
    <w:lvl w:ilvl="0">
      <w:lvlJc w:val="left"/>
      <w:lvlText w:val="%1."/>
      <w:numFmt w:val="decimal"/>
      <w:start w:val="6"/>
    </w:lvl>
    <w:lvl w:ilvl="1">
      <w:lvlJc w:val="left"/>
      <w:lvlText w:val="%2."/>
      <w:numFmt w:val="lowerLetter"/>
      <w:start w:val="1"/>
    </w:lvl>
  </w:abstractNum>
  <w:abstractNum w:abstractNumId="90">
    <w:nsid w:val="14FCE74E"/>
    <w:multiLevelType w:val="hybridMultilevel"/>
    <w:lvl w:ilvl="0">
      <w:lvlJc w:val="left"/>
      <w:lvlText w:val="%1."/>
      <w:numFmt w:val="decimal"/>
      <w:start w:val="1"/>
    </w:lvl>
  </w:abstractNum>
  <w:abstractNum w:abstractNumId="91">
    <w:nsid w:val="6A3DD3E8"/>
    <w:multiLevelType w:val="hybridMultilevel"/>
    <w:lvl w:ilvl="0">
      <w:lvlJc w:val="left"/>
      <w:lvlText w:val="(%1)"/>
      <w:numFmt w:val="lowerLetter"/>
      <w:start w:val="1"/>
    </w:lvl>
  </w:abstractNum>
  <w:abstractNum w:abstractNumId="92">
    <w:nsid w:val="71C91298"/>
    <w:multiLevelType w:val="hybridMultilevel"/>
    <w:lvl w:ilvl="0">
      <w:lvlJc w:val="left"/>
      <w:lvlText w:val="%1."/>
      <w:numFmt w:val="decimal"/>
      <w:start w:val="2"/>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decimal"/>
      <w:start w:val="3"/>
    </w:lvl>
  </w:abstractNum>
  <w:abstractNum w:abstractNumId="95">
    <w:nsid w:val="1FBFE8E0"/>
    <w:multiLevelType w:val="hybridMultilevel"/>
    <w:lvl w:ilvl="0">
      <w:lvlJc w:val="left"/>
      <w:lvlText w:val="%1."/>
      <w:numFmt w:val="decimal"/>
      <w:start w:val="4"/>
    </w:lvl>
  </w:abstractNum>
  <w:abstractNum w:abstractNumId="96">
    <w:nsid w:val="5092CA79"/>
    <w:multiLevelType w:val="hybridMultilevel"/>
    <w:lvl w:ilvl="0">
      <w:lvlJc w:val="left"/>
      <w:lvlText w:val="%1."/>
      <w:numFmt w:val="decimal"/>
      <w:start w:val="5"/>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1"/>
      <w:numFmt w:val="upperLetter"/>
      <w:start w:val="1"/>
    </w:lvl>
    <w:lvl w:ilvl="1">
      <w:lvlJc w:val="left"/>
      <w:lvlText w:val="%2."/>
      <w:numFmt w:val="lowerLetter"/>
      <w:start w:val="3"/>
    </w:lvl>
  </w:abstractNum>
  <w:abstractNum w:abstractNumId="99">
    <w:nsid w:val="288F1A34"/>
    <w:multiLevelType w:val="hybridMultilevel"/>
    <w:lvl w:ilvl="0">
      <w:lvlJc w:val="left"/>
      <w:lvlText w:val="(%1)"/>
      <w:numFmt w:val="upperLetter"/>
      <w:start w:val="1"/>
    </w:lvl>
    <w:lvl w:ilvl="1">
      <w:lvlJc w:val="left"/>
      <w:lvlText w:val="%2."/>
      <w:numFmt w:val="lowerLetter"/>
      <w:start w:val="4"/>
    </w:lvl>
  </w:abstractNum>
  <w:abstractNum w:abstractNumId="100">
    <w:nsid w:val="2A155DBC"/>
    <w:multiLevelType w:val="hybridMultilevel"/>
    <w:lvl w:ilvl="0">
      <w:lvlJc w:val="left"/>
      <w:lvlText w:val="%1."/>
      <w:numFmt w:val="decimal"/>
      <w:start w:val="6"/>
    </w:lvl>
  </w:abstractNum>
  <w:abstractNum w:abstractNumId="101">
    <w:nsid w:val="1D9F6E5F"/>
    <w:multiLevelType w:val="hybridMultilevel"/>
    <w:lvl w:ilvl="0">
      <w:lvlJc w:val="left"/>
      <w:lvlText w:val="(%1)"/>
      <w:numFmt w:val="lowerRoman"/>
      <w:start w:val="10"/>
    </w:lvl>
    <w:lvl w:ilvl="1">
      <w:lvlJc w:val="left"/>
      <w:lvlText w:val="%2."/>
      <w:numFmt w:val="decimal"/>
      <w:start w:val="7"/>
    </w:lvl>
  </w:abstractNum>
  <w:abstractNum w:abstractNumId="102">
    <w:nsid w:val="97E1B4E"/>
    <w:multiLevelType w:val="hybridMultilevel"/>
    <w:lvl w:ilvl="0">
      <w:lvlJc w:val="left"/>
      <w:lvlText w:val="%1."/>
      <w:numFmt w:val="decimal"/>
      <w:start w:val="8"/>
    </w:lvl>
  </w:abstractNum>
  <w:abstractNum w:abstractNumId="103">
    <w:nsid w:val="51088277"/>
    <w:multiLevelType w:val="hybridMultilevel"/>
    <w:lvl w:ilvl="0">
      <w:lvlJc w:val="left"/>
      <w:lvlText w:val="%1."/>
      <w:numFmt w:val="decimal"/>
      <w:start w:val="9"/>
    </w:lvl>
  </w:abstractNum>
  <w:abstractNum w:abstractNumId="104">
    <w:nsid w:val="1CA0C5FA"/>
    <w:multiLevelType w:val="hybridMultilevel"/>
    <w:lvl w:ilvl="0">
      <w:lvlJc w:val="left"/>
      <w:lvlText w:val="%1."/>
      <w:numFmt w:val="decimal"/>
      <w:start w:val="11"/>
    </w:lvl>
  </w:abstractNum>
  <w:abstractNum w:abstractNumId="105">
    <w:nsid w:val="53584BCB"/>
    <w:multiLevelType w:val="hybridMultilevel"/>
    <w:lvl w:ilvl="0">
      <w:lvlJc w:val="left"/>
      <w:lvlText w:val="%1."/>
      <w:numFmt w:val="decimal"/>
      <w:start w:val="13"/>
    </w:lvl>
  </w:abstractNum>
  <w:abstractNum w:abstractNumId="106">
    <w:nsid w:val="415E286C"/>
    <w:multiLevelType w:val="hybridMultilevel"/>
    <w:lvl w:ilvl="0">
      <w:lvlJc w:val="left"/>
      <w:lvlText w:val="%1."/>
      <w:numFmt w:val="decimal"/>
      <w:start w:val="14"/>
    </w:lvl>
  </w:abstractNum>
  <w:abstractNum w:abstractNumId="107">
    <w:nsid w:val="7C58FD05"/>
    <w:multiLevelType w:val="hybridMultilevel"/>
    <w:lvl w:ilvl="0">
      <w:lvlJc w:val="left"/>
      <w:lvlText w:val="%1"/>
      <w:numFmt w:val="lowerRoman"/>
      <w:start w:val="1"/>
    </w:lvl>
    <w:lvl w:ilvl="1">
      <w:lvlJc w:val="left"/>
      <w:lvlText w:val="%2."/>
      <w:numFmt w:val="decimal"/>
      <w:start w:val="17"/>
    </w:lvl>
  </w:abstractNum>
  <w:abstractNum w:abstractNumId="108">
    <w:nsid w:val="23D86AAC"/>
    <w:multiLevelType w:val="hybridMultilevel"/>
    <w:lvl w:ilvl="0">
      <w:lvlJc w:val="left"/>
      <w:lvlText w:val="(%1)"/>
      <w:numFmt w:val="lowerRoman"/>
      <w:start w:val="1"/>
    </w:lvl>
    <w:lvl w:ilvl="1">
      <w:lvlJc w:val="left"/>
      <w:lvlText w:val="%2."/>
      <w:numFmt w:val="decimal"/>
      <w:start w:val="19"/>
    </w:lvl>
  </w:abstractNum>
  <w:abstractNum w:abstractNumId="109">
    <w:nsid w:val="45E6D486"/>
    <w:multiLevelType w:val="hybridMultilevel"/>
    <w:lvl w:ilvl="0">
      <w:lvlJc w:val="left"/>
      <w:lvlText w:val="%1."/>
      <w:numFmt w:val="decimal"/>
      <w:start w:val="20"/>
    </w:lvl>
  </w:abstractNum>
  <w:abstractNum w:abstractNumId="110">
    <w:nsid w:val="5C10FE21"/>
    <w:multiLevelType w:val="hybridMultilevel"/>
    <w:lvl w:ilvl="0">
      <w:lvlJc w:val="left"/>
      <w:lvlText w:val="%1."/>
      <w:numFmt w:val="decimal"/>
      <w:start w:val="24"/>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lowerLetter"/>
      <w:start w:val="1"/>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92" Type="http://schemas.openxmlformats.org/officeDocument/2006/relationships/hyperlink" Target="http://www.sec.gov/Archives/edgar/data/1297989/000114420418037006/tv497868_ex2-1.htm" TargetMode="External"/><Relationship Id="rId93" Type="http://schemas.openxmlformats.org/officeDocument/2006/relationships/hyperlink" Target="http://www.sec.gov/Archives/edgar/data/1297989/000119312506214684/dex31.htm" TargetMode="External"/><Relationship Id="rId94" Type="http://schemas.openxmlformats.org/officeDocument/2006/relationships/hyperlink" Target="http://www.sec.gov/Archives/edgar/data/1297989/000104746919002609/a2238453zdef14a.htm#PROP1" TargetMode="External"/><Relationship Id="rId95" Type="http://schemas.openxmlformats.org/officeDocument/2006/relationships/hyperlink" Target="http://www.sec.gov/Archives/edgar/data/1297989/000114420419031504/tv523830_ex3-2.htm" TargetMode="External"/><Relationship Id="rId96" Type="http://schemas.openxmlformats.org/officeDocument/2006/relationships/hyperlink" Target="http://www.sec.gov/Archives/edgar/data/1297989/000119312506214684/dex41.htm" TargetMode="External"/><Relationship Id="rId97" Type="http://schemas.openxmlformats.org/officeDocument/2006/relationships/hyperlink" Target="http://www.sec.gov/Archives/edgar/data/1297989/000114420418052500/tv504132_ex4-1.htm" TargetMode="External"/><Relationship Id="rId98" Type="http://schemas.openxmlformats.org/officeDocument/2006/relationships/hyperlink" Target="https://www.sec.gov/Archives/edgar/data/1297989/000129798920000003/exls-ex43x12312019x10xk.htm" TargetMode="External"/><Relationship Id="rId99" Type="http://schemas.openxmlformats.org/officeDocument/2006/relationships/hyperlink" Target="http://www.sec.gov/Archives/edgar/data/1297989/000129798917000010/exls-ex101x09x19x2017rohit.htm" TargetMode="External"/><Relationship Id="rId100" Type="http://schemas.openxmlformats.org/officeDocument/2006/relationships/hyperlink" Target="https://www.sec.gov/Archives/edgar/data/1297989/000129798920000010/exls-ex101x09x30x2020x10xq.htm" TargetMode="External"/><Relationship Id="rId101" Type="http://schemas.openxmlformats.org/officeDocument/2006/relationships/hyperlink" Target="http://www.sec.gov/Archives/edgar/data/1297989/000119312504207482/dex1015.htm" TargetMode="External"/><Relationship Id="rId102" Type="http://schemas.openxmlformats.org/officeDocument/2006/relationships/hyperlink" Target="http://www.sec.gov/Archives/edgar/data/1297989/000129798916000006/exls-ex101x03x31x2016x10xq.htm" TargetMode="External"/><Relationship Id="rId103" Type="http://schemas.openxmlformats.org/officeDocument/2006/relationships/hyperlink" Target="http://www.sec.gov/Archives/edgar/data/1297989/000119312506155175/dex1020.htm" TargetMode="External"/><Relationship Id="rId104" Type="http://schemas.openxmlformats.org/officeDocument/2006/relationships/hyperlink" Target="http://www.sec.gov/Archives/edgar/data/1297989/000119312506202168/dex1032.htm" TargetMode="External"/><Relationship Id="rId105" Type="http://schemas.openxmlformats.org/officeDocument/2006/relationships/hyperlink" Target="http://www.sec.gov/Archives/edgar/data/1297989/000119312506208742/dex1038.htm" TargetMode="External"/><Relationship Id="rId106" Type="http://schemas.openxmlformats.org/officeDocument/2006/relationships/hyperlink" Target="http://www.sec.gov/Archives/edgar/data/1297989/000119312506202168/dex1039.htm" TargetMode="External"/><Relationship Id="rId109" Type="http://schemas.openxmlformats.org/officeDocument/2006/relationships/hyperlink" Target="http://www.sec.gov/Archives/edgar/data/1297989/000119312506202168/dex1043.htm" TargetMode="External"/><Relationship Id="rId110" Type="http://schemas.openxmlformats.org/officeDocument/2006/relationships/hyperlink" Target="http://www.sec.gov/Archives/edgar/data/1297989/000119312506208742/dex1046.htm" TargetMode="External"/><Relationship Id="rId111" Type="http://schemas.openxmlformats.org/officeDocument/2006/relationships/hyperlink" Target="http://www.sec.gov/Archives/edgar/data/1297989/000119312509016370/dex46.htm" TargetMode="External"/><Relationship Id="rId112" Type="http://schemas.openxmlformats.org/officeDocument/2006/relationships/hyperlink" Target="http://www.sec.gov/Archives/edgar/data/1297989/000119312514177305/d701173dex101.htm" TargetMode="External"/><Relationship Id="rId113" Type="http://schemas.openxmlformats.org/officeDocument/2006/relationships/hyperlink" Target="http://www.sec.gov/Archives/edgar/data/1297989/000119312515235176/d948602dex101.htm" TargetMode="External"/><Relationship Id="rId114" Type="http://schemas.openxmlformats.org/officeDocument/2006/relationships/hyperlink" Target="http://www.sec.gov/Archives/edgar/data/1297989/000129798916000015/exls-ex101x09x30x2016x10xq.htm" TargetMode="External"/><Relationship Id="rId115" Type="http://schemas.openxmlformats.org/officeDocument/2006/relationships/hyperlink" Target="http://www.sec.gov/Archives/edgar/data/1297989/000129798917000002/exls-ex1040x213116x10k.htm" TargetMode="External"/><Relationship Id="rId116" Type="http://schemas.openxmlformats.org/officeDocument/2006/relationships/hyperlink" Target="http://www.sec.gov/Archives/edgar/data/1297989/000114420418034885/tv496784_ex10-1.htm" TargetMode="External"/><Relationship Id="rId117" Type="http://schemas.openxmlformats.org/officeDocument/2006/relationships/hyperlink" Target="http://www.sec.gov/Archives/edgar/data/1297989/000114420418034885/tv496784_ex10-2.htm" TargetMode="External"/><Relationship Id="rId118" Type="http://schemas.openxmlformats.org/officeDocument/2006/relationships/hyperlink" Target="http://www.sec.gov/Archives/edgar/data/1297989/000114420418034885/tv496784_ex10-3.htm" TargetMode="External"/><Relationship Id="rId119" Type="http://schemas.openxmlformats.org/officeDocument/2006/relationships/hyperlink" Target="http://www.sec.gov/Archives/edgar/data/1297989/000114420418034885/tv496784_ex10-4.htm" TargetMode="External"/><Relationship Id="rId120" Type="http://schemas.openxmlformats.org/officeDocument/2006/relationships/hyperlink" Target="http://www.sec.gov/Archives/edgar/data/1297989/000129798918000002/exls-ex1037x123117x10xk.htm" TargetMode="External"/><Relationship Id="rId121" Type="http://schemas.openxmlformats.org/officeDocument/2006/relationships/hyperlink" Target="http://www.sec.gov/Archives/edgar/data/1297989/000129798919000002/exls-ex1024x12312018x10k.htm" TargetMode="External"/><Relationship Id="rId122" Type="http://schemas.openxmlformats.org/officeDocument/2006/relationships/hyperlink" Target="http://www.sec.gov/Archives/edgar/data/1297989/000114420418052500/tv504132_ex10-2.htm" TargetMode="External"/><Relationship Id="rId123" Type="http://schemas.openxmlformats.org/officeDocument/2006/relationships/hyperlink" Target="http://www.sec.gov/Archives/edgar/data/1297989/000114420418052500/tv50413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2021-02-25T16:21:15Z</dcterms:created>
  <dcterms:modified xsi:type="dcterms:W3CDTF">2021-02-25T16:21:15Z</dcterms:modified>
</cp:coreProperties>
</file>