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70" w:orient="portrait"/>
          <w:cols w:equalWidth="0" w:num="2">
            <w:col w:w="2380" w:space="240"/>
            <w:col w:w="8800"/>
          </w:cols>
          <w:pgMar w:left="240" w:top="226" w:right="2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TYAGI SANDEEP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350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07/09/2007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VP, Head of Knowledge Services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ectPr>
          <w:pgSz w:w="11900" w:h="16870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70" w:orient="portrait"/>
          <w:cols w:equalWidth="0" w:num="2">
            <w:col w:w="3920" w:space="160"/>
            <w:col w:w="7340"/>
          </w:cols>
          <w:pgMar w:left="240" w:top="226" w:right="239" w:bottom="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07/09/2007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17.72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750,368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07/09/2007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17.73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750,268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07/09/2007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17.74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749,968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07/09/2007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1,100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17.75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748,868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07/09/2007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17.76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748,068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07/09/2007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1,805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17.77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746,263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07/09/2007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17.78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745,763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07/09/2007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17.79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745,263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07/09/2007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4,188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17.8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741,075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07/09/2007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17.81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740,475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07/09/2007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680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17.82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739,795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07/09/2007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17.83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739,395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07/09/2007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679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17.84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738,716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07/09/2007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2,667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17.85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736,049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07/09/2007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17.86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735,649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07/09/2007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333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17.87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735,316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07/09/2007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1,100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17.88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734,216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07/09/2007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17.89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734,016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07/09/2007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2,900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17.9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731,116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07/09/2007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1,400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17.91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729,716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07/09/2007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17.92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729,516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07/09/2007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17.93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729,216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07/09/2007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219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17.94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728,997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07/09/2007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17.96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728,697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07/09/2007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17.97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728,197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07/09/2007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18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727,997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07/09/2007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18.01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727,197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07/09/2007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18.02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726,997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07/09/2007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18.03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726,797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07/09/2007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18.04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726,097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70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72020" cy="18224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1822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This sale was made pursuant to a 10b5-1 plan previously entered into by the reporting person.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 Form 1 of 2 Form 4's</w:t>
      </w:r>
    </w:p>
    <w:p>
      <w:pPr>
        <w:ind w:left="682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07/10/2007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-27940</wp:posOffset>
            </wp:positionV>
            <wp:extent cx="137477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-22860</wp:posOffset>
            </wp:positionV>
            <wp:extent cx="19177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5785485</wp:posOffset>
            </wp:positionH>
            <wp:positionV relativeFrom="paragraph">
              <wp:posOffset>-91440</wp:posOffset>
            </wp:positionV>
            <wp:extent cx="50800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20"/>
        <w:spacing w:after="0"/>
        <w:tabs>
          <w:tab w:leader="none" w:pos="91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right="3480" w:firstLine="9"/>
        <w:spacing w:after="0" w:line="350" w:lineRule="auto"/>
        <w:tabs>
          <w:tab w:leader="none" w:pos="14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280"/>
      </w:cols>
      <w:pgMar w:left="280" w:top="188" w:right="3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371503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2019-12-16T13:20:28Z</dcterms:created>
  <dcterms:modified xsi:type="dcterms:W3CDTF">2019-12-16T13:20:28Z</dcterms:modified>
</cp:coreProperties>
</file>