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(Rule 14a-101)</w:t>
      </w:r>
    </w:p>
    <w:p>
      <w:pPr>
        <w:jc w:val="center"/>
        <w:spacing w:after="0"/>
        <w:rPr>
          <w:sz w:val="20"/>
          <w:szCs w:val="20"/>
          <w:color w:val="auto"/>
        </w:rPr>
      </w:pPr>
      <w:r>
        <w:rPr>
          <w:rFonts w:ascii="Arial" w:cs="Arial" w:eastAsia="Arial" w:hAnsi="Arial"/>
          <w:sz w:val="11"/>
          <w:szCs w:val="11"/>
          <w:b w:val="1"/>
          <w:bCs w:val="1"/>
          <w:color w:val="auto"/>
        </w:rPr>
        <w:t>INFORMATION REQUIRED IN PROXY STATEMENT</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SCHEDULE 14A INFORMATION</w:t>
      </w:r>
    </w:p>
    <w:p>
      <w:pPr>
        <w:sectPr>
          <w:pgSz w:w="11900" w:h="16838" w:orient="portrait"/>
          <w:cols w:equalWidth="0" w:num="1">
            <w:col w:w="9019"/>
          </w:cols>
          <w:pgMar w:left="1440" w:top="700" w:right="1440" w:bottom="1440" w:gutter="0" w:footer="0" w:header="0"/>
        </w:sectPr>
      </w:pPr>
    </w:p>
    <w:p>
      <w:pPr>
        <w:spacing w:after="0" w:line="149" w:lineRule="exact"/>
        <w:rPr>
          <w:sz w:val="24"/>
          <w:szCs w:val="24"/>
          <w:color w:val="auto"/>
        </w:rPr>
      </w:pPr>
    </w:p>
    <w:p>
      <w:pPr>
        <w:jc w:val="both"/>
        <w:ind w:left="2700" w:firstLine="463"/>
        <w:spacing w:after="0" w:line="347" w:lineRule="auto"/>
        <w:rPr>
          <w:sz w:val="20"/>
          <w:szCs w:val="20"/>
          <w:color w:val="auto"/>
        </w:rPr>
      </w:pPr>
      <w:r>
        <w:rPr>
          <w:rFonts w:ascii="Arial" w:cs="Arial" w:eastAsia="Arial" w:hAnsi="Arial"/>
          <w:sz w:val="11"/>
          <w:szCs w:val="11"/>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w:t>
      </w:r>
    </w:p>
    <w:p>
      <w:pPr>
        <w:spacing w:after="0" w:line="156" w:lineRule="exact"/>
        <w:rPr>
          <w:sz w:val="24"/>
          <w:szCs w:val="24"/>
          <w:color w:val="auto"/>
        </w:rPr>
      </w:pPr>
    </w:p>
    <w:p>
      <w:pPr>
        <w:sectPr>
          <w:pgSz w:w="11900" w:h="16838" w:orient="portrait"/>
          <w:cols w:equalWidth="0" w:num="2">
            <w:col w:w="5900" w:space="380"/>
            <w:col w:w="2739"/>
          </w:cols>
          <w:pgMar w:left="1440" w:top="700" w:right="1440" w:bottom="1440" w:gutter="0" w:footer="0" w:header="0"/>
          <w:type w:val="continuous"/>
        </w:sectPr>
      </w:pPr>
    </w:p>
    <w:p>
      <w:pPr>
        <w:ind w:left="106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180" w:lineRule="exact"/>
        <w:rPr>
          <w:sz w:val="24"/>
          <w:szCs w:val="24"/>
          <w:color w:val="auto"/>
        </w:rPr>
      </w:pPr>
    </w:p>
    <w:p>
      <w:pPr>
        <w:ind w:left="1060"/>
        <w:spacing w:after="0"/>
        <w:rPr>
          <w:sz w:val="20"/>
          <w:szCs w:val="20"/>
          <w:color w:val="auto"/>
        </w:rPr>
      </w:pPr>
      <w:r>
        <w:rPr>
          <w:rFonts w:ascii="Arial" w:cs="Arial" w:eastAsia="Arial" w:hAnsi="Arial"/>
          <w:sz w:val="11"/>
          <w:szCs w:val="11"/>
          <w:color w:val="auto"/>
        </w:rPr>
        <w:t>Check the appropriate box:</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color w:val="auto"/>
        </w:rPr>
        <w:t>Filed by a Party other than the Registrant o</w:t>
      </w:r>
    </w:p>
    <w:p>
      <w:pPr>
        <w:spacing w:after="0" w:line="497" w:lineRule="exact"/>
        <w:rPr>
          <w:sz w:val="24"/>
          <w:szCs w:val="24"/>
          <w:color w:val="auto"/>
        </w:rPr>
      </w:pPr>
    </w:p>
    <w:p>
      <w:pPr>
        <w:sectPr>
          <w:pgSz w:w="11900" w:h="16838" w:orient="portrait"/>
          <w:cols w:equalWidth="0" w:num="2">
            <w:col w:w="3940" w:space="720"/>
            <w:col w:w="4359"/>
          </w:cols>
          <w:pgMar w:left="1440" w:top="700" w:right="1440" w:bottom="1440" w:gutter="0" w:footer="0" w:header="0"/>
          <w:type w:val="continuous"/>
        </w:sectPr>
      </w:pPr>
    </w:p>
    <w:p>
      <w:pPr>
        <w:ind w:left="1340" w:hanging="282"/>
        <w:spacing w:after="0"/>
        <w:tabs>
          <w:tab w:leader="none" w:pos="1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162" w:lineRule="exact"/>
        <w:rPr>
          <w:rFonts w:ascii="Arial" w:cs="Arial" w:eastAsia="Arial" w:hAnsi="Arial"/>
          <w:sz w:val="13"/>
          <w:szCs w:val="13"/>
          <w:color w:val="auto"/>
        </w:rPr>
      </w:pPr>
    </w:p>
    <w:p>
      <w:pPr>
        <w:ind w:left="1340" w:hanging="282"/>
        <w:spacing w:after="0"/>
        <w:tabs>
          <w:tab w:leader="none" w:pos="134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94" w:lineRule="exact"/>
        <w:rPr>
          <w:sz w:val="24"/>
          <w:szCs w:val="24"/>
          <w:color w:val="auto"/>
        </w:rPr>
      </w:pPr>
    </w:p>
    <w:p>
      <w:pPr>
        <w:ind w:left="1340" w:hanging="282"/>
        <w:spacing w:after="0"/>
        <w:tabs>
          <w:tab w:leader="none" w:pos="13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78" w:lineRule="exact"/>
        <w:rPr>
          <w:sz w:val="24"/>
          <w:szCs w:val="24"/>
          <w:color w:val="auto"/>
        </w:rPr>
      </w:pPr>
    </w:p>
    <w:p>
      <w:pPr>
        <w:ind w:left="1340" w:hanging="282"/>
        <w:spacing w:after="0"/>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77" w:lineRule="exact"/>
        <w:rPr>
          <w:rFonts w:ascii="Arial" w:cs="Arial" w:eastAsia="Arial" w:hAnsi="Arial"/>
          <w:sz w:val="13"/>
          <w:szCs w:val="13"/>
          <w:color w:val="auto"/>
        </w:rPr>
      </w:pPr>
    </w:p>
    <w:p>
      <w:pPr>
        <w:ind w:left="1340" w:hanging="282"/>
        <w:spacing w:after="0"/>
        <w:tabs>
          <w:tab w:leader="none" w:pos="1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62865</wp:posOffset>
            </wp:positionV>
            <wp:extent cx="44011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01185" cy="635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48260</wp:posOffset>
            </wp:positionV>
            <wp:extent cx="44011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1185" cy="635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39" w:lineRule="exact"/>
        <w:rPr>
          <w:sz w:val="24"/>
          <w:szCs w:val="24"/>
          <w:color w:val="auto"/>
        </w:rPr>
      </w:pPr>
    </w:p>
    <w:p>
      <w:pPr>
        <w:ind w:left="1060"/>
        <w:spacing w:after="0"/>
        <w:rPr>
          <w:sz w:val="20"/>
          <w:szCs w:val="20"/>
          <w:color w:val="auto"/>
        </w:rPr>
      </w:pPr>
      <w:r>
        <w:rPr>
          <w:rFonts w:ascii="Arial" w:cs="Arial" w:eastAsia="Arial" w:hAnsi="Arial"/>
          <w:sz w:val="13"/>
          <w:szCs w:val="13"/>
          <w:color w:val="auto"/>
        </w:rPr>
        <w:t>PAYMENT OF FILING FEE (Check the appropriate box):</w:t>
      </w:r>
    </w:p>
    <w:p>
      <w:pPr>
        <w:spacing w:after="0" w:line="168" w:lineRule="exact"/>
        <w:rPr>
          <w:sz w:val="24"/>
          <w:szCs w:val="24"/>
          <w:color w:val="auto"/>
        </w:rPr>
      </w:pPr>
    </w:p>
    <w:p>
      <w:pPr>
        <w:ind w:left="1340" w:hanging="282"/>
        <w:spacing w:after="0"/>
        <w:tabs>
          <w:tab w:leader="none" w:pos="13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78" w:lineRule="exact"/>
        <w:rPr>
          <w:sz w:val="24"/>
          <w:szCs w:val="24"/>
          <w:color w:val="auto"/>
        </w:rPr>
      </w:pPr>
    </w:p>
    <w:p>
      <w:pPr>
        <w:ind w:left="1340" w:hanging="282"/>
        <w:spacing w:after="0"/>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4"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7"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8" w:lineRule="exact"/>
        <w:rPr>
          <w:rFonts w:ascii="Arial" w:cs="Arial" w:eastAsia="Arial" w:hAnsi="Arial"/>
          <w:sz w:val="13"/>
          <w:szCs w:val="13"/>
          <w:color w:val="auto"/>
        </w:rPr>
      </w:pPr>
    </w:p>
    <w:p>
      <w:pPr>
        <w:ind w:left="1640" w:right="1079" w:hanging="303"/>
        <w:spacing w:after="0" w:line="235" w:lineRule="auto"/>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78"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7"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51" w:lineRule="exact"/>
        <w:rPr>
          <w:rFonts w:ascii="Arial" w:cs="Arial" w:eastAsia="Arial" w:hAnsi="Arial"/>
          <w:sz w:val="13"/>
          <w:szCs w:val="13"/>
          <w:color w:val="auto"/>
        </w:rPr>
      </w:pPr>
    </w:p>
    <w:p>
      <w:pPr>
        <w:ind w:left="1340" w:hanging="282"/>
        <w:spacing w:after="0"/>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351" w:lineRule="exact"/>
        <w:rPr>
          <w:rFonts w:ascii="Arial" w:cs="Arial" w:eastAsia="Arial" w:hAnsi="Arial"/>
          <w:sz w:val="13"/>
          <w:szCs w:val="13"/>
          <w:color w:val="auto"/>
        </w:rPr>
      </w:pPr>
    </w:p>
    <w:p>
      <w:pPr>
        <w:ind w:left="1340" w:right="1239" w:hanging="282"/>
        <w:spacing w:after="0" w:line="234" w:lineRule="auto"/>
        <w:tabs>
          <w:tab w:leader="none" w:pos="1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7"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77"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77" w:lineRule="exact"/>
        <w:rPr>
          <w:rFonts w:ascii="Arial" w:cs="Arial" w:eastAsia="Arial" w:hAnsi="Arial"/>
          <w:sz w:val="13"/>
          <w:szCs w:val="13"/>
          <w:color w:val="auto"/>
        </w:rPr>
      </w:pPr>
    </w:p>
    <w:p>
      <w:pPr>
        <w:ind w:left="1640" w:hanging="303"/>
        <w:spacing w:after="0"/>
        <w:tabs>
          <w:tab w:leader="none" w:pos="1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118745</wp:posOffset>
            </wp:positionH>
            <wp:positionV relativeFrom="paragraph">
              <wp:posOffset>157480</wp:posOffset>
            </wp:positionV>
            <wp:extent cx="549529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95290" cy="190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-2461260</wp:posOffset>
            </wp:positionV>
            <wp:extent cx="40157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-2252980</wp:posOffset>
            </wp:positionV>
            <wp:extent cx="40157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-1953895</wp:posOffset>
            </wp:positionV>
            <wp:extent cx="40157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-1745615</wp:posOffset>
            </wp:positionV>
            <wp:extent cx="40157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-1537970</wp:posOffset>
            </wp:positionV>
            <wp:extent cx="40157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-1220470</wp:posOffset>
            </wp:positionV>
            <wp:extent cx="42113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132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-517525</wp:posOffset>
            </wp:positionV>
            <wp:extent cx="40157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-309245</wp:posOffset>
            </wp:positionV>
            <wp:extent cx="40157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-101600</wp:posOffset>
            </wp:positionV>
            <wp:extent cx="40157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5740" cy="635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105410</wp:posOffset>
            </wp:positionV>
            <wp:extent cx="40157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5740" cy="6350"/>
                    </a:xfrm>
                    <a:prstGeom prst="rect">
                      <a:avLst/>
                    </a:prstGeom>
                    <a:noFill/>
                  </pic:spPr>
                </pic:pic>
              </a:graphicData>
            </a:graphic>
          </wp:anchor>
        </w:drawing>
      </w:r>
    </w:p>
    <w:p>
      <w:pPr>
        <w:sectPr>
          <w:pgSz w:w="11900" w:h="16838" w:orient="portrait"/>
          <w:cols w:equalWidth="0" w:num="1">
            <w:col w:w="9019"/>
          </w:cols>
          <w:pgMar w:left="1440" w:top="700" w:right="1440" w:bottom="1440" w:gutter="0" w:footer="0" w:header="0"/>
          <w:type w:val="continuous"/>
        </w:sectPr>
      </w:pPr>
    </w:p>
    <w:bookmarkStart w:id="1" w:name="page2"/>
    <w:bookmarkEnd w:id="1"/>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93345</wp:posOffset>
            </wp:positionV>
            <wp:extent cx="1100455" cy="807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045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320 Park Avenue, 29</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Floor</w:t>
      </w:r>
    </w:p>
    <w:p>
      <w:pPr>
        <w:jc w:val="center"/>
        <w:ind w:right="-20"/>
        <w:spacing w:after="0" w:line="231" w:lineRule="auto"/>
        <w:rPr>
          <w:sz w:val="20"/>
          <w:szCs w:val="20"/>
          <w:color w:val="auto"/>
        </w:rPr>
      </w:pPr>
      <w:r>
        <w:rPr>
          <w:rFonts w:ascii="Arial" w:cs="Arial" w:eastAsia="Arial" w:hAnsi="Arial"/>
          <w:sz w:val="13"/>
          <w:szCs w:val="13"/>
          <w:b w:val="1"/>
          <w:bCs w:val="1"/>
          <w:color w:val="auto"/>
        </w:rPr>
        <w:t>New York, New York 10022</w:t>
      </w:r>
    </w:p>
    <w:p>
      <w:pPr>
        <w:jc w:val="center"/>
        <w:ind w:right="-20"/>
        <w:spacing w:after="0"/>
        <w:rPr>
          <w:sz w:val="20"/>
          <w:szCs w:val="20"/>
          <w:color w:val="auto"/>
        </w:rPr>
      </w:pPr>
      <w:r>
        <w:rPr>
          <w:rFonts w:ascii="Arial" w:cs="Arial" w:eastAsia="Arial" w:hAnsi="Arial"/>
          <w:sz w:val="13"/>
          <w:szCs w:val="13"/>
          <w:b w:val="1"/>
          <w:bCs w:val="1"/>
          <w:color w:val="auto"/>
        </w:rPr>
        <w:t>(212) 277-7100</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April 26, 2019</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Dear Stockholder:</w:t>
      </w:r>
    </w:p>
    <w:p>
      <w:pPr>
        <w:spacing w:after="0" w:line="149"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On behalf of the board of directors of ExlService Holdings, Inc., we are pleased to invite you to the 2019 Annual Meeting of Stockholders, which will be held on June 17, 2019 in New York, New York.</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Pursuant to rules promulgated by the Securities and Exchange Commission, we are providing access to our proxy materials over the Internet. On or about April 26, 2019, we will mail a Notice of Internet Availability of Proxy Materials (the "Internet Notice") to each of our stockholders of record and beneficial owners at the close of business on April 18, 2019,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board of directors and management look forward to seeing you at the Annual Meeting.</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105410</wp:posOffset>
            </wp:positionV>
            <wp:extent cx="1173480" cy="537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3480" cy="53784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105410</wp:posOffset>
            </wp:positionV>
            <wp:extent cx="770255" cy="458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025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960" w:type="dxa"/>
            <w:vAlign w:val="bottom"/>
          </w:tcPr>
          <w:p>
            <w:pPr>
              <w:ind w:left="1040"/>
              <w:spacing w:after="0"/>
              <w:rPr>
                <w:sz w:val="20"/>
                <w:szCs w:val="20"/>
                <w:color w:val="auto"/>
              </w:rPr>
            </w:pPr>
            <w:r>
              <w:rPr>
                <w:rFonts w:ascii="Arial" w:cs="Arial" w:eastAsia="Arial" w:hAnsi="Arial"/>
                <w:sz w:val="13"/>
                <w:szCs w:val="13"/>
                <w:color w:val="auto"/>
              </w:rPr>
              <w:t>Garen K. Staglin</w:t>
            </w:r>
          </w:p>
        </w:tc>
        <w:tc>
          <w:tcPr>
            <w:tcW w:w="4680" w:type="dxa"/>
            <w:vAlign w:val="bottom"/>
          </w:tcPr>
          <w:p>
            <w:pPr>
              <w:ind w:left="2000"/>
              <w:spacing w:after="0"/>
              <w:rPr>
                <w:sz w:val="20"/>
                <w:szCs w:val="20"/>
                <w:color w:val="auto"/>
              </w:rPr>
            </w:pPr>
            <w:r>
              <w:rPr>
                <w:rFonts w:ascii="Arial" w:cs="Arial" w:eastAsia="Arial" w:hAnsi="Arial"/>
                <w:sz w:val="13"/>
                <w:szCs w:val="13"/>
                <w:color w:val="auto"/>
              </w:rPr>
              <w:t>Rohit Kapoor</w:t>
            </w:r>
          </w:p>
        </w:tc>
      </w:tr>
      <w:tr>
        <w:trPr>
          <w:trHeight w:val="149"/>
        </w:trPr>
        <w:tc>
          <w:tcPr>
            <w:tcW w:w="3960" w:type="dxa"/>
            <w:vAlign w:val="bottom"/>
          </w:tcPr>
          <w:p>
            <w:pPr>
              <w:ind w:left="1040"/>
              <w:spacing w:after="0"/>
              <w:rPr>
                <w:sz w:val="20"/>
                <w:szCs w:val="20"/>
                <w:color w:val="auto"/>
              </w:rPr>
            </w:pPr>
            <w:r>
              <w:rPr>
                <w:rFonts w:ascii="Arial" w:cs="Arial" w:eastAsia="Arial" w:hAnsi="Arial"/>
                <w:sz w:val="13"/>
                <w:szCs w:val="13"/>
                <w:color w:val="auto"/>
              </w:rPr>
              <w:t>Chairman</w:t>
            </w:r>
          </w:p>
        </w:tc>
        <w:tc>
          <w:tcPr>
            <w:tcW w:w="4680" w:type="dxa"/>
            <w:vAlign w:val="bottom"/>
          </w:tcPr>
          <w:p>
            <w:pPr>
              <w:ind w:left="2000"/>
              <w:spacing w:after="0"/>
              <w:rPr>
                <w:sz w:val="20"/>
                <w:szCs w:val="20"/>
                <w:color w:val="auto"/>
              </w:rPr>
            </w:pPr>
            <w:r>
              <w:rPr>
                <w:rFonts w:ascii="Arial" w:cs="Arial" w:eastAsia="Arial" w:hAnsi="Arial"/>
                <w:sz w:val="13"/>
                <w:szCs w:val="13"/>
                <w:color w:val="auto"/>
              </w:rPr>
              <w:t>Vice Chairman and CEO</w:t>
            </w:r>
          </w:p>
        </w:tc>
      </w:tr>
      <w:tr>
        <w:trPr>
          <w:trHeight w:val="74"/>
        </w:trPr>
        <w:tc>
          <w:tcPr>
            <w:tcW w:w="3960" w:type="dxa"/>
            <w:vAlign w:val="bottom"/>
            <w:tcBorders>
              <w:bottom w:val="single" w:sz="8" w:color="808080"/>
            </w:tcBorders>
          </w:tcPr>
          <w:p>
            <w:pPr>
              <w:spacing w:after="0"/>
              <w:rPr>
                <w:sz w:val="6"/>
                <w:szCs w:val="6"/>
                <w:color w:val="auto"/>
              </w:rPr>
            </w:pPr>
          </w:p>
        </w:tc>
        <w:tc>
          <w:tcPr>
            <w:tcW w:w="46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2" w:name="page3"/>
    <w:bookmarkEnd w:id="2"/>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93345</wp:posOffset>
            </wp:positionV>
            <wp:extent cx="1100455" cy="807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045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F79646"/>
        </w:rPr>
        <w:t>NOTICE OF 2019 ANNUAL MEETING OF STOCKHOLDERS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Dear Stockholder:</w:t>
      </w:r>
    </w:p>
    <w:p>
      <w:pPr>
        <w:spacing w:after="0" w:line="149" w:lineRule="exact"/>
        <w:rPr>
          <w:sz w:val="20"/>
          <w:szCs w:val="20"/>
          <w:color w:val="auto"/>
        </w:rPr>
      </w:pPr>
    </w:p>
    <w:p>
      <w:pPr>
        <w:jc w:val="both"/>
        <w:ind w:left="200" w:right="179"/>
        <w:spacing w:after="0" w:line="211" w:lineRule="auto"/>
        <w:rPr>
          <w:sz w:val="20"/>
          <w:szCs w:val="20"/>
          <w:color w:val="auto"/>
        </w:rPr>
      </w:pPr>
      <w:r>
        <w:rPr>
          <w:rFonts w:ascii="Arial" w:cs="Arial" w:eastAsia="Arial" w:hAnsi="Arial"/>
          <w:sz w:val="13"/>
          <w:szCs w:val="13"/>
          <w:color w:val="auto"/>
        </w:rPr>
        <w:t>You are cordially invited to the 2019 Annual Meeting of Stockholders of ExlService Holdings, Inc., a Delaware corporation (the "Company"). The Annual Meeting will be held at the New York offices of the Company, 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New York 10022 on June 17, 2019 at 8:30 AM, Eastern Time, for the purposes of voting on the following matters:</w:t>
      </w:r>
    </w:p>
    <w:p>
      <w:pPr>
        <w:spacing w:after="0" w:line="151" w:lineRule="exact"/>
        <w:rPr>
          <w:sz w:val="20"/>
          <w:szCs w:val="20"/>
          <w:color w:val="auto"/>
        </w:rPr>
      </w:pPr>
    </w:p>
    <w:p>
      <w:pPr>
        <w:ind w:left="960" w:right="199" w:hanging="381"/>
        <w:spacing w:after="0" w:line="235" w:lineRule="auto"/>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amendment of the Company's amended and restated certificate of incorporation to effect a phased declassification of the board of directors over the next three years;</w:t>
      </w:r>
    </w:p>
    <w:p>
      <w:pPr>
        <w:spacing w:after="0" w:line="149" w:lineRule="exact"/>
        <w:rPr>
          <w:rFonts w:ascii="Arial" w:cs="Arial" w:eastAsia="Arial" w:hAnsi="Arial"/>
          <w:sz w:val="13"/>
          <w:szCs w:val="13"/>
          <w:color w:val="auto"/>
        </w:rPr>
      </w:pPr>
    </w:p>
    <w:p>
      <w:pPr>
        <w:ind w:left="960" w:hanging="381"/>
        <w:spacing w:after="0"/>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election of three Class I members of the board of directors of the Company;</w:t>
      </w:r>
    </w:p>
    <w:p>
      <w:pPr>
        <w:spacing w:after="0" w:line="139" w:lineRule="exact"/>
        <w:rPr>
          <w:rFonts w:ascii="Arial" w:cs="Arial" w:eastAsia="Arial" w:hAnsi="Arial"/>
          <w:sz w:val="13"/>
          <w:szCs w:val="13"/>
          <w:color w:val="auto"/>
        </w:rPr>
      </w:pPr>
    </w:p>
    <w:p>
      <w:pPr>
        <w:ind w:left="960" w:right="179" w:hanging="381"/>
        <w:spacing w:after="0" w:line="235" w:lineRule="auto"/>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ratification of the appointment of Deloitte &amp; Touche LLP as the independent registered public accounting firm of the Company for fiscal year 2019;</w:t>
      </w:r>
    </w:p>
    <w:p>
      <w:pPr>
        <w:spacing w:after="0" w:line="140" w:lineRule="exact"/>
        <w:rPr>
          <w:rFonts w:ascii="Arial" w:cs="Arial" w:eastAsia="Arial" w:hAnsi="Arial"/>
          <w:sz w:val="13"/>
          <w:szCs w:val="13"/>
          <w:color w:val="auto"/>
        </w:rPr>
      </w:pPr>
    </w:p>
    <w:p>
      <w:pPr>
        <w:ind w:left="960" w:hanging="381"/>
        <w:spacing w:after="0"/>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approval, on a non-binding advisory basis, of the compensation of the named executive officers of the Company; and</w:t>
      </w:r>
    </w:p>
    <w:p>
      <w:pPr>
        <w:spacing w:after="0" w:line="148" w:lineRule="exact"/>
        <w:rPr>
          <w:rFonts w:ascii="Arial" w:cs="Arial" w:eastAsia="Arial" w:hAnsi="Arial"/>
          <w:sz w:val="13"/>
          <w:szCs w:val="13"/>
          <w:color w:val="auto"/>
        </w:rPr>
      </w:pPr>
    </w:p>
    <w:p>
      <w:pPr>
        <w:ind w:left="960" w:hanging="381"/>
        <w:spacing w:after="0"/>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transaction of such other business as may properly come before the Annual Meeting or any adjournment or postponement thereof.</w:t>
      </w:r>
    </w:p>
    <w:p>
      <w:pPr>
        <w:spacing w:after="0" w:line="149" w:lineRule="exact"/>
        <w:rPr>
          <w:sz w:val="20"/>
          <w:szCs w:val="20"/>
          <w:color w:val="auto"/>
        </w:rPr>
      </w:pPr>
    </w:p>
    <w:p>
      <w:pPr>
        <w:jc w:val="both"/>
        <w:ind w:left="200" w:right="179"/>
        <w:spacing w:after="0" w:line="273" w:lineRule="auto"/>
        <w:rPr>
          <w:sz w:val="20"/>
          <w:szCs w:val="20"/>
          <w:color w:val="auto"/>
        </w:rPr>
      </w:pPr>
      <w:r>
        <w:rPr>
          <w:rFonts w:ascii="Arial" w:cs="Arial" w:eastAsia="Arial" w:hAnsi="Arial"/>
          <w:sz w:val="11"/>
          <w:szCs w:val="11"/>
          <w:color w:val="auto"/>
        </w:rPr>
        <w:t>If you are a stockholder of record at the close of business on April 18, 2019, you are entitled to vote at the Annual Meeting. A list of stockholders as of the record date will be available for examination for any purpose germane to the Annual Meeting, during ordinary business hours, at the Company's executive</w:t>
      </w:r>
    </w:p>
    <w:p>
      <w:pPr>
        <w:spacing w:after="0" w:line="1" w:lineRule="exact"/>
        <w:rPr>
          <w:sz w:val="20"/>
          <w:szCs w:val="20"/>
          <w:color w:val="auto"/>
        </w:rPr>
      </w:pPr>
    </w:p>
    <w:p>
      <w:pPr>
        <w:jc w:val="both"/>
        <w:ind w:left="200" w:right="179"/>
        <w:spacing w:after="0" w:line="226" w:lineRule="auto"/>
        <w:rPr>
          <w:sz w:val="20"/>
          <w:szCs w:val="20"/>
          <w:color w:val="auto"/>
        </w:rPr>
      </w:pPr>
      <w:r>
        <w:rPr>
          <w:rFonts w:ascii="Arial" w:cs="Arial" w:eastAsia="Arial" w:hAnsi="Arial"/>
          <w:sz w:val="12"/>
          <w:szCs w:val="12"/>
          <w:color w:val="auto"/>
        </w:rPr>
        <w:t>offices at 320 Park Avenue,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New York 10022, for a period of 10 days prior to the date of the Annual Meeting and at the Annual Meeting itself. </w:t>
      </w:r>
      <w:r>
        <w:rPr>
          <w:rFonts w:ascii="Arial" w:cs="Arial" w:eastAsia="Arial" w:hAnsi="Arial"/>
          <w:sz w:val="12"/>
          <w:szCs w:val="12"/>
          <w:b w:val="1"/>
          <w:bCs w:val="1"/>
          <w:color w:val="auto"/>
        </w:rPr>
        <w:t>Please note that there are identification, verification of ownership and other requirements for in-person attendance at the Annual</w:t>
      </w:r>
      <w:r>
        <w:rPr>
          <w:rFonts w:ascii="Arial" w:cs="Arial" w:eastAsia="Arial" w:hAnsi="Arial"/>
          <w:sz w:val="12"/>
          <w:szCs w:val="12"/>
          <w:color w:val="auto"/>
        </w:rPr>
        <w:t xml:space="preserve"> </w:t>
      </w:r>
      <w:r>
        <w:rPr>
          <w:rFonts w:ascii="Arial" w:cs="Arial" w:eastAsia="Arial" w:hAnsi="Arial"/>
          <w:sz w:val="12"/>
          <w:szCs w:val="12"/>
          <w:b w:val="1"/>
          <w:bCs w:val="1"/>
          <w:color w:val="auto"/>
        </w:rPr>
        <w:t>Meeting, as described in the enclosed Proxy Statement beginning on page 7 under the heading "Information Concerning Voting and Solicitation."</w:t>
      </w:r>
    </w:p>
    <w:p>
      <w:pPr>
        <w:spacing w:after="0" w:line="151"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326" w:lineRule="exact"/>
        <w:rPr>
          <w:sz w:val="20"/>
          <w:szCs w:val="20"/>
          <w:color w:val="auto"/>
        </w:rPr>
      </w:pPr>
    </w:p>
    <w:p>
      <w:pPr>
        <w:ind w:left="624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105410</wp:posOffset>
            </wp:positionV>
            <wp:extent cx="1393825" cy="482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3825" cy="48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40"/>
        <w:spacing w:after="0"/>
        <w:rPr>
          <w:sz w:val="20"/>
          <w:szCs w:val="20"/>
          <w:color w:val="auto"/>
        </w:rPr>
      </w:pPr>
      <w:r>
        <w:rPr>
          <w:rFonts w:ascii="Arial" w:cs="Arial" w:eastAsia="Arial" w:hAnsi="Arial"/>
          <w:sz w:val="13"/>
          <w:szCs w:val="13"/>
          <w:color w:val="auto"/>
        </w:rPr>
        <w:t>Ajay Ayyappan</w:t>
      </w:r>
    </w:p>
    <w:p>
      <w:pPr>
        <w:ind w:left="6240"/>
        <w:spacing w:after="0" w:line="231" w:lineRule="auto"/>
        <w:rPr>
          <w:sz w:val="20"/>
          <w:szCs w:val="20"/>
          <w:color w:val="auto"/>
        </w:rPr>
      </w:pPr>
      <w:r>
        <w:rPr>
          <w:rFonts w:ascii="Arial" w:cs="Arial" w:eastAsia="Arial" w:hAnsi="Arial"/>
          <w:sz w:val="13"/>
          <w:szCs w:val="13"/>
          <w:color w:val="auto"/>
        </w:rPr>
        <w:t>Senior Vice President,</w:t>
      </w:r>
    </w:p>
    <w:p>
      <w:pPr>
        <w:ind w:left="6240"/>
        <w:spacing w:after="0"/>
        <w:rPr>
          <w:sz w:val="20"/>
          <w:szCs w:val="20"/>
          <w:color w:val="auto"/>
        </w:rPr>
      </w:pPr>
      <w:r>
        <w:rPr>
          <w:rFonts w:ascii="Arial" w:cs="Arial" w:eastAsia="Arial" w:hAnsi="Arial"/>
          <w:sz w:val="13"/>
          <w:szCs w:val="13"/>
          <w:color w:val="auto"/>
        </w:rPr>
        <w:t>General Counsel and Corporate Secretary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New York, New York</w:t>
      </w:r>
    </w:p>
    <w:p>
      <w:pPr>
        <w:ind w:left="200"/>
        <w:spacing w:after="0"/>
        <w:rPr>
          <w:sz w:val="20"/>
          <w:szCs w:val="20"/>
          <w:color w:val="auto"/>
        </w:rPr>
      </w:pPr>
      <w:r>
        <w:rPr>
          <w:rFonts w:ascii="Arial" w:cs="Arial" w:eastAsia="Arial" w:hAnsi="Arial"/>
          <w:sz w:val="13"/>
          <w:szCs w:val="13"/>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89535</wp:posOffset>
            </wp:positionV>
            <wp:extent cx="549529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23"/>
        </w:trPr>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0"/>
                <w:szCs w:val="10"/>
                <w:color w:val="auto"/>
              </w:rPr>
              <w:t>Page</w:t>
            </w:r>
          </w:p>
        </w:tc>
      </w:tr>
      <w:tr>
        <w:trPr>
          <w:trHeight w:val="123"/>
        </w:trPr>
        <w:tc>
          <w:tcPr>
            <w:tcW w:w="860" w:type="dxa"/>
            <w:vAlign w:val="bottom"/>
          </w:tcPr>
          <w:p>
            <w:pPr>
              <w:spacing w:after="0"/>
              <w:rPr>
                <w:sz w:val="10"/>
                <w:szCs w:val="10"/>
                <w:color w:val="auto"/>
              </w:rPr>
            </w:pPr>
          </w:p>
        </w:tc>
        <w:tc>
          <w:tcPr>
            <w:tcW w:w="2200" w:type="dxa"/>
            <w:vAlign w:val="bottom"/>
            <w:tcBorders>
              <w:bottom w:val="single" w:sz="8" w:color="0000EE"/>
            </w:tcBorders>
            <w:gridSpan w:val="8"/>
          </w:tcPr>
          <w:p>
            <w:pPr>
              <w:spacing w:after="0" w:line="123" w:lineRule="exact"/>
              <w:rPr>
                <w:rFonts w:ascii="Arial" w:cs="Arial" w:eastAsia="Arial" w:hAnsi="Arial"/>
                <w:sz w:val="13"/>
                <w:szCs w:val="13"/>
                <w:color w:val="0000EE"/>
                <w:w w:val="94"/>
              </w:rPr>
            </w:pPr>
            <w:hyperlink w:anchor="page4">
              <w:r>
                <w:rPr>
                  <w:rFonts w:ascii="Arial" w:cs="Arial" w:eastAsia="Arial" w:hAnsi="Arial"/>
                  <w:sz w:val="13"/>
                  <w:szCs w:val="13"/>
                  <w:color w:val="0000EE"/>
                  <w:w w:val="94"/>
                </w:rPr>
                <w:t>2019 PROXY STATEMENT SUMMARY</w:t>
              </w:r>
            </w:hyperlink>
          </w:p>
        </w:tc>
        <w:tc>
          <w:tcPr>
            <w:tcW w:w="4340" w:type="dxa"/>
            <w:vAlign w:val="bottom"/>
            <w:gridSpan w:val="11"/>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0000EE"/>
            </w:tcBorders>
          </w:tcPr>
          <w:p>
            <w:pPr>
              <w:jc w:val="right"/>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1</w:t>
              </w:r>
            </w:hyperlink>
          </w:p>
        </w:tc>
        <w:tc>
          <w:tcPr>
            <w:tcW w:w="880" w:type="dxa"/>
            <w:vAlign w:val="bottom"/>
          </w:tcPr>
          <w:p>
            <w:pPr>
              <w:spacing w:after="0"/>
              <w:rPr>
                <w:sz w:val="10"/>
                <w:szCs w:val="10"/>
                <w:color w:val="auto"/>
              </w:rPr>
            </w:pPr>
          </w:p>
        </w:tc>
      </w:tr>
      <w:tr>
        <w:trPr>
          <w:trHeight w:val="278"/>
        </w:trPr>
        <w:tc>
          <w:tcPr>
            <w:tcW w:w="860" w:type="dxa"/>
            <w:vAlign w:val="bottom"/>
          </w:tcPr>
          <w:p>
            <w:pPr>
              <w:spacing w:after="0"/>
              <w:rPr>
                <w:sz w:val="24"/>
                <w:szCs w:val="24"/>
                <w:color w:val="auto"/>
              </w:rPr>
            </w:pPr>
          </w:p>
        </w:tc>
        <w:tc>
          <w:tcPr>
            <w:tcW w:w="3460" w:type="dxa"/>
            <w:vAlign w:val="bottom"/>
            <w:tcBorders>
              <w:bottom w:val="single" w:sz="8" w:color="0000EE"/>
            </w:tcBorders>
            <w:gridSpan w:val="11"/>
          </w:tcPr>
          <w:p>
            <w:pPr>
              <w:spacing w:after="0"/>
              <w:rPr>
                <w:rFonts w:ascii="Arial" w:cs="Arial" w:eastAsia="Arial" w:hAnsi="Arial"/>
                <w:sz w:val="13"/>
                <w:szCs w:val="13"/>
                <w:color w:val="0000EE"/>
                <w:w w:val="95"/>
              </w:rPr>
            </w:pPr>
            <w:hyperlink w:anchor="page8">
              <w:r>
                <w:rPr>
                  <w:rFonts w:ascii="Arial" w:cs="Arial" w:eastAsia="Arial" w:hAnsi="Arial"/>
                  <w:sz w:val="13"/>
                  <w:szCs w:val="13"/>
                  <w:color w:val="0000EE"/>
                  <w:w w:val="95"/>
                </w:rPr>
                <w:t>INFORMATION CONCERNING VOTING AND SOLICITATION</w:t>
              </w:r>
            </w:hyperlink>
          </w:p>
        </w:tc>
        <w:tc>
          <w:tcPr>
            <w:tcW w:w="308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w:anchor="page8">
              <w:r>
                <w:rPr>
                  <w:rFonts w:ascii="Arial" w:cs="Arial" w:eastAsia="Arial" w:hAnsi="Arial"/>
                  <w:sz w:val="10"/>
                  <w:szCs w:val="10"/>
                  <w:color w:val="0000EE"/>
                  <w:w w:val="71"/>
                </w:rPr>
                <w:t>7</w:t>
              </w:r>
            </w:hyperlink>
          </w:p>
        </w:tc>
        <w:tc>
          <w:tcPr>
            <w:tcW w:w="880" w:type="dxa"/>
            <w:vAlign w:val="bottom"/>
          </w:tcPr>
          <w:p>
            <w:pPr>
              <w:spacing w:after="0"/>
              <w:rPr>
                <w:sz w:val="24"/>
                <w:szCs w:val="24"/>
                <w:color w:val="auto"/>
              </w:rPr>
            </w:pPr>
          </w:p>
        </w:tc>
      </w:tr>
      <w:tr>
        <w:trPr>
          <w:trHeight w:val="278"/>
        </w:trPr>
        <w:tc>
          <w:tcPr>
            <w:tcW w:w="860" w:type="dxa"/>
            <w:vAlign w:val="bottom"/>
          </w:tcPr>
          <w:p>
            <w:pPr>
              <w:spacing w:after="0"/>
              <w:rPr>
                <w:sz w:val="24"/>
                <w:szCs w:val="24"/>
                <w:color w:val="auto"/>
              </w:rPr>
            </w:pPr>
          </w:p>
        </w:tc>
        <w:tc>
          <w:tcPr>
            <w:tcW w:w="1680" w:type="dxa"/>
            <w:vAlign w:val="bottom"/>
            <w:gridSpan w:val="5"/>
          </w:tcPr>
          <w:p>
            <w:pPr>
              <w:spacing w:after="0"/>
              <w:rPr>
                <w:rFonts w:ascii="Arial" w:cs="Arial" w:eastAsia="Arial" w:hAnsi="Arial"/>
                <w:sz w:val="13"/>
                <w:szCs w:val="13"/>
                <w:color w:val="0000EE"/>
                <w:w w:val="90"/>
              </w:rPr>
            </w:pPr>
            <w:hyperlink w:anchor="page10">
              <w:r>
                <w:rPr>
                  <w:rFonts w:ascii="Arial" w:cs="Arial" w:eastAsia="Arial" w:hAnsi="Arial"/>
                  <w:sz w:val="13"/>
                  <w:szCs w:val="13"/>
                  <w:color w:val="0000EE"/>
                  <w:w w:val="90"/>
                </w:rPr>
                <w:t>OUR BOARD OF DIRECTORS</w:t>
              </w:r>
            </w:hyperlink>
          </w:p>
        </w:tc>
        <w:tc>
          <w:tcPr>
            <w:tcW w:w="4860" w:type="dxa"/>
            <w:vAlign w:val="bottom"/>
            <w:gridSpan w:val="14"/>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10">
              <w:r>
                <w:rPr>
                  <w:rFonts w:ascii="Arial" w:cs="Arial" w:eastAsia="Arial" w:hAnsi="Arial"/>
                  <w:sz w:val="13"/>
                  <w:szCs w:val="13"/>
                  <w:color w:val="0000EE"/>
                </w:rPr>
                <w:t>11</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680" w:type="dxa"/>
            <w:vAlign w:val="bottom"/>
            <w:gridSpan w:val="5"/>
          </w:tcPr>
          <w:p>
            <w:pPr>
              <w:spacing w:after="0"/>
              <w:rPr>
                <w:rFonts w:ascii="Arial" w:cs="Arial" w:eastAsia="Arial" w:hAnsi="Arial"/>
                <w:sz w:val="13"/>
                <w:szCs w:val="13"/>
                <w:color w:val="0000EE"/>
                <w:w w:val="91"/>
              </w:rPr>
            </w:pPr>
            <w:hyperlink w:anchor="page16">
              <w:r>
                <w:rPr>
                  <w:rFonts w:ascii="Arial" w:cs="Arial" w:eastAsia="Arial" w:hAnsi="Arial"/>
                  <w:sz w:val="13"/>
                  <w:szCs w:val="13"/>
                  <w:color w:val="0000EE"/>
                  <w:w w:val="91"/>
                </w:rPr>
                <w:t>CORPORATE GOVERNANCE</w:t>
              </w:r>
            </w:hyperlink>
          </w:p>
        </w:tc>
        <w:tc>
          <w:tcPr>
            <w:tcW w:w="4860" w:type="dxa"/>
            <w:vAlign w:val="bottom"/>
            <w:gridSpan w:val="14"/>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16">
              <w:r>
                <w:rPr>
                  <w:rFonts w:ascii="Arial" w:cs="Arial" w:eastAsia="Arial" w:hAnsi="Arial"/>
                  <w:sz w:val="13"/>
                  <w:szCs w:val="13"/>
                  <w:color w:val="0000EE"/>
                </w:rPr>
                <w:t>24</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680" w:type="dxa"/>
            <w:vAlign w:val="bottom"/>
            <w:gridSpan w:val="5"/>
          </w:tcPr>
          <w:p>
            <w:pPr>
              <w:spacing w:after="0"/>
              <w:rPr>
                <w:rFonts w:ascii="Arial" w:cs="Arial" w:eastAsia="Arial" w:hAnsi="Arial"/>
                <w:sz w:val="13"/>
                <w:szCs w:val="13"/>
                <w:color w:val="0000EE"/>
                <w:w w:val="93"/>
              </w:rPr>
            </w:pPr>
            <w:hyperlink w:anchor="page19">
              <w:r>
                <w:rPr>
                  <w:rFonts w:ascii="Arial" w:cs="Arial" w:eastAsia="Arial" w:hAnsi="Arial"/>
                  <w:sz w:val="13"/>
                  <w:szCs w:val="13"/>
                  <w:color w:val="0000EE"/>
                  <w:w w:val="93"/>
                </w:rPr>
                <w:t>OUR EXECUTIVE OFFICERS</w:t>
              </w:r>
            </w:hyperlink>
          </w:p>
        </w:tc>
        <w:tc>
          <w:tcPr>
            <w:tcW w:w="4860" w:type="dxa"/>
            <w:vAlign w:val="bottom"/>
            <w:gridSpan w:val="14"/>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19">
              <w:r>
                <w:rPr>
                  <w:rFonts w:ascii="Arial" w:cs="Arial" w:eastAsia="Arial" w:hAnsi="Arial"/>
                  <w:sz w:val="13"/>
                  <w:szCs w:val="13"/>
                  <w:color w:val="0000EE"/>
                </w:rPr>
                <w:t>31</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6540" w:type="dxa"/>
            <w:vAlign w:val="bottom"/>
            <w:gridSpan w:val="19"/>
          </w:tcPr>
          <w:p>
            <w:pPr>
              <w:spacing w:after="0"/>
              <w:rPr>
                <w:rFonts w:ascii="Arial" w:cs="Arial" w:eastAsia="Arial" w:hAnsi="Arial"/>
                <w:sz w:val="13"/>
                <w:szCs w:val="13"/>
                <w:color w:val="0000EE"/>
              </w:rPr>
            </w:pPr>
            <w:hyperlink w:anchor="page20">
              <w:r>
                <w:rPr>
                  <w:rFonts w:ascii="Arial" w:cs="Arial" w:eastAsia="Arial" w:hAnsi="Arial"/>
                  <w:sz w:val="13"/>
                  <w:szCs w:val="13"/>
                  <w:color w:val="0000EE"/>
                </w:rPr>
                <w:t>EXECUTIVE COMPENSATION</w:t>
              </w:r>
            </w:hyperlink>
          </w:p>
        </w:tc>
        <w:tc>
          <w:tcPr>
            <w:tcW w:w="360" w:type="dxa"/>
            <w:vAlign w:val="bottom"/>
            <w:gridSpan w:val="2"/>
          </w:tcPr>
          <w:p>
            <w:pPr>
              <w:jc w:val="right"/>
              <w:spacing w:after="0"/>
              <w:rPr>
                <w:rFonts w:ascii="Arial" w:cs="Arial" w:eastAsia="Arial" w:hAnsi="Arial"/>
                <w:sz w:val="13"/>
                <w:szCs w:val="13"/>
                <w:color w:val="0000EE"/>
              </w:rPr>
            </w:pPr>
            <w:hyperlink w:anchor="page20">
              <w:r>
                <w:rPr>
                  <w:rFonts w:ascii="Arial" w:cs="Arial" w:eastAsia="Arial" w:hAnsi="Arial"/>
                  <w:sz w:val="13"/>
                  <w:szCs w:val="13"/>
                  <w:color w:val="0000EE"/>
                </w:rPr>
                <w:t>33</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spacing w:after="0"/>
              <w:rPr>
                <w:rFonts w:ascii="Arial" w:cs="Arial" w:eastAsia="Arial" w:hAnsi="Arial"/>
                <w:sz w:val="13"/>
                <w:szCs w:val="13"/>
                <w:color w:val="0000EE"/>
                <w:w w:val="96"/>
              </w:rPr>
            </w:pPr>
            <w:hyperlink w:anchor="page20">
              <w:r>
                <w:rPr>
                  <w:rFonts w:ascii="Arial" w:cs="Arial" w:eastAsia="Arial" w:hAnsi="Arial"/>
                  <w:sz w:val="13"/>
                  <w:szCs w:val="13"/>
                  <w:color w:val="0000EE"/>
                  <w:w w:val="96"/>
                </w:rPr>
                <w:t>Compensation, Discussion and Analysis</w:t>
              </w:r>
            </w:hyperlink>
          </w:p>
        </w:tc>
        <w:tc>
          <w:tcPr>
            <w:tcW w:w="4180" w:type="dxa"/>
            <w:vAlign w:val="bottom"/>
            <w:gridSpan w:val="10"/>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20">
              <w:r>
                <w:rPr>
                  <w:rFonts w:ascii="Arial" w:cs="Arial" w:eastAsia="Arial" w:hAnsi="Arial"/>
                  <w:sz w:val="13"/>
                  <w:szCs w:val="13"/>
                  <w:color w:val="0000EE"/>
                </w:rPr>
                <w:t>33</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Compensation Committee Report</w:t>
              </w:r>
            </w:hyperlink>
          </w:p>
        </w:tc>
        <w:tc>
          <w:tcPr>
            <w:tcW w:w="4180" w:type="dxa"/>
            <w:vAlign w:val="bottom"/>
            <w:gridSpan w:val="10"/>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28">
              <w:r>
                <w:rPr>
                  <w:rFonts w:ascii="Arial" w:cs="Arial" w:eastAsia="Arial" w:hAnsi="Arial"/>
                  <w:sz w:val="13"/>
                  <w:szCs w:val="13"/>
                  <w:color w:val="0000EE"/>
                </w:rPr>
                <w:t>49</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spacing w:after="0"/>
              <w:rPr>
                <w:rFonts w:ascii="Arial" w:cs="Arial" w:eastAsia="Arial" w:hAnsi="Arial"/>
                <w:sz w:val="13"/>
                <w:szCs w:val="13"/>
                <w:color w:val="0000EE"/>
                <w:w w:val="94"/>
              </w:rPr>
            </w:pPr>
            <w:hyperlink w:anchor="page29">
              <w:r>
                <w:rPr>
                  <w:rFonts w:ascii="Arial" w:cs="Arial" w:eastAsia="Arial" w:hAnsi="Arial"/>
                  <w:sz w:val="13"/>
                  <w:szCs w:val="13"/>
                  <w:color w:val="0000EE"/>
                  <w:w w:val="94"/>
                </w:rPr>
                <w:t>Summary Compensation Table</w:t>
              </w:r>
            </w:hyperlink>
          </w:p>
        </w:tc>
        <w:tc>
          <w:tcPr>
            <w:tcW w:w="140" w:type="dxa"/>
            <w:vAlign w:val="bottom"/>
          </w:tcPr>
          <w:p>
            <w:pPr>
              <w:spacing w:after="0"/>
              <w:rPr>
                <w:sz w:val="24"/>
                <w:szCs w:val="24"/>
                <w:color w:val="auto"/>
              </w:rPr>
            </w:pPr>
          </w:p>
        </w:tc>
        <w:tc>
          <w:tcPr>
            <w:tcW w:w="4560" w:type="dxa"/>
            <w:vAlign w:val="bottom"/>
            <w:gridSpan w:val="12"/>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29">
              <w:r>
                <w:rPr>
                  <w:rFonts w:ascii="Arial" w:cs="Arial" w:eastAsia="Arial" w:hAnsi="Arial"/>
                  <w:sz w:val="13"/>
                  <w:szCs w:val="13"/>
                  <w:color w:val="0000EE"/>
                </w:rPr>
                <w:t>50</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5900" w:type="dxa"/>
            <w:vAlign w:val="bottom"/>
            <w:gridSpan w:val="16"/>
          </w:tcPr>
          <w:p>
            <w:pPr>
              <w:spacing w:after="0"/>
              <w:rPr>
                <w:rFonts w:ascii="Arial" w:cs="Arial" w:eastAsia="Arial" w:hAnsi="Arial"/>
                <w:sz w:val="13"/>
                <w:szCs w:val="13"/>
                <w:color w:val="0000EE"/>
                <w:w w:val="95"/>
              </w:rPr>
            </w:pPr>
            <w:hyperlink w:anchor="page39">
              <w:r>
                <w:rPr>
                  <w:rFonts w:ascii="Arial" w:cs="Arial" w:eastAsia="Arial" w:hAnsi="Arial"/>
                  <w:sz w:val="13"/>
                  <w:szCs w:val="13"/>
                  <w:color w:val="0000EE"/>
                  <w:w w:val="95"/>
                </w:rPr>
                <w:t>STOCK OWNERSHIP OF DIRECTORS, EXECUTIVE OFFICERS AND CERTAIN BENEFICIAL OWNERS</w:t>
              </w:r>
            </w:hyperlink>
          </w:p>
        </w:tc>
        <w:tc>
          <w:tcPr>
            <w:tcW w:w="640" w:type="dxa"/>
            <w:vAlign w:val="bottom"/>
            <w:gridSpan w:val="3"/>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39">
              <w:r>
                <w:rPr>
                  <w:rFonts w:ascii="Arial" w:cs="Arial" w:eastAsia="Arial" w:hAnsi="Arial"/>
                  <w:sz w:val="13"/>
                  <w:szCs w:val="13"/>
                  <w:color w:val="0000EE"/>
                </w:rPr>
                <w:t>68</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5900" w:type="dxa"/>
            <w:vAlign w:val="bottom"/>
            <w:gridSpan w:val="16"/>
          </w:tcPr>
          <w:p>
            <w:pPr>
              <w:spacing w:after="0"/>
              <w:rPr>
                <w:rFonts w:ascii="Arial" w:cs="Arial" w:eastAsia="Arial" w:hAnsi="Arial"/>
                <w:sz w:val="13"/>
                <w:szCs w:val="13"/>
                <w:color w:val="0000EE"/>
              </w:rPr>
            </w:pPr>
            <w:hyperlink w:anchor="page41">
              <w:r>
                <w:rPr>
                  <w:rFonts w:ascii="Arial" w:cs="Arial" w:eastAsia="Arial" w:hAnsi="Arial"/>
                  <w:sz w:val="13"/>
                  <w:szCs w:val="13"/>
                  <w:color w:val="0000EE"/>
                </w:rPr>
                <w:t>CERTAIN RELATIONSHIPS AND RELATED PERSON TRANSACTIONS</w:t>
              </w:r>
            </w:hyperlink>
          </w:p>
        </w:tc>
        <w:tc>
          <w:tcPr>
            <w:tcW w:w="640" w:type="dxa"/>
            <w:vAlign w:val="bottom"/>
            <w:gridSpan w:val="3"/>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41">
              <w:r>
                <w:rPr>
                  <w:rFonts w:ascii="Arial" w:cs="Arial" w:eastAsia="Arial" w:hAnsi="Arial"/>
                  <w:sz w:val="13"/>
                  <w:szCs w:val="13"/>
                  <w:color w:val="0000EE"/>
                </w:rPr>
                <w:t>71</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4040" w:type="dxa"/>
            <w:vAlign w:val="bottom"/>
            <w:gridSpan w:val="12"/>
          </w:tcPr>
          <w:p>
            <w:pPr>
              <w:spacing w:after="0"/>
              <w:rPr>
                <w:rFonts w:ascii="Arial" w:cs="Arial" w:eastAsia="Arial" w:hAnsi="Arial"/>
                <w:sz w:val="13"/>
                <w:szCs w:val="13"/>
                <w:color w:val="0000EE"/>
              </w:rPr>
            </w:pPr>
            <w:hyperlink w:anchor="page41">
              <w:r>
                <w:rPr>
                  <w:rFonts w:ascii="Arial" w:cs="Arial" w:eastAsia="Arial" w:hAnsi="Arial"/>
                  <w:sz w:val="13"/>
                  <w:szCs w:val="13"/>
                  <w:color w:val="0000EE"/>
                </w:rPr>
                <w:t>REPORT OF THE AUDIT COMMITTEE</w:t>
              </w:r>
            </w:hyperlink>
          </w:p>
        </w:tc>
        <w:tc>
          <w:tcPr>
            <w:tcW w:w="2500" w:type="dxa"/>
            <w:vAlign w:val="bottom"/>
            <w:gridSpan w:val="7"/>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41">
              <w:r>
                <w:rPr>
                  <w:rFonts w:ascii="Arial" w:cs="Arial" w:eastAsia="Arial" w:hAnsi="Arial"/>
                  <w:sz w:val="13"/>
                  <w:szCs w:val="13"/>
                  <w:color w:val="0000EE"/>
                </w:rPr>
                <w:t>72</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6540" w:type="dxa"/>
            <w:vAlign w:val="bottom"/>
            <w:gridSpan w:val="19"/>
          </w:tcPr>
          <w:p>
            <w:pPr>
              <w:spacing w:after="0"/>
              <w:rPr>
                <w:rFonts w:ascii="Arial" w:cs="Arial" w:eastAsia="Arial" w:hAnsi="Arial"/>
                <w:sz w:val="13"/>
                <w:szCs w:val="13"/>
                <w:color w:val="0000EE"/>
              </w:rPr>
            </w:pPr>
            <w:hyperlink w:anchor="page42">
              <w:r>
                <w:rPr>
                  <w:rFonts w:ascii="Arial" w:cs="Arial" w:eastAsia="Arial" w:hAnsi="Arial"/>
                  <w:sz w:val="13"/>
                  <w:szCs w:val="13"/>
                  <w:color w:val="0000EE"/>
                </w:rPr>
                <w:t>PROPOSAL 1: AMENDMENT OF THE AMENDED AND RESTATED CERTIFICATE OF INCORPORATION TO</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6020" w:type="dxa"/>
            <w:vAlign w:val="bottom"/>
            <w:tcBorders>
              <w:top w:val="single" w:sz="8" w:color="0000EE"/>
            </w:tcBorders>
            <w:gridSpan w:val="17"/>
          </w:tcPr>
          <w:p>
            <w:pPr>
              <w:spacing w:after="0" w:line="124" w:lineRule="exact"/>
              <w:rPr>
                <w:rFonts w:ascii="Arial" w:cs="Arial" w:eastAsia="Arial" w:hAnsi="Arial"/>
                <w:sz w:val="13"/>
                <w:szCs w:val="13"/>
                <w:color w:val="0000EE"/>
                <w:w w:val="98"/>
              </w:rPr>
            </w:pPr>
            <w:hyperlink w:anchor="page42">
              <w:r>
                <w:rPr>
                  <w:rFonts w:ascii="Arial" w:cs="Arial" w:eastAsia="Arial" w:hAnsi="Arial"/>
                  <w:sz w:val="13"/>
                  <w:szCs w:val="13"/>
                  <w:color w:val="0000EE"/>
                  <w:w w:val="98"/>
                </w:rPr>
                <w:t>EFFECT A PHASED DECLASSIFICATION OF THE BOARD OF DIRECTORS OVER THE NEXT THREE</w:t>
              </w:r>
            </w:hyperlink>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0000EE"/>
            </w:tcBorders>
          </w:tcPr>
          <w:p>
            <w:pPr>
              <w:spacing w:after="0" w:line="124" w:lineRule="exact"/>
              <w:rPr>
                <w:rFonts w:ascii="Arial" w:cs="Arial" w:eastAsia="Arial" w:hAnsi="Arial"/>
                <w:sz w:val="13"/>
                <w:szCs w:val="13"/>
                <w:color w:val="0000EE"/>
                <w:w w:val="95"/>
              </w:rPr>
            </w:pPr>
            <w:hyperlink w:anchor="page42">
              <w:r>
                <w:rPr>
                  <w:rFonts w:ascii="Arial" w:cs="Arial" w:eastAsia="Arial" w:hAnsi="Arial"/>
                  <w:sz w:val="13"/>
                  <w:szCs w:val="13"/>
                  <w:color w:val="0000EE"/>
                  <w:w w:val="95"/>
                </w:rPr>
                <w:t>YEARS</w:t>
              </w:r>
            </w:hyperlink>
          </w:p>
        </w:tc>
        <w:tc>
          <w:tcPr>
            <w:tcW w:w="5400" w:type="dxa"/>
            <w:vAlign w:val="bottom"/>
            <w:tcBorders>
              <w:top w:val="single" w:sz="8" w:color="0000EE"/>
            </w:tcBorders>
            <w:gridSpan w:val="15"/>
          </w:tcPr>
          <w:p>
            <w:pPr>
              <w:spacing w:after="0"/>
              <w:rPr>
                <w:sz w:val="10"/>
                <w:szCs w:val="10"/>
                <w:color w:val="auto"/>
              </w:rPr>
            </w:pPr>
          </w:p>
        </w:tc>
        <w:tc>
          <w:tcPr>
            <w:tcW w:w="580" w:type="dxa"/>
            <w:vAlign w:val="bottom"/>
            <w:gridSpan w:val="2"/>
          </w:tcPr>
          <w:p>
            <w:pPr>
              <w:spacing w:after="0"/>
              <w:rPr>
                <w:sz w:val="10"/>
                <w:szCs w:val="10"/>
                <w:color w:val="auto"/>
              </w:rPr>
            </w:pPr>
          </w:p>
        </w:tc>
        <w:tc>
          <w:tcPr>
            <w:tcW w:w="360" w:type="dxa"/>
            <w:vAlign w:val="bottom"/>
            <w:gridSpan w:val="2"/>
          </w:tcPr>
          <w:p>
            <w:pPr>
              <w:jc w:val="right"/>
              <w:spacing w:after="0" w:line="124" w:lineRule="exact"/>
              <w:rPr>
                <w:rFonts w:ascii="Arial" w:cs="Arial" w:eastAsia="Arial" w:hAnsi="Arial"/>
                <w:sz w:val="13"/>
                <w:szCs w:val="13"/>
                <w:color w:val="0000EE"/>
              </w:rPr>
            </w:pPr>
            <w:hyperlink w:anchor="page42">
              <w:r>
                <w:rPr>
                  <w:rFonts w:ascii="Arial" w:cs="Arial" w:eastAsia="Arial" w:hAnsi="Arial"/>
                  <w:sz w:val="13"/>
                  <w:szCs w:val="13"/>
                  <w:color w:val="0000EE"/>
                </w:rPr>
                <w:t>73</w:t>
              </w:r>
            </w:hyperlink>
          </w:p>
        </w:tc>
        <w:tc>
          <w:tcPr>
            <w:tcW w:w="88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6540" w:type="dxa"/>
            <w:vAlign w:val="bottom"/>
            <w:gridSpan w:val="19"/>
          </w:tcPr>
          <w:p>
            <w:pPr>
              <w:spacing w:after="0"/>
              <w:rPr>
                <w:rFonts w:ascii="Arial" w:cs="Arial" w:eastAsia="Arial" w:hAnsi="Arial"/>
                <w:sz w:val="13"/>
                <w:szCs w:val="13"/>
                <w:color w:val="0000EE"/>
              </w:rPr>
            </w:pPr>
            <w:hyperlink w:anchor="page42">
              <w:r>
                <w:rPr>
                  <w:rFonts w:ascii="Arial" w:cs="Arial" w:eastAsia="Arial" w:hAnsi="Arial"/>
                  <w:sz w:val="13"/>
                  <w:szCs w:val="13"/>
                  <w:color w:val="0000EE"/>
                </w:rPr>
                <w:t>PROPOSAL 2: ELECTION OF DIRECTORS</w:t>
              </w:r>
            </w:hyperlink>
          </w:p>
        </w:tc>
        <w:tc>
          <w:tcPr>
            <w:tcW w:w="360" w:type="dxa"/>
            <w:vAlign w:val="bottom"/>
            <w:gridSpan w:val="2"/>
          </w:tcPr>
          <w:p>
            <w:pPr>
              <w:jc w:val="right"/>
              <w:spacing w:after="0"/>
              <w:rPr>
                <w:rFonts w:ascii="Arial" w:cs="Arial" w:eastAsia="Arial" w:hAnsi="Arial"/>
                <w:sz w:val="13"/>
                <w:szCs w:val="13"/>
                <w:color w:val="0000EE"/>
              </w:rPr>
            </w:pPr>
            <w:hyperlink w:anchor="page42">
              <w:r>
                <w:rPr>
                  <w:rFonts w:ascii="Arial" w:cs="Arial" w:eastAsia="Arial" w:hAnsi="Arial"/>
                  <w:sz w:val="13"/>
                  <w:szCs w:val="13"/>
                  <w:color w:val="0000EE"/>
                </w:rPr>
                <w:t>75</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Arial" w:cs="Arial" w:eastAsia="Arial" w:hAnsi="Arial"/>
                <w:sz w:val="13"/>
                <w:szCs w:val="13"/>
                <w:color w:val="0000EE"/>
                <w:w w:val="95"/>
              </w:rPr>
            </w:pPr>
            <w:hyperlink w:anchor="page43">
              <w:r>
                <w:rPr>
                  <w:rFonts w:ascii="Arial" w:cs="Arial" w:eastAsia="Arial" w:hAnsi="Arial"/>
                  <w:sz w:val="13"/>
                  <w:szCs w:val="13"/>
                  <w:color w:val="0000EE"/>
                  <w:w w:val="95"/>
                </w:rPr>
                <w:t>PROPOSAL 3: RATIFICATION OF THE APPOINTMENT OF INDEPENDENT REGISTERED PUBLIC</w:t>
              </w:r>
            </w:hyperlink>
          </w:p>
        </w:tc>
        <w:tc>
          <w:tcPr>
            <w:tcW w:w="92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20" w:type="dxa"/>
            <w:vAlign w:val="bottom"/>
            <w:gridSpan w:val="18"/>
          </w:tcPr>
          <w:p>
            <w:pPr>
              <w:spacing w:after="0" w:line="124" w:lineRule="exact"/>
              <w:rPr>
                <w:rFonts w:ascii="Arial" w:cs="Arial" w:eastAsia="Arial" w:hAnsi="Arial"/>
                <w:sz w:val="13"/>
                <w:szCs w:val="13"/>
                <w:color w:val="0000EE"/>
              </w:rPr>
            </w:pPr>
            <w:hyperlink w:anchor="page43">
              <w:r>
                <w:rPr>
                  <w:rFonts w:ascii="Arial" w:cs="Arial" w:eastAsia="Arial" w:hAnsi="Arial"/>
                  <w:sz w:val="13"/>
                  <w:szCs w:val="13"/>
                  <w:color w:val="0000EE"/>
                </w:rPr>
                <w:t>ACCOUNTING FIRM</w:t>
              </w:r>
            </w:hyperlink>
          </w:p>
        </w:tc>
        <w:tc>
          <w:tcPr>
            <w:tcW w:w="360" w:type="dxa"/>
            <w:vAlign w:val="bottom"/>
            <w:gridSpan w:val="2"/>
          </w:tcPr>
          <w:p>
            <w:pPr>
              <w:jc w:val="right"/>
              <w:spacing w:after="0" w:line="124" w:lineRule="exact"/>
              <w:rPr>
                <w:rFonts w:ascii="Arial" w:cs="Arial" w:eastAsia="Arial" w:hAnsi="Arial"/>
                <w:sz w:val="13"/>
                <w:szCs w:val="13"/>
                <w:color w:val="0000EE"/>
              </w:rPr>
            </w:pPr>
            <w:hyperlink w:anchor="page43">
              <w:r>
                <w:rPr>
                  <w:rFonts w:ascii="Arial" w:cs="Arial" w:eastAsia="Arial" w:hAnsi="Arial"/>
                  <w:sz w:val="13"/>
                  <w:szCs w:val="13"/>
                  <w:color w:val="0000EE"/>
                </w:rPr>
                <w:t>77</w:t>
              </w:r>
            </w:hyperlink>
          </w:p>
        </w:tc>
        <w:tc>
          <w:tcPr>
            <w:tcW w:w="88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40" w:type="dxa"/>
            <w:vAlign w:val="bottom"/>
            <w:gridSpan w:val="9"/>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6540" w:type="dxa"/>
            <w:vAlign w:val="bottom"/>
            <w:gridSpan w:val="19"/>
          </w:tcPr>
          <w:p>
            <w:pPr>
              <w:spacing w:after="0"/>
              <w:rPr>
                <w:rFonts w:ascii="Arial" w:cs="Arial" w:eastAsia="Arial" w:hAnsi="Arial"/>
                <w:sz w:val="13"/>
                <w:szCs w:val="13"/>
                <w:color w:val="0000EE"/>
              </w:rPr>
            </w:pPr>
            <w:hyperlink w:anchor="page44">
              <w:r>
                <w:rPr>
                  <w:rFonts w:ascii="Arial" w:cs="Arial" w:eastAsia="Arial" w:hAnsi="Arial"/>
                  <w:sz w:val="13"/>
                  <w:szCs w:val="13"/>
                  <w:color w:val="0000EE"/>
                </w:rPr>
                <w:t>PROPOSAL 4: ADVISORY (NON-BINDING) VOTE ON EXECUTIVE COMPENSATION</w:t>
              </w:r>
            </w:hyperlink>
          </w:p>
        </w:tc>
        <w:tc>
          <w:tcPr>
            <w:tcW w:w="360" w:type="dxa"/>
            <w:vAlign w:val="bottom"/>
            <w:gridSpan w:val="2"/>
          </w:tcPr>
          <w:p>
            <w:pPr>
              <w:jc w:val="right"/>
              <w:spacing w:after="0"/>
              <w:rPr>
                <w:rFonts w:ascii="Arial" w:cs="Arial" w:eastAsia="Arial" w:hAnsi="Arial"/>
                <w:sz w:val="13"/>
                <w:szCs w:val="13"/>
                <w:color w:val="0000EE"/>
              </w:rPr>
            </w:pPr>
            <w:hyperlink w:anchor="page44">
              <w:r>
                <w:rPr>
                  <w:rFonts w:ascii="Arial" w:cs="Arial" w:eastAsia="Arial" w:hAnsi="Arial"/>
                  <w:sz w:val="13"/>
                  <w:szCs w:val="13"/>
                  <w:color w:val="0000EE"/>
                </w:rPr>
                <w:t>80</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5700" w:type="dxa"/>
            <w:vAlign w:val="bottom"/>
            <w:gridSpan w:val="15"/>
          </w:tcPr>
          <w:p>
            <w:pPr>
              <w:spacing w:after="0"/>
              <w:rPr>
                <w:rFonts w:ascii="Arial" w:cs="Arial" w:eastAsia="Arial" w:hAnsi="Arial"/>
                <w:sz w:val="13"/>
                <w:szCs w:val="13"/>
                <w:color w:val="0000EE"/>
                <w:w w:val="95"/>
              </w:rPr>
            </w:pPr>
            <w:hyperlink w:anchor="page45">
              <w:r>
                <w:rPr>
                  <w:rFonts w:ascii="Arial" w:cs="Arial" w:eastAsia="Arial" w:hAnsi="Arial"/>
                  <w:sz w:val="13"/>
                  <w:szCs w:val="13"/>
                  <w:color w:val="0000EE"/>
                  <w:w w:val="95"/>
                </w:rPr>
                <w:t>STOCKHOLDER PROPOSALS AND DIRECTOR NOMINATIONS FOR THE 2020 ANNUAL MEETING</w:t>
              </w:r>
            </w:hyperlink>
          </w:p>
        </w:tc>
        <w:tc>
          <w:tcPr>
            <w:tcW w:w="840" w:type="dxa"/>
            <w:vAlign w:val="bottom"/>
            <w:gridSpan w:val="4"/>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45">
              <w:r>
                <w:rPr>
                  <w:rFonts w:ascii="Arial" w:cs="Arial" w:eastAsia="Arial" w:hAnsi="Arial"/>
                  <w:sz w:val="13"/>
                  <w:szCs w:val="13"/>
                  <w:color w:val="0000EE"/>
                </w:rPr>
                <w:t>82</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640" w:type="dxa"/>
            <w:vAlign w:val="bottom"/>
            <w:gridSpan w:val="1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5700" w:type="dxa"/>
            <w:vAlign w:val="bottom"/>
            <w:gridSpan w:val="15"/>
          </w:tcPr>
          <w:p>
            <w:pPr>
              <w:spacing w:after="0"/>
              <w:rPr>
                <w:rFonts w:ascii="Arial" w:cs="Arial" w:eastAsia="Arial" w:hAnsi="Arial"/>
                <w:sz w:val="13"/>
                <w:szCs w:val="13"/>
                <w:color w:val="0000EE"/>
              </w:rPr>
            </w:pPr>
            <w:hyperlink w:anchor="page45">
              <w:r>
                <w:rPr>
                  <w:rFonts w:ascii="Arial" w:cs="Arial" w:eastAsia="Arial" w:hAnsi="Arial"/>
                  <w:sz w:val="13"/>
                  <w:szCs w:val="13"/>
                  <w:color w:val="0000EE"/>
                </w:rPr>
                <w:t>MISCELLANEOUS</w:t>
              </w:r>
            </w:hyperlink>
          </w:p>
        </w:tc>
        <w:tc>
          <w:tcPr>
            <w:tcW w:w="840" w:type="dxa"/>
            <w:vAlign w:val="bottom"/>
            <w:gridSpan w:val="4"/>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45">
              <w:r>
                <w:rPr>
                  <w:rFonts w:ascii="Arial" w:cs="Arial" w:eastAsia="Arial" w:hAnsi="Arial"/>
                  <w:sz w:val="13"/>
                  <w:szCs w:val="13"/>
                  <w:color w:val="0000EE"/>
                </w:rPr>
                <w:t>83</w:t>
              </w:r>
            </w:hyperlink>
          </w:p>
        </w:tc>
        <w:tc>
          <w:tcPr>
            <w:tcW w:w="8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480" w:type="dxa"/>
            <w:vAlign w:val="bottom"/>
            <w:gridSpan w:val="1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8"/>
        </w:trPr>
        <w:tc>
          <w:tcPr>
            <w:tcW w:w="860" w:type="dxa"/>
            <w:vAlign w:val="bottom"/>
          </w:tcPr>
          <w:p>
            <w:pPr>
              <w:spacing w:after="0"/>
              <w:rPr>
                <w:sz w:val="24"/>
                <w:szCs w:val="24"/>
                <w:color w:val="auto"/>
              </w:rPr>
            </w:pPr>
          </w:p>
        </w:tc>
        <w:tc>
          <w:tcPr>
            <w:tcW w:w="1060" w:type="dxa"/>
            <w:vAlign w:val="bottom"/>
            <w:gridSpan w:val="3"/>
          </w:tcPr>
          <w:p>
            <w:pPr>
              <w:spacing w:after="0"/>
              <w:rPr>
                <w:rFonts w:ascii="Arial" w:cs="Arial" w:eastAsia="Arial" w:hAnsi="Arial"/>
                <w:sz w:val="13"/>
                <w:szCs w:val="13"/>
                <w:color w:val="0000EE"/>
                <w:w w:val="93"/>
              </w:rPr>
            </w:pPr>
            <w:hyperlink w:anchor="page45">
              <w:r>
                <w:rPr>
                  <w:rFonts w:ascii="Arial" w:cs="Arial" w:eastAsia="Arial" w:hAnsi="Arial"/>
                  <w:sz w:val="13"/>
                  <w:szCs w:val="13"/>
                  <w:color w:val="0000EE"/>
                  <w:w w:val="93"/>
                </w:rPr>
                <w:t>OTHER MATTERS</w:t>
              </w:r>
            </w:hyperlink>
          </w:p>
        </w:tc>
        <w:tc>
          <w:tcPr>
            <w:tcW w:w="5480" w:type="dxa"/>
            <w:vAlign w:val="bottom"/>
            <w:gridSpan w:val="16"/>
          </w:tcPr>
          <w:p>
            <w:pPr>
              <w:spacing w:after="0"/>
              <w:rPr>
                <w:sz w:val="24"/>
                <w:szCs w:val="24"/>
                <w:color w:val="auto"/>
              </w:rPr>
            </w:pPr>
          </w:p>
        </w:tc>
        <w:tc>
          <w:tcPr>
            <w:tcW w:w="360" w:type="dxa"/>
            <w:vAlign w:val="bottom"/>
            <w:gridSpan w:val="2"/>
          </w:tcPr>
          <w:p>
            <w:pPr>
              <w:jc w:val="right"/>
              <w:spacing w:after="0"/>
              <w:rPr>
                <w:rFonts w:ascii="Arial" w:cs="Arial" w:eastAsia="Arial" w:hAnsi="Arial"/>
                <w:sz w:val="13"/>
                <w:szCs w:val="13"/>
                <w:color w:val="0000EE"/>
              </w:rPr>
            </w:pPr>
            <w:hyperlink w:anchor="page45">
              <w:r>
                <w:rPr>
                  <w:rFonts w:ascii="Arial" w:cs="Arial" w:eastAsia="Arial" w:hAnsi="Arial"/>
                  <w:sz w:val="13"/>
                  <w:szCs w:val="13"/>
                  <w:color w:val="0000EE"/>
                </w:rPr>
                <w:t>84</w:t>
              </w:r>
            </w:hyperlink>
          </w:p>
        </w:tc>
        <w:tc>
          <w:tcPr>
            <w:tcW w:w="880" w:type="dxa"/>
            <w:vAlign w:val="bottom"/>
          </w:tcPr>
          <w:p>
            <w:pPr>
              <w:spacing w:after="0"/>
              <w:rPr>
                <w:sz w:val="24"/>
                <w:szCs w:val="24"/>
                <w:color w:val="auto"/>
              </w:rPr>
            </w:pPr>
          </w:p>
        </w:tc>
      </w:tr>
      <w:tr>
        <w:trPr>
          <w:trHeight w:val="305"/>
        </w:trPr>
        <w:tc>
          <w:tcPr>
            <w:tcW w:w="8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9"/>
          </w:tcPr>
          <w:p>
            <w:pPr>
              <w:ind w:left="980"/>
              <w:spacing w:after="0"/>
              <w:rPr>
                <w:sz w:val="20"/>
                <w:szCs w:val="20"/>
                <w:color w:val="auto"/>
              </w:rPr>
            </w:pPr>
            <w:r>
              <w:rPr>
                <w:rFonts w:ascii="Arial" w:cs="Arial" w:eastAsia="Arial" w:hAnsi="Arial"/>
                <w:sz w:val="13"/>
                <w:szCs w:val="13"/>
                <w:color w:val="auto"/>
              </w:rPr>
              <w:t>i</w:t>
            </w: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r>
      <w:tr>
        <w:trPr>
          <w:trHeight w:val="151"/>
        </w:trPr>
        <w:tc>
          <w:tcPr>
            <w:tcW w:w="8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PROXY STATEMENT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08ED0"/>
        </w:rPr>
        <w:t>2019 PROXY STATEMENT SUMMARY</w:t>
      </w:r>
    </w:p>
    <w:p>
      <w:pPr>
        <w:sectPr>
          <w:pgSz w:w="11900" w:h="16838" w:orient="portrait"/>
          <w:cols w:equalWidth="0" w:num="1">
            <w:col w:w="9019"/>
          </w:cols>
          <w:pgMar w:left="1440" w:top="280"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Summary</w:t>
      </w:r>
    </w:p>
    <w:p>
      <w:pPr>
        <w:spacing w:after="0" w:line="180" w:lineRule="exact"/>
        <w:rPr>
          <w:sz w:val="20"/>
          <w:szCs w:val="20"/>
          <w:color w:val="auto"/>
        </w:rPr>
      </w:pPr>
    </w:p>
    <w:p>
      <w:pPr>
        <w:jc w:val="both"/>
        <w:ind w:left="200" w:right="420"/>
        <w:spacing w:after="0" w:line="280" w:lineRule="auto"/>
        <w:rPr>
          <w:sz w:val="20"/>
          <w:szCs w:val="20"/>
          <w:color w:val="auto"/>
        </w:rPr>
      </w:pPr>
      <w:r>
        <w:rPr>
          <w:rFonts w:ascii="Arial" w:cs="Arial" w:eastAsia="Arial" w:hAnsi="Arial"/>
          <w:sz w:val="11"/>
          <w:szCs w:val="11"/>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2018 (the "2018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Meeting Agenda, Voting Matters and Recommendations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FFFFFE"/>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-100330</wp:posOffset>
            </wp:positionV>
            <wp:extent cx="2059940" cy="152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9940" cy="152209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 and Date:</w:t>
      </w:r>
    </w:p>
    <w:p>
      <w:pPr>
        <w:spacing w:after="0" w:line="231" w:lineRule="auto"/>
        <w:rPr>
          <w:sz w:val="20"/>
          <w:szCs w:val="20"/>
          <w:color w:val="auto"/>
        </w:rPr>
      </w:pPr>
      <w:r>
        <w:rPr>
          <w:rFonts w:ascii="Arial" w:cs="Arial" w:eastAsia="Arial" w:hAnsi="Arial"/>
          <w:sz w:val="13"/>
          <w:szCs w:val="13"/>
          <w:color w:val="auto"/>
        </w:rPr>
        <w:t>8:30 AM (Eastern Time)</w:t>
      </w:r>
    </w:p>
    <w:p>
      <w:pPr>
        <w:spacing w:after="0"/>
        <w:rPr>
          <w:sz w:val="20"/>
          <w:szCs w:val="20"/>
          <w:color w:val="auto"/>
        </w:rPr>
      </w:pPr>
      <w:r>
        <w:rPr>
          <w:rFonts w:ascii="Arial" w:cs="Arial" w:eastAsia="Arial" w:hAnsi="Arial"/>
          <w:sz w:val="13"/>
          <w:szCs w:val="13"/>
          <w:color w:val="auto"/>
        </w:rPr>
        <w:t>June 17, 2019</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 Date: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April 18, 2019</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Place: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ExlService Holdings, Inc.</w:t>
      </w:r>
    </w:p>
    <w:p>
      <w:pPr>
        <w:ind w:left="140"/>
        <w:spacing w:after="0" w:line="181" w:lineRule="auto"/>
        <w:rPr>
          <w:sz w:val="20"/>
          <w:szCs w:val="20"/>
          <w:color w:val="auto"/>
        </w:rPr>
      </w:pPr>
      <w:r>
        <w:rPr>
          <w:rFonts w:ascii="Arial" w:cs="Arial" w:eastAsia="Arial" w:hAnsi="Arial"/>
          <w:sz w:val="13"/>
          <w:szCs w:val="13"/>
          <w:color w:val="auto"/>
        </w:rPr>
        <w:t>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w:t>
      </w:r>
    </w:p>
    <w:p>
      <w:pPr>
        <w:ind w:left="140"/>
        <w:spacing w:after="0"/>
        <w:rPr>
          <w:sz w:val="20"/>
          <w:szCs w:val="20"/>
          <w:color w:val="auto"/>
        </w:rPr>
      </w:pPr>
      <w:r>
        <w:rPr>
          <w:rFonts w:ascii="Arial" w:cs="Arial" w:eastAsia="Arial" w:hAnsi="Arial"/>
          <w:sz w:val="13"/>
          <w:szCs w:val="13"/>
          <w:color w:val="auto"/>
        </w:rPr>
        <w:t>New York, New York 10022</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w:t>
      </w:r>
    </w:p>
    <w:p>
      <w:pPr>
        <w:spacing w:after="0" w:line="11" w:lineRule="exact"/>
        <w:rPr>
          <w:sz w:val="20"/>
          <w:szCs w:val="20"/>
          <w:color w:val="auto"/>
        </w:rPr>
      </w:pPr>
    </w:p>
    <w:p>
      <w:pPr>
        <w:ind w:right="1059"/>
        <w:spacing w:after="0" w:line="235" w:lineRule="auto"/>
        <w:rPr>
          <w:sz w:val="20"/>
          <w:szCs w:val="20"/>
          <w:color w:val="auto"/>
        </w:rPr>
      </w:pPr>
      <w:r>
        <w:rPr>
          <w:rFonts w:ascii="Arial" w:cs="Arial" w:eastAsia="Arial" w:hAnsi="Arial"/>
          <w:sz w:val="13"/>
          <w:szCs w:val="13"/>
          <w:color w:val="auto"/>
        </w:rPr>
        <w:t>Stockholders as of the record date are entitled to vote</w:t>
      </w:r>
    </w:p>
    <w:p>
      <w:pPr>
        <w:spacing w:after="0" w:line="471" w:lineRule="exact"/>
        <w:rPr>
          <w:sz w:val="20"/>
          <w:szCs w:val="20"/>
          <w:color w:val="auto"/>
        </w:rPr>
      </w:pPr>
    </w:p>
    <w:p>
      <w:pPr>
        <w:sectPr>
          <w:pgSz w:w="11900" w:h="16838" w:orient="portrait"/>
          <w:cols w:equalWidth="0" w:num="2">
            <w:col w:w="4680" w:space="720"/>
            <w:col w:w="3619"/>
          </w:cols>
          <w:pgMar w:left="1440" w:top="280" w:right="1440"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FFFFFE"/>
        </w:rPr>
        <w:t>The Board of Directors recommends a vote FOR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-100330</wp:posOffset>
            </wp:positionV>
            <wp:extent cx="5482590" cy="892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2590" cy="892175"/>
                    </a:xfrm>
                    <a:prstGeom prst="rect">
                      <a:avLst/>
                    </a:prstGeom>
                    <a:noFill/>
                  </pic:spPr>
                </pic:pic>
              </a:graphicData>
            </a:graphic>
          </wp:anchor>
        </w:drawing>
      </w:r>
    </w:p>
    <w:p>
      <w:pPr>
        <w:spacing w:after="0" w:line="6" w:lineRule="exact"/>
        <w:rPr>
          <w:sz w:val="20"/>
          <w:szCs w:val="20"/>
          <w:color w:val="auto"/>
        </w:rPr>
      </w:pPr>
    </w:p>
    <w:p>
      <w:pPr>
        <w:ind w:left="480" w:right="379" w:hanging="185"/>
        <w:spacing w:after="0" w:line="235" w:lineRule="auto"/>
        <w:tabs>
          <w:tab w:leader="none" w:pos="4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the amendment of the Company's amended and restated certificate of incorporation to effect a phased declassification of the board of directors over the next three years (page 73);</w:t>
      </w:r>
    </w:p>
    <w:p>
      <w:pPr>
        <w:spacing w:after="0" w:line="48" w:lineRule="exact"/>
        <w:rPr>
          <w:rFonts w:ascii="Arial" w:cs="Arial" w:eastAsia="Arial" w:hAnsi="Arial"/>
          <w:sz w:val="13"/>
          <w:szCs w:val="13"/>
          <w:b w:val="1"/>
          <w:bCs w:val="1"/>
          <w:color w:val="auto"/>
        </w:rPr>
      </w:pPr>
    </w:p>
    <w:p>
      <w:pPr>
        <w:ind w:left="480" w:hanging="185"/>
        <w:spacing w:after="0"/>
        <w:tabs>
          <w:tab w:leader="none" w:pos="4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the election of three Class I members of the board of directors of the Company (page 75);</w:t>
      </w:r>
    </w:p>
    <w:p>
      <w:pPr>
        <w:ind w:left="480" w:right="339" w:hanging="185"/>
        <w:spacing w:after="0" w:line="231" w:lineRule="auto"/>
        <w:tabs>
          <w:tab w:leader="none" w:pos="4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the ratification of the appointment of Deloitte &amp; Touche LLP as the independent registered public accounting firm of the Company for fiscal year 2019 (page 77);</w:t>
      </w:r>
    </w:p>
    <w:p>
      <w:pPr>
        <w:ind w:left="480" w:hanging="185"/>
        <w:spacing w:after="0" w:line="231" w:lineRule="auto"/>
        <w:tabs>
          <w:tab w:leader="none" w:pos="4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the approval, on a non-binding advisory basis, of the compensation of the named executive officers of the Company (page 80); and</w:t>
      </w:r>
    </w:p>
    <w:p>
      <w:pPr>
        <w:ind w:left="480" w:hanging="185"/>
        <w:spacing w:after="0"/>
        <w:tabs>
          <w:tab w:leader="none" w:pos="4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the transaction of such other business as may properly come before the Annual Meeting or any adjournment or postponement thereof.</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type w:val="continuous"/>
        </w:sectPr>
      </w:pPr>
    </w:p>
    <w:bookmarkStart w:id="4" w:name="page5"/>
    <w:bookmarkEnd w:id="4"/>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Board and Corporate Governance Highlights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3"/>
          <w:szCs w:val="13"/>
          <w:color w:val="008ED0"/>
        </w:rPr>
        <w:t>(Based on current board profile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191135</wp:posOffset>
            </wp:positionV>
            <wp:extent cx="4529455" cy="3361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29455" cy="33616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FFFFFE"/>
        </w:rPr>
        <w:t>Board of Directors Composition</w:t>
      </w:r>
    </w:p>
    <w:p>
      <w:pPr>
        <w:spacing w:after="0" w:line="348" w:lineRule="exact"/>
        <w:rPr>
          <w:sz w:val="20"/>
          <w:szCs w:val="20"/>
          <w:color w:val="auto"/>
        </w:rPr>
      </w:pPr>
    </w:p>
    <w:p>
      <w:pPr>
        <w:ind w:left="960" w:right="4759" w:hanging="381"/>
        <w:spacing w:after="0" w:line="235" w:lineRule="auto"/>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Ten directors, all of whom are independent, except for our Vice Chairman &amp; CEO</w:t>
      </w:r>
    </w:p>
    <w:p>
      <w:pPr>
        <w:spacing w:after="0" w:line="140" w:lineRule="exact"/>
        <w:rPr>
          <w:rFonts w:ascii="Arial" w:cs="Arial" w:eastAsia="Arial" w:hAnsi="Arial"/>
          <w:sz w:val="13"/>
          <w:szCs w:val="13"/>
          <w:color w:val="F79646"/>
        </w:rPr>
      </w:pPr>
    </w:p>
    <w:p>
      <w:pPr>
        <w:ind w:left="960" w:hanging="381"/>
        <w:spacing w:after="0"/>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Independent board chairman</w:t>
      </w:r>
    </w:p>
    <w:p>
      <w:pPr>
        <w:spacing w:after="0" w:line="149" w:lineRule="exact"/>
        <w:rPr>
          <w:rFonts w:ascii="Arial" w:cs="Arial" w:eastAsia="Arial" w:hAnsi="Arial"/>
          <w:sz w:val="13"/>
          <w:szCs w:val="13"/>
          <w:color w:val="F79646"/>
        </w:rPr>
      </w:pPr>
    </w:p>
    <w:p>
      <w:pPr>
        <w:ind w:left="960" w:right="4779" w:hanging="381"/>
        <w:spacing w:after="0" w:line="235" w:lineRule="auto"/>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Standing board committees composed solely of independent chairs and members</w:t>
      </w:r>
    </w:p>
    <w:p>
      <w:pPr>
        <w:spacing w:after="0" w:line="140" w:lineRule="exact"/>
        <w:rPr>
          <w:rFonts w:ascii="Arial" w:cs="Arial" w:eastAsia="Arial" w:hAnsi="Arial"/>
          <w:sz w:val="13"/>
          <w:szCs w:val="13"/>
          <w:color w:val="F79646"/>
        </w:rPr>
      </w:pPr>
    </w:p>
    <w:p>
      <w:pPr>
        <w:jc w:val="both"/>
        <w:ind w:left="960" w:right="4759" w:hanging="381"/>
        <w:spacing w:after="0" w:line="233" w:lineRule="auto"/>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Seasoned board of directors, with diverse experience, including in insurance, healthcare, utilities, banking and financial services, finance/accounting, global business and technology</w:t>
      </w:r>
    </w:p>
    <w:p>
      <w:pPr>
        <w:spacing w:after="0" w:line="141" w:lineRule="exact"/>
        <w:rPr>
          <w:rFonts w:ascii="Arial" w:cs="Arial" w:eastAsia="Arial" w:hAnsi="Arial"/>
          <w:sz w:val="13"/>
          <w:szCs w:val="13"/>
          <w:color w:val="F79646"/>
        </w:rPr>
      </w:pPr>
    </w:p>
    <w:p>
      <w:pPr>
        <w:ind w:left="960" w:hanging="381"/>
        <w:spacing w:after="0"/>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Diversity in age, gender and other important characteristics</w:t>
      </w:r>
    </w:p>
    <w:p>
      <w:pPr>
        <w:spacing w:after="0" w:line="149" w:lineRule="exact"/>
        <w:rPr>
          <w:rFonts w:ascii="Arial" w:cs="Arial" w:eastAsia="Arial" w:hAnsi="Arial"/>
          <w:sz w:val="13"/>
          <w:szCs w:val="13"/>
          <w:color w:val="F79646"/>
        </w:rPr>
      </w:pPr>
    </w:p>
    <w:p>
      <w:pPr>
        <w:ind w:left="960" w:right="4779" w:hanging="381"/>
        <w:spacing w:after="0" w:line="235" w:lineRule="auto"/>
        <w:tabs>
          <w:tab w:leader="none" w:pos="960" w:val="left"/>
        </w:tabs>
        <w:numPr>
          <w:ilvl w:val="0"/>
          <w:numId w:val="8"/>
        </w:numPr>
        <w:rPr>
          <w:rFonts w:ascii="Arial" w:cs="Arial" w:eastAsia="Arial" w:hAnsi="Arial"/>
          <w:sz w:val="13"/>
          <w:szCs w:val="13"/>
          <w:color w:val="F79646"/>
        </w:rPr>
      </w:pPr>
      <w:r>
        <w:rPr>
          <w:rFonts w:ascii="Arial" w:cs="Arial" w:eastAsia="Arial" w:hAnsi="Arial"/>
          <w:sz w:val="13"/>
          <w:szCs w:val="13"/>
          <w:color w:val="auto"/>
        </w:rPr>
        <w:t>If approved at the Annual Meeting,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93980</wp:posOffset>
            </wp:positionV>
            <wp:extent cx="2579370" cy="409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9370" cy="4095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00"/>
        <w:spacing w:after="0"/>
        <w:rPr>
          <w:sz w:val="20"/>
          <w:szCs w:val="20"/>
          <w:color w:val="auto"/>
        </w:rPr>
      </w:pPr>
      <w:r>
        <w:rPr>
          <w:rFonts w:ascii="Arial" w:cs="Arial" w:eastAsia="Arial" w:hAnsi="Arial"/>
          <w:sz w:val="13"/>
          <w:szCs w:val="13"/>
          <w:b w:val="1"/>
          <w:bCs w:val="1"/>
          <w:color w:val="FFFFFE"/>
        </w:rPr>
        <w:t>Board Accountability</w:t>
      </w:r>
    </w:p>
    <w:p>
      <w:pPr>
        <w:spacing w:after="0" w:line="348" w:lineRule="exact"/>
        <w:rPr>
          <w:sz w:val="20"/>
          <w:szCs w:val="20"/>
          <w:color w:val="auto"/>
        </w:rPr>
      </w:pPr>
    </w:p>
    <w:p>
      <w:pPr>
        <w:ind w:left="960" w:hanging="381"/>
        <w:spacing w:after="0"/>
        <w:tabs>
          <w:tab w:leader="none" w:pos="960" w:val="left"/>
        </w:tabs>
        <w:numPr>
          <w:ilvl w:val="0"/>
          <w:numId w:val="9"/>
        </w:numPr>
        <w:rPr>
          <w:rFonts w:ascii="Arial" w:cs="Arial" w:eastAsia="Arial" w:hAnsi="Arial"/>
          <w:sz w:val="13"/>
          <w:szCs w:val="13"/>
          <w:color w:val="F79646"/>
        </w:rPr>
      </w:pPr>
      <w:r>
        <w:rPr>
          <w:rFonts w:ascii="Arial" w:cs="Arial" w:eastAsia="Arial" w:hAnsi="Arial"/>
          <w:sz w:val="13"/>
          <w:szCs w:val="13"/>
          <w:color w:val="auto"/>
        </w:rPr>
        <w:t>Majority voting standard for uncontested elections</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9"/>
        </w:numPr>
        <w:rPr>
          <w:rFonts w:ascii="Arial" w:cs="Arial" w:eastAsia="Arial" w:hAnsi="Arial"/>
          <w:sz w:val="13"/>
          <w:szCs w:val="13"/>
          <w:color w:val="F79646"/>
        </w:rPr>
      </w:pPr>
      <w:r>
        <w:rPr>
          <w:rFonts w:ascii="Arial" w:cs="Arial" w:eastAsia="Arial" w:hAnsi="Arial"/>
          <w:sz w:val="13"/>
          <w:szCs w:val="13"/>
          <w:color w:val="auto"/>
        </w:rPr>
        <w:t>Annual board- and committee-level evaluations</w:t>
      </w:r>
    </w:p>
    <w:p>
      <w:pPr>
        <w:spacing w:after="0" w:line="139" w:lineRule="exact"/>
        <w:rPr>
          <w:rFonts w:ascii="Arial" w:cs="Arial" w:eastAsia="Arial" w:hAnsi="Arial"/>
          <w:sz w:val="13"/>
          <w:szCs w:val="13"/>
          <w:color w:val="F79646"/>
        </w:rPr>
      </w:pPr>
    </w:p>
    <w:p>
      <w:pPr>
        <w:ind w:left="960" w:right="4779" w:hanging="381"/>
        <w:spacing w:after="0" w:line="235" w:lineRule="auto"/>
        <w:tabs>
          <w:tab w:leader="none" w:pos="960" w:val="left"/>
        </w:tabs>
        <w:numPr>
          <w:ilvl w:val="0"/>
          <w:numId w:val="9"/>
        </w:numPr>
        <w:rPr>
          <w:rFonts w:ascii="Arial" w:cs="Arial" w:eastAsia="Arial" w:hAnsi="Arial"/>
          <w:sz w:val="13"/>
          <w:szCs w:val="13"/>
          <w:color w:val="F79646"/>
        </w:rPr>
      </w:pPr>
      <w:r>
        <w:rPr>
          <w:rFonts w:ascii="Arial" w:cs="Arial" w:eastAsia="Arial" w:hAnsi="Arial"/>
          <w:sz w:val="13"/>
          <w:szCs w:val="13"/>
          <w:color w:val="auto"/>
        </w:rPr>
        <w:t>Regularly-held executive session of non-management directors</w:t>
      </w:r>
    </w:p>
    <w:p>
      <w:pPr>
        <w:spacing w:after="0" w:line="149" w:lineRule="exact"/>
        <w:rPr>
          <w:rFonts w:ascii="Arial" w:cs="Arial" w:eastAsia="Arial" w:hAnsi="Arial"/>
          <w:sz w:val="13"/>
          <w:szCs w:val="13"/>
          <w:color w:val="F79646"/>
        </w:rPr>
      </w:pPr>
    </w:p>
    <w:p>
      <w:pPr>
        <w:ind w:left="960" w:hanging="381"/>
        <w:spacing w:after="0"/>
        <w:tabs>
          <w:tab w:leader="none" w:pos="960" w:val="left"/>
        </w:tabs>
        <w:numPr>
          <w:ilvl w:val="0"/>
          <w:numId w:val="9"/>
        </w:numPr>
        <w:rPr>
          <w:rFonts w:ascii="Arial" w:cs="Arial" w:eastAsia="Arial" w:hAnsi="Arial"/>
          <w:sz w:val="13"/>
          <w:szCs w:val="13"/>
          <w:color w:val="F79646"/>
        </w:rPr>
      </w:pPr>
      <w:r>
        <w:rPr>
          <w:rFonts w:ascii="Arial" w:cs="Arial" w:eastAsia="Arial" w:hAnsi="Arial"/>
          <w:sz w:val="13"/>
          <w:szCs w:val="13"/>
          <w:color w:val="auto"/>
        </w:rPr>
        <w:t>Robust executive and director equity ownership guidelines</w:t>
      </w:r>
    </w:p>
    <w:p>
      <w:pPr>
        <w:spacing w:after="0" w:line="139" w:lineRule="exact"/>
        <w:rPr>
          <w:rFonts w:ascii="Arial" w:cs="Arial" w:eastAsia="Arial" w:hAnsi="Arial"/>
          <w:sz w:val="13"/>
          <w:szCs w:val="13"/>
          <w:color w:val="F79646"/>
        </w:rPr>
      </w:pPr>
    </w:p>
    <w:p>
      <w:pPr>
        <w:ind w:left="960" w:right="4779" w:hanging="381"/>
        <w:spacing w:after="0" w:line="235" w:lineRule="auto"/>
        <w:tabs>
          <w:tab w:leader="none" w:pos="960" w:val="left"/>
        </w:tabs>
        <w:numPr>
          <w:ilvl w:val="0"/>
          <w:numId w:val="9"/>
        </w:numPr>
        <w:rPr>
          <w:rFonts w:ascii="Arial" w:cs="Arial" w:eastAsia="Arial" w:hAnsi="Arial"/>
          <w:sz w:val="13"/>
          <w:szCs w:val="13"/>
          <w:color w:val="F79646"/>
        </w:rPr>
      </w:pPr>
      <w:r>
        <w:rPr>
          <w:rFonts w:ascii="Arial" w:cs="Arial" w:eastAsia="Arial" w:hAnsi="Arial"/>
          <w:sz w:val="13"/>
          <w:szCs w:val="13"/>
          <w:color w:val="auto"/>
        </w:rPr>
        <w:t>Independent board of directors evaluation of CEO performance and compensation</w:t>
      </w:r>
    </w:p>
    <w:p>
      <w:pPr>
        <w:spacing w:after="0" w:line="13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FFFFFE"/>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-85725</wp:posOffset>
            </wp:positionV>
            <wp:extent cx="5433695"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3695" cy="91440"/>
                    </a:xfrm>
                    <a:prstGeom prst="rect">
                      <a:avLst/>
                    </a:prstGeom>
                    <a:noFill/>
                  </pic:spPr>
                </pic:pic>
              </a:graphicData>
            </a:graphic>
          </wp:anchor>
        </w:drawing>
      </w:r>
    </w:p>
    <w:p>
      <w:pPr>
        <w:spacing w:after="0" w:line="145" w:lineRule="exact"/>
        <w:rPr>
          <w:sz w:val="20"/>
          <w:szCs w:val="20"/>
          <w:color w:val="auto"/>
        </w:rPr>
      </w:pPr>
    </w:p>
    <w:p>
      <w:pPr>
        <w:ind w:left="280" w:right="199"/>
        <w:spacing w:after="0" w:line="235" w:lineRule="auto"/>
        <w:rPr>
          <w:sz w:val="20"/>
          <w:szCs w:val="20"/>
          <w:color w:val="auto"/>
        </w:rPr>
      </w:pPr>
      <w:r>
        <w:rPr>
          <w:rFonts w:ascii="Arial" w:cs="Arial" w:eastAsia="Arial" w:hAnsi="Arial"/>
          <w:sz w:val="13"/>
          <w:szCs w:val="13"/>
          <w:color w:val="auto"/>
        </w:rPr>
        <w:t>Our board of directors reflects an effective and diverse mix of skills and experience appropriate for our Company and industry. Our directors have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411480</wp:posOffset>
            </wp:positionV>
            <wp:extent cx="220345" cy="146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345" cy="14668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393065</wp:posOffset>
            </wp:positionV>
            <wp:extent cx="262890" cy="18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2890" cy="18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3080" w:type="dxa"/>
            <w:vAlign w:val="bottom"/>
          </w:tcPr>
          <w:p>
            <w:pPr>
              <w:ind w:left="440"/>
              <w:spacing w:after="0"/>
              <w:rPr>
                <w:sz w:val="20"/>
                <w:szCs w:val="20"/>
                <w:color w:val="auto"/>
              </w:rPr>
            </w:pPr>
            <w:r>
              <w:rPr>
                <w:rFonts w:ascii="Arial" w:cs="Arial" w:eastAsia="Arial" w:hAnsi="Arial"/>
                <w:sz w:val="13"/>
                <w:szCs w:val="13"/>
                <w:b w:val="1"/>
                <w:bCs w:val="1"/>
                <w:color w:val="008ED0"/>
              </w:rPr>
              <w:t>Executive Leadership</w:t>
            </w:r>
          </w:p>
        </w:tc>
        <w:tc>
          <w:tcPr>
            <w:tcW w:w="5560" w:type="dxa"/>
            <w:vAlign w:val="bottom"/>
          </w:tcPr>
          <w:p>
            <w:pPr>
              <w:ind w:left="1800"/>
              <w:spacing w:after="0"/>
              <w:rPr>
                <w:sz w:val="20"/>
                <w:szCs w:val="20"/>
                <w:color w:val="auto"/>
              </w:rPr>
            </w:pPr>
            <w:r>
              <w:rPr>
                <w:rFonts w:ascii="Arial" w:cs="Arial" w:eastAsia="Arial" w:hAnsi="Arial"/>
                <w:sz w:val="13"/>
                <w:szCs w:val="13"/>
                <w:b w:val="1"/>
                <w:bCs w:val="1"/>
                <w:color w:val="008ED0"/>
              </w:rPr>
              <w:t>Board Experience</w:t>
            </w:r>
          </w:p>
        </w:tc>
      </w:tr>
      <w:tr>
        <w:trPr>
          <w:trHeight w:val="510"/>
        </w:trPr>
        <w:tc>
          <w:tcPr>
            <w:tcW w:w="3080" w:type="dxa"/>
            <w:vAlign w:val="bottom"/>
          </w:tcPr>
          <w:p>
            <w:pPr>
              <w:ind w:left="440"/>
              <w:spacing w:after="0"/>
              <w:rPr>
                <w:sz w:val="20"/>
                <w:szCs w:val="20"/>
                <w:color w:val="auto"/>
              </w:rPr>
            </w:pPr>
            <w:r>
              <w:rPr>
                <w:rFonts w:ascii="Arial" w:cs="Arial" w:eastAsia="Arial" w:hAnsi="Arial"/>
                <w:sz w:val="13"/>
                <w:szCs w:val="13"/>
                <w:b w:val="1"/>
                <w:bCs w:val="1"/>
                <w:color w:val="008ED0"/>
              </w:rPr>
              <w:t>Finance and Accounting</w:t>
            </w:r>
          </w:p>
        </w:tc>
        <w:tc>
          <w:tcPr>
            <w:tcW w:w="5560" w:type="dxa"/>
            <w:vAlign w:val="bottom"/>
          </w:tcPr>
          <w:p>
            <w:pPr>
              <w:ind w:left="1800"/>
              <w:spacing w:after="0"/>
              <w:rPr>
                <w:sz w:val="20"/>
                <w:szCs w:val="20"/>
                <w:color w:val="auto"/>
              </w:rPr>
            </w:pPr>
            <w:r>
              <w:rPr>
                <w:rFonts w:ascii="Arial" w:cs="Arial" w:eastAsia="Arial" w:hAnsi="Arial"/>
                <w:sz w:val="13"/>
                <w:szCs w:val="13"/>
                <w:b w:val="1"/>
                <w:bCs w:val="1"/>
                <w:color w:val="008ED0"/>
              </w:rPr>
              <w:t>Client and Industry Expertise</w:t>
            </w:r>
          </w:p>
        </w:tc>
      </w:tr>
      <w:tr>
        <w:trPr>
          <w:trHeight w:val="510"/>
        </w:trPr>
        <w:tc>
          <w:tcPr>
            <w:tcW w:w="3080" w:type="dxa"/>
            <w:vAlign w:val="bottom"/>
          </w:tcPr>
          <w:p>
            <w:pPr>
              <w:ind w:left="440"/>
              <w:spacing w:after="0"/>
              <w:rPr>
                <w:sz w:val="20"/>
                <w:szCs w:val="20"/>
                <w:color w:val="auto"/>
              </w:rPr>
            </w:pPr>
            <w:r>
              <w:rPr>
                <w:rFonts w:ascii="Arial" w:cs="Arial" w:eastAsia="Arial" w:hAnsi="Arial"/>
                <w:sz w:val="13"/>
                <w:szCs w:val="13"/>
                <w:b w:val="1"/>
                <w:bCs w:val="1"/>
                <w:color w:val="008ED0"/>
              </w:rPr>
              <w:t>Global Experience</w:t>
            </w:r>
          </w:p>
        </w:tc>
        <w:tc>
          <w:tcPr>
            <w:tcW w:w="5560" w:type="dxa"/>
            <w:vAlign w:val="bottom"/>
          </w:tcPr>
          <w:p>
            <w:pPr>
              <w:ind w:left="1800"/>
              <w:spacing w:after="0"/>
              <w:rPr>
                <w:sz w:val="20"/>
                <w:szCs w:val="20"/>
                <w:color w:val="auto"/>
              </w:rPr>
            </w:pPr>
            <w:r>
              <w:rPr>
                <w:rFonts w:ascii="Arial" w:cs="Arial" w:eastAsia="Arial" w:hAnsi="Arial"/>
                <w:sz w:val="13"/>
                <w:szCs w:val="13"/>
                <w:b w:val="1"/>
                <w:bCs w:val="1"/>
                <w:color w:val="008ED0"/>
              </w:rPr>
              <w:t>Risk Oversight / Management</w:t>
            </w:r>
          </w:p>
        </w:tc>
      </w:tr>
      <w:tr>
        <w:trPr>
          <w:trHeight w:val="375"/>
        </w:trPr>
        <w:tc>
          <w:tcPr>
            <w:tcW w:w="3080" w:type="dxa"/>
            <w:vAlign w:val="bottom"/>
          </w:tcPr>
          <w:p>
            <w:pPr>
              <w:spacing w:after="0"/>
              <w:rPr>
                <w:sz w:val="24"/>
                <w:szCs w:val="24"/>
                <w:color w:val="auto"/>
              </w:rPr>
            </w:pPr>
          </w:p>
        </w:tc>
        <w:tc>
          <w:tcPr>
            <w:tcW w:w="5560" w:type="dxa"/>
            <w:vAlign w:val="bottom"/>
          </w:tcPr>
          <w:p>
            <w:pPr>
              <w:jc w:val="right"/>
              <w:ind w:right="4237"/>
              <w:spacing w:after="0"/>
              <w:rPr>
                <w:sz w:val="20"/>
                <w:szCs w:val="20"/>
                <w:color w:val="auto"/>
              </w:rPr>
            </w:pPr>
            <w:r>
              <w:rPr>
                <w:rFonts w:ascii="Arial" w:cs="Arial" w:eastAsia="Arial" w:hAnsi="Arial"/>
                <w:sz w:val="13"/>
                <w:szCs w:val="13"/>
                <w:color w:val="auto"/>
              </w:rPr>
              <w:t>2</w:t>
            </w:r>
          </w:p>
        </w:tc>
      </w:tr>
      <w:tr>
        <w:trPr>
          <w:trHeight w:val="151"/>
        </w:trPr>
        <w:tc>
          <w:tcPr>
            <w:tcW w:w="3080" w:type="dxa"/>
            <w:vAlign w:val="bottom"/>
            <w:tcBorders>
              <w:bottom w:val="single" w:sz="8" w:color="808080"/>
            </w:tcBorders>
          </w:tcPr>
          <w:p>
            <w:pPr>
              <w:spacing w:after="0"/>
              <w:rPr>
                <w:sz w:val="13"/>
                <w:szCs w:val="13"/>
                <w:color w:val="auto"/>
              </w:rPr>
            </w:pPr>
          </w:p>
        </w:tc>
        <w:tc>
          <w:tcPr>
            <w:tcW w:w="55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-840105</wp:posOffset>
            </wp:positionV>
            <wp:extent cx="189230" cy="238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230" cy="23812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-491490</wp:posOffset>
            </wp:positionV>
            <wp:extent cx="189230" cy="189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-491490</wp:posOffset>
            </wp:positionV>
            <wp:extent cx="165100" cy="189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100" cy="18923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5" w:name="page6"/>
    <w:bookmarkEnd w:id="5"/>
    <w:p>
      <w:pPr>
        <w:ind w:left="200"/>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Table of Contents</w:t>
        </w:r>
      </w:hyperlink>
    </w:p>
    <w:p>
      <w:pPr>
        <w:sectPr>
          <w:pgSz w:w="11900" w:h="16838" w:orient="portrait"/>
          <w:cols w:equalWidth="0" w:num="1">
            <w:col w:w="9019"/>
          </w:cols>
          <w:pgMar w:left="1440" w:top="296" w:right="1440" w:bottom="1106" w:gutter="0" w:footer="0" w:header="0"/>
        </w:sectPr>
      </w:pP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16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800" w:type="dxa"/>
            <w:vAlign w:val="bottom"/>
          </w:tcPr>
          <w:p>
            <w:pPr>
              <w:ind w:left="2000"/>
              <w:spacing w:after="0"/>
              <w:rPr>
                <w:sz w:val="20"/>
                <w:szCs w:val="20"/>
                <w:color w:val="auto"/>
              </w:rPr>
            </w:pPr>
            <w:r>
              <w:rPr>
                <w:rFonts w:ascii="Arial" w:cs="Arial" w:eastAsia="Arial" w:hAnsi="Arial"/>
                <w:sz w:val="13"/>
                <w:szCs w:val="13"/>
                <w:b w:val="1"/>
                <w:bCs w:val="1"/>
                <w:color w:val="FFFFFE"/>
              </w:rPr>
              <w:t>Class I Board Nominations</w:t>
            </w: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20"/>
                <w:szCs w:val="20"/>
                <w:color w:val="auto"/>
              </w:rPr>
            </w:pPr>
            <w:r>
              <w:rPr>
                <w:rFonts w:ascii="Arial" w:cs="Arial" w:eastAsia="Arial" w:hAnsi="Arial"/>
                <w:sz w:val="13"/>
                <w:szCs w:val="13"/>
                <w:b w:val="1"/>
                <w:bCs w:val="1"/>
                <w:color w:val="auto"/>
              </w:rPr>
              <w:t>(Year Joined Board)</w:t>
            </w:r>
          </w:p>
        </w:tc>
        <w:tc>
          <w:tcPr>
            <w:tcW w:w="4800" w:type="dxa"/>
            <w:vAlign w:val="bottom"/>
          </w:tcPr>
          <w:p>
            <w:pPr>
              <w:ind w:left="120"/>
              <w:spacing w:after="0"/>
              <w:rPr>
                <w:sz w:val="20"/>
                <w:szCs w:val="20"/>
                <w:color w:val="auto"/>
              </w:rPr>
            </w:pPr>
            <w:r>
              <w:rPr>
                <w:rFonts w:ascii="Arial" w:cs="Arial" w:eastAsia="Arial" w:hAnsi="Arial"/>
                <w:sz w:val="13"/>
                <w:szCs w:val="13"/>
                <w:b w:val="1"/>
                <w:bCs w:val="1"/>
                <w:color w:val="auto"/>
              </w:rPr>
              <w:t>Principal Occupation*</w:t>
            </w:r>
          </w:p>
        </w:tc>
        <w:tc>
          <w:tcPr>
            <w:tcW w:w="0" w:type="dxa"/>
            <w:vAlign w:val="bottom"/>
          </w:tcPr>
          <w:p>
            <w:pPr>
              <w:spacing w:after="0"/>
              <w:rPr>
                <w:sz w:val="1"/>
                <w:szCs w:val="1"/>
                <w:color w:val="auto"/>
              </w:rPr>
            </w:pPr>
          </w:p>
        </w:tc>
      </w:tr>
      <w:tr>
        <w:trPr>
          <w:trHeight w:val="144"/>
        </w:trPr>
        <w:tc>
          <w:tcPr>
            <w:tcW w:w="1300" w:type="dxa"/>
            <w:vAlign w:val="bottom"/>
          </w:tcPr>
          <w:p>
            <w:pPr>
              <w:spacing w:after="0" w:line="144" w:lineRule="exact"/>
              <w:rPr>
                <w:sz w:val="20"/>
                <w:szCs w:val="20"/>
                <w:color w:val="auto"/>
              </w:rPr>
            </w:pPr>
            <w:r>
              <w:rPr>
                <w:rFonts w:ascii="Arial" w:cs="Arial" w:eastAsia="Arial" w:hAnsi="Arial"/>
                <w:sz w:val="13"/>
                <w:szCs w:val="13"/>
                <w:color w:val="auto"/>
              </w:rPr>
              <w:t>Rohit Kapoor</w:t>
            </w:r>
          </w:p>
        </w:tc>
        <w:tc>
          <w:tcPr>
            <w:tcW w:w="4800" w:type="dxa"/>
            <w:vAlign w:val="bottom"/>
          </w:tcPr>
          <w:p>
            <w:pPr>
              <w:ind w:left="120"/>
              <w:spacing w:after="0" w:line="144" w:lineRule="exact"/>
              <w:rPr>
                <w:sz w:val="20"/>
                <w:szCs w:val="20"/>
                <w:color w:val="auto"/>
              </w:rPr>
            </w:pPr>
            <w:r>
              <w:rPr>
                <w:rFonts w:ascii="Arial" w:cs="Arial" w:eastAsia="Arial" w:hAnsi="Arial"/>
                <w:sz w:val="13"/>
                <w:szCs w:val="13"/>
                <w:color w:val="auto"/>
                <w:w w:val="95"/>
              </w:rPr>
              <w:t>Co-founder of EXL Inc. in April 1999; Vice Chairman and CEO of the Company since</w:t>
            </w:r>
          </w:p>
        </w:tc>
        <w:tc>
          <w:tcPr>
            <w:tcW w:w="0" w:type="dxa"/>
            <w:vAlign w:val="bottom"/>
          </w:tcPr>
          <w:p>
            <w:pPr>
              <w:spacing w:after="0"/>
              <w:rPr>
                <w:sz w:val="1"/>
                <w:szCs w:val="1"/>
                <w:color w:val="auto"/>
              </w:rPr>
            </w:pPr>
          </w:p>
        </w:tc>
      </w:tr>
      <w:tr>
        <w:trPr>
          <w:trHeight w:val="140"/>
        </w:trPr>
        <w:tc>
          <w:tcPr>
            <w:tcW w:w="1300" w:type="dxa"/>
            <w:vAlign w:val="bottom"/>
          </w:tcPr>
          <w:p>
            <w:pPr>
              <w:spacing w:after="0" w:line="140" w:lineRule="exact"/>
              <w:rPr>
                <w:sz w:val="20"/>
                <w:szCs w:val="20"/>
                <w:color w:val="auto"/>
              </w:rPr>
            </w:pPr>
            <w:r>
              <w:rPr>
                <w:rFonts w:ascii="Arial" w:cs="Arial" w:eastAsia="Arial" w:hAnsi="Arial"/>
                <w:sz w:val="13"/>
                <w:szCs w:val="13"/>
                <w:color w:val="auto"/>
              </w:rPr>
              <w:t>(November 2002)</w:t>
            </w:r>
          </w:p>
        </w:tc>
        <w:tc>
          <w:tcPr>
            <w:tcW w:w="4800" w:type="dxa"/>
            <w:vAlign w:val="bottom"/>
          </w:tcPr>
          <w:p>
            <w:pPr>
              <w:ind w:left="120"/>
              <w:spacing w:after="0" w:line="140" w:lineRule="exact"/>
              <w:rPr>
                <w:sz w:val="20"/>
                <w:szCs w:val="20"/>
                <w:color w:val="auto"/>
              </w:rPr>
            </w:pPr>
            <w:r>
              <w:rPr>
                <w:rFonts w:ascii="Arial" w:cs="Arial" w:eastAsia="Arial" w:hAnsi="Arial"/>
                <w:sz w:val="13"/>
                <w:szCs w:val="13"/>
                <w:color w:val="auto"/>
              </w:rPr>
              <w:t>April 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-462915</wp:posOffset>
            </wp:positionV>
            <wp:extent cx="5482590" cy="929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2590" cy="929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899"/>
        <w:spacing w:after="0" w:line="365" w:lineRule="auto"/>
        <w:rPr>
          <w:sz w:val="20"/>
          <w:szCs w:val="20"/>
          <w:color w:val="auto"/>
        </w:rPr>
      </w:pPr>
      <w:r>
        <w:rPr>
          <w:rFonts w:ascii="Arial" w:cs="Arial" w:eastAsia="Arial" w:hAnsi="Arial"/>
          <w:sz w:val="13"/>
          <w:szCs w:val="13"/>
          <w:b w:val="1"/>
          <w:bCs w:val="1"/>
          <w:color w:val="auto"/>
        </w:rPr>
        <w:t xml:space="preserve">Committee Membership </w:t>
      </w:r>
      <w:r>
        <w:rPr>
          <w:rFonts w:ascii="Arial" w:cs="Arial" w:eastAsia="Arial" w:hAnsi="Arial"/>
          <w:sz w:val="13"/>
          <w:szCs w:val="13"/>
          <w:color w:val="auto"/>
        </w:rPr>
        <w:t>N/A</w:t>
      </w:r>
    </w:p>
    <w:p>
      <w:pPr>
        <w:spacing w:after="0" w:line="1" w:lineRule="exact"/>
        <w:rPr>
          <w:sz w:val="20"/>
          <w:szCs w:val="20"/>
          <w:color w:val="auto"/>
        </w:rPr>
      </w:pPr>
    </w:p>
    <w:p>
      <w:pPr>
        <w:sectPr>
          <w:pgSz w:w="11900" w:h="16838" w:orient="portrait"/>
          <w:cols w:equalWidth="0" w:num="2">
            <w:col w:w="6520" w:space="180"/>
            <w:col w:w="2319"/>
          </w:cols>
          <w:pgMar w:left="1440" w:top="296" w:right="1440" w:bottom="1106" w:gutter="0" w:footer="0" w:header="0"/>
          <w:type w:val="continuous"/>
        </w:sectPr>
      </w:pPr>
    </w:p>
    <w:tbl>
      <w:tblPr>
        <w:tblLayout w:type="fixed"/>
        <w:tblInd w:w="200" w:type="dxa"/>
        <w:tblCellMar>
          <w:top w:w="0" w:type="dxa"/>
          <w:left w:w="0" w:type="dxa"/>
          <w:bottom w:w="0" w:type="dxa"/>
          <w:right w:w="0" w:type="dxa"/>
        </w:tblCellMar>
      </w:tblPr>
      <w:tr>
        <w:trPr>
          <w:trHeight w:val="139"/>
        </w:trPr>
        <w:tc>
          <w:tcPr>
            <w:tcW w:w="1480" w:type="dxa"/>
            <w:vAlign w:val="bottom"/>
            <w:vMerge w:val="restart"/>
            <w:shd w:val="clear" w:color="auto" w:fill="FDE1C5"/>
          </w:tcPr>
          <w:p>
            <w:pPr>
              <w:ind w:left="220"/>
              <w:spacing w:after="0"/>
              <w:rPr>
                <w:sz w:val="20"/>
                <w:szCs w:val="20"/>
                <w:color w:val="auto"/>
              </w:rPr>
            </w:pPr>
            <w:r>
              <w:rPr>
                <w:rFonts w:ascii="Arial" w:cs="Arial" w:eastAsia="Arial" w:hAnsi="Arial"/>
                <w:sz w:val="13"/>
                <w:szCs w:val="13"/>
                <w:color w:val="auto"/>
              </w:rPr>
              <w:t>Anne Minto</w:t>
            </w:r>
          </w:p>
        </w:tc>
        <w:tc>
          <w:tcPr>
            <w:tcW w:w="4960" w:type="dxa"/>
            <w:vAlign w:val="bottom"/>
            <w:shd w:val="clear" w:color="auto" w:fill="FDE1C5"/>
          </w:tcPr>
          <w:p>
            <w:pPr>
              <w:ind w:left="160"/>
              <w:spacing w:after="0" w:line="139" w:lineRule="exact"/>
              <w:rPr>
                <w:sz w:val="20"/>
                <w:szCs w:val="20"/>
                <w:color w:val="auto"/>
              </w:rPr>
            </w:pPr>
            <w:r>
              <w:rPr>
                <w:rFonts w:ascii="Arial" w:cs="Arial" w:eastAsia="Arial" w:hAnsi="Arial"/>
                <w:sz w:val="13"/>
                <w:szCs w:val="13"/>
                <w:color w:val="auto"/>
              </w:rPr>
              <w:t>Qualified lawyer and member of Law Society of Scotland; former executive of</w:t>
            </w:r>
          </w:p>
        </w:tc>
        <w:tc>
          <w:tcPr>
            <w:tcW w:w="2200" w:type="dxa"/>
            <w:vAlign w:val="bottom"/>
            <w:shd w:val="clear" w:color="auto" w:fill="FDE1C5"/>
          </w:tcPr>
          <w:p>
            <w:pPr>
              <w:ind w:left="60"/>
              <w:spacing w:after="0" w:line="139" w:lineRule="exact"/>
              <w:rPr>
                <w:sz w:val="20"/>
                <w:szCs w:val="20"/>
                <w:color w:val="auto"/>
              </w:rPr>
            </w:pPr>
            <w:r>
              <w:rPr>
                <w:rFonts w:ascii="Arial" w:cs="Arial" w:eastAsia="Arial" w:hAnsi="Arial"/>
                <w:sz w:val="13"/>
                <w:szCs w:val="13"/>
                <w:color w:val="auto"/>
              </w:rPr>
              <w:t>Compensation Committee</w:t>
            </w:r>
          </w:p>
        </w:tc>
        <w:tc>
          <w:tcPr>
            <w:tcW w:w="0" w:type="dxa"/>
            <w:vAlign w:val="bottom"/>
          </w:tcPr>
          <w:p>
            <w:pPr>
              <w:spacing w:after="0"/>
              <w:rPr>
                <w:sz w:val="1"/>
                <w:szCs w:val="1"/>
                <w:color w:val="auto"/>
              </w:rPr>
            </w:pPr>
          </w:p>
        </w:tc>
      </w:tr>
      <w:tr>
        <w:trPr>
          <w:trHeight w:val="67"/>
        </w:trPr>
        <w:tc>
          <w:tcPr>
            <w:tcW w:w="1480" w:type="dxa"/>
            <w:vAlign w:val="bottom"/>
            <w:vMerge w:val="continue"/>
            <w:shd w:val="clear" w:color="auto" w:fill="FDE1C5"/>
          </w:tcPr>
          <w:p>
            <w:pPr>
              <w:spacing w:after="0"/>
              <w:rPr>
                <w:sz w:val="5"/>
                <w:szCs w:val="5"/>
                <w:color w:val="auto"/>
              </w:rPr>
            </w:pPr>
          </w:p>
        </w:tc>
        <w:tc>
          <w:tcPr>
            <w:tcW w:w="4960" w:type="dxa"/>
            <w:vAlign w:val="bottom"/>
            <w:vMerge w:val="restart"/>
            <w:shd w:val="clear" w:color="auto" w:fill="FDE1C5"/>
          </w:tcPr>
          <w:p>
            <w:pPr>
              <w:ind w:left="160"/>
              <w:spacing w:after="0" w:line="144" w:lineRule="exact"/>
              <w:rPr>
                <w:sz w:val="20"/>
                <w:szCs w:val="20"/>
                <w:color w:val="auto"/>
              </w:rPr>
            </w:pPr>
            <w:r>
              <w:rPr>
                <w:rFonts w:ascii="Arial" w:cs="Arial" w:eastAsia="Arial" w:hAnsi="Arial"/>
                <w:sz w:val="13"/>
                <w:szCs w:val="13"/>
                <w:color w:val="auto"/>
                <w:w w:val="97"/>
              </w:rPr>
              <w:t>Centrica plc, Shell UK and Smiths Group plc; non-executive director for Tate and Lyle</w:t>
            </w:r>
          </w:p>
        </w:tc>
        <w:tc>
          <w:tcPr>
            <w:tcW w:w="2200" w:type="dxa"/>
            <w:vAlign w:val="bottom"/>
            <w:vMerge w:val="restart"/>
            <w:shd w:val="clear" w:color="auto" w:fill="FDE1C5"/>
          </w:tcPr>
          <w:p>
            <w:pPr>
              <w:ind w:left="60"/>
              <w:spacing w:after="0" w:line="144" w:lineRule="exact"/>
              <w:rPr>
                <w:sz w:val="20"/>
                <w:szCs w:val="20"/>
                <w:color w:val="auto"/>
              </w:rPr>
            </w:pPr>
            <w:r>
              <w:rPr>
                <w:rFonts w:ascii="Arial" w:cs="Arial" w:eastAsia="Arial" w:hAnsi="Arial"/>
                <w:sz w:val="13"/>
                <w:szCs w:val="13"/>
                <w:color w:val="auto"/>
              </w:rPr>
              <w:t>(Chair), Nominating and</w:t>
            </w:r>
          </w:p>
        </w:tc>
        <w:tc>
          <w:tcPr>
            <w:tcW w:w="0" w:type="dxa"/>
            <w:vAlign w:val="bottom"/>
          </w:tcPr>
          <w:p>
            <w:pPr>
              <w:spacing w:after="0"/>
              <w:rPr>
                <w:sz w:val="1"/>
                <w:szCs w:val="1"/>
                <w:color w:val="auto"/>
              </w:rPr>
            </w:pPr>
          </w:p>
        </w:tc>
      </w:tr>
      <w:tr>
        <w:trPr>
          <w:trHeight w:val="77"/>
        </w:trPr>
        <w:tc>
          <w:tcPr>
            <w:tcW w:w="1480" w:type="dxa"/>
            <w:vAlign w:val="bottom"/>
            <w:vMerge w:val="restart"/>
            <w:shd w:val="clear" w:color="auto" w:fill="FDE1C5"/>
          </w:tcPr>
          <w:p>
            <w:pPr>
              <w:ind w:left="220"/>
              <w:spacing w:after="0"/>
              <w:rPr>
                <w:sz w:val="20"/>
                <w:szCs w:val="20"/>
                <w:color w:val="auto"/>
              </w:rPr>
            </w:pPr>
            <w:r>
              <w:rPr>
                <w:rFonts w:ascii="Arial" w:cs="Arial" w:eastAsia="Arial" w:hAnsi="Arial"/>
                <w:sz w:val="13"/>
                <w:szCs w:val="13"/>
                <w:color w:val="auto"/>
              </w:rPr>
              <w:t>(March 2013)</w:t>
            </w:r>
          </w:p>
        </w:tc>
        <w:tc>
          <w:tcPr>
            <w:tcW w:w="4960" w:type="dxa"/>
            <w:vAlign w:val="bottom"/>
            <w:vMerge w:val="continue"/>
            <w:shd w:val="clear" w:color="auto" w:fill="FDE1C5"/>
          </w:tcPr>
          <w:p>
            <w:pPr>
              <w:spacing w:after="0"/>
              <w:rPr>
                <w:sz w:val="6"/>
                <w:szCs w:val="6"/>
                <w:color w:val="auto"/>
              </w:rPr>
            </w:pPr>
          </w:p>
        </w:tc>
        <w:tc>
          <w:tcPr>
            <w:tcW w:w="2200" w:type="dxa"/>
            <w:vAlign w:val="bottom"/>
            <w:vMerge w:val="continue"/>
            <w:shd w:val="clear" w:color="auto" w:fill="FDE1C5"/>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480" w:type="dxa"/>
            <w:vAlign w:val="bottom"/>
            <w:vMerge w:val="continue"/>
            <w:shd w:val="clear" w:color="auto" w:fill="FDE1C5"/>
          </w:tcPr>
          <w:p>
            <w:pPr>
              <w:spacing w:after="0"/>
              <w:rPr>
                <w:sz w:val="6"/>
                <w:szCs w:val="6"/>
                <w:color w:val="auto"/>
              </w:rPr>
            </w:pPr>
          </w:p>
        </w:tc>
        <w:tc>
          <w:tcPr>
            <w:tcW w:w="4960" w:type="dxa"/>
            <w:vAlign w:val="bottom"/>
            <w:vMerge w:val="restart"/>
            <w:shd w:val="clear" w:color="auto" w:fill="FDE1C5"/>
          </w:tcPr>
          <w:p>
            <w:pPr>
              <w:ind w:left="160"/>
              <w:spacing w:after="0" w:line="143" w:lineRule="exact"/>
              <w:rPr>
                <w:sz w:val="20"/>
                <w:szCs w:val="20"/>
                <w:color w:val="auto"/>
              </w:rPr>
            </w:pPr>
            <w:r>
              <w:rPr>
                <w:rFonts w:ascii="Arial" w:cs="Arial" w:eastAsia="Arial" w:hAnsi="Arial"/>
                <w:sz w:val="13"/>
                <w:szCs w:val="13"/>
                <w:color w:val="auto"/>
              </w:rPr>
              <w:t>and Shire plc (2010-2018)</w:t>
            </w:r>
          </w:p>
        </w:tc>
        <w:tc>
          <w:tcPr>
            <w:tcW w:w="2200" w:type="dxa"/>
            <w:vAlign w:val="bottom"/>
            <w:vMerge w:val="restart"/>
            <w:shd w:val="clear" w:color="auto" w:fill="FDE1C5"/>
          </w:tcPr>
          <w:p>
            <w:pPr>
              <w:ind w:left="60"/>
              <w:spacing w:after="0" w:line="143" w:lineRule="exact"/>
              <w:rPr>
                <w:sz w:val="20"/>
                <w:szCs w:val="20"/>
                <w:color w:val="auto"/>
              </w:rPr>
            </w:pPr>
            <w:r>
              <w:rPr>
                <w:rFonts w:ascii="Arial" w:cs="Arial" w:eastAsia="Arial" w:hAnsi="Arial"/>
                <w:sz w:val="13"/>
                <w:szCs w:val="13"/>
                <w:color w:val="auto"/>
              </w:rPr>
              <w:t>Governance Committee</w:t>
            </w:r>
          </w:p>
        </w:tc>
        <w:tc>
          <w:tcPr>
            <w:tcW w:w="0" w:type="dxa"/>
            <w:vAlign w:val="bottom"/>
          </w:tcPr>
          <w:p>
            <w:pPr>
              <w:spacing w:after="0"/>
              <w:rPr>
                <w:sz w:val="1"/>
                <w:szCs w:val="1"/>
                <w:color w:val="auto"/>
              </w:rPr>
            </w:pPr>
          </w:p>
        </w:tc>
      </w:tr>
      <w:tr>
        <w:trPr>
          <w:trHeight w:val="70"/>
        </w:trPr>
        <w:tc>
          <w:tcPr>
            <w:tcW w:w="1480" w:type="dxa"/>
            <w:vAlign w:val="bottom"/>
            <w:shd w:val="clear" w:color="auto" w:fill="FDE1C5"/>
          </w:tcPr>
          <w:p>
            <w:pPr>
              <w:spacing w:after="0"/>
              <w:rPr>
                <w:sz w:val="6"/>
                <w:szCs w:val="6"/>
                <w:color w:val="auto"/>
              </w:rPr>
            </w:pPr>
          </w:p>
        </w:tc>
        <w:tc>
          <w:tcPr>
            <w:tcW w:w="4960" w:type="dxa"/>
            <w:vAlign w:val="bottom"/>
            <w:vMerge w:val="continue"/>
            <w:shd w:val="clear" w:color="auto" w:fill="FDE1C5"/>
          </w:tcPr>
          <w:p>
            <w:pPr>
              <w:spacing w:after="0"/>
              <w:rPr>
                <w:sz w:val="6"/>
                <w:szCs w:val="6"/>
                <w:color w:val="auto"/>
              </w:rPr>
            </w:pPr>
          </w:p>
        </w:tc>
        <w:tc>
          <w:tcPr>
            <w:tcW w:w="2200" w:type="dxa"/>
            <w:vAlign w:val="bottom"/>
            <w:vMerge w:val="continue"/>
            <w:shd w:val="clear" w:color="auto" w:fill="FDE1C5"/>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480" w:type="dxa"/>
            <w:vAlign w:val="bottom"/>
          </w:tcPr>
          <w:p>
            <w:pPr>
              <w:ind w:left="220"/>
              <w:spacing w:after="0" w:line="147" w:lineRule="exact"/>
              <w:rPr>
                <w:sz w:val="20"/>
                <w:szCs w:val="20"/>
                <w:color w:val="auto"/>
              </w:rPr>
            </w:pPr>
            <w:r>
              <w:rPr>
                <w:rFonts w:ascii="Arial" w:cs="Arial" w:eastAsia="Arial" w:hAnsi="Arial"/>
                <w:sz w:val="13"/>
                <w:szCs w:val="13"/>
                <w:color w:val="auto"/>
              </w:rPr>
              <w:t>Jaynie Studenmund</w:t>
            </w:r>
          </w:p>
        </w:tc>
        <w:tc>
          <w:tcPr>
            <w:tcW w:w="4960" w:type="dxa"/>
            <w:vAlign w:val="bottom"/>
          </w:tcPr>
          <w:p>
            <w:pPr>
              <w:ind w:left="160"/>
              <w:spacing w:after="0" w:line="147" w:lineRule="exact"/>
              <w:rPr>
                <w:sz w:val="20"/>
                <w:szCs w:val="20"/>
                <w:color w:val="auto"/>
              </w:rPr>
            </w:pPr>
            <w:r>
              <w:rPr>
                <w:rFonts w:ascii="Arial" w:cs="Arial" w:eastAsia="Arial" w:hAnsi="Arial"/>
                <w:sz w:val="13"/>
                <w:szCs w:val="13"/>
                <w:color w:val="auto"/>
                <w:w w:val="97"/>
              </w:rPr>
              <w:t>Former Chief Operating Officer of Overture Services, Inc.; Director for CoreLogic, Inc.</w:t>
            </w:r>
          </w:p>
        </w:tc>
        <w:tc>
          <w:tcPr>
            <w:tcW w:w="2200" w:type="dxa"/>
            <w:vAlign w:val="bottom"/>
          </w:tcPr>
          <w:p>
            <w:pPr>
              <w:ind w:left="60"/>
              <w:spacing w:after="0" w:line="147" w:lineRule="exact"/>
              <w:rPr>
                <w:sz w:val="20"/>
                <w:szCs w:val="20"/>
                <w:color w:val="auto"/>
              </w:rPr>
            </w:pPr>
            <w:r>
              <w:rPr>
                <w:rFonts w:ascii="Arial" w:cs="Arial" w:eastAsia="Arial" w:hAnsi="Arial"/>
                <w:sz w:val="13"/>
                <w:szCs w:val="13"/>
                <w:color w:val="auto"/>
              </w:rPr>
              <w:t>Audit Committee, Compensation</w:t>
            </w:r>
          </w:p>
        </w:tc>
        <w:tc>
          <w:tcPr>
            <w:tcW w:w="0" w:type="dxa"/>
            <w:vAlign w:val="bottom"/>
          </w:tcPr>
          <w:p>
            <w:pPr>
              <w:spacing w:after="0"/>
              <w:rPr>
                <w:sz w:val="1"/>
                <w:szCs w:val="1"/>
                <w:color w:val="auto"/>
              </w:rPr>
            </w:pPr>
          </w:p>
        </w:tc>
      </w:tr>
      <w:tr>
        <w:trPr>
          <w:trHeight w:val="149"/>
        </w:trPr>
        <w:tc>
          <w:tcPr>
            <w:tcW w:w="1480" w:type="dxa"/>
            <w:vAlign w:val="bottom"/>
          </w:tcPr>
          <w:p>
            <w:pPr>
              <w:ind w:left="220"/>
              <w:spacing w:after="0"/>
              <w:rPr>
                <w:sz w:val="20"/>
                <w:szCs w:val="20"/>
                <w:color w:val="auto"/>
              </w:rPr>
            </w:pPr>
            <w:r>
              <w:rPr>
                <w:rFonts w:ascii="Arial" w:cs="Arial" w:eastAsia="Arial" w:hAnsi="Arial"/>
                <w:sz w:val="13"/>
                <w:szCs w:val="13"/>
                <w:color w:val="auto"/>
              </w:rPr>
              <w:t>(September 2018)</w:t>
            </w:r>
          </w:p>
        </w:tc>
        <w:tc>
          <w:tcPr>
            <w:tcW w:w="4960" w:type="dxa"/>
            <w:vAlign w:val="bottom"/>
          </w:tcPr>
          <w:p>
            <w:pPr>
              <w:ind w:left="160"/>
              <w:spacing w:after="0"/>
              <w:rPr>
                <w:sz w:val="20"/>
                <w:szCs w:val="20"/>
                <w:color w:val="auto"/>
              </w:rPr>
            </w:pPr>
            <w:r>
              <w:rPr>
                <w:rFonts w:ascii="Arial" w:cs="Arial" w:eastAsia="Arial" w:hAnsi="Arial"/>
                <w:sz w:val="13"/>
                <w:szCs w:val="13"/>
                <w:color w:val="auto"/>
              </w:rPr>
              <w:t>and Pinnacle Entertainment, Inc.</w:t>
            </w:r>
          </w:p>
        </w:tc>
        <w:tc>
          <w:tcPr>
            <w:tcW w:w="2200" w:type="dxa"/>
            <w:vAlign w:val="bottom"/>
          </w:tcPr>
          <w:p>
            <w:pPr>
              <w:ind w:left="60"/>
              <w:spacing w:after="0"/>
              <w:rPr>
                <w:sz w:val="20"/>
                <w:szCs w:val="20"/>
                <w:color w:val="auto"/>
              </w:rPr>
            </w:pPr>
            <w:r>
              <w:rPr>
                <w:rFonts w:ascii="Arial" w:cs="Arial" w:eastAsia="Arial" w:hAnsi="Arial"/>
                <w:sz w:val="13"/>
                <w:szCs w:val="13"/>
                <w:color w:val="auto"/>
              </w:rPr>
              <w:t>Committee</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80" w:hanging="386"/>
        <w:spacing w:after="0"/>
        <w:tabs>
          <w:tab w:leader="none" w:pos="5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complete list of each nominee's business experience and directorships is listed below beginning on page 14.</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Our Business</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29,100 professionals in locations throughout the United States, Europe, Asia (primarily India and the Philippines), Latin America, Australia and South Africa.</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Performance Highlights for 2018</w:t>
      </w:r>
    </w:p>
    <w:p>
      <w:pPr>
        <w:spacing w:after="0" w:line="164" w:lineRule="exact"/>
        <w:rPr>
          <w:sz w:val="20"/>
          <w:szCs w:val="20"/>
          <w:color w:val="auto"/>
        </w:rPr>
      </w:pPr>
    </w:p>
    <w:p>
      <w:pPr>
        <w:jc w:val="center"/>
        <w:ind w:left="3120"/>
        <w:spacing w:after="0"/>
        <w:rPr>
          <w:sz w:val="20"/>
          <w:szCs w:val="20"/>
          <w:color w:val="auto"/>
        </w:rPr>
      </w:pPr>
      <w:r>
        <w:rPr>
          <w:rFonts w:ascii="Arial" w:cs="Arial" w:eastAsia="Arial" w:hAnsi="Arial"/>
          <w:sz w:val="13"/>
          <w:szCs w:val="13"/>
          <w:b w:val="1"/>
          <w:bCs w:val="1"/>
          <w:color w:val="FFFFFE"/>
        </w:rPr>
        <w:t>Company 3 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-85725</wp:posOffset>
            </wp:positionV>
            <wp:extent cx="4406900" cy="18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06900" cy="183515"/>
                    </a:xfrm>
                    <a:prstGeom prst="rect">
                      <a:avLst/>
                    </a:prstGeom>
                    <a:noFill/>
                  </pic:spPr>
                </pic:pic>
              </a:graphicData>
            </a:graphic>
          </wp:anchor>
        </w:drawing>
      </w:r>
    </w:p>
    <w:p>
      <w:pPr>
        <w:jc w:val="center"/>
        <w:ind w:left="2260"/>
        <w:spacing w:after="0"/>
        <w:rPr>
          <w:sz w:val="20"/>
          <w:szCs w:val="20"/>
          <w:color w:val="auto"/>
        </w:rPr>
      </w:pPr>
      <w:r>
        <w:rPr>
          <w:rFonts w:ascii="Arial" w:cs="Arial" w:eastAsia="Arial" w:hAnsi="Arial"/>
          <w:sz w:val="13"/>
          <w:szCs w:val="13"/>
          <w:b w:val="1"/>
          <w:bCs w:val="1"/>
          <w:color w:val="FFFFFE"/>
        </w:rPr>
        <w:t>Revenue and Segment Information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-635</wp:posOffset>
            </wp:positionV>
            <wp:extent cx="4406900" cy="904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06900" cy="904875"/>
                    </a:xfrm>
                    <a:prstGeom prst="rect">
                      <a:avLst/>
                    </a:prstGeom>
                    <a:noFill/>
                  </pic:spPr>
                </pic:pic>
              </a:graphicData>
            </a:graphic>
          </wp:anchor>
        </w:drawing>
      </w:r>
    </w:p>
    <w:p>
      <w:pPr>
        <w:ind w:left="5020"/>
        <w:spacing w:after="0" w:line="228" w:lineRule="auto"/>
        <w:rPr>
          <w:sz w:val="20"/>
          <w:szCs w:val="20"/>
          <w:color w:val="auto"/>
        </w:rPr>
      </w:pPr>
      <w:r>
        <w:rPr>
          <w:rFonts w:ascii="Arial" w:cs="Arial" w:eastAsia="Arial" w:hAnsi="Arial"/>
          <w:sz w:val="13"/>
          <w:szCs w:val="13"/>
          <w:b w:val="1"/>
          <w:bCs w:val="1"/>
          <w:color w:val="auto"/>
        </w:rPr>
        <w:t>Revenue (Year-over-year growth %)</w:t>
      </w:r>
    </w:p>
    <w:p>
      <w:pPr>
        <w:spacing w:after="0" w:line="20" w:lineRule="exact"/>
        <w:rPr>
          <w:sz w:val="20"/>
          <w:szCs w:val="20"/>
          <w:color w:val="auto"/>
        </w:rPr>
      </w:pPr>
    </w:p>
    <w:tbl>
      <w:tblPr>
        <w:tblLayout w:type="fixed"/>
        <w:tblInd w:w="1060" w:type="dxa"/>
        <w:tblCellMar>
          <w:top w:w="0" w:type="dxa"/>
          <w:left w:w="0" w:type="dxa"/>
          <w:bottom w:w="0" w:type="dxa"/>
          <w:right w:w="0" w:type="dxa"/>
        </w:tblCellMar>
      </w:tblPr>
      <w:tr>
        <w:trPr>
          <w:trHeight w:val="240"/>
        </w:trPr>
        <w:tc>
          <w:tcPr>
            <w:tcW w:w="120" w:type="dxa"/>
            <w:vAlign w:val="bottom"/>
            <w:shd w:val="clear" w:color="auto" w:fill="F8BF85"/>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shd w:val="clear" w:color="auto" w:fill="F8BF85"/>
          </w:tcPr>
          <w:p>
            <w:pPr>
              <w:spacing w:after="0"/>
              <w:rPr>
                <w:sz w:val="20"/>
                <w:szCs w:val="20"/>
                <w:color w:val="auto"/>
              </w:rPr>
            </w:pPr>
          </w:p>
        </w:tc>
        <w:tc>
          <w:tcPr>
            <w:tcW w:w="360" w:type="dxa"/>
            <w:vAlign w:val="bottom"/>
            <w:shd w:val="clear" w:color="auto" w:fill="F8BF85"/>
          </w:tcPr>
          <w:p>
            <w:pPr>
              <w:spacing w:after="0"/>
              <w:rPr>
                <w:sz w:val="20"/>
                <w:szCs w:val="20"/>
                <w:color w:val="auto"/>
              </w:rPr>
            </w:pPr>
          </w:p>
        </w:tc>
        <w:tc>
          <w:tcPr>
            <w:tcW w:w="460" w:type="dxa"/>
            <w:vAlign w:val="bottom"/>
            <w:shd w:val="clear" w:color="auto" w:fill="F8BF85"/>
          </w:tcPr>
          <w:p>
            <w:pPr>
              <w:jc w:val="right"/>
              <w:ind w:right="97"/>
              <w:spacing w:after="0"/>
              <w:rPr>
                <w:sz w:val="20"/>
                <w:szCs w:val="20"/>
                <w:color w:val="auto"/>
              </w:rPr>
            </w:pPr>
            <w:r>
              <w:rPr>
                <w:rFonts w:ascii="Arial" w:cs="Arial" w:eastAsia="Arial" w:hAnsi="Arial"/>
                <w:sz w:val="13"/>
                <w:szCs w:val="13"/>
                <w:b w:val="1"/>
                <w:bCs w:val="1"/>
                <w:color w:val="auto"/>
                <w:w w:val="96"/>
              </w:rPr>
              <w:t>2016</w:t>
            </w:r>
          </w:p>
        </w:tc>
        <w:tc>
          <w:tcPr>
            <w:tcW w:w="720" w:type="dxa"/>
            <w:vAlign w:val="bottom"/>
            <w:shd w:val="clear" w:color="auto" w:fill="F8BF85"/>
          </w:tcPr>
          <w:p>
            <w:pPr>
              <w:jc w:val="right"/>
              <w:ind w:right="177"/>
              <w:spacing w:after="0"/>
              <w:rPr>
                <w:sz w:val="20"/>
                <w:szCs w:val="20"/>
                <w:color w:val="auto"/>
              </w:rPr>
            </w:pPr>
            <w:r>
              <w:rPr>
                <w:rFonts w:ascii="Arial" w:cs="Arial" w:eastAsia="Arial" w:hAnsi="Arial"/>
                <w:sz w:val="13"/>
                <w:szCs w:val="13"/>
                <w:b w:val="1"/>
                <w:bCs w:val="1"/>
                <w:color w:val="auto"/>
              </w:rPr>
              <w:t>YOY%</w:t>
            </w:r>
          </w:p>
        </w:tc>
        <w:tc>
          <w:tcPr>
            <w:tcW w:w="480" w:type="dxa"/>
            <w:vAlign w:val="bottom"/>
            <w:shd w:val="clear" w:color="auto" w:fill="F8BF85"/>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720" w:type="dxa"/>
            <w:vAlign w:val="bottom"/>
            <w:shd w:val="clear" w:color="auto" w:fill="F8BF85"/>
          </w:tcPr>
          <w:p>
            <w:pPr>
              <w:jc w:val="right"/>
              <w:ind w:right="177"/>
              <w:spacing w:after="0"/>
              <w:rPr>
                <w:sz w:val="20"/>
                <w:szCs w:val="20"/>
                <w:color w:val="auto"/>
              </w:rPr>
            </w:pPr>
            <w:r>
              <w:rPr>
                <w:rFonts w:ascii="Arial" w:cs="Arial" w:eastAsia="Arial" w:hAnsi="Arial"/>
                <w:sz w:val="13"/>
                <w:szCs w:val="13"/>
                <w:b w:val="1"/>
                <w:bCs w:val="1"/>
                <w:color w:val="auto"/>
              </w:rPr>
              <w:t>YOY%</w:t>
            </w:r>
          </w:p>
        </w:tc>
        <w:tc>
          <w:tcPr>
            <w:tcW w:w="460" w:type="dxa"/>
            <w:vAlign w:val="bottom"/>
            <w:shd w:val="clear" w:color="auto" w:fill="F8BF85"/>
          </w:tcPr>
          <w:p>
            <w:pPr>
              <w:jc w:val="right"/>
              <w:ind w:right="77"/>
              <w:spacing w:after="0"/>
              <w:rPr>
                <w:sz w:val="20"/>
                <w:szCs w:val="20"/>
                <w:color w:val="auto"/>
              </w:rPr>
            </w:pPr>
            <w:r>
              <w:rPr>
                <w:rFonts w:ascii="Arial" w:cs="Arial" w:eastAsia="Arial" w:hAnsi="Arial"/>
                <w:sz w:val="13"/>
                <w:szCs w:val="13"/>
                <w:b w:val="1"/>
                <w:bCs w:val="1"/>
                <w:color w:val="auto"/>
              </w:rPr>
              <w:t>2018</w:t>
            </w:r>
          </w:p>
        </w:tc>
        <w:tc>
          <w:tcPr>
            <w:tcW w:w="760" w:type="dxa"/>
            <w:vAlign w:val="bottom"/>
            <w:shd w:val="clear" w:color="auto" w:fill="F8BF85"/>
          </w:tcPr>
          <w:p>
            <w:pPr>
              <w:jc w:val="right"/>
              <w:ind w:right="217"/>
              <w:spacing w:after="0"/>
              <w:rPr>
                <w:sz w:val="20"/>
                <w:szCs w:val="20"/>
                <w:color w:val="auto"/>
              </w:rPr>
            </w:pPr>
            <w:r>
              <w:rPr>
                <w:rFonts w:ascii="Arial" w:cs="Arial" w:eastAsia="Arial" w:hAnsi="Arial"/>
                <w:sz w:val="13"/>
                <w:szCs w:val="13"/>
                <w:b w:val="1"/>
                <w:bCs w:val="1"/>
                <w:color w:val="auto"/>
              </w:rPr>
              <w:t>YOY%</w:t>
            </w:r>
          </w:p>
        </w:tc>
      </w:tr>
      <w:tr>
        <w:trPr>
          <w:trHeight w:val="144"/>
        </w:trPr>
        <w:tc>
          <w:tcPr>
            <w:tcW w:w="120" w:type="dxa"/>
            <w:vAlign w:val="bottom"/>
            <w:shd w:val="clear" w:color="auto" w:fill="FDE1C5"/>
          </w:tcPr>
          <w:p>
            <w:pPr>
              <w:spacing w:after="0"/>
              <w:rPr>
                <w:sz w:val="12"/>
                <w:szCs w:val="12"/>
                <w:color w:val="auto"/>
              </w:rPr>
            </w:pPr>
          </w:p>
        </w:tc>
        <w:tc>
          <w:tcPr>
            <w:tcW w:w="2860" w:type="dxa"/>
            <w:vAlign w:val="bottom"/>
            <w:gridSpan w:val="2"/>
            <w:shd w:val="clear" w:color="auto" w:fill="FDE1C5"/>
          </w:tcPr>
          <w:p>
            <w:pPr>
              <w:ind w:left="100"/>
              <w:spacing w:after="0" w:line="144" w:lineRule="exact"/>
              <w:rPr>
                <w:sz w:val="20"/>
                <w:szCs w:val="20"/>
                <w:color w:val="auto"/>
              </w:rPr>
            </w:pPr>
            <w:r>
              <w:rPr>
                <w:rFonts w:ascii="Arial" w:cs="Arial" w:eastAsia="Arial" w:hAnsi="Arial"/>
                <w:sz w:val="13"/>
                <w:szCs w:val="13"/>
                <w:color w:val="auto"/>
              </w:rPr>
              <w:t>Insurance Segment</w:t>
            </w:r>
          </w:p>
        </w:tc>
        <w:tc>
          <w:tcPr>
            <w:tcW w:w="36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color w:val="auto"/>
              </w:rPr>
              <w:t>$</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206.3</w:t>
            </w:r>
          </w:p>
        </w:tc>
        <w:tc>
          <w:tcPr>
            <w:tcW w:w="72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color w:val="auto"/>
              </w:rPr>
              <w:t>3.2%$</w:t>
            </w:r>
          </w:p>
        </w:tc>
        <w:tc>
          <w:tcPr>
            <w:tcW w:w="48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234.8</w:t>
            </w:r>
          </w:p>
        </w:tc>
        <w:tc>
          <w:tcPr>
            <w:tcW w:w="72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color w:val="auto"/>
              </w:rPr>
              <w:t>13.8%$</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258.1</w:t>
            </w:r>
          </w:p>
        </w:tc>
        <w:tc>
          <w:tcPr>
            <w:tcW w:w="76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9.9%</w:t>
            </w:r>
          </w:p>
        </w:tc>
      </w:tr>
      <w:tr>
        <w:trPr>
          <w:trHeight w:val="144"/>
        </w:trPr>
        <w:tc>
          <w:tcPr>
            <w:tcW w:w="120" w:type="dxa"/>
            <w:vAlign w:val="bottom"/>
          </w:tcPr>
          <w:p>
            <w:pPr>
              <w:spacing w:after="0"/>
              <w:rPr>
                <w:sz w:val="12"/>
                <w:szCs w:val="12"/>
                <w:color w:val="auto"/>
              </w:rPr>
            </w:pPr>
          </w:p>
        </w:tc>
        <w:tc>
          <w:tcPr>
            <w:tcW w:w="28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Healthcare Segment</w:t>
            </w:r>
          </w:p>
        </w:tc>
        <w:tc>
          <w:tcPr>
            <w:tcW w:w="360" w:type="dxa"/>
            <w:vAlign w:val="bottom"/>
          </w:tcPr>
          <w:p>
            <w:pPr>
              <w:spacing w:after="0"/>
              <w:rPr>
                <w:sz w:val="12"/>
                <w:szCs w:val="12"/>
                <w:color w:val="auto"/>
              </w:rPr>
            </w:pP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68.7</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24.4%</w:t>
            </w:r>
          </w:p>
        </w:tc>
        <w:tc>
          <w:tcPr>
            <w:tcW w:w="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12.2%</w:t>
            </w: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84.4</w:t>
            </w:r>
          </w:p>
        </w:tc>
        <w:tc>
          <w:tcPr>
            <w:tcW w:w="7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9.6%</w:t>
            </w:r>
          </w:p>
        </w:tc>
      </w:tr>
      <w:tr>
        <w:trPr>
          <w:trHeight w:val="144"/>
        </w:trPr>
        <w:tc>
          <w:tcPr>
            <w:tcW w:w="120" w:type="dxa"/>
            <w:vAlign w:val="bottom"/>
            <w:shd w:val="clear" w:color="auto" w:fill="FDE1C5"/>
          </w:tcPr>
          <w:p>
            <w:pPr>
              <w:spacing w:after="0"/>
              <w:rPr>
                <w:sz w:val="12"/>
                <w:szCs w:val="12"/>
                <w:color w:val="auto"/>
              </w:rPr>
            </w:pPr>
          </w:p>
        </w:tc>
        <w:tc>
          <w:tcPr>
            <w:tcW w:w="2860" w:type="dxa"/>
            <w:vAlign w:val="bottom"/>
            <w:gridSpan w:val="2"/>
            <w:shd w:val="clear" w:color="auto" w:fill="FDE1C5"/>
          </w:tcPr>
          <w:p>
            <w:pPr>
              <w:ind w:left="100"/>
              <w:spacing w:after="0" w:line="144" w:lineRule="exact"/>
              <w:rPr>
                <w:sz w:val="20"/>
                <w:szCs w:val="20"/>
                <w:color w:val="auto"/>
              </w:rPr>
            </w:pPr>
            <w:r>
              <w:rPr>
                <w:rFonts w:ascii="Arial" w:cs="Arial" w:eastAsia="Arial" w:hAnsi="Arial"/>
                <w:sz w:val="13"/>
                <w:szCs w:val="13"/>
                <w:color w:val="auto"/>
              </w:rPr>
              <w:t>Travel, Transportation and Logistics Segment</w:t>
            </w:r>
          </w:p>
        </w:tc>
        <w:tc>
          <w:tcPr>
            <w:tcW w:w="360" w:type="dxa"/>
            <w:vAlign w:val="bottom"/>
            <w:shd w:val="clear" w:color="auto" w:fill="FDE1C5"/>
          </w:tcPr>
          <w:p>
            <w:pPr>
              <w:spacing w:after="0"/>
              <w:rPr>
                <w:sz w:val="12"/>
                <w:szCs w:val="12"/>
                <w:color w:val="auto"/>
              </w:rPr>
            </w:pP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69.4</w:t>
            </w:r>
          </w:p>
        </w:tc>
        <w:tc>
          <w:tcPr>
            <w:tcW w:w="72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11.4%</w:t>
            </w:r>
          </w:p>
        </w:tc>
        <w:tc>
          <w:tcPr>
            <w:tcW w:w="48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71.0</w:t>
            </w:r>
          </w:p>
        </w:tc>
        <w:tc>
          <w:tcPr>
            <w:tcW w:w="72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2.3%</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70.2</w:t>
            </w:r>
          </w:p>
        </w:tc>
        <w:tc>
          <w:tcPr>
            <w:tcW w:w="76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-1.0%</w:t>
            </w:r>
          </w:p>
        </w:tc>
      </w:tr>
      <w:tr>
        <w:trPr>
          <w:trHeight w:val="144"/>
        </w:trPr>
        <w:tc>
          <w:tcPr>
            <w:tcW w:w="120" w:type="dxa"/>
            <w:vAlign w:val="bottom"/>
          </w:tcPr>
          <w:p>
            <w:pPr>
              <w:spacing w:after="0"/>
              <w:rPr>
                <w:sz w:val="12"/>
                <w:szCs w:val="12"/>
                <w:color w:val="auto"/>
              </w:rPr>
            </w:pPr>
          </w:p>
        </w:tc>
        <w:tc>
          <w:tcPr>
            <w:tcW w:w="28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Finance and Accounting Segment</w:t>
            </w:r>
          </w:p>
        </w:tc>
        <w:tc>
          <w:tcPr>
            <w:tcW w:w="360" w:type="dxa"/>
            <w:vAlign w:val="bottom"/>
          </w:tcPr>
          <w:p>
            <w:pPr>
              <w:spacing w:after="0"/>
              <w:rPr>
                <w:sz w:val="12"/>
                <w:szCs w:val="12"/>
                <w:color w:val="auto"/>
              </w:rPr>
            </w:pP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79.4</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1.2%</w:t>
            </w:r>
          </w:p>
        </w:tc>
        <w:tc>
          <w:tcPr>
            <w:tcW w:w="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86.5</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9.0%</w:t>
            </w: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97.9</w:t>
            </w:r>
          </w:p>
        </w:tc>
        <w:tc>
          <w:tcPr>
            <w:tcW w:w="7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13.2%</w:t>
            </w:r>
          </w:p>
        </w:tc>
      </w:tr>
      <w:tr>
        <w:trPr>
          <w:trHeight w:val="144"/>
        </w:trPr>
        <w:tc>
          <w:tcPr>
            <w:tcW w:w="120" w:type="dxa"/>
            <w:vAlign w:val="bottom"/>
            <w:shd w:val="clear" w:color="auto" w:fill="FDE1C5"/>
          </w:tcPr>
          <w:p>
            <w:pPr>
              <w:spacing w:after="0"/>
              <w:rPr>
                <w:sz w:val="12"/>
                <w:szCs w:val="12"/>
                <w:color w:val="auto"/>
              </w:rPr>
            </w:pPr>
          </w:p>
        </w:tc>
        <w:tc>
          <w:tcPr>
            <w:tcW w:w="2860" w:type="dxa"/>
            <w:vAlign w:val="bottom"/>
            <w:gridSpan w:val="2"/>
            <w:shd w:val="clear" w:color="auto" w:fill="FDE1C5"/>
          </w:tcPr>
          <w:p>
            <w:pPr>
              <w:ind w:left="100"/>
              <w:spacing w:after="0" w:line="144" w:lineRule="exact"/>
              <w:rPr>
                <w:sz w:val="20"/>
                <w:szCs w:val="20"/>
                <w:color w:val="auto"/>
              </w:rPr>
            </w:pPr>
            <w:r>
              <w:rPr>
                <w:rFonts w:ascii="Arial" w:cs="Arial" w:eastAsia="Arial" w:hAnsi="Arial"/>
                <w:sz w:val="13"/>
                <w:szCs w:val="13"/>
                <w:color w:val="auto"/>
              </w:rPr>
              <w:t>All Other</w:t>
            </w:r>
          </w:p>
        </w:tc>
        <w:tc>
          <w:tcPr>
            <w:tcW w:w="360" w:type="dxa"/>
            <w:vAlign w:val="bottom"/>
            <w:shd w:val="clear" w:color="auto" w:fill="FDE1C5"/>
          </w:tcPr>
          <w:p>
            <w:pPr>
              <w:spacing w:after="0"/>
              <w:rPr>
                <w:sz w:val="12"/>
                <w:szCs w:val="12"/>
                <w:color w:val="auto"/>
              </w:rPr>
            </w:pP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96.5</w:t>
            </w:r>
          </w:p>
        </w:tc>
        <w:tc>
          <w:tcPr>
            <w:tcW w:w="72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-12.7%</w:t>
            </w:r>
          </w:p>
        </w:tc>
        <w:tc>
          <w:tcPr>
            <w:tcW w:w="48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83.1</w:t>
            </w:r>
          </w:p>
        </w:tc>
        <w:tc>
          <w:tcPr>
            <w:tcW w:w="72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-13.9%</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color w:val="auto"/>
              </w:rPr>
              <w:t>87.2</w:t>
            </w:r>
          </w:p>
        </w:tc>
        <w:tc>
          <w:tcPr>
            <w:tcW w:w="76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color w:val="auto"/>
              </w:rPr>
              <w:t>4.8%</w:t>
            </w:r>
          </w:p>
        </w:tc>
      </w:tr>
      <w:tr>
        <w:trPr>
          <w:trHeight w:val="144"/>
        </w:trPr>
        <w:tc>
          <w:tcPr>
            <w:tcW w:w="120" w:type="dxa"/>
            <w:vAlign w:val="bottom"/>
          </w:tcPr>
          <w:p>
            <w:pPr>
              <w:spacing w:after="0"/>
              <w:rPr>
                <w:sz w:val="12"/>
                <w:szCs w:val="12"/>
                <w:color w:val="auto"/>
              </w:rPr>
            </w:pPr>
          </w:p>
        </w:tc>
        <w:tc>
          <w:tcPr>
            <w:tcW w:w="286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Analytics Segment</w:t>
            </w:r>
          </w:p>
        </w:tc>
        <w:tc>
          <w:tcPr>
            <w:tcW w:w="360" w:type="dxa"/>
            <w:vAlign w:val="bottom"/>
          </w:tcPr>
          <w:p>
            <w:pPr>
              <w:spacing w:after="0"/>
              <w:rPr>
                <w:sz w:val="12"/>
                <w:szCs w:val="12"/>
                <w:color w:val="auto"/>
              </w:rPr>
            </w:pP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165.7</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35.7%</w:t>
            </w:r>
          </w:p>
        </w:tc>
        <w:tc>
          <w:tcPr>
            <w:tcW w:w="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209.9</w:t>
            </w:r>
          </w:p>
        </w:tc>
        <w:tc>
          <w:tcPr>
            <w:tcW w:w="7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26.7%</w:t>
            </w:r>
          </w:p>
        </w:tc>
        <w:tc>
          <w:tcPr>
            <w:tcW w:w="4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285.3</w:t>
            </w:r>
          </w:p>
        </w:tc>
        <w:tc>
          <w:tcPr>
            <w:tcW w:w="7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35.9%</w:t>
            </w:r>
          </w:p>
        </w:tc>
      </w:tr>
      <w:tr>
        <w:trPr>
          <w:trHeight w:val="144"/>
        </w:trPr>
        <w:tc>
          <w:tcPr>
            <w:tcW w:w="120" w:type="dxa"/>
            <w:vAlign w:val="bottom"/>
            <w:shd w:val="clear" w:color="auto" w:fill="FDE1C5"/>
          </w:tcPr>
          <w:p>
            <w:pPr>
              <w:spacing w:after="0"/>
              <w:rPr>
                <w:sz w:val="12"/>
                <w:szCs w:val="12"/>
                <w:color w:val="auto"/>
              </w:rPr>
            </w:pPr>
          </w:p>
        </w:tc>
        <w:tc>
          <w:tcPr>
            <w:tcW w:w="2860" w:type="dxa"/>
            <w:vAlign w:val="bottom"/>
            <w:gridSpan w:val="2"/>
            <w:shd w:val="clear" w:color="auto" w:fill="FDE1C5"/>
          </w:tcPr>
          <w:p>
            <w:pPr>
              <w:ind w:left="100"/>
              <w:spacing w:after="0" w:line="144" w:lineRule="exact"/>
              <w:rPr>
                <w:sz w:val="20"/>
                <w:szCs w:val="20"/>
                <w:color w:val="auto"/>
              </w:rPr>
            </w:pPr>
            <w:r>
              <w:rPr>
                <w:rFonts w:ascii="Arial" w:cs="Arial" w:eastAsia="Arial" w:hAnsi="Arial"/>
                <w:sz w:val="13"/>
                <w:szCs w:val="13"/>
                <w:b w:val="1"/>
                <w:bCs w:val="1"/>
                <w:color w:val="auto"/>
              </w:rPr>
              <w:t>Consolidated</w:t>
            </w:r>
          </w:p>
        </w:tc>
        <w:tc>
          <w:tcPr>
            <w:tcW w:w="36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b w:val="1"/>
                <w:bCs w:val="1"/>
                <w:color w:val="auto"/>
              </w:rPr>
              <w:t>686.0</w:t>
            </w:r>
          </w:p>
        </w:tc>
        <w:tc>
          <w:tcPr>
            <w:tcW w:w="72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b w:val="1"/>
                <w:bCs w:val="1"/>
                <w:color w:val="auto"/>
              </w:rPr>
              <w:t>9.1%$</w:t>
            </w:r>
          </w:p>
        </w:tc>
        <w:tc>
          <w:tcPr>
            <w:tcW w:w="48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b w:val="1"/>
                <w:bCs w:val="1"/>
                <w:color w:val="auto"/>
              </w:rPr>
              <w:t>762.3</w:t>
            </w:r>
          </w:p>
        </w:tc>
        <w:tc>
          <w:tcPr>
            <w:tcW w:w="720" w:type="dxa"/>
            <w:vAlign w:val="bottom"/>
            <w:shd w:val="clear" w:color="auto" w:fill="FDE1C5"/>
          </w:tcPr>
          <w:p>
            <w:pPr>
              <w:jc w:val="right"/>
              <w:spacing w:after="0" w:line="144" w:lineRule="exact"/>
              <w:rPr>
                <w:sz w:val="20"/>
                <w:szCs w:val="20"/>
                <w:color w:val="auto"/>
              </w:rPr>
            </w:pPr>
            <w:r>
              <w:rPr>
                <w:rFonts w:ascii="Arial" w:cs="Arial" w:eastAsia="Arial" w:hAnsi="Arial"/>
                <w:sz w:val="13"/>
                <w:szCs w:val="13"/>
                <w:b w:val="1"/>
                <w:bCs w:val="1"/>
                <w:color w:val="auto"/>
              </w:rPr>
              <w:t>11.1%$</w:t>
            </w:r>
          </w:p>
        </w:tc>
        <w:tc>
          <w:tcPr>
            <w:tcW w:w="460" w:type="dxa"/>
            <w:vAlign w:val="bottom"/>
            <w:shd w:val="clear" w:color="auto" w:fill="FDE1C5"/>
          </w:tcPr>
          <w:p>
            <w:pPr>
              <w:jc w:val="right"/>
              <w:ind w:right="37"/>
              <w:spacing w:after="0" w:line="144" w:lineRule="exact"/>
              <w:rPr>
                <w:sz w:val="20"/>
                <w:szCs w:val="20"/>
                <w:color w:val="auto"/>
              </w:rPr>
            </w:pPr>
            <w:r>
              <w:rPr>
                <w:rFonts w:ascii="Arial" w:cs="Arial" w:eastAsia="Arial" w:hAnsi="Arial"/>
                <w:sz w:val="13"/>
                <w:szCs w:val="13"/>
                <w:b w:val="1"/>
                <w:bCs w:val="1"/>
                <w:color w:val="auto"/>
              </w:rPr>
              <w:t>883.1</w:t>
            </w:r>
          </w:p>
        </w:tc>
        <w:tc>
          <w:tcPr>
            <w:tcW w:w="760" w:type="dxa"/>
            <w:vAlign w:val="bottom"/>
            <w:shd w:val="clear" w:color="auto" w:fill="FDE1C5"/>
          </w:tcPr>
          <w:p>
            <w:pPr>
              <w:jc w:val="right"/>
              <w:ind w:right="57"/>
              <w:spacing w:after="0" w:line="144" w:lineRule="exact"/>
              <w:rPr>
                <w:sz w:val="20"/>
                <w:szCs w:val="20"/>
                <w:color w:val="auto"/>
              </w:rPr>
            </w:pPr>
            <w:r>
              <w:rPr>
                <w:rFonts w:ascii="Arial" w:cs="Arial" w:eastAsia="Arial" w:hAnsi="Arial"/>
                <w:sz w:val="13"/>
                <w:szCs w:val="13"/>
                <w:b w:val="1"/>
                <w:bCs w:val="1"/>
                <w:color w:val="auto"/>
              </w:rPr>
              <w:t>15.8</w:t>
            </w:r>
            <w:r>
              <w:rPr>
                <w:rFonts w:ascii="Arial" w:cs="Arial" w:eastAsia="Arial" w:hAnsi="Arial"/>
                <w:sz w:val="13"/>
                <w:szCs w:val="13"/>
                <w:color w:val="auto"/>
              </w:rPr>
              <w:t>%</w:t>
            </w:r>
          </w:p>
        </w:tc>
      </w:tr>
    </w:tbl>
    <w:p>
      <w:pPr>
        <w:spacing w:after="0" w:line="166"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We improved our annual revenues from $762.3 million in fiscal year 2017 to $883.1 million in fiscal year 2018, and also achieved numerous other successes, including the acquisition of a healthcare analytics company and a $150 million strategic investment in our Company by The Orogen Group. For more information regarding these and other business highlights, please see pages 33 to 34 below and the 2018 Form 10-K.</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The graphs below compare our 1-year, 3-year and 5-year total stockholder return ("TSR") with that of the companies comprising Nasdaq, S&amp;P 500 and our peer group. As shown in the table, our 3-year TSR outperformed all but one of our market benchmarks while our 5-year TSR outperformed all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93980</wp:posOffset>
            </wp:positionV>
            <wp:extent cx="4180840" cy="1173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80840"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740" w:hanging="391"/>
        <w:spacing w:after="0"/>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Cumulative growth rate as of December 31, 2018.</w:t>
      </w:r>
    </w:p>
    <w:p>
      <w:pPr>
        <w:spacing w:after="0" w:line="139" w:lineRule="exact"/>
        <w:rPr>
          <w:rFonts w:ascii="Arial" w:cs="Arial" w:eastAsia="Arial" w:hAnsi="Arial"/>
          <w:sz w:val="13"/>
          <w:szCs w:val="13"/>
          <w:color w:val="auto"/>
        </w:rPr>
      </w:pPr>
    </w:p>
    <w:p>
      <w:pPr>
        <w:ind w:left="1740" w:right="199" w:hanging="391"/>
        <w:spacing w:after="0" w:line="235" w:lineRule="auto"/>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Peer group TSR data excludes Convergys Corporation, which was acquired in October 2018, and DST Systems, which was acquired in April 2018.</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2018 Compensation Highlights</w:t>
      </w:r>
    </w:p>
    <w:p>
      <w:pPr>
        <w:spacing w:after="0" w:line="177" w:lineRule="exact"/>
        <w:rPr>
          <w:sz w:val="20"/>
          <w:szCs w:val="20"/>
          <w:color w:val="auto"/>
        </w:rPr>
      </w:pPr>
    </w:p>
    <w:tbl>
      <w:tblPr>
        <w:tblLayout w:type="fixed"/>
        <w:tblInd w:w="1070" w:type="dxa"/>
        <w:tblCellMar>
          <w:top w:w="0" w:type="dxa"/>
          <w:left w:w="0" w:type="dxa"/>
          <w:bottom w:w="0" w:type="dxa"/>
          <w:right w:w="0" w:type="dxa"/>
        </w:tblCellMar>
      </w:tblPr>
      <w:tr>
        <w:trPr>
          <w:trHeight w:val="154"/>
        </w:trPr>
        <w:tc>
          <w:tcPr>
            <w:tcW w:w="1540" w:type="dxa"/>
            <w:vAlign w:val="bottom"/>
            <w:tcBorders>
              <w:left w:val="single" w:sz="8" w:color="F79646"/>
            </w:tcBorders>
            <w:shd w:val="clear" w:color="auto" w:fill="F79646"/>
          </w:tcPr>
          <w:p>
            <w:pPr>
              <w:spacing w:after="0"/>
              <w:rPr>
                <w:sz w:val="13"/>
                <w:szCs w:val="13"/>
                <w:color w:val="auto"/>
              </w:rPr>
            </w:pPr>
          </w:p>
        </w:tc>
        <w:tc>
          <w:tcPr>
            <w:tcW w:w="5380" w:type="dxa"/>
            <w:vAlign w:val="bottom"/>
            <w:tcBorders>
              <w:right w:val="single" w:sz="8" w:color="F79646"/>
            </w:tcBorders>
            <w:shd w:val="clear" w:color="auto" w:fill="F79646"/>
          </w:tcPr>
          <w:p>
            <w:pPr>
              <w:ind w:left="1140"/>
              <w:spacing w:after="0"/>
              <w:rPr>
                <w:sz w:val="20"/>
                <w:szCs w:val="20"/>
                <w:color w:val="auto"/>
              </w:rPr>
            </w:pPr>
            <w:r>
              <w:rPr>
                <w:rFonts w:ascii="Arial" w:cs="Arial" w:eastAsia="Arial" w:hAnsi="Arial"/>
                <w:sz w:val="13"/>
                <w:szCs w:val="13"/>
                <w:b w:val="1"/>
                <w:bCs w:val="1"/>
                <w:color w:val="FFFFFE"/>
              </w:rPr>
              <w:t>Named Executive Officers</w:t>
            </w:r>
          </w:p>
        </w:tc>
      </w:tr>
      <w:tr>
        <w:trPr>
          <w:trHeight w:val="144"/>
        </w:trPr>
        <w:tc>
          <w:tcPr>
            <w:tcW w:w="1540" w:type="dxa"/>
            <w:vAlign w:val="bottom"/>
            <w:tcBorders>
              <w:left w:val="single" w:sz="8" w:color="F79646"/>
            </w:tcBorders>
            <w:shd w:val="clear" w:color="auto" w:fill="FCDEC5"/>
          </w:tcPr>
          <w:p>
            <w:pPr>
              <w:ind w:left="780"/>
              <w:spacing w:after="0" w:line="144" w:lineRule="exact"/>
              <w:rPr>
                <w:sz w:val="20"/>
                <w:szCs w:val="20"/>
                <w:color w:val="auto"/>
              </w:rPr>
            </w:pPr>
            <w:r>
              <w:rPr>
                <w:rFonts w:ascii="Arial" w:cs="Arial" w:eastAsia="Arial" w:hAnsi="Arial"/>
                <w:sz w:val="13"/>
                <w:szCs w:val="13"/>
                <w:b w:val="1"/>
                <w:bCs w:val="1"/>
                <w:color w:val="auto"/>
              </w:rPr>
              <w:t>Name</w:t>
            </w:r>
          </w:p>
        </w:tc>
        <w:tc>
          <w:tcPr>
            <w:tcW w:w="5380" w:type="dxa"/>
            <w:vAlign w:val="bottom"/>
            <w:tcBorders>
              <w:right w:val="single" w:sz="8" w:color="F79646"/>
            </w:tcBorders>
            <w:shd w:val="clear" w:color="auto" w:fill="FCDEC5"/>
          </w:tcPr>
          <w:p>
            <w:pPr>
              <w:ind w:left="2600"/>
              <w:spacing w:after="0" w:line="144" w:lineRule="exact"/>
              <w:rPr>
                <w:sz w:val="20"/>
                <w:szCs w:val="20"/>
                <w:color w:val="auto"/>
              </w:rPr>
            </w:pPr>
            <w:r>
              <w:rPr>
                <w:rFonts w:ascii="Arial" w:cs="Arial" w:eastAsia="Arial" w:hAnsi="Arial"/>
                <w:sz w:val="13"/>
                <w:szCs w:val="13"/>
                <w:b w:val="1"/>
                <w:bCs w:val="1"/>
                <w:color w:val="auto"/>
              </w:rPr>
              <w:t>Title</w:t>
            </w:r>
          </w:p>
        </w:tc>
      </w:tr>
      <w:tr>
        <w:trPr>
          <w:trHeight w:val="144"/>
        </w:trPr>
        <w:tc>
          <w:tcPr>
            <w:tcW w:w="1540" w:type="dxa"/>
            <w:vAlign w:val="bottom"/>
            <w:tcBorders>
              <w:left w:val="single" w:sz="8" w:color="F79646"/>
            </w:tcBorders>
          </w:tcPr>
          <w:p>
            <w:pPr>
              <w:ind w:left="200"/>
              <w:spacing w:after="0" w:line="144" w:lineRule="exact"/>
              <w:rPr>
                <w:sz w:val="20"/>
                <w:szCs w:val="20"/>
                <w:color w:val="auto"/>
              </w:rPr>
            </w:pPr>
            <w:r>
              <w:rPr>
                <w:rFonts w:ascii="Arial" w:cs="Arial" w:eastAsia="Arial" w:hAnsi="Arial"/>
                <w:sz w:val="13"/>
                <w:szCs w:val="13"/>
                <w:color w:val="auto"/>
              </w:rPr>
              <w:t>Rohit Kapoor</w:t>
            </w:r>
          </w:p>
        </w:tc>
        <w:tc>
          <w:tcPr>
            <w:tcW w:w="5380" w:type="dxa"/>
            <w:vAlign w:val="bottom"/>
            <w:tcBorders>
              <w:right w:val="single" w:sz="8" w:color="F79646"/>
            </w:tcBorders>
          </w:tcPr>
          <w:p>
            <w:pPr>
              <w:ind w:left="280"/>
              <w:spacing w:after="0" w:line="144" w:lineRule="exact"/>
              <w:rPr>
                <w:sz w:val="20"/>
                <w:szCs w:val="20"/>
                <w:color w:val="auto"/>
              </w:rPr>
            </w:pPr>
            <w:r>
              <w:rPr>
                <w:rFonts w:ascii="Arial" w:cs="Arial" w:eastAsia="Arial" w:hAnsi="Arial"/>
                <w:sz w:val="13"/>
                <w:szCs w:val="13"/>
                <w:color w:val="auto"/>
              </w:rPr>
              <w:t>Vice Chairman and CEO</w:t>
            </w:r>
          </w:p>
        </w:tc>
      </w:tr>
      <w:tr>
        <w:trPr>
          <w:trHeight w:val="144"/>
        </w:trPr>
        <w:tc>
          <w:tcPr>
            <w:tcW w:w="1540" w:type="dxa"/>
            <w:vAlign w:val="bottom"/>
            <w:tcBorders>
              <w:left w:val="single" w:sz="8" w:color="F79646"/>
            </w:tcBorders>
            <w:shd w:val="clear" w:color="auto" w:fill="FCDEC5"/>
          </w:tcPr>
          <w:p>
            <w:pPr>
              <w:ind w:left="200"/>
              <w:spacing w:after="0" w:line="144" w:lineRule="exact"/>
              <w:rPr>
                <w:sz w:val="20"/>
                <w:szCs w:val="20"/>
                <w:color w:val="auto"/>
              </w:rPr>
            </w:pPr>
            <w:r>
              <w:rPr>
                <w:rFonts w:ascii="Arial" w:cs="Arial" w:eastAsia="Arial" w:hAnsi="Arial"/>
                <w:sz w:val="13"/>
                <w:szCs w:val="13"/>
                <w:color w:val="auto"/>
              </w:rPr>
              <w:t>Vishal Chhibbar</w:t>
            </w:r>
          </w:p>
        </w:tc>
        <w:tc>
          <w:tcPr>
            <w:tcW w:w="5380" w:type="dxa"/>
            <w:vAlign w:val="bottom"/>
            <w:tcBorders>
              <w:right w:val="single" w:sz="8" w:color="F79646"/>
            </w:tcBorders>
            <w:shd w:val="clear" w:color="auto" w:fill="FCDEC5"/>
          </w:tcPr>
          <w:p>
            <w:pPr>
              <w:ind w:left="280"/>
              <w:spacing w:after="0" w:line="144" w:lineRule="exact"/>
              <w:rPr>
                <w:sz w:val="20"/>
                <w:szCs w:val="20"/>
                <w:color w:val="auto"/>
              </w:rPr>
            </w:pPr>
            <w:r>
              <w:rPr>
                <w:rFonts w:ascii="Arial" w:cs="Arial" w:eastAsia="Arial" w:hAnsi="Arial"/>
                <w:sz w:val="13"/>
                <w:szCs w:val="13"/>
                <w:color w:val="auto"/>
              </w:rPr>
              <w:t>Executive Vice President and CFO</w:t>
            </w:r>
          </w:p>
        </w:tc>
      </w:tr>
      <w:tr>
        <w:trPr>
          <w:trHeight w:val="144"/>
        </w:trPr>
        <w:tc>
          <w:tcPr>
            <w:tcW w:w="1540" w:type="dxa"/>
            <w:vAlign w:val="bottom"/>
            <w:tcBorders>
              <w:left w:val="single" w:sz="8" w:color="F79646"/>
            </w:tcBorders>
          </w:tcPr>
          <w:p>
            <w:pPr>
              <w:ind w:left="200"/>
              <w:spacing w:after="0" w:line="144" w:lineRule="exact"/>
              <w:rPr>
                <w:sz w:val="20"/>
                <w:szCs w:val="20"/>
                <w:color w:val="auto"/>
              </w:rPr>
            </w:pPr>
            <w:r>
              <w:rPr>
                <w:rFonts w:ascii="Arial" w:cs="Arial" w:eastAsia="Arial" w:hAnsi="Arial"/>
                <w:sz w:val="13"/>
                <w:szCs w:val="13"/>
                <w:color w:val="auto"/>
              </w:rPr>
              <w:t>Pavan Bagai</w:t>
            </w:r>
          </w:p>
        </w:tc>
        <w:tc>
          <w:tcPr>
            <w:tcW w:w="5380" w:type="dxa"/>
            <w:vAlign w:val="bottom"/>
            <w:tcBorders>
              <w:right w:val="single" w:sz="8" w:color="F79646"/>
            </w:tcBorders>
          </w:tcPr>
          <w:p>
            <w:pPr>
              <w:ind w:left="280"/>
              <w:spacing w:after="0" w:line="144" w:lineRule="exact"/>
              <w:rPr>
                <w:sz w:val="20"/>
                <w:szCs w:val="20"/>
                <w:color w:val="auto"/>
              </w:rPr>
            </w:pPr>
            <w:r>
              <w:rPr>
                <w:rFonts w:ascii="Arial" w:cs="Arial" w:eastAsia="Arial" w:hAnsi="Arial"/>
                <w:sz w:val="13"/>
                <w:szCs w:val="13"/>
                <w:color w:val="auto"/>
              </w:rPr>
              <w:t>President and Chief Operating Officer</w:t>
            </w:r>
          </w:p>
        </w:tc>
      </w:tr>
      <w:tr>
        <w:trPr>
          <w:trHeight w:val="144"/>
        </w:trPr>
        <w:tc>
          <w:tcPr>
            <w:tcW w:w="1540" w:type="dxa"/>
            <w:vAlign w:val="bottom"/>
            <w:tcBorders>
              <w:left w:val="single" w:sz="8" w:color="F79646"/>
            </w:tcBorders>
            <w:shd w:val="clear" w:color="auto" w:fill="FCDEC5"/>
          </w:tcPr>
          <w:p>
            <w:pPr>
              <w:ind w:left="200"/>
              <w:spacing w:after="0" w:line="144" w:lineRule="exact"/>
              <w:rPr>
                <w:sz w:val="20"/>
                <w:szCs w:val="20"/>
                <w:color w:val="auto"/>
              </w:rPr>
            </w:pPr>
            <w:r>
              <w:rPr>
                <w:rFonts w:ascii="Arial" w:cs="Arial" w:eastAsia="Arial" w:hAnsi="Arial"/>
                <w:sz w:val="13"/>
                <w:szCs w:val="13"/>
                <w:color w:val="auto"/>
              </w:rPr>
              <w:t>Nagaraja Srivatsan</w:t>
            </w:r>
          </w:p>
        </w:tc>
        <w:tc>
          <w:tcPr>
            <w:tcW w:w="5380" w:type="dxa"/>
            <w:vAlign w:val="bottom"/>
            <w:tcBorders>
              <w:right w:val="single" w:sz="8" w:color="F79646"/>
            </w:tcBorders>
            <w:shd w:val="clear" w:color="auto" w:fill="FCDEC5"/>
          </w:tcPr>
          <w:p>
            <w:pPr>
              <w:ind w:left="280"/>
              <w:spacing w:after="0" w:line="144" w:lineRule="exact"/>
              <w:rPr>
                <w:sz w:val="20"/>
                <w:szCs w:val="20"/>
                <w:color w:val="auto"/>
              </w:rPr>
            </w:pPr>
            <w:r>
              <w:rPr>
                <w:rFonts w:ascii="Arial" w:cs="Arial" w:eastAsia="Arial" w:hAnsi="Arial"/>
                <w:sz w:val="13"/>
                <w:szCs w:val="13"/>
                <w:color w:val="auto"/>
              </w:rPr>
              <w:t>Executive Vice President and Chief Growth Officer</w:t>
            </w:r>
          </w:p>
        </w:tc>
      </w:tr>
      <w:tr>
        <w:trPr>
          <w:trHeight w:val="144"/>
        </w:trPr>
        <w:tc>
          <w:tcPr>
            <w:tcW w:w="1540" w:type="dxa"/>
            <w:vAlign w:val="bottom"/>
            <w:tcBorders>
              <w:left w:val="single" w:sz="8" w:color="F79646"/>
              <w:bottom w:val="single" w:sz="8" w:color="F79646"/>
            </w:tcBorders>
          </w:tcPr>
          <w:p>
            <w:pPr>
              <w:ind w:left="200"/>
              <w:spacing w:after="0" w:line="144" w:lineRule="exact"/>
              <w:rPr>
                <w:sz w:val="20"/>
                <w:szCs w:val="20"/>
                <w:color w:val="auto"/>
              </w:rPr>
            </w:pPr>
            <w:r>
              <w:rPr>
                <w:rFonts w:ascii="Arial" w:cs="Arial" w:eastAsia="Arial" w:hAnsi="Arial"/>
                <w:sz w:val="13"/>
                <w:szCs w:val="13"/>
                <w:color w:val="auto"/>
              </w:rPr>
              <w:t>Nalin Miglani</w:t>
            </w:r>
          </w:p>
        </w:tc>
        <w:tc>
          <w:tcPr>
            <w:tcW w:w="5380" w:type="dxa"/>
            <w:vAlign w:val="bottom"/>
            <w:tcBorders>
              <w:bottom w:val="single" w:sz="8" w:color="F79646"/>
              <w:right w:val="single" w:sz="8" w:color="F79646"/>
            </w:tcBorders>
          </w:tcPr>
          <w:p>
            <w:pPr>
              <w:ind w:left="280"/>
              <w:spacing w:after="0" w:line="144" w:lineRule="exact"/>
              <w:rPr>
                <w:sz w:val="20"/>
                <w:szCs w:val="20"/>
                <w:color w:val="auto"/>
              </w:rPr>
            </w:pPr>
            <w:r>
              <w:rPr>
                <w:rFonts w:ascii="Arial" w:cs="Arial" w:eastAsia="Arial" w:hAnsi="Arial"/>
                <w:sz w:val="13"/>
                <w:szCs w:val="13"/>
                <w:color w:val="auto"/>
              </w:rPr>
              <w:t>Executive Vice President and Chief Human Resources Officer</w:t>
            </w:r>
          </w:p>
        </w:tc>
      </w:tr>
    </w:tbl>
    <w:p>
      <w:pPr>
        <w:spacing w:after="0" w:line="200" w:lineRule="exact"/>
        <w:rPr>
          <w:sz w:val="20"/>
          <w:szCs w:val="20"/>
          <w:color w:val="auto"/>
        </w:rPr>
      </w:pPr>
    </w:p>
    <w:p>
      <w:pPr>
        <w:spacing w:after="0" w:line="252" w:lineRule="exact"/>
        <w:rPr>
          <w:sz w:val="20"/>
          <w:szCs w:val="20"/>
          <w:color w:val="auto"/>
        </w:rPr>
      </w:pPr>
    </w:p>
    <w:tbl>
      <w:tblPr>
        <w:tblLayout w:type="fixed"/>
        <w:tblInd w:w="1070" w:type="dxa"/>
        <w:tblCellMar>
          <w:top w:w="0" w:type="dxa"/>
          <w:left w:w="0" w:type="dxa"/>
          <w:bottom w:w="0" w:type="dxa"/>
          <w:right w:w="0" w:type="dxa"/>
        </w:tblCellMar>
      </w:tblPr>
      <w:tr>
        <w:trPr>
          <w:trHeight w:val="154"/>
        </w:trPr>
        <w:tc>
          <w:tcPr>
            <w:tcW w:w="4640" w:type="dxa"/>
            <w:vAlign w:val="bottom"/>
            <w:tcBorders>
              <w:left w:val="single" w:sz="8" w:color="F79646"/>
            </w:tcBorders>
            <w:gridSpan w:val="5"/>
            <w:shd w:val="clear" w:color="auto" w:fill="F79646"/>
          </w:tcPr>
          <w:p>
            <w:pPr>
              <w:jc w:val="right"/>
              <w:ind w:right="17"/>
              <w:spacing w:after="0"/>
              <w:rPr>
                <w:sz w:val="20"/>
                <w:szCs w:val="20"/>
                <w:color w:val="auto"/>
              </w:rPr>
            </w:pPr>
            <w:r>
              <w:rPr>
                <w:rFonts w:ascii="Arial" w:cs="Arial" w:eastAsia="Arial" w:hAnsi="Arial"/>
                <w:sz w:val="13"/>
                <w:szCs w:val="13"/>
                <w:b w:val="1"/>
                <w:bCs w:val="1"/>
                <w:color w:val="FFFFFE"/>
              </w:rPr>
              <w:t>2018 Standard Annual Compensation</w:t>
            </w:r>
          </w:p>
        </w:tc>
        <w:tc>
          <w:tcPr>
            <w:tcW w:w="120" w:type="dxa"/>
            <w:vAlign w:val="bottom"/>
            <w:shd w:val="clear" w:color="auto" w:fill="F79646"/>
          </w:tcPr>
          <w:p>
            <w:pPr>
              <w:spacing w:after="0"/>
              <w:rPr>
                <w:sz w:val="13"/>
                <w:szCs w:val="13"/>
                <w:color w:val="auto"/>
              </w:rPr>
            </w:pPr>
          </w:p>
        </w:tc>
        <w:tc>
          <w:tcPr>
            <w:tcW w:w="620" w:type="dxa"/>
            <w:vAlign w:val="bottom"/>
            <w:shd w:val="clear" w:color="auto" w:fill="F79646"/>
          </w:tcPr>
          <w:p>
            <w:pPr>
              <w:spacing w:after="0"/>
              <w:rPr>
                <w:sz w:val="13"/>
                <w:szCs w:val="13"/>
                <w:color w:val="auto"/>
              </w:rPr>
            </w:pPr>
          </w:p>
        </w:tc>
        <w:tc>
          <w:tcPr>
            <w:tcW w:w="140" w:type="dxa"/>
            <w:vAlign w:val="bottom"/>
            <w:shd w:val="clear" w:color="auto" w:fill="F79646"/>
          </w:tcPr>
          <w:p>
            <w:pPr>
              <w:spacing w:after="0"/>
              <w:rPr>
                <w:sz w:val="13"/>
                <w:szCs w:val="13"/>
                <w:color w:val="auto"/>
              </w:rPr>
            </w:pPr>
          </w:p>
        </w:tc>
        <w:tc>
          <w:tcPr>
            <w:tcW w:w="620" w:type="dxa"/>
            <w:vAlign w:val="bottom"/>
            <w:shd w:val="clear" w:color="auto" w:fill="F79646"/>
          </w:tcPr>
          <w:p>
            <w:pPr>
              <w:spacing w:after="0"/>
              <w:rPr>
                <w:sz w:val="13"/>
                <w:szCs w:val="13"/>
                <w:color w:val="auto"/>
              </w:rPr>
            </w:pPr>
          </w:p>
        </w:tc>
        <w:tc>
          <w:tcPr>
            <w:tcW w:w="140" w:type="dxa"/>
            <w:vAlign w:val="bottom"/>
            <w:shd w:val="clear" w:color="auto" w:fill="F79646"/>
          </w:tcPr>
          <w:p>
            <w:pPr>
              <w:spacing w:after="0"/>
              <w:rPr>
                <w:sz w:val="13"/>
                <w:szCs w:val="13"/>
                <w:color w:val="auto"/>
              </w:rPr>
            </w:pPr>
          </w:p>
        </w:tc>
        <w:tc>
          <w:tcPr>
            <w:tcW w:w="620" w:type="dxa"/>
            <w:vAlign w:val="bottom"/>
            <w:tcBorders>
              <w:right w:val="single" w:sz="8" w:color="F79646"/>
            </w:tcBorders>
            <w:shd w:val="clear" w:color="auto" w:fill="F79646"/>
          </w:tcPr>
          <w:p>
            <w:pPr>
              <w:spacing w:after="0"/>
              <w:rPr>
                <w:sz w:val="13"/>
                <w:szCs w:val="13"/>
                <w:color w:val="auto"/>
              </w:rPr>
            </w:pPr>
          </w:p>
        </w:tc>
      </w:tr>
      <w:tr>
        <w:trPr>
          <w:trHeight w:val="131"/>
        </w:trPr>
        <w:tc>
          <w:tcPr>
            <w:tcW w:w="2860" w:type="dxa"/>
            <w:vAlign w:val="bottom"/>
            <w:tcBorders>
              <w:left w:val="single" w:sz="8" w:color="F79646"/>
            </w:tcBorders>
            <w:shd w:val="clear" w:color="auto" w:fill="FCDEC5"/>
          </w:tcPr>
          <w:p>
            <w:pPr>
              <w:ind w:left="1140"/>
              <w:spacing w:after="0" w:line="131" w:lineRule="exact"/>
              <w:rPr>
                <w:sz w:val="20"/>
                <w:szCs w:val="20"/>
                <w:color w:val="auto"/>
              </w:rPr>
            </w:pPr>
            <w:r>
              <w:rPr>
                <w:rFonts w:ascii="Arial" w:cs="Arial" w:eastAsia="Arial" w:hAnsi="Arial"/>
                <w:sz w:val="13"/>
                <w:szCs w:val="13"/>
                <w:b w:val="1"/>
                <w:bCs w:val="1"/>
                <w:color w:val="auto"/>
              </w:rPr>
              <w:t>Compensation</w:t>
            </w:r>
          </w:p>
        </w:tc>
        <w:tc>
          <w:tcPr>
            <w:tcW w:w="420" w:type="dxa"/>
            <w:vAlign w:val="bottom"/>
            <w:shd w:val="clear" w:color="auto" w:fill="FCDEC5"/>
          </w:tcPr>
          <w:p>
            <w:pPr>
              <w:spacing w:after="0"/>
              <w:rPr>
                <w:sz w:val="11"/>
                <w:szCs w:val="11"/>
                <w:color w:val="auto"/>
              </w:rPr>
            </w:pPr>
          </w:p>
        </w:tc>
        <w:tc>
          <w:tcPr>
            <w:tcW w:w="620" w:type="dxa"/>
            <w:vAlign w:val="bottom"/>
            <w:shd w:val="clear" w:color="auto" w:fill="FCDEC5"/>
          </w:tcPr>
          <w:p>
            <w:pPr>
              <w:jc w:val="right"/>
              <w:ind w:right="137"/>
              <w:spacing w:after="0" w:line="131" w:lineRule="exact"/>
              <w:rPr>
                <w:sz w:val="20"/>
                <w:szCs w:val="20"/>
                <w:color w:val="auto"/>
              </w:rPr>
            </w:pPr>
            <w:r>
              <w:rPr>
                <w:rFonts w:ascii="Arial" w:cs="Arial" w:eastAsia="Arial" w:hAnsi="Arial"/>
                <w:sz w:val="13"/>
                <w:szCs w:val="13"/>
                <w:b w:val="1"/>
                <w:bCs w:val="1"/>
                <w:color w:val="auto"/>
              </w:rPr>
              <w:t>Rohit</w:t>
            </w:r>
          </w:p>
        </w:tc>
        <w:tc>
          <w:tcPr>
            <w:tcW w:w="120" w:type="dxa"/>
            <w:vAlign w:val="bottom"/>
            <w:shd w:val="clear" w:color="auto" w:fill="FCDEC5"/>
          </w:tcPr>
          <w:p>
            <w:pPr>
              <w:spacing w:after="0"/>
              <w:rPr>
                <w:sz w:val="11"/>
                <w:szCs w:val="11"/>
                <w:color w:val="auto"/>
              </w:rPr>
            </w:pPr>
          </w:p>
        </w:tc>
        <w:tc>
          <w:tcPr>
            <w:tcW w:w="620" w:type="dxa"/>
            <w:vAlign w:val="bottom"/>
            <w:shd w:val="clear" w:color="auto" w:fill="FCDEC5"/>
          </w:tcPr>
          <w:p>
            <w:pPr>
              <w:jc w:val="right"/>
              <w:ind w:right="117"/>
              <w:spacing w:after="0" w:line="131" w:lineRule="exact"/>
              <w:rPr>
                <w:sz w:val="20"/>
                <w:szCs w:val="20"/>
                <w:color w:val="auto"/>
              </w:rPr>
            </w:pPr>
            <w:r>
              <w:rPr>
                <w:rFonts w:ascii="Arial" w:cs="Arial" w:eastAsia="Arial" w:hAnsi="Arial"/>
                <w:sz w:val="13"/>
                <w:szCs w:val="13"/>
                <w:b w:val="1"/>
                <w:bCs w:val="1"/>
                <w:color w:val="auto"/>
              </w:rPr>
              <w:t>Vishal</w:t>
            </w:r>
          </w:p>
        </w:tc>
        <w:tc>
          <w:tcPr>
            <w:tcW w:w="120" w:type="dxa"/>
            <w:vAlign w:val="bottom"/>
            <w:shd w:val="clear" w:color="auto" w:fill="FCDEC5"/>
          </w:tcPr>
          <w:p>
            <w:pPr>
              <w:spacing w:after="0"/>
              <w:rPr>
                <w:sz w:val="11"/>
                <w:szCs w:val="11"/>
                <w:color w:val="auto"/>
              </w:rPr>
            </w:pPr>
          </w:p>
        </w:tc>
        <w:tc>
          <w:tcPr>
            <w:tcW w:w="620" w:type="dxa"/>
            <w:vAlign w:val="bottom"/>
            <w:shd w:val="clear" w:color="auto" w:fill="FCDEC5"/>
          </w:tcPr>
          <w:p>
            <w:pPr>
              <w:jc w:val="right"/>
              <w:ind w:right="117"/>
              <w:spacing w:after="0" w:line="131" w:lineRule="exact"/>
              <w:rPr>
                <w:sz w:val="20"/>
                <w:szCs w:val="20"/>
                <w:color w:val="auto"/>
              </w:rPr>
            </w:pPr>
            <w:r>
              <w:rPr>
                <w:rFonts w:ascii="Arial" w:cs="Arial" w:eastAsia="Arial" w:hAnsi="Arial"/>
                <w:sz w:val="13"/>
                <w:szCs w:val="13"/>
                <w:b w:val="1"/>
                <w:bCs w:val="1"/>
                <w:color w:val="auto"/>
              </w:rPr>
              <w:t>Pavan</w:t>
            </w:r>
          </w:p>
        </w:tc>
        <w:tc>
          <w:tcPr>
            <w:tcW w:w="760" w:type="dxa"/>
            <w:vAlign w:val="bottom"/>
            <w:gridSpan w:val="2"/>
            <w:shd w:val="clear" w:color="auto" w:fill="FCDEC5"/>
          </w:tcPr>
          <w:p>
            <w:pPr>
              <w:jc w:val="right"/>
              <w:ind w:right="57"/>
              <w:spacing w:after="0" w:line="131" w:lineRule="exact"/>
              <w:rPr>
                <w:sz w:val="20"/>
                <w:szCs w:val="20"/>
                <w:color w:val="auto"/>
              </w:rPr>
            </w:pPr>
            <w:r>
              <w:rPr>
                <w:rFonts w:ascii="Arial" w:cs="Arial" w:eastAsia="Arial" w:hAnsi="Arial"/>
                <w:sz w:val="13"/>
                <w:szCs w:val="13"/>
                <w:b w:val="1"/>
                <w:bCs w:val="1"/>
                <w:color w:val="auto"/>
              </w:rPr>
              <w:t>Nagaraja</w:t>
            </w:r>
          </w:p>
        </w:tc>
        <w:tc>
          <w:tcPr>
            <w:tcW w:w="140" w:type="dxa"/>
            <w:vAlign w:val="bottom"/>
            <w:shd w:val="clear" w:color="auto" w:fill="FCDEC5"/>
          </w:tcPr>
          <w:p>
            <w:pPr>
              <w:spacing w:after="0"/>
              <w:rPr>
                <w:sz w:val="11"/>
                <w:szCs w:val="11"/>
                <w:color w:val="auto"/>
              </w:rPr>
            </w:pPr>
          </w:p>
        </w:tc>
        <w:tc>
          <w:tcPr>
            <w:tcW w:w="620" w:type="dxa"/>
            <w:vAlign w:val="bottom"/>
            <w:tcBorders>
              <w:right w:val="single" w:sz="8" w:color="F79646"/>
            </w:tcBorders>
            <w:shd w:val="clear" w:color="auto" w:fill="FCDEC5"/>
          </w:tcPr>
          <w:p>
            <w:pPr>
              <w:jc w:val="right"/>
              <w:ind w:right="177"/>
              <w:spacing w:after="0" w:line="131" w:lineRule="exact"/>
              <w:rPr>
                <w:sz w:val="20"/>
                <w:szCs w:val="20"/>
                <w:color w:val="auto"/>
              </w:rPr>
            </w:pPr>
            <w:r>
              <w:rPr>
                <w:rFonts w:ascii="Arial" w:cs="Arial" w:eastAsia="Arial" w:hAnsi="Arial"/>
                <w:sz w:val="13"/>
                <w:szCs w:val="13"/>
                <w:b w:val="1"/>
                <w:bCs w:val="1"/>
                <w:color w:val="auto"/>
              </w:rPr>
              <w:t>Nalin</w:t>
            </w:r>
          </w:p>
        </w:tc>
      </w:tr>
      <w:tr>
        <w:trPr>
          <w:trHeight w:val="158"/>
        </w:trPr>
        <w:tc>
          <w:tcPr>
            <w:tcW w:w="2860" w:type="dxa"/>
            <w:vAlign w:val="bottom"/>
            <w:tcBorders>
              <w:left w:val="single" w:sz="8" w:color="F79646"/>
            </w:tcBorders>
            <w:shd w:val="clear" w:color="auto" w:fill="FCDEC5"/>
          </w:tcPr>
          <w:p>
            <w:pPr>
              <w:ind w:left="1240"/>
              <w:spacing w:after="0"/>
              <w:rPr>
                <w:sz w:val="20"/>
                <w:szCs w:val="20"/>
                <w:color w:val="auto"/>
              </w:rPr>
            </w:pPr>
            <w:r>
              <w:rPr>
                <w:rFonts w:ascii="Arial" w:cs="Arial" w:eastAsia="Arial" w:hAnsi="Arial"/>
                <w:sz w:val="13"/>
                <w:szCs w:val="13"/>
                <w:b w:val="1"/>
                <w:bCs w:val="1"/>
                <w:color w:val="auto"/>
              </w:rPr>
              <w:t>Component</w:t>
            </w:r>
          </w:p>
        </w:tc>
        <w:tc>
          <w:tcPr>
            <w:tcW w:w="420" w:type="dxa"/>
            <w:vAlign w:val="bottom"/>
            <w:shd w:val="clear" w:color="auto" w:fill="FCDEC5"/>
          </w:tcPr>
          <w:p>
            <w:pPr>
              <w:spacing w:after="0"/>
              <w:rPr>
                <w:sz w:val="13"/>
                <w:szCs w:val="13"/>
                <w:color w:val="auto"/>
              </w:rPr>
            </w:pPr>
          </w:p>
        </w:tc>
        <w:tc>
          <w:tcPr>
            <w:tcW w:w="620" w:type="dxa"/>
            <w:vAlign w:val="bottom"/>
            <w:shd w:val="clear" w:color="auto" w:fill="FCDEC5"/>
          </w:tcPr>
          <w:p>
            <w:pPr>
              <w:jc w:val="right"/>
              <w:ind w:right="97"/>
              <w:spacing w:after="0"/>
              <w:rPr>
                <w:sz w:val="20"/>
                <w:szCs w:val="20"/>
                <w:color w:val="auto"/>
              </w:rPr>
            </w:pPr>
            <w:r>
              <w:rPr>
                <w:rFonts w:ascii="Arial" w:cs="Arial" w:eastAsia="Arial" w:hAnsi="Arial"/>
                <w:sz w:val="13"/>
                <w:szCs w:val="13"/>
                <w:b w:val="1"/>
                <w:bCs w:val="1"/>
                <w:color w:val="auto"/>
                <w:w w:val="96"/>
              </w:rPr>
              <w:t>Kapoor</w:t>
            </w:r>
          </w:p>
        </w:tc>
        <w:tc>
          <w:tcPr>
            <w:tcW w:w="740" w:type="dxa"/>
            <w:vAlign w:val="bottom"/>
            <w:gridSpan w:val="2"/>
            <w:shd w:val="clear" w:color="auto" w:fill="FCDEC5"/>
          </w:tcPr>
          <w:p>
            <w:pPr>
              <w:jc w:val="right"/>
              <w:ind w:right="37"/>
              <w:spacing w:after="0"/>
              <w:rPr>
                <w:sz w:val="20"/>
                <w:szCs w:val="20"/>
                <w:color w:val="auto"/>
              </w:rPr>
            </w:pPr>
            <w:r>
              <w:rPr>
                <w:rFonts w:ascii="Arial" w:cs="Arial" w:eastAsia="Arial" w:hAnsi="Arial"/>
                <w:sz w:val="13"/>
                <w:szCs w:val="13"/>
                <w:b w:val="1"/>
                <w:bCs w:val="1"/>
                <w:color w:val="auto"/>
              </w:rPr>
              <w:t>Chhibbar</w:t>
            </w:r>
          </w:p>
        </w:tc>
        <w:tc>
          <w:tcPr>
            <w:tcW w:w="120" w:type="dxa"/>
            <w:vAlign w:val="bottom"/>
            <w:shd w:val="clear" w:color="auto" w:fill="FCDEC5"/>
          </w:tcPr>
          <w:p>
            <w:pPr>
              <w:spacing w:after="0"/>
              <w:rPr>
                <w:sz w:val="13"/>
                <w:szCs w:val="13"/>
                <w:color w:val="auto"/>
              </w:rPr>
            </w:pPr>
          </w:p>
        </w:tc>
        <w:tc>
          <w:tcPr>
            <w:tcW w:w="620" w:type="dxa"/>
            <w:vAlign w:val="bottom"/>
            <w:shd w:val="clear" w:color="auto" w:fill="FCDEC5"/>
          </w:tcPr>
          <w:p>
            <w:pPr>
              <w:jc w:val="right"/>
              <w:ind w:right="137"/>
              <w:spacing w:after="0"/>
              <w:rPr>
                <w:sz w:val="20"/>
                <w:szCs w:val="20"/>
                <w:color w:val="auto"/>
              </w:rPr>
            </w:pPr>
            <w:r>
              <w:rPr>
                <w:rFonts w:ascii="Arial" w:cs="Arial" w:eastAsia="Arial" w:hAnsi="Arial"/>
                <w:sz w:val="13"/>
                <w:szCs w:val="13"/>
                <w:b w:val="1"/>
                <w:bCs w:val="1"/>
                <w:color w:val="auto"/>
              </w:rPr>
              <w:t>Bagai</w:t>
            </w:r>
          </w:p>
        </w:tc>
        <w:tc>
          <w:tcPr>
            <w:tcW w:w="760" w:type="dxa"/>
            <w:vAlign w:val="bottom"/>
            <w:gridSpan w:val="2"/>
            <w:shd w:val="clear" w:color="auto" w:fill="FCDEC5"/>
          </w:tcPr>
          <w:p>
            <w:pPr>
              <w:jc w:val="right"/>
              <w:ind w:right="37"/>
              <w:spacing w:after="0"/>
              <w:rPr>
                <w:sz w:val="20"/>
                <w:szCs w:val="20"/>
                <w:color w:val="auto"/>
              </w:rPr>
            </w:pPr>
            <w:r>
              <w:rPr>
                <w:rFonts w:ascii="Arial" w:cs="Arial" w:eastAsia="Arial" w:hAnsi="Arial"/>
                <w:sz w:val="13"/>
                <w:szCs w:val="13"/>
                <w:b w:val="1"/>
                <w:bCs w:val="1"/>
                <w:color w:val="auto"/>
              </w:rPr>
              <w:t>Srivatsan</w:t>
            </w:r>
          </w:p>
        </w:tc>
        <w:tc>
          <w:tcPr>
            <w:tcW w:w="140" w:type="dxa"/>
            <w:vAlign w:val="bottom"/>
            <w:shd w:val="clear" w:color="auto" w:fill="FCDEC5"/>
          </w:tcPr>
          <w:p>
            <w:pPr>
              <w:spacing w:after="0"/>
              <w:rPr>
                <w:sz w:val="13"/>
                <w:szCs w:val="13"/>
                <w:color w:val="auto"/>
              </w:rPr>
            </w:pPr>
          </w:p>
        </w:tc>
        <w:tc>
          <w:tcPr>
            <w:tcW w:w="620" w:type="dxa"/>
            <w:vAlign w:val="bottom"/>
            <w:tcBorders>
              <w:right w:val="single" w:sz="8" w:color="F79646"/>
            </w:tcBorders>
            <w:shd w:val="clear" w:color="auto" w:fill="FCDEC5"/>
          </w:tcPr>
          <w:p>
            <w:pPr>
              <w:jc w:val="right"/>
              <w:ind w:right="97"/>
              <w:spacing w:after="0"/>
              <w:rPr>
                <w:sz w:val="20"/>
                <w:szCs w:val="20"/>
                <w:color w:val="auto"/>
              </w:rPr>
            </w:pPr>
            <w:r>
              <w:rPr>
                <w:rFonts w:ascii="Arial" w:cs="Arial" w:eastAsia="Arial" w:hAnsi="Arial"/>
                <w:sz w:val="13"/>
                <w:szCs w:val="13"/>
                <w:b w:val="1"/>
                <w:bCs w:val="1"/>
                <w:color w:val="auto"/>
                <w:w w:val="98"/>
              </w:rPr>
              <w:t>Miglani</w:t>
            </w:r>
          </w:p>
        </w:tc>
      </w:tr>
      <w:tr>
        <w:trPr>
          <w:trHeight w:val="144"/>
        </w:trPr>
        <w:tc>
          <w:tcPr>
            <w:tcW w:w="2860" w:type="dxa"/>
            <w:vAlign w:val="bottom"/>
            <w:tcBorders>
              <w:left w:val="single" w:sz="8" w:color="F79646"/>
            </w:tcBorders>
          </w:tcPr>
          <w:p>
            <w:pPr>
              <w:ind w:left="60"/>
              <w:spacing w:after="0" w:line="144" w:lineRule="exact"/>
              <w:rPr>
                <w:sz w:val="20"/>
                <w:szCs w:val="20"/>
                <w:color w:val="auto"/>
              </w:rPr>
            </w:pPr>
            <w:r>
              <w:rPr>
                <w:rFonts w:ascii="Arial" w:cs="Arial" w:eastAsia="Arial" w:hAnsi="Arial"/>
                <w:sz w:val="13"/>
                <w:szCs w:val="13"/>
                <w:b w:val="1"/>
                <w:bCs w:val="1"/>
                <w:color w:val="auto"/>
              </w:rPr>
              <w:t>Salary</w:t>
            </w: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720,000</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437,671</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301,448</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441,370</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F79646"/>
            </w:tcBorders>
          </w:tcPr>
          <w:p>
            <w:pPr>
              <w:jc w:val="right"/>
              <w:spacing w:after="0" w:line="144" w:lineRule="exact"/>
              <w:rPr>
                <w:sz w:val="20"/>
                <w:szCs w:val="20"/>
                <w:color w:val="auto"/>
              </w:rPr>
            </w:pPr>
            <w:r>
              <w:rPr>
                <w:rFonts w:ascii="Arial" w:cs="Arial" w:eastAsia="Arial" w:hAnsi="Arial"/>
                <w:sz w:val="13"/>
                <w:szCs w:val="13"/>
                <w:color w:val="auto"/>
              </w:rPr>
              <w:t>440,137</w:t>
            </w:r>
          </w:p>
        </w:tc>
      </w:tr>
      <w:tr>
        <w:trPr>
          <w:trHeight w:val="289"/>
        </w:trPr>
        <w:tc>
          <w:tcPr>
            <w:tcW w:w="2860" w:type="dxa"/>
            <w:vAlign w:val="bottom"/>
            <w:tcBorders>
              <w:left w:val="single" w:sz="8" w:color="F79646"/>
            </w:tcBorders>
            <w:shd w:val="clear" w:color="auto" w:fill="FCDEC5"/>
          </w:tcPr>
          <w:p>
            <w:pPr>
              <w:ind w:left="60"/>
              <w:spacing w:after="0"/>
              <w:rPr>
                <w:sz w:val="20"/>
                <w:szCs w:val="20"/>
                <w:color w:val="auto"/>
              </w:rPr>
            </w:pPr>
            <w:r>
              <w:rPr>
                <w:rFonts w:ascii="Arial" w:cs="Arial" w:eastAsia="Arial" w:hAnsi="Arial"/>
                <w:sz w:val="13"/>
                <w:szCs w:val="13"/>
                <w:b w:val="1"/>
                <w:bCs w:val="1"/>
                <w:color w:val="auto"/>
              </w:rPr>
              <w:t>Non-Equity Incentive Plan Compensation</w:t>
            </w:r>
          </w:p>
        </w:tc>
        <w:tc>
          <w:tcPr>
            <w:tcW w:w="4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532,748</w:t>
            </w:r>
          </w:p>
        </w:tc>
        <w:tc>
          <w:tcPr>
            <w:tcW w:w="1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173,210</w:t>
            </w:r>
          </w:p>
        </w:tc>
        <w:tc>
          <w:tcPr>
            <w:tcW w:w="1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133,946</w:t>
            </w:r>
          </w:p>
        </w:tc>
        <w:tc>
          <w:tcPr>
            <w:tcW w:w="14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172,987</w:t>
            </w:r>
          </w:p>
        </w:tc>
        <w:tc>
          <w:tcPr>
            <w:tcW w:w="140" w:type="dxa"/>
            <w:vAlign w:val="bottom"/>
            <w:shd w:val="clear" w:color="auto" w:fill="FCDEC5"/>
          </w:tcPr>
          <w:p>
            <w:pPr>
              <w:spacing w:after="0"/>
              <w:rPr>
                <w:sz w:val="24"/>
                <w:szCs w:val="24"/>
                <w:color w:val="auto"/>
              </w:rPr>
            </w:pPr>
          </w:p>
        </w:tc>
        <w:tc>
          <w:tcPr>
            <w:tcW w:w="620" w:type="dxa"/>
            <w:vAlign w:val="bottom"/>
            <w:tcBorders>
              <w:right w:val="single" w:sz="8" w:color="F79646"/>
            </w:tcBorders>
            <w:shd w:val="clear" w:color="auto" w:fill="FCDEC5"/>
          </w:tcPr>
          <w:p>
            <w:pPr>
              <w:jc w:val="right"/>
              <w:spacing w:after="0"/>
              <w:rPr>
                <w:sz w:val="20"/>
                <w:szCs w:val="20"/>
                <w:color w:val="auto"/>
              </w:rPr>
            </w:pPr>
            <w:r>
              <w:rPr>
                <w:rFonts w:ascii="Arial" w:cs="Arial" w:eastAsia="Arial" w:hAnsi="Arial"/>
                <w:sz w:val="13"/>
                <w:szCs w:val="13"/>
                <w:color w:val="auto"/>
              </w:rPr>
              <w:t>164,579</w:t>
            </w:r>
          </w:p>
        </w:tc>
      </w:tr>
      <w:tr>
        <w:trPr>
          <w:trHeight w:val="144"/>
        </w:trPr>
        <w:tc>
          <w:tcPr>
            <w:tcW w:w="2860" w:type="dxa"/>
            <w:vAlign w:val="bottom"/>
            <w:tcBorders>
              <w:left w:val="single" w:sz="8" w:color="F79646"/>
            </w:tcBorders>
          </w:tcPr>
          <w:p>
            <w:pPr>
              <w:ind w:left="60"/>
              <w:spacing w:after="0" w:line="144" w:lineRule="exact"/>
              <w:rPr>
                <w:sz w:val="20"/>
                <w:szCs w:val="20"/>
                <w:color w:val="auto"/>
              </w:rPr>
            </w:pPr>
            <w:r>
              <w:rPr>
                <w:rFonts w:ascii="Arial" w:cs="Arial" w:eastAsia="Arial" w:hAnsi="Arial"/>
                <w:sz w:val="13"/>
                <w:szCs w:val="13"/>
                <w:b w:val="1"/>
                <w:bCs w:val="1"/>
                <w:color w:val="auto"/>
              </w:rPr>
              <w:t>Equity Awards</w:t>
            </w:r>
          </w:p>
        </w:tc>
        <w:tc>
          <w:tcPr>
            <w:tcW w:w="42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w w:val="93"/>
              </w:rPr>
              <w:t>3,791,277</w:t>
            </w:r>
          </w:p>
        </w:tc>
        <w:tc>
          <w:tcPr>
            <w:tcW w:w="12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928,709</w:t>
            </w:r>
          </w:p>
        </w:tc>
        <w:tc>
          <w:tcPr>
            <w:tcW w:w="12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w w:val="96"/>
              </w:rPr>
              <w:t>1,339,363</w:t>
            </w:r>
          </w:p>
        </w:tc>
        <w:tc>
          <w:tcPr>
            <w:tcW w:w="1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753,076</w:t>
            </w:r>
          </w:p>
        </w:tc>
        <w:tc>
          <w:tcPr>
            <w:tcW w:w="140" w:type="dxa"/>
            <w:vAlign w:val="bottom"/>
          </w:tcPr>
          <w:p>
            <w:pPr>
              <w:spacing w:after="0"/>
              <w:rPr>
                <w:sz w:val="12"/>
                <w:szCs w:val="12"/>
                <w:color w:val="auto"/>
              </w:rPr>
            </w:pPr>
          </w:p>
        </w:tc>
        <w:tc>
          <w:tcPr>
            <w:tcW w:w="620" w:type="dxa"/>
            <w:vAlign w:val="bottom"/>
            <w:tcBorders>
              <w:right w:val="single" w:sz="8" w:color="F79646"/>
            </w:tcBorders>
          </w:tcPr>
          <w:p>
            <w:pPr>
              <w:jc w:val="right"/>
              <w:spacing w:after="0" w:line="144" w:lineRule="exact"/>
              <w:rPr>
                <w:sz w:val="20"/>
                <w:szCs w:val="20"/>
                <w:color w:val="auto"/>
              </w:rPr>
            </w:pPr>
            <w:r>
              <w:rPr>
                <w:rFonts w:ascii="Arial" w:cs="Arial" w:eastAsia="Arial" w:hAnsi="Arial"/>
                <w:sz w:val="13"/>
                <w:szCs w:val="13"/>
                <w:color w:val="auto"/>
              </w:rPr>
              <w:t>809,936</w:t>
            </w:r>
          </w:p>
        </w:tc>
      </w:tr>
      <w:tr>
        <w:trPr>
          <w:trHeight w:val="289"/>
        </w:trPr>
        <w:tc>
          <w:tcPr>
            <w:tcW w:w="2860" w:type="dxa"/>
            <w:vAlign w:val="bottom"/>
            <w:tcBorders>
              <w:left w:val="single" w:sz="8" w:color="F79646"/>
            </w:tcBorders>
            <w:shd w:val="clear" w:color="auto" w:fill="FCDEC5"/>
          </w:tcPr>
          <w:p>
            <w:pPr>
              <w:ind w:left="60"/>
              <w:spacing w:after="0"/>
              <w:rPr>
                <w:sz w:val="20"/>
                <w:szCs w:val="20"/>
                <w:color w:val="auto"/>
              </w:rPr>
            </w:pPr>
            <w:r>
              <w:rPr>
                <w:rFonts w:ascii="Arial" w:cs="Arial" w:eastAsia="Arial" w:hAnsi="Arial"/>
                <w:sz w:val="13"/>
                <w:szCs w:val="13"/>
                <w:b w:val="1"/>
                <w:bCs w:val="1"/>
                <w:color w:val="auto"/>
              </w:rPr>
              <w:t>Other Compensation</w:t>
            </w:r>
            <w:r>
              <w:rPr>
                <w:rFonts w:ascii="Arial" w:cs="Arial" w:eastAsia="Arial" w:hAnsi="Arial"/>
                <w:sz w:val="20"/>
                <w:szCs w:val="20"/>
                <w:b w:val="1"/>
                <w:bCs w:val="1"/>
                <w:color w:val="auto"/>
                <w:vertAlign w:val="superscript"/>
              </w:rPr>
              <w:t>(1)</w:t>
            </w:r>
          </w:p>
        </w:tc>
        <w:tc>
          <w:tcPr>
            <w:tcW w:w="4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61,484</w:t>
            </w:r>
          </w:p>
        </w:tc>
        <w:tc>
          <w:tcPr>
            <w:tcW w:w="1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11,465</w:t>
            </w:r>
          </w:p>
        </w:tc>
        <w:tc>
          <w:tcPr>
            <w:tcW w:w="12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74,407</w:t>
            </w:r>
          </w:p>
        </w:tc>
        <w:tc>
          <w:tcPr>
            <w:tcW w:w="140" w:type="dxa"/>
            <w:vAlign w:val="bottom"/>
            <w:shd w:val="clear" w:color="auto" w:fill="FCDEC5"/>
          </w:tcPr>
          <w:p>
            <w:pPr>
              <w:spacing w:after="0"/>
              <w:rPr>
                <w:sz w:val="24"/>
                <w:szCs w:val="24"/>
                <w:color w:val="auto"/>
              </w:rPr>
            </w:pPr>
          </w:p>
        </w:tc>
        <w:tc>
          <w:tcPr>
            <w:tcW w:w="620" w:type="dxa"/>
            <w:vAlign w:val="bottom"/>
            <w:shd w:val="clear" w:color="auto" w:fill="FCDEC5"/>
          </w:tcPr>
          <w:p>
            <w:pPr>
              <w:jc w:val="right"/>
              <w:spacing w:after="0"/>
              <w:rPr>
                <w:sz w:val="20"/>
                <w:szCs w:val="20"/>
                <w:color w:val="auto"/>
              </w:rPr>
            </w:pPr>
            <w:r>
              <w:rPr>
                <w:rFonts w:ascii="Arial" w:cs="Arial" w:eastAsia="Arial" w:hAnsi="Arial"/>
                <w:sz w:val="13"/>
                <w:szCs w:val="13"/>
                <w:color w:val="auto"/>
              </w:rPr>
              <w:t>8,640</w:t>
            </w:r>
          </w:p>
        </w:tc>
        <w:tc>
          <w:tcPr>
            <w:tcW w:w="140" w:type="dxa"/>
            <w:vAlign w:val="bottom"/>
            <w:shd w:val="clear" w:color="auto" w:fill="FCDEC5"/>
          </w:tcPr>
          <w:p>
            <w:pPr>
              <w:spacing w:after="0"/>
              <w:rPr>
                <w:sz w:val="24"/>
                <w:szCs w:val="24"/>
                <w:color w:val="auto"/>
              </w:rPr>
            </w:pPr>
          </w:p>
        </w:tc>
        <w:tc>
          <w:tcPr>
            <w:tcW w:w="620" w:type="dxa"/>
            <w:vAlign w:val="bottom"/>
            <w:tcBorders>
              <w:right w:val="single" w:sz="8" w:color="F79646"/>
            </w:tcBorders>
            <w:shd w:val="clear" w:color="auto" w:fill="FCDEC5"/>
          </w:tcPr>
          <w:p>
            <w:pPr>
              <w:jc w:val="right"/>
              <w:spacing w:after="0"/>
              <w:rPr>
                <w:sz w:val="20"/>
                <w:szCs w:val="20"/>
                <w:color w:val="auto"/>
              </w:rPr>
            </w:pPr>
            <w:r>
              <w:rPr>
                <w:rFonts w:ascii="Arial" w:cs="Arial" w:eastAsia="Arial" w:hAnsi="Arial"/>
                <w:sz w:val="13"/>
                <w:szCs w:val="13"/>
                <w:color w:val="auto"/>
              </w:rPr>
              <w:t>8,640</w:t>
            </w:r>
          </w:p>
        </w:tc>
      </w:tr>
      <w:tr>
        <w:trPr>
          <w:trHeight w:val="144"/>
        </w:trPr>
        <w:tc>
          <w:tcPr>
            <w:tcW w:w="2860" w:type="dxa"/>
            <w:vAlign w:val="bottom"/>
            <w:tcBorders>
              <w:left w:val="single" w:sz="8" w:color="F79646"/>
              <w:bottom w:val="single" w:sz="8" w:color="F79646"/>
            </w:tcBorders>
          </w:tcPr>
          <w:p>
            <w:pPr>
              <w:ind w:left="60"/>
              <w:spacing w:after="0" w:line="144" w:lineRule="exact"/>
              <w:rPr>
                <w:sz w:val="20"/>
                <w:szCs w:val="20"/>
                <w:color w:val="auto"/>
              </w:rPr>
            </w:pPr>
            <w:r>
              <w:rPr>
                <w:rFonts w:ascii="Arial" w:cs="Arial" w:eastAsia="Arial" w:hAnsi="Arial"/>
                <w:sz w:val="13"/>
                <w:szCs w:val="13"/>
                <w:b w:val="1"/>
                <w:bCs w:val="1"/>
                <w:color w:val="auto"/>
              </w:rPr>
              <w:t>Total</w:t>
            </w:r>
          </w:p>
        </w:tc>
        <w:tc>
          <w:tcPr>
            <w:tcW w:w="4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w w:val="93"/>
              </w:rPr>
              <w:t>5,105,509</w:t>
            </w:r>
          </w:p>
        </w:tc>
        <w:tc>
          <w:tcPr>
            <w:tcW w:w="1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w w:val="93"/>
              </w:rPr>
              <w:t>1,551,056</w:t>
            </w:r>
          </w:p>
        </w:tc>
        <w:tc>
          <w:tcPr>
            <w:tcW w:w="1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w w:val="96"/>
              </w:rPr>
              <w:t>1,849,164</w:t>
            </w:r>
          </w:p>
        </w:tc>
        <w:tc>
          <w:tcPr>
            <w:tcW w:w="14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w w:val="93"/>
              </w:rPr>
              <w:t>1,376,073</w:t>
            </w:r>
          </w:p>
        </w:tc>
        <w:tc>
          <w:tcPr>
            <w:tcW w:w="140" w:type="dxa"/>
            <w:vAlign w:val="bottom"/>
            <w:tcBorders>
              <w:bottom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F79646"/>
              <w:right w:val="single" w:sz="8" w:color="F79646"/>
            </w:tcBorders>
          </w:tcPr>
          <w:p>
            <w:pPr>
              <w:jc w:val="right"/>
              <w:spacing w:after="0" w:line="144" w:lineRule="exact"/>
              <w:rPr>
                <w:sz w:val="20"/>
                <w:szCs w:val="20"/>
                <w:color w:val="auto"/>
              </w:rPr>
            </w:pPr>
            <w:r>
              <w:rPr>
                <w:rFonts w:ascii="Arial" w:cs="Arial" w:eastAsia="Arial" w:hAnsi="Arial"/>
                <w:sz w:val="13"/>
                <w:szCs w:val="13"/>
                <w:b w:val="1"/>
                <w:bCs w:val="1"/>
                <w:color w:val="auto"/>
                <w:w w:val="93"/>
              </w:rPr>
              <w:t>1,423,292</w:t>
            </w:r>
          </w:p>
        </w:tc>
      </w:tr>
    </w:tbl>
    <w:p>
      <w:pPr>
        <w:spacing w:after="0" w:line="156" w:lineRule="exact"/>
        <w:rPr>
          <w:sz w:val="20"/>
          <w:szCs w:val="20"/>
          <w:color w:val="auto"/>
        </w:rPr>
      </w:pPr>
    </w:p>
    <w:p>
      <w:pPr>
        <w:jc w:val="both"/>
        <w:ind w:left="1440" w:right="179" w:hanging="382"/>
        <w:spacing w:after="0" w:line="233" w:lineRule="auto"/>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each named executive officer,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2018 is provided in the "Summary Compensation Table for Fiscal Year 2018" beginning on page 50.</w:t>
      </w:r>
    </w:p>
    <w:p>
      <w:pPr>
        <w:sectPr>
          <w:pgSz w:w="11900" w:h="16838" w:orient="portrait"/>
          <w:cols w:equalWidth="0" w:num="1">
            <w:col w:w="9019"/>
          </w:cols>
          <w:pgMar w:left="1440" w:top="296" w:right="1440" w:bottom="1106"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111760</wp:posOffset>
            </wp:positionV>
            <wp:extent cx="549529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106" w:gutter="0" w:footer="0" w:header="0"/>
          <w:type w:val="continuous"/>
        </w:sectPr>
      </w:pPr>
    </w:p>
    <w:bookmarkStart w:id="6" w:name="page7"/>
    <w:bookmarkEnd w:id="6"/>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beginning on page 33 for a complete description of our 2018 compensation program.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Below are a few highlights of our executive compensation:</w:t>
      </w:r>
    </w:p>
    <w:p>
      <w:pPr>
        <w:spacing w:after="0" w:line="133" w:lineRule="exact"/>
        <w:rPr>
          <w:sz w:val="20"/>
          <w:szCs w:val="20"/>
          <w:color w:val="auto"/>
        </w:rPr>
      </w:pPr>
    </w:p>
    <w:p>
      <w:pPr>
        <w:jc w:val="both"/>
        <w:ind w:left="960" w:right="199" w:hanging="381"/>
        <w:spacing w:after="0" w:line="244" w:lineRule="auto"/>
        <w:tabs>
          <w:tab w:leader="none" w:pos="960" w:val="left"/>
        </w:tabs>
        <w:numPr>
          <w:ilvl w:val="0"/>
          <w:numId w:val="13"/>
        </w:numPr>
        <w:rPr>
          <w:rFonts w:ascii="Arial" w:cs="Arial" w:eastAsia="Arial" w:hAnsi="Arial"/>
          <w:sz w:val="13"/>
          <w:szCs w:val="13"/>
          <w:color w:val="F79646"/>
        </w:rPr>
      </w:pPr>
      <w:r>
        <w:rPr>
          <w:rFonts w:ascii="Arial" w:cs="Arial" w:eastAsia="Arial" w:hAnsi="Arial"/>
          <w:sz w:val="13"/>
          <w:szCs w:val="13"/>
          <w:b w:val="1"/>
          <w:bCs w:val="1"/>
          <w:color w:val="auto"/>
        </w:rPr>
        <w:t>95% Say-on-Pay Approval of 2017 Compensation</w:t>
      </w:r>
      <w:r>
        <w:rPr>
          <w:rFonts w:ascii="Arial" w:cs="Arial" w:eastAsia="Arial" w:hAnsi="Arial"/>
          <w:sz w:val="13"/>
          <w:szCs w:val="13"/>
          <w:color w:val="auto"/>
        </w:rPr>
        <w:t>: At our 2018 Annual Meeting of Stockholders, our stockholders approved, on a non-binding advisory basis, the compensation paid to our named executive officers for fiscal year 2017. Approximately 95% of the votes present in person or by proxy voted in favor of fiscal year 2017 compensation.</w:t>
      </w:r>
    </w:p>
    <w:p>
      <w:pPr>
        <w:spacing w:after="0" w:line="131" w:lineRule="exact"/>
        <w:rPr>
          <w:rFonts w:ascii="Arial" w:cs="Arial" w:eastAsia="Arial" w:hAnsi="Arial"/>
          <w:sz w:val="13"/>
          <w:szCs w:val="13"/>
          <w:color w:val="F79646"/>
        </w:rPr>
      </w:pPr>
    </w:p>
    <w:p>
      <w:pPr>
        <w:ind w:left="960" w:right="199" w:hanging="381"/>
        <w:spacing w:after="0" w:line="257" w:lineRule="auto"/>
        <w:tabs>
          <w:tab w:leader="none" w:pos="960" w:val="left"/>
        </w:tabs>
        <w:numPr>
          <w:ilvl w:val="0"/>
          <w:numId w:val="13"/>
        </w:numPr>
        <w:rPr>
          <w:rFonts w:ascii="Arial" w:cs="Arial" w:eastAsia="Arial" w:hAnsi="Arial"/>
          <w:sz w:val="13"/>
          <w:szCs w:val="13"/>
          <w:color w:val="F79646"/>
        </w:rPr>
      </w:pPr>
      <w:r>
        <w:rPr>
          <w:rFonts w:ascii="Arial" w:cs="Arial" w:eastAsia="Arial" w:hAnsi="Arial"/>
          <w:sz w:val="13"/>
          <w:szCs w:val="13"/>
          <w:b w:val="1"/>
          <w:bCs w:val="1"/>
          <w:color w:val="auto"/>
        </w:rPr>
        <w:t>Annual Bonus Program Based Upon Financial Performance Criteria</w:t>
      </w:r>
      <w:r>
        <w:rPr>
          <w:rFonts w:ascii="Arial" w:cs="Arial" w:eastAsia="Arial" w:hAnsi="Arial"/>
          <w:sz w:val="13"/>
          <w:szCs w:val="13"/>
          <w:color w:val="auto"/>
        </w:rPr>
        <w:t>: Our Compensation Committee approved the continued use of our</w:t>
      </w:r>
      <w:r>
        <w:rPr>
          <w:rFonts w:ascii="Arial" w:cs="Arial" w:eastAsia="Arial" w:hAnsi="Arial"/>
          <w:sz w:val="13"/>
          <w:szCs w:val="13"/>
          <w:b w:val="1"/>
          <w:bCs w:val="1"/>
          <w:color w:val="auto"/>
        </w:rPr>
        <w:t xml:space="preserve"> </w:t>
      </w:r>
      <w:r>
        <w:rPr>
          <w:rFonts w:ascii="Arial" w:cs="Arial" w:eastAsia="Arial" w:hAnsi="Arial"/>
          <w:sz w:val="13"/>
          <w:szCs w:val="13"/>
          <w:color w:val="auto"/>
        </w:rPr>
        <w:t>annual bonus program, which was based upon the following performance criteria:</w:t>
      </w:r>
    </w:p>
    <w:p>
      <w:pPr>
        <w:spacing w:after="0" w:line="277" w:lineRule="exact"/>
        <w:rPr>
          <w:rFonts w:ascii="Arial" w:cs="Arial" w:eastAsia="Arial" w:hAnsi="Arial"/>
          <w:sz w:val="13"/>
          <w:szCs w:val="13"/>
          <w:color w:val="F79646"/>
        </w:rPr>
      </w:pPr>
    </w:p>
    <w:p>
      <w:pPr>
        <w:ind w:left="1340"/>
        <w:spacing w:after="0"/>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color w:val="auto"/>
        </w:rPr>
        <w:t>Company Wide Metrics—Adjusted profit before tax ("PBT") and revenue</w:t>
      </w:r>
    </w:p>
    <w:p>
      <w:pPr>
        <w:ind w:left="1340"/>
        <w:spacing w:after="0"/>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color w:val="auto"/>
        </w:rPr>
        <w:t>Business Line Metrics—Revenue and Business Operating Income (BOI)</w:t>
      </w:r>
    </w:p>
    <w:p>
      <w:pPr>
        <w:ind w:left="1340"/>
        <w:spacing w:after="0"/>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color w:val="auto"/>
        </w:rPr>
        <w:t>Individual Metrics—Linked to areas of performance that are specific to each executive</w:t>
      </w:r>
    </w:p>
    <w:p>
      <w:pPr>
        <w:spacing w:after="0" w:line="287" w:lineRule="exact"/>
        <w:rPr>
          <w:rFonts w:ascii="Arial" w:cs="Arial" w:eastAsia="Arial" w:hAnsi="Arial"/>
          <w:sz w:val="13"/>
          <w:szCs w:val="13"/>
          <w:color w:val="F79646"/>
        </w:rPr>
      </w:pPr>
    </w:p>
    <w:p>
      <w:pPr>
        <w:ind w:left="960" w:right="199" w:hanging="381"/>
        <w:spacing w:after="0" w:line="257" w:lineRule="auto"/>
        <w:tabs>
          <w:tab w:leader="none" w:pos="960" w:val="left"/>
        </w:tabs>
        <w:numPr>
          <w:ilvl w:val="0"/>
          <w:numId w:val="13"/>
        </w:numPr>
        <w:rPr>
          <w:rFonts w:ascii="Arial" w:cs="Arial" w:eastAsia="Arial" w:hAnsi="Arial"/>
          <w:sz w:val="13"/>
          <w:szCs w:val="13"/>
          <w:color w:val="F79646"/>
        </w:rPr>
      </w:pPr>
      <w:r>
        <w:rPr>
          <w:rFonts w:ascii="Arial" w:cs="Arial" w:eastAsia="Arial" w:hAnsi="Arial"/>
          <w:sz w:val="13"/>
          <w:szCs w:val="13"/>
          <w:b w:val="1"/>
          <w:bCs w:val="1"/>
          <w:color w:val="auto"/>
        </w:rPr>
        <w:t>Long-Term Equity Incentive Program</w:t>
      </w:r>
      <w:r>
        <w:rPr>
          <w:rFonts w:ascii="Arial" w:cs="Arial" w:eastAsia="Arial" w:hAnsi="Arial"/>
          <w:sz w:val="13"/>
          <w:szCs w:val="13"/>
          <w:color w:val="auto"/>
        </w:rPr>
        <w:t>: We also continued our equity incentive program, which includes granting a mix of time-vested</w:t>
      </w:r>
      <w:r>
        <w:rPr>
          <w:rFonts w:ascii="Arial" w:cs="Arial" w:eastAsia="Arial" w:hAnsi="Arial"/>
          <w:sz w:val="13"/>
          <w:szCs w:val="13"/>
          <w:b w:val="1"/>
          <w:bCs w:val="1"/>
          <w:color w:val="auto"/>
        </w:rPr>
        <w:t xml:space="preserve"> </w:t>
      </w:r>
      <w:r>
        <w:rPr>
          <w:rFonts w:ascii="Arial" w:cs="Arial" w:eastAsia="Arial" w:hAnsi="Arial"/>
          <w:sz w:val="13"/>
          <w:szCs w:val="13"/>
          <w:color w:val="auto"/>
        </w:rPr>
        <w:t>restricted stock units and performance-based restricted stock units. The performance-based restricted stock units were comprised of:</w:t>
      </w:r>
    </w:p>
    <w:p>
      <w:pPr>
        <w:spacing w:after="0" w:line="282" w:lineRule="exact"/>
        <w:rPr>
          <w:rFonts w:ascii="Arial" w:cs="Arial" w:eastAsia="Arial" w:hAnsi="Arial"/>
          <w:sz w:val="13"/>
          <w:szCs w:val="13"/>
          <w:color w:val="F79646"/>
        </w:rPr>
      </w:pPr>
    </w:p>
    <w:p>
      <w:pPr>
        <w:ind w:left="1340"/>
        <w:spacing w:after="0"/>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color w:val="auto"/>
        </w:rPr>
        <w:t>Relative total stockholder return-linked restricted stock units, and</w:t>
      </w:r>
    </w:p>
    <w:p>
      <w:pPr>
        <w:ind w:left="1340"/>
        <w:spacing w:after="0"/>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color w:val="auto"/>
        </w:rPr>
        <w:t>Revenue-linked restricted stock units.</w:t>
      </w:r>
    </w:p>
    <w:p>
      <w:pPr>
        <w:spacing w:after="0" w:line="287" w:lineRule="exact"/>
        <w:rPr>
          <w:rFonts w:ascii="Arial" w:cs="Arial" w:eastAsia="Arial" w:hAnsi="Arial"/>
          <w:sz w:val="13"/>
          <w:szCs w:val="13"/>
          <w:color w:val="F79646"/>
        </w:rPr>
      </w:pPr>
    </w:p>
    <w:p>
      <w:pPr>
        <w:ind w:left="960" w:hanging="381"/>
        <w:spacing w:after="0"/>
        <w:tabs>
          <w:tab w:leader="none" w:pos="960" w:val="left"/>
        </w:tabs>
        <w:numPr>
          <w:ilvl w:val="0"/>
          <w:numId w:val="13"/>
        </w:numPr>
        <w:rPr>
          <w:rFonts w:ascii="Arial" w:cs="Arial" w:eastAsia="Arial" w:hAnsi="Arial"/>
          <w:sz w:val="13"/>
          <w:szCs w:val="13"/>
          <w:color w:val="F79646"/>
        </w:rPr>
      </w:pPr>
      <w:r>
        <w:rPr>
          <w:rFonts w:ascii="Arial" w:cs="Arial" w:eastAsia="Arial" w:hAnsi="Arial"/>
          <w:sz w:val="13"/>
          <w:szCs w:val="13"/>
          <w:b w:val="1"/>
          <w:bCs w:val="1"/>
          <w:color w:val="auto"/>
        </w:rPr>
        <w:t>2018 Performance</w:t>
      </w:r>
      <w:r>
        <w:rPr>
          <w:rFonts w:ascii="Arial" w:cs="Arial" w:eastAsia="Arial" w:hAnsi="Arial"/>
          <w:sz w:val="13"/>
          <w:szCs w:val="13"/>
          <w:color w:val="auto"/>
        </w:rPr>
        <w:t>: We delivered the following revenue and Adjusted PBT (as described below) performance in 2018.</w:t>
      </w:r>
    </w:p>
    <w:p>
      <w:pPr>
        <w:spacing w:after="0" w:line="293" w:lineRule="exact"/>
        <w:rPr>
          <w:rFonts w:ascii="Arial" w:cs="Arial" w:eastAsia="Arial" w:hAnsi="Arial"/>
          <w:sz w:val="13"/>
          <w:szCs w:val="13"/>
          <w:color w:val="F79646"/>
        </w:rPr>
      </w:pPr>
    </w:p>
    <w:p>
      <w:pPr>
        <w:ind w:left="1740" w:right="179" w:hanging="385"/>
        <w:spacing w:after="0" w:line="257" w:lineRule="auto"/>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3"/>
          <w:szCs w:val="13"/>
          <w:b w:val="1"/>
          <w:bCs w:val="1"/>
          <w:color w:val="auto"/>
        </w:rPr>
        <w:t>Annual Incentive Program</w:t>
      </w:r>
      <w:r>
        <w:rPr>
          <w:rFonts w:ascii="Arial" w:cs="Arial" w:eastAsia="Arial" w:hAnsi="Arial"/>
          <w:sz w:val="13"/>
          <w:szCs w:val="13"/>
          <w:color w:val="auto"/>
        </w:rPr>
        <w:t>: As measured under our annual incentive plan, we delivered 88.2% of our Adjusted PBT target and</w:t>
      </w:r>
      <w:r>
        <w:rPr>
          <w:rFonts w:ascii="Arial" w:cs="Arial" w:eastAsia="Arial" w:hAnsi="Arial"/>
          <w:sz w:val="13"/>
          <w:szCs w:val="13"/>
          <w:b w:val="1"/>
          <w:bCs w:val="1"/>
          <w:color w:val="auto"/>
        </w:rPr>
        <w:t xml:space="preserve"> </w:t>
      </w:r>
      <w:r>
        <w:rPr>
          <w:rFonts w:ascii="Arial" w:cs="Arial" w:eastAsia="Arial" w:hAnsi="Arial"/>
          <w:sz w:val="13"/>
          <w:szCs w:val="13"/>
          <w:color w:val="auto"/>
        </w:rPr>
        <w:t>97.7% of our revenue performance target.</w:t>
      </w:r>
    </w:p>
    <w:p>
      <w:pPr>
        <w:spacing w:after="0" w:line="122" w:lineRule="exact"/>
        <w:rPr>
          <w:rFonts w:ascii="Arial" w:cs="Arial" w:eastAsia="Arial" w:hAnsi="Arial"/>
          <w:sz w:val="13"/>
          <w:szCs w:val="13"/>
          <w:color w:val="F79646"/>
        </w:rPr>
      </w:pPr>
    </w:p>
    <w:p>
      <w:pPr>
        <w:ind w:left="1740" w:right="179" w:hanging="385"/>
        <w:spacing w:after="0" w:line="298" w:lineRule="auto"/>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1"/>
          <w:szCs w:val="11"/>
          <w:b w:val="1"/>
          <w:bCs w:val="1"/>
          <w:color w:val="auto"/>
        </w:rPr>
        <w:t>Equity Incentive Program</w:t>
      </w:r>
      <w:r>
        <w:rPr>
          <w:rFonts w:ascii="Arial" w:cs="Arial" w:eastAsia="Arial" w:hAnsi="Arial"/>
          <w:sz w:val="11"/>
          <w:szCs w:val="11"/>
          <w:color w:val="auto"/>
        </w:rPr>
        <w:t>: This was the third and final performance year for the 2016 performance-based restricted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units. We achieved 90.52% of the revenue target for the revenue-linked restricted stock units resulting in 5.24% of target funding of those grants. The Company's TSR performance was at the 40th percentile amongst its peer group, resulting in the executives earning 68.25% of the 2016 relative TSR-linked restricted stock units pursuant to the terms of the original grant.</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103505</wp:posOffset>
            </wp:positionV>
            <wp:extent cx="3930015" cy="2243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3001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Auditor Matters</w:t>
      </w:r>
    </w:p>
    <w:p>
      <w:pPr>
        <w:spacing w:after="0" w:line="18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As a matter of good corporate practice, we are seeking your ratification of Deloitte &amp; Touche LLP as our independent registered public accounting firm for fiscal year 2019. The following sets forth fees of Deloitte &amp; Touche LLP, who served as our independent registered public accounting firm for fiscal year 2018.</w:t>
      </w:r>
    </w:p>
    <w:p>
      <w:pPr>
        <w:spacing w:after="0" w:line="138" w:lineRule="exact"/>
        <w:rPr>
          <w:sz w:val="20"/>
          <w:szCs w:val="20"/>
          <w:color w:val="auto"/>
        </w:rPr>
      </w:pPr>
    </w:p>
    <w:tbl>
      <w:tblPr>
        <w:tblLayout w:type="fixed"/>
        <w:tblInd w:w="1930" w:type="dxa"/>
        <w:tblCellMar>
          <w:top w:w="0" w:type="dxa"/>
          <w:left w:w="0" w:type="dxa"/>
          <w:bottom w:w="0" w:type="dxa"/>
          <w:right w:w="0" w:type="dxa"/>
        </w:tblCellMar>
      </w:tblPr>
      <w:tr>
        <w:trPr>
          <w:trHeight w:val="149"/>
        </w:trPr>
        <w:tc>
          <w:tcPr>
            <w:tcW w:w="2680" w:type="dxa"/>
            <w:vAlign w:val="bottom"/>
            <w:tcBorders>
              <w:left w:val="single" w:sz="8" w:color="F79646"/>
            </w:tcBorders>
            <w:shd w:val="clear" w:color="auto" w:fill="F79646"/>
          </w:tcPr>
          <w:p>
            <w:pPr>
              <w:spacing w:after="0"/>
              <w:rPr>
                <w:sz w:val="12"/>
                <w:szCs w:val="12"/>
                <w:color w:val="auto"/>
              </w:rPr>
            </w:pPr>
          </w:p>
        </w:tc>
        <w:tc>
          <w:tcPr>
            <w:tcW w:w="2520" w:type="dxa"/>
            <w:vAlign w:val="bottom"/>
            <w:tcBorders>
              <w:right w:val="single" w:sz="8" w:color="F79646"/>
            </w:tcBorders>
            <w:shd w:val="clear" w:color="auto" w:fill="F79646"/>
          </w:tcPr>
          <w:p>
            <w:pPr>
              <w:jc w:val="right"/>
              <w:ind w:right="317"/>
              <w:spacing w:after="0"/>
              <w:rPr>
                <w:sz w:val="20"/>
                <w:szCs w:val="20"/>
                <w:color w:val="auto"/>
              </w:rPr>
            </w:pPr>
            <w:r>
              <w:rPr>
                <w:rFonts w:ascii="Arial" w:cs="Arial" w:eastAsia="Arial" w:hAnsi="Arial"/>
                <w:sz w:val="13"/>
                <w:szCs w:val="13"/>
                <w:b w:val="1"/>
                <w:bCs w:val="1"/>
                <w:color w:val="FFFFFE"/>
              </w:rPr>
              <w:t>2018</w:t>
            </w:r>
          </w:p>
        </w:tc>
      </w:tr>
      <w:tr>
        <w:trPr>
          <w:trHeight w:val="158"/>
        </w:trPr>
        <w:tc>
          <w:tcPr>
            <w:tcW w:w="2680" w:type="dxa"/>
            <w:vAlign w:val="bottom"/>
            <w:tcBorders>
              <w:left w:val="single" w:sz="8" w:color="F79646"/>
            </w:tcBorders>
            <w:shd w:val="clear" w:color="auto" w:fill="F79646"/>
          </w:tcPr>
          <w:p>
            <w:pPr>
              <w:spacing w:after="0"/>
              <w:rPr>
                <w:sz w:val="13"/>
                <w:szCs w:val="13"/>
                <w:color w:val="auto"/>
              </w:rPr>
            </w:pPr>
          </w:p>
        </w:tc>
        <w:tc>
          <w:tcPr>
            <w:tcW w:w="2520" w:type="dxa"/>
            <w:vAlign w:val="bottom"/>
            <w:tcBorders>
              <w:right w:val="single" w:sz="8" w:color="F79646"/>
            </w:tcBorders>
            <w:shd w:val="clear" w:color="auto" w:fill="F79646"/>
          </w:tcPr>
          <w:p>
            <w:pPr>
              <w:jc w:val="right"/>
              <w:ind w:right="37"/>
              <w:spacing w:after="0"/>
              <w:rPr>
                <w:sz w:val="20"/>
                <w:szCs w:val="20"/>
                <w:color w:val="auto"/>
              </w:rPr>
            </w:pPr>
            <w:r>
              <w:rPr>
                <w:rFonts w:ascii="Arial" w:cs="Arial" w:eastAsia="Arial" w:hAnsi="Arial"/>
                <w:sz w:val="13"/>
                <w:szCs w:val="13"/>
                <w:b w:val="1"/>
                <w:bCs w:val="1"/>
                <w:color w:val="FFFFFE"/>
              </w:rPr>
              <w:t>(in thousands)</w:t>
            </w:r>
          </w:p>
        </w:tc>
      </w:tr>
      <w:tr>
        <w:trPr>
          <w:trHeight w:val="219"/>
        </w:trPr>
        <w:tc>
          <w:tcPr>
            <w:tcW w:w="2680" w:type="dxa"/>
            <w:vAlign w:val="bottom"/>
            <w:tcBorders>
              <w:left w:val="single" w:sz="8" w:color="F79646"/>
            </w:tcBorders>
            <w:shd w:val="clear" w:color="auto" w:fill="FCDEC5"/>
          </w:tcPr>
          <w:p>
            <w:pPr>
              <w:ind w:left="60"/>
              <w:spacing w:after="0"/>
              <w:rPr>
                <w:sz w:val="20"/>
                <w:szCs w:val="20"/>
                <w:color w:val="auto"/>
              </w:rPr>
            </w:pPr>
            <w:r>
              <w:rPr>
                <w:rFonts w:ascii="Arial" w:cs="Arial" w:eastAsia="Arial" w:hAnsi="Arial"/>
                <w:sz w:val="13"/>
                <w:szCs w:val="13"/>
                <w:color w:val="auto"/>
              </w:rPr>
              <w:t>Audit Fees</w:t>
            </w:r>
          </w:p>
        </w:tc>
        <w:tc>
          <w:tcPr>
            <w:tcW w:w="2520" w:type="dxa"/>
            <w:vAlign w:val="bottom"/>
            <w:tcBorders>
              <w:right w:val="single" w:sz="8" w:color="F79646"/>
            </w:tcBorders>
            <w:shd w:val="clear" w:color="auto" w:fill="FCDEC5"/>
          </w:tcPr>
          <w:p>
            <w:pPr>
              <w:jc w:val="right"/>
              <w:ind w:right="17"/>
              <w:spacing w:after="0"/>
              <w:rPr>
                <w:sz w:val="20"/>
                <w:szCs w:val="20"/>
                <w:color w:val="auto"/>
              </w:rPr>
            </w:pPr>
            <w:r>
              <w:rPr>
                <w:rFonts w:ascii="Arial" w:cs="Arial" w:eastAsia="Arial" w:hAnsi="Arial"/>
                <w:sz w:val="13"/>
                <w:szCs w:val="13"/>
                <w:color w:val="auto"/>
              </w:rPr>
              <w:t>$ 1,425</w:t>
            </w:r>
          </w:p>
        </w:tc>
      </w:tr>
      <w:tr>
        <w:trPr>
          <w:trHeight w:val="70"/>
        </w:trPr>
        <w:tc>
          <w:tcPr>
            <w:tcW w:w="2680" w:type="dxa"/>
            <w:vAlign w:val="bottom"/>
            <w:tcBorders>
              <w:left w:val="single" w:sz="8" w:color="F79646"/>
            </w:tcBorders>
            <w:shd w:val="clear" w:color="auto" w:fill="FCDEC5"/>
          </w:tcPr>
          <w:p>
            <w:pPr>
              <w:spacing w:after="0"/>
              <w:rPr>
                <w:sz w:val="6"/>
                <w:szCs w:val="6"/>
                <w:color w:val="auto"/>
              </w:rPr>
            </w:pPr>
          </w:p>
        </w:tc>
        <w:tc>
          <w:tcPr>
            <w:tcW w:w="2520" w:type="dxa"/>
            <w:vAlign w:val="bottom"/>
            <w:tcBorders>
              <w:right w:val="single" w:sz="8" w:color="F79646"/>
            </w:tcBorders>
            <w:shd w:val="clear" w:color="auto" w:fill="FCDEC5"/>
          </w:tcPr>
          <w:p>
            <w:pPr>
              <w:spacing w:after="0"/>
              <w:rPr>
                <w:sz w:val="6"/>
                <w:szCs w:val="6"/>
                <w:color w:val="auto"/>
              </w:rPr>
            </w:pPr>
          </w:p>
        </w:tc>
      </w:tr>
      <w:tr>
        <w:trPr>
          <w:trHeight w:val="144"/>
        </w:trPr>
        <w:tc>
          <w:tcPr>
            <w:tcW w:w="2680" w:type="dxa"/>
            <w:vAlign w:val="bottom"/>
            <w:tcBorders>
              <w:left w:val="single" w:sz="8" w:color="F79646"/>
            </w:tcBorders>
          </w:tcPr>
          <w:p>
            <w:pPr>
              <w:ind w:left="60"/>
              <w:spacing w:after="0" w:line="144" w:lineRule="exact"/>
              <w:rPr>
                <w:sz w:val="20"/>
                <w:szCs w:val="20"/>
                <w:color w:val="auto"/>
              </w:rPr>
            </w:pPr>
            <w:r>
              <w:rPr>
                <w:rFonts w:ascii="Arial" w:cs="Arial" w:eastAsia="Arial" w:hAnsi="Arial"/>
                <w:sz w:val="13"/>
                <w:szCs w:val="13"/>
                <w:color w:val="auto"/>
              </w:rPr>
              <w:t>Audit-Related Fees</w:t>
            </w:r>
          </w:p>
        </w:tc>
        <w:tc>
          <w:tcPr>
            <w:tcW w:w="2520" w:type="dxa"/>
            <w:vAlign w:val="bottom"/>
            <w:tcBorders>
              <w:right w:val="single" w:sz="8" w:color="F79646"/>
            </w:tcBorders>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219"/>
        </w:trPr>
        <w:tc>
          <w:tcPr>
            <w:tcW w:w="2680" w:type="dxa"/>
            <w:vAlign w:val="bottom"/>
            <w:tcBorders>
              <w:left w:val="single" w:sz="8" w:color="F79646"/>
            </w:tcBorders>
            <w:shd w:val="clear" w:color="auto" w:fill="FCDEC5"/>
          </w:tcPr>
          <w:p>
            <w:pPr>
              <w:ind w:left="60"/>
              <w:spacing w:after="0"/>
              <w:rPr>
                <w:sz w:val="20"/>
                <w:szCs w:val="20"/>
                <w:color w:val="auto"/>
              </w:rPr>
            </w:pPr>
            <w:r>
              <w:rPr>
                <w:rFonts w:ascii="Arial" w:cs="Arial" w:eastAsia="Arial" w:hAnsi="Arial"/>
                <w:sz w:val="13"/>
                <w:szCs w:val="13"/>
                <w:color w:val="auto"/>
              </w:rPr>
              <w:t>Tax Fees</w:t>
            </w:r>
          </w:p>
        </w:tc>
        <w:tc>
          <w:tcPr>
            <w:tcW w:w="2520" w:type="dxa"/>
            <w:vAlign w:val="bottom"/>
            <w:tcBorders>
              <w:right w:val="single" w:sz="8" w:color="F79646"/>
            </w:tcBorders>
            <w:shd w:val="clear" w:color="auto" w:fill="FCDEC5"/>
          </w:tcPr>
          <w:p>
            <w:pPr>
              <w:jc w:val="right"/>
              <w:ind w:right="17"/>
              <w:spacing w:after="0"/>
              <w:rPr>
                <w:sz w:val="20"/>
                <w:szCs w:val="20"/>
                <w:color w:val="auto"/>
              </w:rPr>
            </w:pPr>
            <w:r>
              <w:rPr>
                <w:rFonts w:ascii="Arial" w:cs="Arial" w:eastAsia="Arial" w:hAnsi="Arial"/>
                <w:sz w:val="13"/>
                <w:szCs w:val="13"/>
                <w:color w:val="auto"/>
              </w:rPr>
              <w:t>523</w:t>
            </w:r>
          </w:p>
        </w:tc>
      </w:tr>
      <w:tr>
        <w:trPr>
          <w:trHeight w:val="70"/>
        </w:trPr>
        <w:tc>
          <w:tcPr>
            <w:tcW w:w="2680" w:type="dxa"/>
            <w:vAlign w:val="bottom"/>
            <w:tcBorders>
              <w:left w:val="single" w:sz="8" w:color="F79646"/>
            </w:tcBorders>
            <w:shd w:val="clear" w:color="auto" w:fill="FCDEC5"/>
          </w:tcPr>
          <w:p>
            <w:pPr>
              <w:spacing w:after="0"/>
              <w:rPr>
                <w:sz w:val="6"/>
                <w:szCs w:val="6"/>
                <w:color w:val="auto"/>
              </w:rPr>
            </w:pPr>
          </w:p>
        </w:tc>
        <w:tc>
          <w:tcPr>
            <w:tcW w:w="2520" w:type="dxa"/>
            <w:vAlign w:val="bottom"/>
            <w:tcBorders>
              <w:right w:val="single" w:sz="8" w:color="F79646"/>
            </w:tcBorders>
            <w:shd w:val="clear" w:color="auto" w:fill="FCDEC5"/>
          </w:tcPr>
          <w:p>
            <w:pPr>
              <w:spacing w:after="0"/>
              <w:rPr>
                <w:sz w:val="6"/>
                <w:szCs w:val="6"/>
                <w:color w:val="auto"/>
              </w:rPr>
            </w:pPr>
          </w:p>
        </w:tc>
      </w:tr>
      <w:tr>
        <w:trPr>
          <w:trHeight w:val="144"/>
        </w:trPr>
        <w:tc>
          <w:tcPr>
            <w:tcW w:w="2680" w:type="dxa"/>
            <w:vAlign w:val="bottom"/>
            <w:tcBorders>
              <w:left w:val="single" w:sz="8" w:color="F79646"/>
            </w:tcBorders>
          </w:tcPr>
          <w:p>
            <w:pPr>
              <w:ind w:left="60"/>
              <w:spacing w:after="0" w:line="144" w:lineRule="exact"/>
              <w:rPr>
                <w:sz w:val="20"/>
                <w:szCs w:val="20"/>
                <w:color w:val="auto"/>
              </w:rPr>
            </w:pPr>
            <w:r>
              <w:rPr>
                <w:rFonts w:ascii="Arial" w:cs="Arial" w:eastAsia="Arial" w:hAnsi="Arial"/>
                <w:sz w:val="13"/>
                <w:szCs w:val="13"/>
                <w:color w:val="auto"/>
              </w:rPr>
              <w:t>All Other Fees</w:t>
            </w:r>
          </w:p>
        </w:tc>
        <w:tc>
          <w:tcPr>
            <w:tcW w:w="2520" w:type="dxa"/>
            <w:vAlign w:val="bottom"/>
            <w:tcBorders>
              <w:right w:val="single" w:sz="8" w:color="F79646"/>
            </w:tcBorders>
          </w:tcPr>
          <w:p>
            <w:pPr>
              <w:jc w:val="right"/>
              <w:ind w:right="17"/>
              <w:spacing w:after="0" w:line="144" w:lineRule="exact"/>
              <w:rPr>
                <w:sz w:val="20"/>
                <w:szCs w:val="20"/>
                <w:color w:val="auto"/>
              </w:rPr>
            </w:pPr>
            <w:r>
              <w:rPr>
                <w:rFonts w:ascii="Arial" w:cs="Arial" w:eastAsia="Arial" w:hAnsi="Arial"/>
                <w:sz w:val="13"/>
                <w:szCs w:val="13"/>
                <w:color w:val="auto"/>
              </w:rPr>
              <w:t>54</w:t>
            </w:r>
          </w:p>
        </w:tc>
      </w:tr>
      <w:tr>
        <w:trPr>
          <w:trHeight w:val="219"/>
        </w:trPr>
        <w:tc>
          <w:tcPr>
            <w:tcW w:w="2680" w:type="dxa"/>
            <w:vAlign w:val="bottom"/>
            <w:tcBorders>
              <w:left w:val="single" w:sz="8" w:color="F79646"/>
            </w:tcBorders>
            <w:shd w:val="clear" w:color="auto" w:fill="FCDEC5"/>
          </w:tcPr>
          <w:p>
            <w:pPr>
              <w:ind w:left="60"/>
              <w:spacing w:after="0"/>
              <w:rPr>
                <w:sz w:val="20"/>
                <w:szCs w:val="20"/>
                <w:color w:val="auto"/>
              </w:rPr>
            </w:pPr>
            <w:r>
              <w:rPr>
                <w:rFonts w:ascii="Arial" w:cs="Arial" w:eastAsia="Arial" w:hAnsi="Arial"/>
                <w:sz w:val="13"/>
                <w:szCs w:val="13"/>
                <w:b w:val="1"/>
                <w:bCs w:val="1"/>
                <w:color w:val="auto"/>
              </w:rPr>
              <w:t>Total</w:t>
            </w:r>
          </w:p>
        </w:tc>
        <w:tc>
          <w:tcPr>
            <w:tcW w:w="2520" w:type="dxa"/>
            <w:vAlign w:val="bottom"/>
            <w:tcBorders>
              <w:right w:val="single" w:sz="8" w:color="F79646"/>
            </w:tcBorders>
            <w:shd w:val="clear" w:color="auto" w:fill="FCDEC5"/>
          </w:tcPr>
          <w:p>
            <w:pPr>
              <w:jc w:val="right"/>
              <w:ind w:right="17"/>
              <w:spacing w:after="0"/>
              <w:rPr>
                <w:sz w:val="20"/>
                <w:szCs w:val="20"/>
                <w:color w:val="auto"/>
              </w:rPr>
            </w:pPr>
            <w:r>
              <w:rPr>
                <w:rFonts w:ascii="Arial" w:cs="Arial" w:eastAsia="Arial" w:hAnsi="Arial"/>
                <w:sz w:val="13"/>
                <w:szCs w:val="13"/>
                <w:b w:val="1"/>
                <w:bCs w:val="1"/>
                <w:color w:val="auto"/>
              </w:rPr>
              <w:t>$ 2,002</w:t>
            </w:r>
          </w:p>
        </w:tc>
      </w:tr>
      <w:tr>
        <w:trPr>
          <w:trHeight w:val="70"/>
        </w:trPr>
        <w:tc>
          <w:tcPr>
            <w:tcW w:w="2680" w:type="dxa"/>
            <w:vAlign w:val="bottom"/>
            <w:tcBorders>
              <w:left w:val="single" w:sz="8" w:color="F79646"/>
              <w:bottom w:val="single" w:sz="8" w:color="F79646"/>
            </w:tcBorders>
            <w:shd w:val="clear" w:color="auto" w:fill="FCDEC5"/>
          </w:tcPr>
          <w:p>
            <w:pPr>
              <w:spacing w:after="0"/>
              <w:rPr>
                <w:sz w:val="6"/>
                <w:szCs w:val="6"/>
                <w:color w:val="auto"/>
              </w:rPr>
            </w:pPr>
          </w:p>
        </w:tc>
        <w:tc>
          <w:tcPr>
            <w:tcW w:w="2520" w:type="dxa"/>
            <w:vAlign w:val="bottom"/>
            <w:tcBorders>
              <w:bottom w:val="single" w:sz="8" w:color="F79646"/>
              <w:right w:val="single" w:sz="8" w:color="F79646"/>
            </w:tcBorders>
            <w:shd w:val="clear" w:color="auto" w:fill="FCDEC5"/>
          </w:tcPr>
          <w:p>
            <w:pPr>
              <w:spacing w:after="0"/>
              <w:rPr>
                <w:sz w:val="6"/>
                <w:szCs w:val="6"/>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For more information on our auditors, including individual components of 2018 audit fees and our change in auditors, see pages 77 to 79.</w:t>
      </w:r>
    </w:p>
    <w:p>
      <w:pPr>
        <w:sectPr>
          <w:pgSz w:w="11900" w:h="16838" w:orient="portrait"/>
          <w:cols w:equalWidth="0" w:num="1">
            <w:col w:w="9019"/>
          </w:cols>
          <w:pgMar w:left="1440" w:top="296"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111760</wp:posOffset>
            </wp:positionV>
            <wp:extent cx="549529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7" w:name="page8"/>
    <w:bookmarkEnd w:id="7"/>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INFORMATION CONCERNING VOTING AND SOLICITATION</w:t>
      </w:r>
    </w:p>
    <w:p>
      <w:pPr>
        <w:spacing w:after="0" w:line="188" w:lineRule="exact"/>
        <w:rPr>
          <w:sz w:val="20"/>
          <w:szCs w:val="20"/>
          <w:color w:val="auto"/>
        </w:rPr>
      </w:pPr>
    </w:p>
    <w:p>
      <w:pPr>
        <w:jc w:val="both"/>
        <w:ind w:left="200" w:right="179"/>
        <w:spacing w:after="0" w:line="273" w:lineRule="auto"/>
        <w:rPr>
          <w:sz w:val="20"/>
          <w:szCs w:val="20"/>
          <w:color w:val="auto"/>
        </w:rPr>
      </w:pPr>
      <w:r>
        <w:rPr>
          <w:rFonts w:ascii="Arial" w:cs="Arial" w:eastAsia="Arial" w:hAnsi="Arial"/>
          <w:sz w:val="11"/>
          <w:szCs w:val="11"/>
          <w:color w:val="auto"/>
        </w:rPr>
        <w:t>This Proxy Statement is being furnished to you in connection with the solicitation by the board of directors of ExlService Holdings, Inc., a Delaware corporation ("us," "we," "our" or the "Company"), of proxies to be used at our 2019 Annual Meeting of Stockholders (the "Annual Meeting") to be held at the</w:t>
      </w:r>
    </w:p>
    <w:p>
      <w:pPr>
        <w:spacing w:after="0" w:line="1" w:lineRule="exact"/>
        <w:rPr>
          <w:sz w:val="20"/>
          <w:szCs w:val="20"/>
          <w:color w:val="auto"/>
        </w:rPr>
      </w:pPr>
    </w:p>
    <w:p>
      <w:pPr>
        <w:jc w:val="both"/>
        <w:ind w:left="200" w:right="179"/>
        <w:spacing w:after="0" w:line="204" w:lineRule="auto"/>
        <w:rPr>
          <w:sz w:val="20"/>
          <w:szCs w:val="20"/>
          <w:color w:val="auto"/>
        </w:rPr>
      </w:pPr>
      <w:r>
        <w:rPr>
          <w:rFonts w:ascii="Arial" w:cs="Arial" w:eastAsia="Arial" w:hAnsi="Arial"/>
          <w:sz w:val="13"/>
          <w:szCs w:val="13"/>
          <w:color w:val="auto"/>
        </w:rPr>
        <w:t>New York offices of the Company, 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New York, 10022 on June 17, 2019, at 8:30 AM, Eastern Time, and any adjournments or postponements thereof.</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It is anticipated that the Internet Notice will be sent to stockholders on or about April 26, 2019. This proxy statement and the form of proxy relating to the Annual Meeting will be made available via the Internet to stockholders on or prior to the date that the Internet Notice is first sent.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Who Can Vote</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Only stockholders who own shares of our common stock at the close of business on April 18, 2019, the record date for the Annual Meeting, can vote at the Annual Meeting. As of the close of business on April 18, 2019, the record date, we had 34,354,362 shares of common stock outstanding and entitled to vote. Each holder of common stock is entitled to one vote for each share held as of the record date for the Annual Meeting. There is no cumulative voting in the election of directors.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How You Can Vote</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16, 2019.</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Voting at the Annual Meeting</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Voting by Internet, phone or mail will not limit your right to vote at the Annual Meeting if you decide to attend 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Revocation of Proxies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You can revoke your proxy at any time before it is exercised in any of the following ways:</w:t>
      </w:r>
    </w:p>
    <w:p>
      <w:pPr>
        <w:spacing w:after="0" w:line="149" w:lineRule="exact"/>
        <w:rPr>
          <w:sz w:val="20"/>
          <w:szCs w:val="20"/>
          <w:color w:val="auto"/>
        </w:rPr>
      </w:pPr>
    </w:p>
    <w:p>
      <w:pPr>
        <w:ind w:left="960" w:hanging="381"/>
        <w:spacing w:after="0"/>
        <w:tabs>
          <w:tab w:leader="none" w:pos="960" w:val="left"/>
        </w:tabs>
        <w:numPr>
          <w:ilvl w:val="0"/>
          <w:numId w:val="14"/>
        </w:numPr>
        <w:rPr>
          <w:rFonts w:ascii="Arial" w:cs="Arial" w:eastAsia="Arial" w:hAnsi="Arial"/>
          <w:sz w:val="13"/>
          <w:szCs w:val="13"/>
          <w:color w:val="F79646"/>
        </w:rPr>
      </w:pPr>
      <w:r>
        <w:rPr>
          <w:rFonts w:ascii="Arial" w:cs="Arial" w:eastAsia="Arial" w:hAnsi="Arial"/>
          <w:sz w:val="13"/>
          <w:szCs w:val="13"/>
          <w:color w:val="auto"/>
        </w:rPr>
        <w:t>by voting in person at the Annual Meeting;</w:t>
      </w:r>
    </w:p>
    <w:p>
      <w:pPr>
        <w:spacing w:after="0" w:line="148" w:lineRule="exact"/>
        <w:rPr>
          <w:rFonts w:ascii="Arial" w:cs="Arial" w:eastAsia="Arial" w:hAnsi="Arial"/>
          <w:sz w:val="13"/>
          <w:szCs w:val="13"/>
          <w:color w:val="F79646"/>
        </w:rPr>
      </w:pPr>
    </w:p>
    <w:p>
      <w:pPr>
        <w:ind w:left="960" w:hanging="381"/>
        <w:spacing w:after="0"/>
        <w:tabs>
          <w:tab w:leader="none" w:pos="960" w:val="left"/>
        </w:tabs>
        <w:numPr>
          <w:ilvl w:val="0"/>
          <w:numId w:val="14"/>
        </w:numPr>
        <w:rPr>
          <w:rFonts w:ascii="Arial" w:cs="Arial" w:eastAsia="Arial" w:hAnsi="Arial"/>
          <w:sz w:val="13"/>
          <w:szCs w:val="13"/>
          <w:color w:val="F79646"/>
        </w:rPr>
      </w:pPr>
      <w:r>
        <w:rPr>
          <w:rFonts w:ascii="Arial" w:cs="Arial" w:eastAsia="Arial" w:hAnsi="Arial"/>
          <w:sz w:val="13"/>
          <w:szCs w:val="13"/>
          <w:color w:val="auto"/>
        </w:rPr>
        <w:t>by submitting written notice of revocation to the inspector of elections prior to the Annual Meeting; or</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14"/>
        </w:numPr>
        <w:rPr>
          <w:rFonts w:ascii="Arial" w:cs="Arial" w:eastAsia="Arial" w:hAnsi="Arial"/>
          <w:sz w:val="13"/>
          <w:szCs w:val="13"/>
          <w:color w:val="F79646"/>
        </w:rPr>
      </w:pPr>
      <w:r>
        <w:rPr>
          <w:rFonts w:ascii="Arial" w:cs="Arial" w:eastAsia="Arial" w:hAnsi="Arial"/>
          <w:sz w:val="13"/>
          <w:szCs w:val="13"/>
          <w:color w:val="auto"/>
        </w:rPr>
        <w:t>by submitting another properly executed proxy of a later date to the inspector of elections prior to the Annual Meeting.</w:t>
      </w:r>
    </w:p>
    <w:p>
      <w:pPr>
        <w:sectPr>
          <w:pgSz w:w="11900" w:h="16838" w:orient="portrait"/>
          <w:cols w:equalWidth="0" w:num="1">
            <w:col w:w="9019"/>
          </w:cols>
          <w:pgMar w:left="1440" w:top="296" w:right="1440" w:bottom="1440" w:gutter="0" w:footer="0" w:header="0"/>
        </w:sectPr>
      </w:pP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Required Vote; Effect of Abstentions and Broker Non-Votes</w:t>
      </w:r>
    </w:p>
    <w:p>
      <w:pPr>
        <w:spacing w:after="0" w:line="318"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Quorum</w:t>
      </w:r>
    </w:p>
    <w:p>
      <w:pPr>
        <w:spacing w:after="0" w:line="165" w:lineRule="exact"/>
        <w:rPr>
          <w:sz w:val="20"/>
          <w:szCs w:val="20"/>
          <w:color w:val="auto"/>
        </w:rPr>
      </w:pPr>
    </w:p>
    <w:p>
      <w:pPr>
        <w:jc w:val="both"/>
        <w:ind w:left="200" w:right="260"/>
        <w:spacing w:after="0" w:line="280" w:lineRule="auto"/>
        <w:rPr>
          <w:sz w:val="20"/>
          <w:szCs w:val="20"/>
          <w:color w:val="auto"/>
        </w:rPr>
      </w:pPr>
      <w:r>
        <w:rPr>
          <w:rFonts w:ascii="Arial" w:cs="Arial" w:eastAsia="Arial" w:hAnsi="Arial"/>
          <w:sz w:val="11"/>
          <w:szCs w:val="11"/>
          <w:color w:val="auto"/>
        </w:rPr>
        <w:t>A quorum, which is a majority of the issued and outstanding shares of our common stock as of April 18, 2019,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60" w:lineRule="exact"/>
        <w:rPr>
          <w:sz w:val="20"/>
          <w:szCs w:val="20"/>
          <w:color w:val="auto"/>
        </w:rPr>
      </w:pPr>
    </w:p>
    <w:p>
      <w:pPr>
        <w:jc w:val="both"/>
        <w:ind w:left="200" w:right="260"/>
        <w:spacing w:after="0" w:line="244" w:lineRule="auto"/>
        <w:rPr>
          <w:sz w:val="20"/>
          <w:szCs w:val="20"/>
          <w:color w:val="auto"/>
        </w:rPr>
      </w:pPr>
      <w:r>
        <w:rPr>
          <w:rFonts w:ascii="Arial" w:cs="Arial" w:eastAsia="Arial" w:hAnsi="Arial"/>
          <w:sz w:val="13"/>
          <w:szCs w:val="13"/>
          <w:b w:val="1"/>
          <w:bCs w:val="1"/>
          <w:color w:val="auto"/>
        </w:rPr>
        <w:t>Proposal 1: Amendment of the Amended and Restated Certificate of Incorporation to Effect a Phased Declassification of the Board of Directors over the Next Three Years</w:t>
      </w:r>
    </w:p>
    <w:p>
      <w:pPr>
        <w:spacing w:after="0" w:line="147" w:lineRule="exact"/>
        <w:rPr>
          <w:sz w:val="20"/>
          <w:szCs w:val="20"/>
          <w:color w:val="auto"/>
        </w:rPr>
      </w:pPr>
    </w:p>
    <w:p>
      <w:pPr>
        <w:jc w:val="both"/>
        <w:ind w:left="200" w:right="260"/>
        <w:spacing w:after="0" w:line="273" w:lineRule="auto"/>
        <w:rPr>
          <w:sz w:val="20"/>
          <w:szCs w:val="20"/>
          <w:color w:val="auto"/>
        </w:rPr>
      </w:pPr>
      <w:r>
        <w:rPr>
          <w:rFonts w:ascii="Arial" w:cs="Arial" w:eastAsia="Arial" w:hAnsi="Arial"/>
          <w:sz w:val="11"/>
          <w:szCs w:val="11"/>
          <w:color w:val="auto"/>
        </w:rPr>
        <w:t>We are seeking approval of an amendment of Section 6 of our Amended and Restated Certificate of Incorporation to declassify the board over a three-year phase out period (see pages 73 to 74 below), which when completed will allow for the election of all directors on an annual basis.</w:t>
      </w:r>
    </w:p>
    <w:p>
      <w:pPr>
        <w:spacing w:after="0" w:line="2" w:lineRule="exact"/>
        <w:rPr>
          <w:sz w:val="20"/>
          <w:szCs w:val="20"/>
          <w:color w:val="auto"/>
        </w:rPr>
      </w:pPr>
    </w:p>
    <w:p>
      <w:pPr>
        <w:jc w:val="both"/>
        <w:ind w:left="200" w:right="280"/>
        <w:spacing w:after="0" w:line="204" w:lineRule="auto"/>
        <w:rPr>
          <w:sz w:val="20"/>
          <w:szCs w:val="20"/>
          <w:color w:val="auto"/>
        </w:rPr>
      </w:pPr>
      <w:r>
        <w:rPr>
          <w:rFonts w:ascii="Arial" w:cs="Arial" w:eastAsia="Arial" w:hAnsi="Arial"/>
          <w:sz w:val="13"/>
          <w:szCs w:val="13"/>
          <w:color w:val="auto"/>
        </w:rPr>
        <w:t>This requires the affirmative vote of the holders of at least 66</w:t>
      </w:r>
      <w:r>
        <w:rPr>
          <w:rFonts w:ascii="Arial" w:cs="Arial" w:eastAsia="Arial" w:hAnsi="Arial"/>
          <w:sz w:val="20"/>
          <w:szCs w:val="20"/>
          <w:color w:val="auto"/>
          <w:vertAlign w:val="superscript"/>
        </w:rPr>
        <w:t>2</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the voting power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99"/>
        <w:spacing w:after="0" w:line="233" w:lineRule="auto"/>
        <w:rPr>
          <w:sz w:val="20"/>
          <w:szCs w:val="20"/>
          <w:color w:val="auto"/>
        </w:rPr>
      </w:pPr>
      <w:r>
        <w:rPr>
          <w:rFonts w:ascii="Arial" w:cs="Arial" w:eastAsia="Arial" w:hAnsi="Arial"/>
          <w:sz w:val="13"/>
          <w:szCs w:val="13"/>
          <w:color w:val="auto"/>
        </w:rPr>
        <w:t>then-outstanding shares of the Company, voting together as a single class. For purposes of the vote on Proposal 1, abstentions and broker non-votes (as described below) will have the effect of a vote against Proposal 1.</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 2: Election of Directors</w:t>
      </w:r>
    </w:p>
    <w:p>
      <w:pPr>
        <w:spacing w:after="0" w:line="165" w:lineRule="exact"/>
        <w:rPr>
          <w:sz w:val="20"/>
          <w:szCs w:val="20"/>
          <w:color w:val="auto"/>
        </w:rPr>
      </w:pPr>
    </w:p>
    <w:p>
      <w:pPr>
        <w:jc w:val="both"/>
        <w:ind w:right="179"/>
        <w:spacing w:after="0" w:line="232" w:lineRule="auto"/>
        <w:rPr>
          <w:sz w:val="20"/>
          <w:szCs w:val="20"/>
          <w:color w:val="auto"/>
        </w:rPr>
      </w:pPr>
      <w:r>
        <w:rPr>
          <w:rFonts w:ascii="Arial" w:cs="Arial" w:eastAsia="Arial" w:hAnsi="Arial"/>
          <w:sz w:val="13"/>
          <w:szCs w:val="13"/>
          <w:color w:val="auto"/>
        </w:rPr>
        <w:t>Under our Fourth Amended and Restated By-Laws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shall tender to the board of directors his or her resignation as a director. You may cast your vote in favor of electing all of the nominees as directors, against one or more nominees, or abstain from voting your shares. For purposes of the vote on Proposal 2, abstentions and broker non-votes will have no effect on the results of the vote.</w:t>
      </w:r>
    </w:p>
    <w:p>
      <w:pPr>
        <w:spacing w:after="0" w:line="241" w:lineRule="exact"/>
        <w:rPr>
          <w:sz w:val="20"/>
          <w:szCs w:val="20"/>
          <w:color w:val="auto"/>
        </w:rPr>
      </w:pPr>
    </w:p>
    <w:p>
      <w:pPr>
        <w:sectPr>
          <w:pgSz w:w="11900" w:h="16838" w:orient="portrait"/>
          <w:cols w:equalWidth="0" w:num="2">
            <w:col w:w="4520" w:space="260"/>
            <w:col w:w="4239"/>
          </w:cols>
          <w:pgMar w:left="1440" w:top="296" w:right="1440" w:bottom="1440" w:gutter="0" w:footer="0" w:header="0"/>
          <w:type w:val="continuous"/>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111760</wp:posOffset>
            </wp:positionV>
            <wp:extent cx="549529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8" w:name="page9"/>
    <w:bookmarkEnd w:id="8"/>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8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Other Proposals</w:t>
      </w:r>
    </w:p>
    <w:p>
      <w:pPr>
        <w:spacing w:after="0" w:line="165" w:lineRule="exact"/>
        <w:rPr>
          <w:sz w:val="20"/>
          <w:szCs w:val="20"/>
          <w:color w:val="auto"/>
        </w:rPr>
      </w:pPr>
    </w:p>
    <w:p>
      <w:pPr>
        <w:jc w:val="both"/>
        <w:ind w:left="200"/>
        <w:spacing w:after="0" w:line="277" w:lineRule="auto"/>
        <w:rPr>
          <w:sz w:val="20"/>
          <w:szCs w:val="20"/>
          <w:color w:val="auto"/>
        </w:rPr>
      </w:pPr>
      <w:r>
        <w:rPr>
          <w:rFonts w:ascii="Arial" w:cs="Arial" w:eastAsia="Arial" w:hAnsi="Arial"/>
          <w:sz w:val="11"/>
          <w:szCs w:val="11"/>
          <w:color w:val="auto"/>
        </w:rPr>
        <w:t>The ratification of the appointment of our independent registered public accounting firm, the advisory (non-binding)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3 (ratification of the appointment of our independent registered public accounting firm), 4 (advisory (non-binding) vote on executive compensation), or such other items properly presented and to be acted upon at the Annual Meeting, abstentions will have the effect of a vote against these proposals. Broker non-votes will have the effect of a vote against Proposal 4, but because Proposal 3 is a "routine" proposal where brokers have discretionary authority to vote in the absence of instruction, there will be no broker non-votes.</w:t>
      </w:r>
    </w:p>
    <w:p>
      <w:pPr>
        <w:spacing w:after="0" w:line="200" w:lineRule="exact"/>
        <w:rPr>
          <w:sz w:val="20"/>
          <w:szCs w:val="20"/>
          <w:color w:val="auto"/>
        </w:rPr>
      </w:pPr>
    </w:p>
    <w:p>
      <w:pPr>
        <w:spacing w:after="0" w:line="222" w:lineRule="exact"/>
        <w:rPr>
          <w:sz w:val="20"/>
          <w:szCs w:val="20"/>
          <w:color w:val="auto"/>
        </w:rPr>
      </w:pPr>
    </w:p>
    <w:p>
      <w:pPr>
        <w:jc w:val="both"/>
        <w:ind w:left="200"/>
        <w:spacing w:after="0" w:line="233" w:lineRule="auto"/>
        <w:rPr>
          <w:sz w:val="20"/>
          <w:szCs w:val="20"/>
          <w:color w:val="auto"/>
        </w:rPr>
      </w:pPr>
      <w:r>
        <w:rPr>
          <w:rFonts w:ascii="Arial" w:cs="Arial" w:eastAsia="Arial" w:hAnsi="Arial"/>
          <w:sz w:val="13"/>
          <w:szCs w:val="13"/>
          <w:color w:val="auto"/>
        </w:rPr>
        <w:t>If you submit your proxy, but do not mark your voting preference, the proxy holders will vote your shares (i) FOR the amendment of the amended and restated certificate of incorporation, (ii) FOR the election of the Class I nominees for director, (iii)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both"/>
        <w:ind w:right="179"/>
        <w:spacing w:after="0" w:line="233" w:lineRule="auto"/>
        <w:rPr>
          <w:sz w:val="20"/>
          <w:szCs w:val="20"/>
          <w:color w:val="auto"/>
        </w:rPr>
      </w:pPr>
      <w:r>
        <w:rPr>
          <w:rFonts w:ascii="Arial" w:cs="Arial" w:eastAsia="Arial" w:hAnsi="Arial"/>
          <w:sz w:val="13"/>
          <w:szCs w:val="13"/>
          <w:color w:val="auto"/>
        </w:rPr>
        <w:t>ratification of the appointment of our independent registered public accounting firm, (iv) FOR the approval on an advisory (non-binding) basis of the compensation of our named executive officers, and (v) as described below, in the judgment of the proxy holder on any other matters properly presented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Shares Held in "Street Name" by a Broker</w:t>
      </w:r>
    </w:p>
    <w:p>
      <w:pPr>
        <w:spacing w:after="0" w:line="165" w:lineRule="exact"/>
        <w:rPr>
          <w:sz w:val="20"/>
          <w:szCs w:val="20"/>
          <w:color w:val="auto"/>
        </w:rPr>
      </w:pPr>
    </w:p>
    <w:p>
      <w:pPr>
        <w:jc w:val="both"/>
        <w:ind w:right="179"/>
        <w:spacing w:after="0" w:line="277" w:lineRule="auto"/>
        <w:rPr>
          <w:sz w:val="20"/>
          <w:szCs w:val="20"/>
          <w:color w:val="auto"/>
        </w:rPr>
      </w:pPr>
      <w:r>
        <w:rPr>
          <w:rFonts w:ascii="Arial" w:cs="Arial" w:eastAsia="Arial" w:hAnsi="Arial"/>
          <w:sz w:val="11"/>
          <w:szCs w:val="11"/>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and approval on an advisory (non-binding) basis of the compensation of our named executive officers. As a result, a "broker non-vote" occurs. However, without your instructions, your broker would have discretionary authority to vote your shares only with respect to "routine" proposals, which at the Annual Meeting is the ratification of the appointment of our independent registered public accounting firm.</w:t>
      </w:r>
    </w:p>
    <w:p>
      <w:pPr>
        <w:spacing w:after="0" w:line="472" w:lineRule="exact"/>
        <w:rPr>
          <w:sz w:val="20"/>
          <w:szCs w:val="20"/>
          <w:color w:val="auto"/>
        </w:rPr>
      </w:pPr>
    </w:p>
    <w:p>
      <w:pPr>
        <w:sectPr>
          <w:pgSz w:w="11900" w:h="16838" w:orient="portrait"/>
          <w:cols w:equalWidth="0" w:num="2">
            <w:col w:w="4260" w:space="520"/>
            <w:col w:w="4239"/>
          </w:cols>
          <w:pgMar w:left="1440" w:top="296" w:right="1440" w:bottom="1440" w:gutter="0" w:footer="0" w:header="0"/>
        </w:sectPr>
      </w:pPr>
    </w:p>
    <w:p>
      <w:pPr>
        <w:spacing w:after="0" w:line="8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Other Matters to Be Acted Upon at the Meeting</w:t>
      </w:r>
    </w:p>
    <w:p>
      <w:pPr>
        <w:spacing w:after="0" w:line="180" w:lineRule="exact"/>
        <w:rPr>
          <w:sz w:val="20"/>
          <w:szCs w:val="20"/>
          <w:color w:val="auto"/>
        </w:rPr>
      </w:pPr>
    </w:p>
    <w:p>
      <w:pPr>
        <w:jc w:val="both"/>
        <w:ind w:left="200" w:right="179"/>
        <w:spacing w:after="0" w:line="295" w:lineRule="auto"/>
        <w:rPr>
          <w:sz w:val="20"/>
          <w:szCs w:val="20"/>
          <w:color w:val="auto"/>
        </w:rPr>
      </w:pPr>
      <w:r>
        <w:rPr>
          <w:rFonts w:ascii="Arial" w:cs="Arial" w:eastAsia="Arial" w:hAnsi="Arial"/>
          <w:sz w:val="11"/>
          <w:szCs w:val="11"/>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Adjournments and Postponements</w:t>
      </w:r>
    </w:p>
    <w:p>
      <w:pPr>
        <w:spacing w:after="0" w:line="18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Solicitation of Proxies</w:t>
      </w:r>
    </w:p>
    <w:p>
      <w:pPr>
        <w:spacing w:after="0" w:line="180" w:lineRule="exact"/>
        <w:rPr>
          <w:sz w:val="20"/>
          <w:szCs w:val="20"/>
          <w:color w:val="auto"/>
        </w:rPr>
      </w:pPr>
    </w:p>
    <w:p>
      <w:pPr>
        <w:jc w:val="both"/>
        <w:ind w:left="200" w:right="179"/>
        <w:spacing w:after="0" w:line="317" w:lineRule="auto"/>
        <w:rPr>
          <w:sz w:val="20"/>
          <w:szCs w:val="20"/>
          <w:color w:val="auto"/>
        </w:rPr>
      </w:pPr>
      <w:r>
        <w:rPr>
          <w:rFonts w:ascii="Arial" w:cs="Arial" w:eastAsia="Arial" w:hAnsi="Arial"/>
          <w:sz w:val="11"/>
          <w:szCs w:val="11"/>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Internet Availability of Proxy Materials</w:t>
      </w:r>
    </w:p>
    <w:p>
      <w:pPr>
        <w:spacing w:after="0" w:line="18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 xml:space="preserve">Our Notice of Annual Meeting, proxy statement and form of proxy card are each available at </w:t>
      </w:r>
      <w:r>
        <w:rPr>
          <w:rFonts w:ascii="Arial" w:cs="Arial" w:eastAsia="Arial" w:hAnsi="Arial"/>
          <w:sz w:val="13"/>
          <w:szCs w:val="13"/>
          <w:u w:val="single" w:color="auto"/>
          <w:color w:val="auto"/>
        </w:rPr>
        <w:t>www.proxyvote.com</w:t>
      </w:r>
      <w:r>
        <w:rPr>
          <w:rFonts w:ascii="Arial" w:cs="Arial" w:eastAsia="Arial" w:hAnsi="Arial"/>
          <w:sz w:val="13"/>
          <w:szCs w:val="13"/>
          <w:color w:val="auto"/>
        </w:rPr>
        <w:t>. You may access these materials and provide your proxy by following the instructions provided in the Internet Notice.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Important</w:t>
      </w:r>
    </w:p>
    <w:p>
      <w:pPr>
        <w:spacing w:after="0" w:line="180" w:lineRule="exact"/>
        <w:rPr>
          <w:sz w:val="20"/>
          <w:szCs w:val="20"/>
          <w:color w:val="auto"/>
        </w:rPr>
      </w:pPr>
    </w:p>
    <w:p>
      <w:pPr>
        <w:jc w:val="both"/>
        <w:ind w:left="200" w:right="179"/>
        <w:spacing w:after="0" w:line="281" w:lineRule="auto"/>
        <w:rPr>
          <w:sz w:val="20"/>
          <w:szCs w:val="20"/>
          <w:color w:val="auto"/>
        </w:rPr>
      </w:pPr>
      <w:r>
        <w:rPr>
          <w:rFonts w:ascii="Arial" w:cs="Arial" w:eastAsia="Arial" w:hAnsi="Arial"/>
          <w:sz w:val="11"/>
          <w:szCs w:val="11"/>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 All Annual Meeting attendees may be asked to present valid, government-issued photo identification (federal, state or local), such as a driver's license or passport, and proof of beneficial ownership if you hold your shares through a broker, bank, trust or other nominee (or a proxy signed by a stockholder of record delegating voting authority to the attendee), before entering the Annual Meeting. Attendees will be required to sign in, and may be subject to security inspections. Video and audio recording devices and other electronic devices will not be permitted at the Annual Meeting.</w:t>
      </w:r>
    </w:p>
    <w:p>
      <w:pPr>
        <w:spacing w:after="0" w:line="128"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If you have any further questions about voting your shares or attending the Annual Meeting, please call our Investor Relations Department at (212) 624-5913.</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9" w:name="page10"/>
    <w:bookmarkEnd w:id="9"/>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OUR BOARD OF DIRECTORS</w:t>
      </w:r>
    </w:p>
    <w:p>
      <w:pPr>
        <w:spacing w:after="0" w:line="188" w:lineRule="exact"/>
        <w:rPr>
          <w:sz w:val="20"/>
          <w:szCs w:val="20"/>
          <w:color w:val="auto"/>
        </w:rPr>
      </w:pPr>
    </w:p>
    <w:p>
      <w:pPr>
        <w:ind w:left="200" w:right="179"/>
        <w:spacing w:after="0" w:line="235" w:lineRule="auto"/>
        <w:rPr>
          <w:sz w:val="20"/>
          <w:szCs w:val="20"/>
          <w:color w:val="auto"/>
        </w:rPr>
      </w:pPr>
      <w:r>
        <w:rPr>
          <w:rFonts w:ascii="Arial" w:cs="Arial" w:eastAsia="Arial" w:hAnsi="Arial"/>
          <w:sz w:val="13"/>
          <w:szCs w:val="13"/>
          <w:color w:val="auto"/>
        </w:rPr>
        <w:t>Our board of directors currently consists of ten directors divided into three classes, with each director serving a three-year term and one class being elected at each year's annual meeting of stockholders.* The current composition of our board of directors is as follows:</w:t>
      </w:r>
    </w:p>
    <w:p>
      <w:pPr>
        <w:spacing w:after="0" w:line="144" w:lineRule="exact"/>
        <w:rPr>
          <w:sz w:val="20"/>
          <w:szCs w:val="20"/>
          <w:color w:val="auto"/>
        </w:rPr>
      </w:pPr>
    </w:p>
    <w:tbl>
      <w:tblPr>
        <w:tblLayout w:type="fixed"/>
        <w:tblInd w:w="210" w:type="dxa"/>
        <w:tblCellMar>
          <w:top w:w="0" w:type="dxa"/>
          <w:left w:w="0" w:type="dxa"/>
          <w:bottom w:w="0" w:type="dxa"/>
          <w:right w:w="0" w:type="dxa"/>
        </w:tblCellMar>
      </w:tblPr>
      <w:tr>
        <w:trPr>
          <w:trHeight w:val="172"/>
        </w:trPr>
        <w:tc>
          <w:tcPr>
            <w:tcW w:w="2960" w:type="dxa"/>
            <w:vAlign w:val="bottom"/>
            <w:tcBorders>
              <w:left w:val="single" w:sz="8" w:color="F79646"/>
            </w:tcBorders>
            <w:shd w:val="clear" w:color="auto" w:fill="F79646"/>
          </w:tcPr>
          <w:p>
            <w:pPr>
              <w:jc w:val="center"/>
              <w:ind w:left="195"/>
              <w:spacing w:after="0"/>
              <w:rPr>
                <w:sz w:val="20"/>
                <w:szCs w:val="20"/>
                <w:color w:val="auto"/>
              </w:rPr>
            </w:pPr>
            <w:r>
              <w:rPr>
                <w:rFonts w:ascii="Arial" w:cs="Arial" w:eastAsia="Arial" w:hAnsi="Arial"/>
                <w:sz w:val="15"/>
                <w:szCs w:val="15"/>
                <w:b w:val="1"/>
                <w:bCs w:val="1"/>
                <w:color w:val="FFFFFE"/>
              </w:rPr>
              <w:t>Class I</w:t>
            </w:r>
          </w:p>
        </w:tc>
        <w:tc>
          <w:tcPr>
            <w:tcW w:w="2680" w:type="dxa"/>
            <w:vAlign w:val="bottom"/>
            <w:shd w:val="clear" w:color="auto" w:fill="F79646"/>
          </w:tcPr>
          <w:p>
            <w:pPr>
              <w:jc w:val="center"/>
              <w:spacing w:after="0"/>
              <w:rPr>
                <w:sz w:val="20"/>
                <w:szCs w:val="20"/>
                <w:color w:val="auto"/>
              </w:rPr>
            </w:pPr>
            <w:r>
              <w:rPr>
                <w:rFonts w:ascii="Arial" w:cs="Arial" w:eastAsia="Arial" w:hAnsi="Arial"/>
                <w:sz w:val="15"/>
                <w:szCs w:val="15"/>
                <w:b w:val="1"/>
                <w:bCs w:val="1"/>
                <w:color w:val="FFFFFE"/>
              </w:rPr>
              <w:t>Class II</w:t>
            </w:r>
          </w:p>
        </w:tc>
        <w:tc>
          <w:tcPr>
            <w:tcW w:w="3000" w:type="dxa"/>
            <w:vAlign w:val="bottom"/>
            <w:tcBorders>
              <w:right w:val="single" w:sz="8" w:color="F79646"/>
            </w:tcBorders>
            <w:shd w:val="clear" w:color="auto" w:fill="F79646"/>
          </w:tcPr>
          <w:p>
            <w:pPr>
              <w:jc w:val="center"/>
              <w:ind w:right="235"/>
              <w:spacing w:after="0"/>
              <w:rPr>
                <w:sz w:val="20"/>
                <w:szCs w:val="20"/>
                <w:color w:val="auto"/>
              </w:rPr>
            </w:pPr>
            <w:r>
              <w:rPr>
                <w:rFonts w:ascii="Arial" w:cs="Arial" w:eastAsia="Arial" w:hAnsi="Arial"/>
                <w:sz w:val="15"/>
                <w:szCs w:val="15"/>
                <w:b w:val="1"/>
                <w:bCs w:val="1"/>
                <w:color w:val="FFFFFE"/>
              </w:rPr>
              <w:t>Class III</w:t>
            </w:r>
          </w:p>
        </w:tc>
      </w:tr>
      <w:tr>
        <w:trPr>
          <w:trHeight w:val="158"/>
        </w:trPr>
        <w:tc>
          <w:tcPr>
            <w:tcW w:w="2960" w:type="dxa"/>
            <w:vAlign w:val="bottom"/>
            <w:tcBorders>
              <w:left w:val="single" w:sz="8" w:color="F79646"/>
            </w:tcBorders>
            <w:shd w:val="clear" w:color="auto" w:fill="F79646"/>
          </w:tcPr>
          <w:p>
            <w:pPr>
              <w:jc w:val="center"/>
              <w:ind w:left="195"/>
              <w:spacing w:after="0"/>
              <w:rPr>
                <w:sz w:val="20"/>
                <w:szCs w:val="20"/>
                <w:color w:val="auto"/>
              </w:rPr>
            </w:pPr>
            <w:r>
              <w:rPr>
                <w:rFonts w:ascii="Arial" w:cs="Arial" w:eastAsia="Arial" w:hAnsi="Arial"/>
                <w:sz w:val="13"/>
                <w:szCs w:val="13"/>
                <w:b w:val="1"/>
                <w:bCs w:val="1"/>
                <w:color w:val="FFFFFE"/>
                <w:w w:val="95"/>
              </w:rPr>
              <w:t>(Term expires 2019)*</w:t>
            </w:r>
          </w:p>
        </w:tc>
        <w:tc>
          <w:tcPr>
            <w:tcW w:w="268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4"/>
              </w:rPr>
              <w:t>(Term expires 2020)*</w:t>
            </w:r>
          </w:p>
        </w:tc>
        <w:tc>
          <w:tcPr>
            <w:tcW w:w="3000" w:type="dxa"/>
            <w:vAlign w:val="bottom"/>
            <w:tcBorders>
              <w:right w:val="single" w:sz="8" w:color="F79646"/>
            </w:tcBorders>
            <w:shd w:val="clear" w:color="auto" w:fill="F79646"/>
          </w:tcPr>
          <w:p>
            <w:pPr>
              <w:jc w:val="center"/>
              <w:ind w:right="235"/>
              <w:spacing w:after="0"/>
              <w:rPr>
                <w:sz w:val="20"/>
                <w:szCs w:val="20"/>
                <w:color w:val="auto"/>
              </w:rPr>
            </w:pPr>
            <w:r>
              <w:rPr>
                <w:rFonts w:ascii="Arial" w:cs="Arial" w:eastAsia="Arial" w:hAnsi="Arial"/>
                <w:sz w:val="13"/>
                <w:szCs w:val="13"/>
                <w:b w:val="1"/>
                <w:bCs w:val="1"/>
                <w:color w:val="FFFFFE"/>
                <w:w w:val="95"/>
              </w:rPr>
              <w:t>(Term expires 2021)*</w:t>
            </w:r>
          </w:p>
        </w:tc>
      </w:tr>
      <w:tr>
        <w:trPr>
          <w:trHeight w:val="144"/>
        </w:trPr>
        <w:tc>
          <w:tcPr>
            <w:tcW w:w="2960" w:type="dxa"/>
            <w:vAlign w:val="bottom"/>
            <w:tcBorders>
              <w:left w:val="single" w:sz="8" w:color="F79646"/>
            </w:tcBorders>
          </w:tcPr>
          <w:p>
            <w:pPr>
              <w:jc w:val="center"/>
              <w:ind w:left="195"/>
              <w:spacing w:after="0" w:line="144" w:lineRule="exact"/>
              <w:rPr>
                <w:sz w:val="20"/>
                <w:szCs w:val="20"/>
                <w:color w:val="auto"/>
              </w:rPr>
            </w:pPr>
            <w:r>
              <w:rPr>
                <w:rFonts w:ascii="Arial" w:cs="Arial" w:eastAsia="Arial" w:hAnsi="Arial"/>
                <w:sz w:val="13"/>
                <w:szCs w:val="13"/>
                <w:color w:val="auto"/>
                <w:w w:val="97"/>
              </w:rPr>
              <w:t>Rohit Kapoor</w:t>
            </w:r>
          </w:p>
        </w:tc>
        <w:tc>
          <w:tcPr>
            <w:tcW w:w="2680" w:type="dxa"/>
            <w:vAlign w:val="bottom"/>
          </w:tcPr>
          <w:p>
            <w:pPr>
              <w:jc w:val="center"/>
              <w:spacing w:after="0" w:line="144" w:lineRule="exact"/>
              <w:rPr>
                <w:sz w:val="20"/>
                <w:szCs w:val="20"/>
                <w:color w:val="auto"/>
              </w:rPr>
            </w:pPr>
            <w:r>
              <w:rPr>
                <w:rFonts w:ascii="Arial" w:cs="Arial" w:eastAsia="Arial" w:hAnsi="Arial"/>
                <w:sz w:val="13"/>
                <w:szCs w:val="13"/>
                <w:color w:val="auto"/>
                <w:w w:val="97"/>
              </w:rPr>
              <w:t>David Kelso</w:t>
            </w:r>
          </w:p>
        </w:tc>
        <w:tc>
          <w:tcPr>
            <w:tcW w:w="3000" w:type="dxa"/>
            <w:vAlign w:val="bottom"/>
            <w:tcBorders>
              <w:right w:val="single" w:sz="8" w:color="F79646"/>
            </w:tcBorders>
          </w:tcPr>
          <w:p>
            <w:pPr>
              <w:jc w:val="center"/>
              <w:ind w:right="215"/>
              <w:spacing w:after="0" w:line="144" w:lineRule="exact"/>
              <w:rPr>
                <w:sz w:val="20"/>
                <w:szCs w:val="20"/>
                <w:color w:val="auto"/>
              </w:rPr>
            </w:pPr>
            <w:r>
              <w:rPr>
                <w:rFonts w:ascii="Arial" w:cs="Arial" w:eastAsia="Arial" w:hAnsi="Arial"/>
                <w:sz w:val="13"/>
                <w:szCs w:val="13"/>
                <w:color w:val="auto"/>
                <w:w w:val="97"/>
              </w:rPr>
              <w:t>Deborah Kerr</w:t>
            </w:r>
          </w:p>
        </w:tc>
      </w:tr>
      <w:tr>
        <w:trPr>
          <w:trHeight w:val="144"/>
        </w:trPr>
        <w:tc>
          <w:tcPr>
            <w:tcW w:w="2960" w:type="dxa"/>
            <w:vAlign w:val="bottom"/>
            <w:tcBorders>
              <w:left w:val="single" w:sz="8" w:color="F79646"/>
            </w:tcBorders>
            <w:shd w:val="clear" w:color="auto" w:fill="FCDEC5"/>
          </w:tcPr>
          <w:p>
            <w:pPr>
              <w:jc w:val="center"/>
              <w:ind w:left="215"/>
              <w:spacing w:after="0" w:line="144" w:lineRule="exact"/>
              <w:rPr>
                <w:sz w:val="20"/>
                <w:szCs w:val="20"/>
                <w:color w:val="auto"/>
              </w:rPr>
            </w:pPr>
            <w:r>
              <w:rPr>
                <w:rFonts w:ascii="Arial" w:cs="Arial" w:eastAsia="Arial" w:hAnsi="Arial"/>
                <w:sz w:val="13"/>
                <w:szCs w:val="13"/>
                <w:color w:val="auto"/>
                <w:w w:val="97"/>
              </w:rPr>
              <w:t>Anne Minto</w:t>
            </w:r>
          </w:p>
        </w:tc>
        <w:tc>
          <w:tcPr>
            <w:tcW w:w="2680" w:type="dxa"/>
            <w:vAlign w:val="bottom"/>
            <w:shd w:val="clear" w:color="auto" w:fill="FCDEC5"/>
          </w:tcPr>
          <w:p>
            <w:pPr>
              <w:jc w:val="center"/>
              <w:spacing w:after="0" w:line="144" w:lineRule="exact"/>
              <w:rPr>
                <w:sz w:val="20"/>
                <w:szCs w:val="20"/>
                <w:color w:val="auto"/>
              </w:rPr>
            </w:pPr>
            <w:r>
              <w:rPr>
                <w:rFonts w:ascii="Arial" w:cs="Arial" w:eastAsia="Arial" w:hAnsi="Arial"/>
                <w:sz w:val="13"/>
                <w:szCs w:val="13"/>
                <w:color w:val="auto"/>
                <w:w w:val="97"/>
              </w:rPr>
              <w:t>Som Mittal</w:t>
            </w:r>
          </w:p>
        </w:tc>
        <w:tc>
          <w:tcPr>
            <w:tcW w:w="3000" w:type="dxa"/>
            <w:vAlign w:val="bottom"/>
            <w:tcBorders>
              <w:right w:val="single" w:sz="8" w:color="F79646"/>
            </w:tcBorders>
            <w:shd w:val="clear" w:color="auto" w:fill="FCDEC5"/>
          </w:tcPr>
          <w:p>
            <w:pPr>
              <w:jc w:val="center"/>
              <w:ind w:right="235"/>
              <w:spacing w:after="0" w:line="144" w:lineRule="exact"/>
              <w:rPr>
                <w:sz w:val="20"/>
                <w:szCs w:val="20"/>
                <w:color w:val="auto"/>
              </w:rPr>
            </w:pPr>
            <w:r>
              <w:rPr>
                <w:rFonts w:ascii="Arial" w:cs="Arial" w:eastAsia="Arial" w:hAnsi="Arial"/>
                <w:sz w:val="13"/>
                <w:szCs w:val="13"/>
                <w:color w:val="auto"/>
                <w:w w:val="94"/>
              </w:rPr>
              <w:t>Nitin Sahney</w:t>
            </w:r>
          </w:p>
        </w:tc>
      </w:tr>
      <w:tr>
        <w:trPr>
          <w:trHeight w:val="147"/>
        </w:trPr>
        <w:tc>
          <w:tcPr>
            <w:tcW w:w="2960" w:type="dxa"/>
            <w:vAlign w:val="bottom"/>
            <w:tcBorders>
              <w:left w:val="single" w:sz="8" w:color="F79646"/>
            </w:tcBorders>
          </w:tcPr>
          <w:p>
            <w:pPr>
              <w:jc w:val="center"/>
              <w:ind w:left="195"/>
              <w:spacing w:after="0" w:line="147" w:lineRule="exact"/>
              <w:rPr>
                <w:sz w:val="20"/>
                <w:szCs w:val="20"/>
                <w:color w:val="auto"/>
              </w:rPr>
            </w:pPr>
            <w:r>
              <w:rPr>
                <w:rFonts w:ascii="Arial" w:cs="Arial" w:eastAsia="Arial" w:hAnsi="Arial"/>
                <w:sz w:val="13"/>
                <w:szCs w:val="13"/>
                <w:color w:val="auto"/>
                <w:w w:val="95"/>
              </w:rPr>
              <w:t>Jaynie Studenmund</w:t>
            </w:r>
          </w:p>
        </w:tc>
        <w:tc>
          <w:tcPr>
            <w:tcW w:w="2680" w:type="dxa"/>
            <w:vAlign w:val="bottom"/>
          </w:tcPr>
          <w:p>
            <w:pPr>
              <w:jc w:val="center"/>
              <w:spacing w:after="0" w:line="147" w:lineRule="exact"/>
              <w:rPr>
                <w:sz w:val="20"/>
                <w:szCs w:val="20"/>
                <w:color w:val="auto"/>
              </w:rPr>
            </w:pPr>
            <w:r>
              <w:rPr>
                <w:rFonts w:ascii="Arial" w:cs="Arial" w:eastAsia="Arial" w:hAnsi="Arial"/>
                <w:sz w:val="13"/>
                <w:szCs w:val="13"/>
                <w:color w:val="auto"/>
                <w:w w:val="95"/>
              </w:rPr>
              <w:t>Clyde Ostler</w:t>
            </w:r>
          </w:p>
        </w:tc>
        <w:tc>
          <w:tcPr>
            <w:tcW w:w="3000" w:type="dxa"/>
            <w:vAlign w:val="bottom"/>
            <w:tcBorders>
              <w:right w:val="single" w:sz="8" w:color="F79646"/>
            </w:tcBorders>
          </w:tcPr>
          <w:p>
            <w:pPr>
              <w:jc w:val="center"/>
              <w:ind w:right="215"/>
              <w:spacing w:after="0" w:line="147" w:lineRule="exact"/>
              <w:rPr>
                <w:sz w:val="20"/>
                <w:szCs w:val="20"/>
                <w:color w:val="auto"/>
              </w:rPr>
            </w:pPr>
            <w:r>
              <w:rPr>
                <w:rFonts w:ascii="Arial" w:cs="Arial" w:eastAsia="Arial" w:hAnsi="Arial"/>
                <w:sz w:val="13"/>
                <w:szCs w:val="13"/>
                <w:color w:val="auto"/>
                <w:w w:val="95"/>
              </w:rPr>
              <w:t>Garen Staglin</w:t>
            </w:r>
          </w:p>
        </w:tc>
      </w:tr>
      <w:tr>
        <w:trPr>
          <w:trHeight w:val="142"/>
        </w:trPr>
        <w:tc>
          <w:tcPr>
            <w:tcW w:w="2960" w:type="dxa"/>
            <w:vAlign w:val="bottom"/>
            <w:tcBorders>
              <w:left w:val="single" w:sz="8" w:color="F79646"/>
              <w:bottom w:val="single" w:sz="8" w:color="F79646"/>
            </w:tcBorders>
          </w:tcPr>
          <w:p>
            <w:pPr>
              <w:spacing w:after="0"/>
              <w:rPr>
                <w:sz w:val="12"/>
                <w:szCs w:val="12"/>
                <w:color w:val="auto"/>
              </w:rPr>
            </w:pPr>
          </w:p>
        </w:tc>
        <w:tc>
          <w:tcPr>
            <w:tcW w:w="2680" w:type="dxa"/>
            <w:vAlign w:val="bottom"/>
            <w:tcBorders>
              <w:bottom w:val="single" w:sz="8" w:color="F79646"/>
            </w:tcBorders>
          </w:tcPr>
          <w:p>
            <w:pPr>
              <w:spacing w:after="0"/>
              <w:rPr>
                <w:sz w:val="12"/>
                <w:szCs w:val="12"/>
                <w:color w:val="auto"/>
              </w:rPr>
            </w:pPr>
          </w:p>
        </w:tc>
        <w:tc>
          <w:tcPr>
            <w:tcW w:w="3000" w:type="dxa"/>
            <w:vAlign w:val="bottom"/>
            <w:tcBorders>
              <w:bottom w:val="single" w:sz="8" w:color="F79646"/>
              <w:right w:val="single" w:sz="8" w:color="F79646"/>
            </w:tcBorders>
          </w:tcPr>
          <w:p>
            <w:pPr>
              <w:jc w:val="center"/>
              <w:ind w:right="215"/>
              <w:spacing w:after="0" w:line="143" w:lineRule="exact"/>
              <w:rPr>
                <w:sz w:val="20"/>
                <w:szCs w:val="20"/>
                <w:color w:val="auto"/>
              </w:rPr>
            </w:pPr>
            <w:r>
              <w:rPr>
                <w:rFonts w:ascii="Arial" w:cs="Arial" w:eastAsia="Arial" w:hAnsi="Arial"/>
                <w:sz w:val="13"/>
                <w:szCs w:val="13"/>
                <w:color w:val="auto"/>
                <w:w w:val="96"/>
              </w:rPr>
              <w:t>Vikram Pandit**</w:t>
            </w:r>
          </w:p>
        </w:tc>
      </w:tr>
    </w:tbl>
    <w:p>
      <w:pPr>
        <w:spacing w:after="0" w:line="156" w:lineRule="exact"/>
        <w:rPr>
          <w:sz w:val="20"/>
          <w:szCs w:val="20"/>
          <w:color w:val="auto"/>
        </w:rPr>
      </w:pPr>
    </w:p>
    <w:p>
      <w:pPr>
        <w:ind w:left="580" w:right="199" w:hanging="386"/>
        <w:spacing w:after="0" w:line="231" w:lineRule="auto"/>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Subject to approval by the Company's stockholders of Proposal 1 at the Annual Meeting, the board of directors will be declassified and elected annually over a three-year phase-out period.</w:t>
      </w:r>
    </w:p>
    <w:p>
      <w:pPr>
        <w:spacing w:after="0" w:line="11" w:lineRule="exact"/>
        <w:rPr>
          <w:sz w:val="20"/>
          <w:szCs w:val="20"/>
          <w:color w:val="auto"/>
        </w:rPr>
      </w:pPr>
    </w:p>
    <w:p>
      <w:pPr>
        <w:ind w:left="580" w:hanging="386"/>
        <w:spacing w:after="0"/>
        <w:tabs>
          <w:tab w:leader="none" w:pos="5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Mr. Pandit was appointed to the board as a Class III director under the terms of an Investment Agreement as described on pages 12 to 13 below.</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2019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112395</wp:posOffset>
            </wp:positionV>
            <wp:extent cx="1436370" cy="2164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36370" cy="2164080"/>
                    </a:xfrm>
                    <a:prstGeom prst="rect">
                      <a:avLst/>
                    </a:prstGeom>
                    <a:noFill/>
                  </pic:spPr>
                </pic:pic>
              </a:graphicData>
            </a:graphic>
          </wp:anchor>
        </w:drawing>
      </w:r>
    </w:p>
    <w:p>
      <w:pPr>
        <w:spacing w:after="0" w:line="160" w:lineRule="exact"/>
        <w:rPr>
          <w:sz w:val="20"/>
          <w:szCs w:val="20"/>
          <w:color w:val="auto"/>
        </w:rPr>
      </w:pPr>
    </w:p>
    <w:p>
      <w:pPr>
        <w:ind w:left="200" w:right="2619"/>
        <w:spacing w:after="0" w:line="235" w:lineRule="auto"/>
        <w:rPr>
          <w:sz w:val="20"/>
          <w:szCs w:val="20"/>
          <w:color w:val="auto"/>
        </w:rPr>
      </w:pPr>
      <w:r>
        <w:rPr>
          <w:rFonts w:ascii="Arial" w:cs="Arial" w:eastAsia="Arial" w:hAnsi="Arial"/>
          <w:sz w:val="13"/>
          <w:szCs w:val="13"/>
          <w:color w:val="auto"/>
        </w:rPr>
        <w:t>Upon the recommendation of our Nominating and Governance Committee, we are pleased to propose our three (3) existing Class I directors as nominees for re-election as directors at the Annual Meeting.</w:t>
      </w:r>
    </w:p>
    <w:p>
      <w:pPr>
        <w:spacing w:after="0" w:line="134" w:lineRule="exact"/>
        <w:rPr>
          <w:sz w:val="20"/>
          <w:szCs w:val="20"/>
          <w:color w:val="auto"/>
        </w:rPr>
      </w:pPr>
    </w:p>
    <w:p>
      <w:pPr>
        <w:jc w:val="both"/>
        <w:ind w:left="200" w:right="2599"/>
        <w:spacing w:after="0" w:line="284" w:lineRule="auto"/>
        <w:rPr>
          <w:sz w:val="20"/>
          <w:szCs w:val="20"/>
          <w:color w:val="auto"/>
        </w:rPr>
      </w:pPr>
      <w:r>
        <w:rPr>
          <w:rFonts w:ascii="Arial" w:cs="Arial" w:eastAsia="Arial" w:hAnsi="Arial"/>
          <w:sz w:val="11"/>
          <w:szCs w:val="11"/>
          <w:b w:val="1"/>
          <w:bCs w:val="1"/>
          <w:color w:val="auto"/>
        </w:rPr>
        <w:t xml:space="preserve">If Proposal 1 is approved by the Company's stockholders, </w:t>
      </w:r>
      <w:r>
        <w:rPr>
          <w:rFonts w:ascii="Arial" w:cs="Arial" w:eastAsia="Arial" w:hAnsi="Arial"/>
          <w:sz w:val="11"/>
          <w:szCs w:val="11"/>
          <w:color w:val="auto"/>
        </w:rPr>
        <w:t>upon the filing of the amendment to the certificate</w:t>
      </w:r>
      <w:r>
        <w:rPr>
          <w:rFonts w:ascii="Arial" w:cs="Arial" w:eastAsia="Arial" w:hAnsi="Arial"/>
          <w:sz w:val="11"/>
          <w:szCs w:val="11"/>
          <w:b w:val="1"/>
          <w:bCs w:val="1"/>
          <w:color w:val="auto"/>
        </w:rPr>
        <w:t xml:space="preserve"> </w:t>
      </w:r>
      <w:r>
        <w:rPr>
          <w:rFonts w:ascii="Arial" w:cs="Arial" w:eastAsia="Arial" w:hAnsi="Arial"/>
          <w:sz w:val="11"/>
          <w:szCs w:val="11"/>
          <w:color w:val="auto"/>
        </w:rPr>
        <w:t>of incorporation set forth on Appendix A attached hereto, the classification of our board of directors will be phased out over the next three Annual Meetings of Stockholders, such that directors will be elected annually. Accordingly, (i) at the Annual Meeting, each of the Class I director nominees elected by our stockholders will be elected to hold office for a term of one year, or until their successors are duly elected and qualified in accordance with our by-laws, (ii) at the 2020 Annual Meeting of Stockholders, each of the Class I and Class II director nominees elected by our stockholders will be elected to hold office for a term of one year, or until their successors are duly elected and qualified in accordance with our by-laws, and (iii) at the 2021 Annual Meeting of</w:t>
      </w:r>
    </w:p>
    <w:p>
      <w:pPr>
        <w:spacing w:after="0" w:line="128" w:lineRule="exact"/>
        <w:rPr>
          <w:sz w:val="20"/>
          <w:szCs w:val="20"/>
          <w:color w:val="auto"/>
        </w:rPr>
      </w:pPr>
    </w:p>
    <w:p>
      <w:pPr>
        <w:jc w:val="both"/>
        <w:ind w:left="200" w:right="2599"/>
        <w:spacing w:after="0" w:line="233" w:lineRule="auto"/>
        <w:rPr>
          <w:sz w:val="20"/>
          <w:szCs w:val="20"/>
          <w:color w:val="auto"/>
        </w:rPr>
      </w:pPr>
      <w:r>
        <w:rPr>
          <w:rFonts w:ascii="Arial" w:cs="Arial" w:eastAsia="Arial" w:hAnsi="Arial"/>
          <w:sz w:val="13"/>
          <w:szCs w:val="13"/>
          <w:color w:val="auto"/>
        </w:rPr>
        <w:t>Stockholders, each of Class I, Class II and Class III director nominees elected by our stockholders will be elected to hold office for a term of one year, or until their successors are duly elected and qualified in accordance with our by-laws, and thereafter the classification of the board of directors will terminate in its entirety. As such, if elected, each of the Class I director nominees will serve a term or one year on our board of directors, until our 2020 Annual Meeting of Stockholders or until their successors are duly elected and qualified in accordance with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00" w:right="179"/>
        <w:spacing w:after="0" w:line="347" w:lineRule="auto"/>
        <w:rPr>
          <w:sz w:val="20"/>
          <w:szCs w:val="20"/>
          <w:color w:val="auto"/>
        </w:rPr>
      </w:pPr>
      <w:r>
        <w:rPr>
          <w:rFonts w:ascii="Arial" w:cs="Arial" w:eastAsia="Arial" w:hAnsi="Arial"/>
          <w:sz w:val="11"/>
          <w:szCs w:val="11"/>
          <w:b w:val="1"/>
          <w:bCs w:val="1"/>
          <w:color w:val="auto"/>
        </w:rPr>
        <w:t>If Proposal 1 is not approved by the Company's stockholders</w:t>
      </w:r>
      <w:r>
        <w:rPr>
          <w:rFonts w:ascii="Arial" w:cs="Arial" w:eastAsia="Arial" w:hAnsi="Arial"/>
          <w:sz w:val="11"/>
          <w:szCs w:val="11"/>
          <w:color w:val="auto"/>
        </w:rPr>
        <w:t>, and if elected, each of the Class I director nominees will serve a term of three years on</w:t>
      </w:r>
      <w:r>
        <w:rPr>
          <w:rFonts w:ascii="Arial" w:cs="Arial" w:eastAsia="Arial" w:hAnsi="Arial"/>
          <w:sz w:val="11"/>
          <w:szCs w:val="11"/>
          <w:b w:val="1"/>
          <w:bCs w:val="1"/>
          <w:color w:val="auto"/>
        </w:rPr>
        <w:t xml:space="preserve"> </w:t>
      </w:r>
      <w:r>
        <w:rPr>
          <w:rFonts w:ascii="Arial" w:cs="Arial" w:eastAsia="Arial" w:hAnsi="Arial"/>
          <w:sz w:val="11"/>
          <w:szCs w:val="11"/>
          <w:color w:val="auto"/>
        </w:rPr>
        <w:t>our board of directors, until our 2022 Annual Meeting of Stockholders or until their successors are duly elected and qualified in accordance with our by-laws.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We believe that our director nominees and continuing directors, individually and together as a whole, possess the requisite skills, experience and qualifications necessary to maintain an effective board to serve the best interests of the Company and its stockholders.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Director Qualifications</w:t>
      </w:r>
    </w:p>
    <w:p>
      <w:pPr>
        <w:spacing w:after="0" w:line="180" w:lineRule="exact"/>
        <w:rPr>
          <w:sz w:val="20"/>
          <w:szCs w:val="20"/>
          <w:color w:val="auto"/>
        </w:rPr>
      </w:pPr>
    </w:p>
    <w:p>
      <w:pPr>
        <w:jc w:val="both"/>
        <w:ind w:left="3340" w:right="179"/>
        <w:spacing w:after="0" w:line="233" w:lineRule="auto"/>
        <w:rPr>
          <w:sz w:val="20"/>
          <w:szCs w:val="20"/>
          <w:color w:val="auto"/>
        </w:rPr>
      </w:pPr>
      <w:r>
        <w:rPr>
          <w:rFonts w:ascii="Arial" w:cs="Arial" w:eastAsia="Arial" w:hAnsi="Arial"/>
          <w:sz w:val="13"/>
          <w:szCs w:val="13"/>
          <w:color w:val="auto"/>
        </w:rPr>
        <w:t>The board of directors considers it paramount to achieving excellence in corporate governance to assemble a board of directors that, taken together, has the skills, qualifications, experience and attributes appropriate for functioning as the board of directors of our Company and working productively with management. The Nominating and Governance Committee of the Board is responsible for recommending nominees that are qualified and that bring a diverse set of skills and qualifications to oversee the Company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-523240</wp:posOffset>
            </wp:positionV>
            <wp:extent cx="1943735" cy="880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3735" cy="88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The Nominating and Governance Committee has not formally established any minimum qualifications for director candidates. However, in light of our business, the primary areas of experience, qualifications and attributes typically sought by the Nominating and Governance Committee in director candidates include, but are not limited to, the following primary areas:</w:t>
      </w:r>
    </w:p>
    <w:p>
      <w:pPr>
        <w:spacing w:after="0" w:line="134"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5715</wp:posOffset>
            </wp:positionV>
            <wp:extent cx="220345" cy="146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0345" cy="146685"/>
                    </a:xfrm>
                    <a:prstGeom prst="rect">
                      <a:avLst/>
                    </a:prstGeom>
                    <a:noFill/>
                  </pic:spPr>
                </pic:pic>
              </a:graphicData>
            </a:graphic>
          </wp:anchor>
        </w:drawing>
      </w:r>
    </w:p>
    <w:p>
      <w:pPr>
        <w:ind w:left="1120" w:right="199"/>
        <w:spacing w:after="0" w:line="235" w:lineRule="auto"/>
        <w:rPr>
          <w:sz w:val="20"/>
          <w:szCs w:val="20"/>
          <w:color w:val="auto"/>
        </w:rPr>
      </w:pPr>
      <w:r>
        <w:rPr>
          <w:rFonts w:ascii="Arial" w:cs="Arial" w:eastAsia="Arial" w:hAnsi="Arial"/>
          <w:sz w:val="13"/>
          <w:szCs w:val="13"/>
          <w:color w:val="auto"/>
        </w:rPr>
        <w:t>Experience holding significant leadership positions, including as a CEO or head of a significant business, to help us drive business strategy, growth and performance.</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5715</wp:posOffset>
            </wp:positionV>
            <wp:extent cx="189230" cy="238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230" cy="2381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Experience with finance, accounting or financial reporting processes, to help drive financial performance.</w:t>
      </w:r>
    </w:p>
    <w:p>
      <w:pPr>
        <w:spacing w:after="0" w:line="38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5715</wp:posOffset>
            </wp:positionV>
            <wp:extent cx="189230" cy="189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Experience working outside of the United States or with multinational companies, to help facilitate our global expansion.</w:t>
      </w:r>
    </w:p>
    <w:p>
      <w:pPr>
        <w:spacing w:after="0" w:line="306"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5715</wp:posOffset>
            </wp:positionV>
            <wp:extent cx="244475" cy="165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4475" cy="165100"/>
                    </a:xfrm>
                    <a:prstGeom prst="rect">
                      <a:avLst/>
                    </a:prstGeom>
                    <a:noFill/>
                  </pic:spPr>
                </pic:pic>
              </a:graphicData>
            </a:graphic>
          </wp:anchor>
        </w:drawing>
      </w:r>
    </w:p>
    <w:p>
      <w:pPr>
        <w:ind w:left="1120" w:right="199"/>
        <w:spacing w:after="0" w:line="235" w:lineRule="auto"/>
        <w:rPr>
          <w:sz w:val="20"/>
          <w:szCs w:val="20"/>
          <w:color w:val="auto"/>
        </w:rPr>
      </w:pPr>
      <w:r>
        <w:rPr>
          <w:rFonts w:ascii="Arial" w:cs="Arial" w:eastAsia="Arial" w:hAnsi="Arial"/>
          <w:sz w:val="13"/>
          <w:szCs w:val="13"/>
          <w:color w:val="auto"/>
        </w:rPr>
        <w:t>Understanding of public company board of director and fiduciary duties, to help provide perspective on corporate governance best practices and related matters.</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Client and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293370" cy="18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3370" cy="183515"/>
                    </a:xfrm>
                    <a:prstGeom prst="rect">
                      <a:avLst/>
                    </a:prstGeom>
                    <a:noFill/>
                  </pic:spPr>
                </pic:pic>
              </a:graphicData>
            </a:graphic>
          </wp:anchor>
        </w:drawing>
      </w:r>
    </w:p>
    <w:p>
      <w:pPr>
        <w:ind w:left="1120" w:right="179"/>
        <w:spacing w:after="0" w:line="235" w:lineRule="auto"/>
        <w:rPr>
          <w:sz w:val="20"/>
          <w:szCs w:val="20"/>
          <w:color w:val="auto"/>
        </w:rPr>
      </w:pPr>
      <w:r>
        <w:rPr>
          <w:rFonts w:ascii="Arial" w:cs="Arial" w:eastAsia="Arial" w:hAnsi="Arial"/>
          <w:sz w:val="13"/>
          <w:szCs w:val="13"/>
          <w:color w:val="auto"/>
        </w:rPr>
        <w:t>Experience with our key client industries, including insurance, healthcare, banking and financial services,finance/accounting, and our other capabilities, to help deepen our knowledge of our key industry verticals and markets in which we do business.</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F79646"/>
        </w:rPr>
        <w:t>Risk Oversight /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165100" cy="189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5100" cy="18923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Experience assessing and overseeing the overall risk profile of multinational public companies.</w:t>
      </w:r>
    </w:p>
    <w:p>
      <w:pPr>
        <w:spacing w:after="0" w:line="303"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We note that, in addition to satisfying these general qualifications considered by the Nominating and Governance Committee in connection with a director nomination, Vikram S. Pandit was appointed to the Board on October 4, 2018 as a Class III director pursuant to the</w:t>
      </w:r>
    </w:p>
    <w:p>
      <w:pPr>
        <w:sectPr>
          <w:pgSz w:w="11900" w:h="16838" w:orient="portrait"/>
          <w:cols w:equalWidth="0" w:num="1">
            <w:col w:w="9019"/>
          </w:cols>
          <w:pgMar w:left="1440" w:top="296" w:right="1440" w:bottom="719"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719" w:gutter="0" w:footer="0" w:header="0"/>
          <w:type w:val="continuous"/>
        </w:sectPr>
      </w:pPr>
    </w:p>
    <w:bookmarkStart w:id="10" w:name="page11"/>
    <w:bookmarkEnd w:id="10"/>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terms of an Investment Agreement, dated as of October 1, 2018 (the "Investment Agreement"), between the Company and Orogen Echo LLC, an affiliate of The Orogen Group LLC (the "Purchaser"). The Investment Agreement was entered into in connection with our issuance to the Purchaser of $150,000,000 in aggregate principal amount of 3.50% Convertible Senior Notes due October 1, 2024 (the "notes"). For so long as the Purchaser has the right to nominate a director to the Board under the Investment Agreement, we have, subject to the terms of the Investment Agreement, agreed to include such person in our slate of nominees for election to our board of directors at each of our annual meetings of stockholders at which directors are to be elected, and to use our reasonable best efforts to cause the election of such person to our board of directors. The Purchaser's right to nominate a director will terminate if Purchaser and its affiliates beneficially own less than 50% of the number of shares of our common stock deemed beneficially owned by the Purchaser and its affiliates immediately following the issuance of the notes (which, for purposes of the Investment Agreement, includes shares of our common stock issuable upon conversion of the notes).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Board of Directors</w:t>
      </w:r>
    </w:p>
    <w:p>
      <w:pPr>
        <w:spacing w:after="0" w:line="180"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and continuing directors are set forth below. There are no family relationships among any of our directors or executive officers.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Class I Directors (Terms Expiring at the Annual Meeting)</w:t>
      </w:r>
    </w:p>
    <w:p>
      <w:pPr>
        <w:spacing w:after="0" w:line="140" w:lineRule="exact"/>
        <w:rPr>
          <w:sz w:val="20"/>
          <w:szCs w:val="20"/>
          <w:color w:val="auto"/>
        </w:rPr>
      </w:pPr>
    </w:p>
    <w:p>
      <w:pPr>
        <w:ind w:left="240"/>
        <w:spacing w:after="0"/>
        <w:tabs>
          <w:tab w:leader="none" w:pos="1500" w:val="left"/>
          <w:tab w:leader="none" w:pos="7520" w:val="left"/>
        </w:tabs>
        <w:rPr>
          <w:sz w:val="20"/>
          <w:szCs w:val="20"/>
          <w:color w:val="auto"/>
        </w:rPr>
      </w:pPr>
      <w:r>
        <w:rPr>
          <w:rFonts w:ascii="Arial" w:cs="Arial" w:eastAsia="Arial" w:hAnsi="Arial"/>
          <w:sz w:val="15"/>
          <w:szCs w:val="15"/>
          <w:b w:val="1"/>
          <w:bCs w:val="1"/>
          <w:color w:val="FFFFFE"/>
        </w:rPr>
        <w:t>Rohit Kapoor |</w:t>
        <w:tab/>
        <w:t>Director since November 2002, Vice Chairman and CEO since April 2012</w:t>
      </w:r>
      <w:r>
        <w:rPr>
          <w:sz w:val="20"/>
          <w:szCs w:val="20"/>
          <w:color w:val="auto"/>
        </w:rPr>
        <w:tab/>
      </w:r>
      <w:r>
        <w:rPr>
          <w:rFonts w:ascii="Arial" w:cs="Arial" w:eastAsia="Arial" w:hAnsi="Arial"/>
          <w:sz w:val="15"/>
          <w:szCs w:val="15"/>
          <w:b w:val="1"/>
          <w:bCs w:val="1"/>
          <w:color w:val="FFFFFE"/>
        </w:rPr>
        <w:t>Independent: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79"/>
        <w:spacing w:after="0" w:line="265" w:lineRule="auto"/>
        <w:rPr>
          <w:sz w:val="20"/>
          <w:szCs w:val="20"/>
          <w:color w:val="auto"/>
        </w:rPr>
      </w:pPr>
      <w:r>
        <w:rPr>
          <w:rFonts w:ascii="Arial" w:cs="Arial" w:eastAsia="Arial" w:hAnsi="Arial"/>
          <w:sz w:val="15"/>
          <w:szCs w:val="15"/>
          <w:i w:val="1"/>
          <w:iCs w:val="1"/>
          <w:color w:val="auto"/>
        </w:rPr>
        <w:t xml:space="preserve">Rohit Kapoor— </w:t>
      </w:r>
      <w:r>
        <w:rPr>
          <w:rFonts w:ascii="Arial" w:cs="Arial" w:eastAsia="Arial" w:hAnsi="Arial"/>
          <w:sz w:val="15"/>
          <w:szCs w:val="15"/>
          <w:color w:val="auto"/>
        </w:rPr>
        <w:t>Age: 54</w:t>
      </w:r>
      <w:r>
        <w:rPr>
          <w:rFonts w:ascii="Arial" w:cs="Arial" w:eastAsia="Arial" w:hAnsi="Arial"/>
          <w:sz w:val="12"/>
          <w:szCs w:val="12"/>
          <w:color w:val="auto"/>
        </w:rPr>
        <w:t>—co-founded EXL Inc. in April 1999 and has served as our Vice Chairman and CEO since April 2012</w:t>
      </w:r>
      <w:r>
        <w:rPr>
          <w:rFonts w:ascii="Arial" w:cs="Arial" w:eastAsia="Arial" w:hAnsi="Arial"/>
          <w:sz w:val="15"/>
          <w:szCs w:val="15"/>
          <w:i w:val="1"/>
          <w:iCs w:val="1"/>
          <w:color w:val="auto"/>
        </w:rPr>
        <w:t xml:space="preserve"> </w:t>
      </w:r>
      <w:r>
        <w:rPr>
          <w:rFonts w:ascii="Arial" w:cs="Arial" w:eastAsia="Arial" w:hAnsi="Arial"/>
          <w:sz w:val="12"/>
          <w:szCs w:val="12"/>
          <w:color w:val="auto"/>
        </w:rPr>
        <w:t>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N/A</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 at the Company</w:t>
      </w:r>
    </w:p>
    <w:p>
      <w:pPr>
        <w:spacing w:after="0" w:line="175" w:lineRule="exact"/>
        <w:rPr>
          <w:sz w:val="20"/>
          <w:szCs w:val="20"/>
          <w:color w:val="auto"/>
        </w:rPr>
      </w:pPr>
    </w:p>
    <w:p>
      <w:pPr>
        <w:ind w:left="960" w:hanging="381"/>
        <w:spacing w:after="0"/>
        <w:tabs>
          <w:tab w:leader="none" w:pos="9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Vice Chairman and CEO (2012 – present)</w:t>
      </w:r>
    </w:p>
    <w:p>
      <w:pPr>
        <w:ind w:left="960" w:hanging="381"/>
        <w:spacing w:after="0"/>
        <w:tabs>
          <w:tab w:leader="none" w:pos="9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President and CEO (2008 – 2012)</w:t>
      </w:r>
    </w:p>
    <w:p>
      <w:pPr>
        <w:spacing w:after="0" w:line="4" w:lineRule="exact"/>
        <w:rPr>
          <w:rFonts w:ascii="Arial" w:cs="Arial" w:eastAsia="Arial" w:hAnsi="Arial"/>
          <w:sz w:val="13"/>
          <w:szCs w:val="13"/>
          <w:color w:val="auto"/>
        </w:rPr>
      </w:pPr>
    </w:p>
    <w:p>
      <w:pPr>
        <w:ind w:left="960" w:hanging="381"/>
        <w:spacing w:after="0"/>
        <w:tabs>
          <w:tab w:leader="none" w:pos="9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Various senior leadership roles, including CFO and COO (2000 – 2008)</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Business Experience</w:t>
      </w:r>
    </w:p>
    <w:p>
      <w:pPr>
        <w:spacing w:after="0" w:line="175" w:lineRule="exact"/>
        <w:rPr>
          <w:sz w:val="20"/>
          <w:szCs w:val="20"/>
          <w:color w:val="auto"/>
        </w:rPr>
      </w:pPr>
    </w:p>
    <w:p>
      <w:pPr>
        <w:ind w:left="960" w:hanging="381"/>
        <w:spacing w:after="0"/>
        <w:tabs>
          <w:tab w:leader="none" w:pos="9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Business head, Deutsche Bank, a financial services provider (1999 – 2000)</w:t>
      </w:r>
    </w:p>
    <w:p>
      <w:pPr>
        <w:ind w:left="960" w:hanging="381"/>
        <w:spacing w:after="0"/>
        <w:tabs>
          <w:tab w:leader="none" w:pos="9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Various capacities at Bank of America in the United States and Asia, including India (1991 – 1999)</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Past Five Years</w:t>
      </w:r>
    </w:p>
    <w:p>
      <w:pPr>
        <w:spacing w:after="0" w:line="189" w:lineRule="exact"/>
        <w:rPr>
          <w:sz w:val="20"/>
          <w:szCs w:val="20"/>
          <w:color w:val="auto"/>
        </w:rPr>
      </w:pPr>
    </w:p>
    <w:p>
      <w:pPr>
        <w:ind w:left="960" w:hanging="381"/>
        <w:spacing w:after="0"/>
        <w:tabs>
          <w:tab w:leader="none" w:pos="9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Director and member of the audit committee, CA Technologies, Inc., a software services company (NASDAQ: CA) (2002 – 2018)</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75" w:lineRule="exact"/>
        <w:rPr>
          <w:sz w:val="20"/>
          <w:szCs w:val="20"/>
          <w:color w:val="auto"/>
        </w:rPr>
      </w:pPr>
    </w:p>
    <w:p>
      <w:pPr>
        <w:ind w:left="960" w:hanging="381"/>
        <w:spacing w:after="0"/>
        <w:tabs>
          <w:tab w:leader="none" w:pos="9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Chairman, National Association of Software and Services Companies ("NASSCOM") BPM Council.</w:t>
      </w:r>
    </w:p>
    <w:p>
      <w:pPr>
        <w:ind w:left="960" w:hanging="381"/>
        <w:spacing w:after="0"/>
        <w:tabs>
          <w:tab w:leader="none" w:pos="9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Member, Board of Directors, America India Foundation (AIF)</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1" w:name="page12"/>
    <w:bookmarkEnd w:id="11"/>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580" w:val="left"/>
          <w:tab w:leader="none" w:pos="7460" w:val="left"/>
        </w:tabs>
        <w:rPr>
          <w:sz w:val="20"/>
          <w:szCs w:val="20"/>
          <w:color w:val="auto"/>
        </w:rPr>
      </w:pPr>
      <w:r>
        <w:rPr>
          <w:rFonts w:ascii="Arial" w:cs="Arial" w:eastAsia="Arial" w:hAnsi="Arial"/>
          <w:sz w:val="15"/>
          <w:szCs w:val="15"/>
          <w:b w:val="1"/>
          <w:bCs w:val="1"/>
          <w:color w:val="FFFFFE"/>
        </w:rPr>
        <w:t>Anne E. Minto |</w:t>
        <w:tab/>
        <w:t>Director since March 2013</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65" w:lineRule="auto"/>
        <w:rPr>
          <w:sz w:val="20"/>
          <w:szCs w:val="20"/>
          <w:color w:val="auto"/>
        </w:rPr>
      </w:pPr>
      <w:r>
        <w:rPr>
          <w:rFonts w:ascii="Arial" w:cs="Arial" w:eastAsia="Arial" w:hAnsi="Arial"/>
          <w:sz w:val="15"/>
          <w:szCs w:val="15"/>
          <w:i w:val="1"/>
          <w:iCs w:val="1"/>
          <w:color w:val="auto"/>
        </w:rPr>
        <w:t>Anne E. Minto—</w:t>
      </w:r>
      <w:r>
        <w:rPr>
          <w:rFonts w:ascii="Arial" w:cs="Arial" w:eastAsia="Arial" w:hAnsi="Arial"/>
          <w:sz w:val="15"/>
          <w:szCs w:val="15"/>
          <w:color w:val="auto"/>
        </w:rPr>
        <w:t>Age: 65</w:t>
      </w:r>
      <w:r>
        <w:rPr>
          <w:rFonts w:ascii="Arial" w:cs="Arial" w:eastAsia="Arial" w:hAnsi="Arial"/>
          <w:sz w:val="12"/>
          <w:szCs w:val="12"/>
          <w:color w:val="auto"/>
        </w:rPr>
        <w:t>—is a qualified lawyer and member of the Law Society of Scotland. Ms. Minto's business experience</w:t>
      </w:r>
      <w:r>
        <w:rPr>
          <w:rFonts w:ascii="Arial" w:cs="Arial" w:eastAsia="Arial" w:hAnsi="Arial"/>
          <w:sz w:val="15"/>
          <w:szCs w:val="15"/>
          <w:i w:val="1"/>
          <w:iCs w:val="1"/>
          <w:color w:val="auto"/>
        </w:rPr>
        <w:t xml:space="preserve"> </w:t>
      </w:r>
      <w:r>
        <w:rPr>
          <w:rFonts w:ascii="Arial" w:cs="Arial" w:eastAsia="Arial" w:hAnsi="Arial"/>
          <w:sz w:val="12"/>
          <w:szCs w:val="12"/>
          <w:color w:val="auto"/>
        </w:rPr>
        <w:t>and directorships are detailed below. The Company has concluded, based in part on Ms. Minto's extensive experience as a member of international company boards and of management in the human resources field, together with her knowledge and experience of the European business and regulatory environment, that Ms. Minto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(Chair), Nominating and Governance</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5" w:lineRule="exact"/>
        <w:rPr>
          <w:sz w:val="20"/>
          <w:szCs w:val="20"/>
          <w:color w:val="auto"/>
        </w:rPr>
      </w:pPr>
    </w:p>
    <w:p>
      <w:pPr>
        <w:ind w:left="960" w:hanging="381"/>
        <w:spacing w:after="0"/>
        <w:tabs>
          <w:tab w:leader="none" w:pos="9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Lawyer and member of Law Society of Scotland</w:t>
      </w:r>
    </w:p>
    <w:p>
      <w:pPr>
        <w:ind w:left="1000" w:right="179" w:hanging="421"/>
        <w:spacing w:after="0" w:line="235" w:lineRule="auto"/>
        <w:tabs>
          <w:tab w:leader="none" w:pos="965"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Former Group Director, Human Resources and member of the executive committee, Centrica plc, an energy and services company (2002 – 2011)</w:t>
      </w:r>
    </w:p>
    <w:p>
      <w:pPr>
        <w:spacing w:after="0" w:line="5" w:lineRule="exact"/>
        <w:rPr>
          <w:rFonts w:ascii="Arial" w:cs="Arial" w:eastAsia="Arial" w:hAnsi="Arial"/>
          <w:sz w:val="13"/>
          <w:szCs w:val="13"/>
          <w:color w:val="auto"/>
        </w:rPr>
      </w:pPr>
    </w:p>
    <w:p>
      <w:pPr>
        <w:ind w:left="960" w:hanging="381"/>
        <w:spacing w:after="0"/>
        <w:tabs>
          <w:tab w:leader="none" w:pos="9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Prior senior management roles at Shell UK and Smiths Group plc</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the Past Five Years</w:t>
      </w:r>
    </w:p>
    <w:p>
      <w:pPr>
        <w:spacing w:after="0" w:line="180" w:lineRule="exact"/>
        <w:rPr>
          <w:sz w:val="20"/>
          <w:szCs w:val="20"/>
          <w:color w:val="auto"/>
        </w:rPr>
      </w:pPr>
    </w:p>
    <w:p>
      <w:pPr>
        <w:ind w:left="960" w:right="179" w:hanging="381"/>
        <w:spacing w:after="0" w:line="231" w:lineRule="auto"/>
        <w:tabs>
          <w:tab w:leader="none" w:pos="9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Director, chairman of the remuneration committee and member of the audit and nomination committees, Tate &amp; Lyle plc, a global provider of specialty food products (LSE: TATE) (2012 – present)</w:t>
      </w:r>
    </w:p>
    <w:p>
      <w:pPr>
        <w:ind w:left="960" w:right="179" w:hanging="381"/>
        <w:spacing w:after="0" w:line="235" w:lineRule="auto"/>
        <w:tabs>
          <w:tab w:leader="none" w:pos="9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Director, chairman of the remuneration committee and member of the nomination and governance committee, Shire plc, a global biopharmaceutical company (NASDAQ: SHPG, LSE: SHP) (2010 – 2018)</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84" w:lineRule="exact"/>
        <w:rPr>
          <w:sz w:val="20"/>
          <w:szCs w:val="20"/>
          <w:color w:val="auto"/>
        </w:rPr>
      </w:pPr>
    </w:p>
    <w:p>
      <w:pPr>
        <w:ind w:left="960" w:hanging="381"/>
        <w:spacing w:after="0"/>
        <w:tabs>
          <w:tab w:leader="none" w:pos="9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Non-executive director, Court of the University of Aberdeen</w:t>
      </w:r>
    </w:p>
    <w:p>
      <w:pPr>
        <w:ind w:left="960" w:hanging="381"/>
        <w:spacing w:after="0" w:line="231" w:lineRule="auto"/>
        <w:tabs>
          <w:tab w:leader="none" w:pos="9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Chairman, University of Aberdeen Development Trust and University of Aberdeen Operating Board</w:t>
      </w:r>
    </w:p>
    <w:p>
      <w:pPr>
        <w:ind w:left="960" w:hanging="381"/>
        <w:spacing w:after="0"/>
        <w:tabs>
          <w:tab w:leader="none" w:pos="9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Fellow, Chartered Institute of Personnel &amp; Development and the City and Guilds of London Institute</w:t>
      </w:r>
    </w:p>
    <w:p>
      <w:pPr>
        <w:ind w:left="960" w:hanging="381"/>
        <w:spacing w:after="0"/>
        <w:tabs>
          <w:tab w:leader="none" w:pos="9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Fellow, Chartered Institute of Management</w:t>
      </w:r>
    </w:p>
    <w:p>
      <w:pPr>
        <w:ind w:left="960" w:hanging="381"/>
        <w:spacing w:after="0"/>
        <w:tabs>
          <w:tab w:leader="none" w:pos="9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Former Deputy Director-General of the Engineering Employer's Federation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2240" w:val="left"/>
          <w:tab w:leader="none" w:pos="7460" w:val="left"/>
        </w:tabs>
        <w:rPr>
          <w:sz w:val="20"/>
          <w:szCs w:val="20"/>
          <w:color w:val="auto"/>
        </w:rPr>
      </w:pPr>
      <w:r>
        <w:rPr>
          <w:rFonts w:ascii="Arial" w:cs="Arial" w:eastAsia="Arial" w:hAnsi="Arial"/>
          <w:sz w:val="15"/>
          <w:szCs w:val="15"/>
          <w:b w:val="1"/>
          <w:bCs w:val="1"/>
          <w:color w:val="FFFFFE"/>
        </w:rPr>
        <w:t>Jaynie M. Studenmund |</w:t>
        <w:tab/>
        <w:t>Director since September 2018</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65" w:lineRule="auto"/>
        <w:rPr>
          <w:sz w:val="20"/>
          <w:szCs w:val="20"/>
          <w:color w:val="auto"/>
        </w:rPr>
      </w:pPr>
      <w:r>
        <w:rPr>
          <w:rFonts w:ascii="Arial" w:cs="Arial" w:eastAsia="Arial" w:hAnsi="Arial"/>
          <w:sz w:val="15"/>
          <w:szCs w:val="15"/>
          <w:i w:val="1"/>
          <w:iCs w:val="1"/>
          <w:color w:val="auto"/>
        </w:rPr>
        <w:t>Jaynie M. Studenmund—</w:t>
      </w:r>
      <w:r>
        <w:rPr>
          <w:rFonts w:ascii="Arial" w:cs="Arial" w:eastAsia="Arial" w:hAnsi="Arial"/>
          <w:sz w:val="15"/>
          <w:szCs w:val="15"/>
          <w:color w:val="auto"/>
        </w:rPr>
        <w:t>Age: 64</w:t>
      </w:r>
      <w:r>
        <w:rPr>
          <w:rFonts w:ascii="Arial" w:cs="Arial" w:eastAsia="Arial" w:hAnsi="Arial"/>
          <w:sz w:val="12"/>
          <w:szCs w:val="12"/>
          <w:color w:val="auto"/>
        </w:rPr>
        <w:t>—is a seasoned executive with significant experience advising and leading digital</w:t>
      </w:r>
      <w:r>
        <w:rPr>
          <w:rFonts w:ascii="Arial" w:cs="Arial" w:eastAsia="Arial" w:hAnsi="Arial"/>
          <w:sz w:val="15"/>
          <w:szCs w:val="15"/>
          <w:i w:val="1"/>
          <w:iCs w:val="1"/>
          <w:color w:val="auto"/>
        </w:rPr>
        <w:t xml:space="preserve"> </w:t>
      </w:r>
      <w:r>
        <w:rPr>
          <w:rFonts w:ascii="Arial" w:cs="Arial" w:eastAsia="Arial" w:hAnsi="Arial"/>
          <w:sz w:val="12"/>
          <w:szCs w:val="12"/>
          <w:color w:val="auto"/>
        </w:rPr>
        <w:t>companies. Ms. Studenmund's business experience and directorships are detailed below. The Company has concluded, based in part on Ms. Studenmund's extensive public company board experience, together with her knowledge and experience in the digital, financial services, health care and consumer business sectors, that Ms. Studenmund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Compensation</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5" w:lineRule="exact"/>
        <w:rPr>
          <w:sz w:val="20"/>
          <w:szCs w:val="20"/>
          <w:color w:val="auto"/>
        </w:rPr>
      </w:pPr>
    </w:p>
    <w:p>
      <w:pPr>
        <w:ind w:left="960" w:hanging="381"/>
        <w:spacing w:after="0"/>
        <w:tabs>
          <w:tab w:leader="none" w:pos="9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Chief Operating Officer, Overture Services, a pioneer in paid search and search engine marketing (2001 – 2004)</w:t>
      </w:r>
    </w:p>
    <w:p>
      <w:pPr>
        <w:ind w:left="960" w:hanging="381"/>
        <w:spacing w:after="0"/>
        <w:tabs>
          <w:tab w:leader="none" w:pos="9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President &amp; Chief Operating Officer, PayMyBills, the leading consumer bill payment and presentment company (1999 – 2001)</w:t>
      </w:r>
    </w:p>
    <w:p>
      <w:pPr>
        <w:spacing w:after="0" w:line="4" w:lineRule="exact"/>
        <w:rPr>
          <w:rFonts w:ascii="Arial" w:cs="Arial" w:eastAsia="Arial" w:hAnsi="Arial"/>
          <w:sz w:val="13"/>
          <w:szCs w:val="13"/>
          <w:color w:val="auto"/>
        </w:rPr>
      </w:pPr>
    </w:p>
    <w:p>
      <w:pPr>
        <w:ind w:left="960" w:right="179" w:hanging="381"/>
        <w:spacing w:after="0" w:line="235" w:lineRule="auto"/>
        <w:tabs>
          <w:tab w:leader="none" w:pos="9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Previously for over two decades served as Executive Vice President and Head of Consumer Businesses for three of the nation's largest banks, which today form the backbone of Chase and Wells Fargo's retail franchises in California.</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the Past Five Years</w:t>
      </w:r>
    </w:p>
    <w:p>
      <w:pPr>
        <w:spacing w:after="0" w:line="180" w:lineRule="exact"/>
        <w:rPr>
          <w:sz w:val="20"/>
          <w:szCs w:val="20"/>
          <w:color w:val="auto"/>
        </w:rPr>
      </w:pPr>
    </w:p>
    <w:p>
      <w:pPr>
        <w:ind w:left="1000" w:right="199" w:hanging="421"/>
        <w:spacing w:after="0" w:line="231" w:lineRule="auto"/>
        <w:tabs>
          <w:tab w:leader="none" w:pos="9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Director and member of the compensation committee and nomination and governance committee, CoreLogic, Inc. (NYSE: CLGX) (2012 – present)</w:t>
      </w:r>
    </w:p>
    <w:p>
      <w:pPr>
        <w:ind w:left="960" w:right="199" w:hanging="381"/>
        <w:spacing w:after="0" w:line="235" w:lineRule="auto"/>
        <w:tabs>
          <w:tab w:leader="none" w:pos="9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Director and member of the contracts committee, audit committee and nomination and governance committee, Western Asset Management (2004 – present), a major fixed income fund, and director of affiliated funds for Western Asset Management</w:t>
      </w:r>
    </w:p>
    <w:p>
      <w:pPr>
        <w:spacing w:after="0" w:line="5" w:lineRule="exact"/>
        <w:rPr>
          <w:rFonts w:ascii="Arial" w:cs="Arial" w:eastAsia="Arial" w:hAnsi="Arial"/>
          <w:sz w:val="13"/>
          <w:szCs w:val="13"/>
          <w:color w:val="auto"/>
        </w:rPr>
      </w:pPr>
    </w:p>
    <w:p>
      <w:pPr>
        <w:ind w:left="960" w:right="199" w:hanging="381"/>
        <w:spacing w:after="0" w:line="231" w:lineRule="auto"/>
        <w:tabs>
          <w:tab w:leader="none" w:pos="9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Director, compensation committee chair and member of the compliance committee, Pinnacle Entertainment (Nasdaq: PNK) until its acquisition in 2018 (2012 – 2018)</w:t>
      </w:r>
    </w:p>
    <w:p>
      <w:pPr>
        <w:ind w:left="1000" w:right="179" w:hanging="421"/>
        <w:spacing w:after="0" w:line="235" w:lineRule="auto"/>
        <w:tabs>
          <w:tab w:leader="none" w:pos="9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Director, compensation committee chair and member of the audit committee, Lifelock (Nasdaq: LOCK) until its acquisition in 2017 (2015 – 2017)</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84" w:lineRule="exact"/>
        <w:rPr>
          <w:sz w:val="20"/>
          <w:szCs w:val="20"/>
          <w:color w:val="auto"/>
        </w:rPr>
      </w:pPr>
    </w:p>
    <w:p>
      <w:pPr>
        <w:ind w:left="960" w:hanging="381"/>
        <w:spacing w:after="0"/>
        <w:tabs>
          <w:tab w:leader="none" w:pos="960" w:val="left"/>
        </w:tabs>
        <w:numPr>
          <w:ilvl w:val="1"/>
          <w:numId w:val="26"/>
        </w:numPr>
        <w:rPr>
          <w:rFonts w:ascii="Arial" w:cs="Arial" w:eastAsia="Arial" w:hAnsi="Arial"/>
          <w:sz w:val="13"/>
          <w:szCs w:val="13"/>
          <w:color w:val="auto"/>
        </w:rPr>
      </w:pPr>
      <w:r>
        <w:rPr>
          <w:rFonts w:ascii="Arial" w:cs="Arial" w:eastAsia="Arial" w:hAnsi="Arial"/>
          <w:sz w:val="13"/>
          <w:szCs w:val="13"/>
          <w:color w:val="auto"/>
        </w:rPr>
        <w:t>NACD Board Leadership Fellow</w:t>
      </w:r>
    </w:p>
    <w:p>
      <w:pPr>
        <w:ind w:left="960" w:hanging="381"/>
        <w:spacing w:after="0"/>
        <w:tabs>
          <w:tab w:leader="none" w:pos="960" w:val="left"/>
        </w:tabs>
        <w:numPr>
          <w:ilvl w:val="1"/>
          <w:numId w:val="26"/>
        </w:numPr>
        <w:rPr>
          <w:rFonts w:ascii="Arial" w:cs="Arial" w:eastAsia="Arial" w:hAnsi="Arial"/>
          <w:sz w:val="13"/>
          <w:szCs w:val="13"/>
          <w:color w:val="auto"/>
        </w:rPr>
      </w:pPr>
      <w:r>
        <w:rPr>
          <w:rFonts w:ascii="Arial" w:cs="Arial" w:eastAsia="Arial" w:hAnsi="Arial"/>
          <w:sz w:val="13"/>
          <w:szCs w:val="13"/>
          <w:color w:val="auto"/>
        </w:rPr>
        <w:t>Life trustee and board chair, Huntington Hospital</w:t>
      </w:r>
    </w:p>
    <w:p>
      <w:pPr>
        <w:spacing w:after="0" w:line="350" w:lineRule="exact"/>
        <w:rPr>
          <w:rFonts w:ascii="Arial" w:cs="Arial" w:eastAsia="Arial" w:hAnsi="Arial"/>
          <w:sz w:val="13"/>
          <w:szCs w:val="13"/>
          <w:color w:val="auto"/>
        </w:rPr>
      </w:pPr>
    </w:p>
    <w:p>
      <w:pPr>
        <w:ind w:left="20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Audit committee financial expert under applicable SEC rules and regulations.</w:t>
      </w:r>
    </w:p>
    <w:p>
      <w:pPr>
        <w:sectPr>
          <w:pgSz w:w="11900" w:h="16838" w:orient="portrait"/>
          <w:cols w:equalWidth="0" w:num="1">
            <w:col w:w="9019"/>
          </w:cols>
          <w:pgMar w:left="1440" w:top="296"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12" w:name="page13"/>
    <w:bookmarkEnd w:id="12"/>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Class II Directors (Terms Expiring in 2020)</w:t>
      </w:r>
    </w:p>
    <w:p>
      <w:pPr>
        <w:spacing w:after="0" w:line="140" w:lineRule="exact"/>
        <w:rPr>
          <w:sz w:val="20"/>
          <w:szCs w:val="20"/>
          <w:color w:val="auto"/>
        </w:rPr>
      </w:pPr>
    </w:p>
    <w:p>
      <w:pPr>
        <w:ind w:left="240"/>
        <w:spacing w:after="0"/>
        <w:tabs>
          <w:tab w:leader="none" w:pos="1440" w:val="left"/>
          <w:tab w:leader="none" w:pos="7460" w:val="left"/>
        </w:tabs>
        <w:rPr>
          <w:sz w:val="20"/>
          <w:szCs w:val="20"/>
          <w:color w:val="auto"/>
        </w:rPr>
      </w:pPr>
      <w:r>
        <w:rPr>
          <w:rFonts w:ascii="Arial" w:cs="Arial" w:eastAsia="Arial" w:hAnsi="Arial"/>
          <w:sz w:val="15"/>
          <w:szCs w:val="15"/>
          <w:b w:val="1"/>
          <w:bCs w:val="1"/>
          <w:color w:val="FFFFFE"/>
        </w:rPr>
        <w:t>David Kelso |</w:t>
        <w:tab/>
        <w:t>Director since July 2006</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79"/>
        <w:spacing w:after="0" w:line="265" w:lineRule="auto"/>
        <w:rPr>
          <w:sz w:val="20"/>
          <w:szCs w:val="20"/>
          <w:color w:val="auto"/>
        </w:rPr>
      </w:pPr>
      <w:r>
        <w:rPr>
          <w:rFonts w:ascii="Arial" w:cs="Arial" w:eastAsia="Arial" w:hAnsi="Arial"/>
          <w:sz w:val="15"/>
          <w:szCs w:val="15"/>
          <w:i w:val="1"/>
          <w:iCs w:val="1"/>
          <w:color w:val="auto"/>
        </w:rPr>
        <w:t>David B. Kelso</w:t>
      </w:r>
      <w:r>
        <w:rPr>
          <w:rFonts w:ascii="Arial" w:cs="Arial" w:eastAsia="Arial" w:hAnsi="Arial"/>
          <w:sz w:val="15"/>
          <w:szCs w:val="15"/>
          <w:color w:val="auto"/>
        </w:rPr>
        <w:t>—Age: 66</w:t>
      </w:r>
      <w:r>
        <w:rPr>
          <w:rFonts w:ascii="Arial" w:cs="Arial" w:eastAsia="Arial" w:hAnsi="Arial"/>
          <w:sz w:val="12"/>
          <w:szCs w:val="12"/>
          <w:color w:val="auto"/>
        </w:rPr>
        <w:t>—is a financial advisor for Kelso Advisory Services, a company he started in 2003. Mr. Kelso's</w:t>
      </w:r>
      <w:r>
        <w:rPr>
          <w:rFonts w:ascii="Arial" w:cs="Arial" w:eastAsia="Arial" w:hAnsi="Arial"/>
          <w:sz w:val="15"/>
          <w:szCs w:val="15"/>
          <w:i w:val="1"/>
          <w:iCs w:val="1"/>
          <w:color w:val="auto"/>
        </w:rPr>
        <w:t xml:space="preserve"> </w:t>
      </w:r>
      <w:r>
        <w:rPr>
          <w:rFonts w:ascii="Arial" w:cs="Arial" w:eastAsia="Arial" w:hAnsi="Arial"/>
          <w:sz w:val="12"/>
          <w:szCs w:val="12"/>
          <w:color w:val="auto"/>
        </w:rPr>
        <w:t>business experience and directorships are detailed below. The Company has concluded, based in part on Mr. Kelso's business experience with Inductis, his management and operating experience at major public companies, his expertise in finance, strategy and investments, and his board and committee service at other global companies, that Mr. Kelso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Nominating and Corporate Governance (Chair)</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5" w:lineRule="exact"/>
        <w:rPr>
          <w:sz w:val="20"/>
          <w:szCs w:val="20"/>
          <w:color w:val="auto"/>
        </w:rPr>
      </w:pPr>
    </w:p>
    <w:p>
      <w:pPr>
        <w:ind w:left="960" w:hanging="381"/>
        <w:spacing w:after="0"/>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Financial Advisor, Kelso Advisory Services (2003 – present)</w:t>
      </w:r>
    </w:p>
    <w:p>
      <w:pPr>
        <w:ind w:left="960" w:hanging="381"/>
        <w:spacing w:after="0"/>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Senior Advisor, Inductis, Inc., a strategy and analytics company, until its acquisition by the Company (June 2004 – June 2006)</w:t>
      </w:r>
    </w:p>
    <w:p>
      <w:pPr>
        <w:spacing w:after="0" w:line="4" w:lineRule="exact"/>
        <w:rPr>
          <w:rFonts w:ascii="Arial" w:cs="Arial" w:eastAsia="Arial" w:hAnsi="Arial"/>
          <w:sz w:val="13"/>
          <w:szCs w:val="13"/>
          <w:color w:val="auto"/>
        </w:rPr>
      </w:pPr>
    </w:p>
    <w:p>
      <w:pPr>
        <w:ind w:left="960" w:right="179" w:hanging="381"/>
        <w:spacing w:after="0" w:line="231" w:lineRule="auto"/>
        <w:tabs>
          <w:tab w:leader="none" w:pos="9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Chairman, Aetna Life Insurance Co., Executive Vice President, Strategy and Finance and member of the Office of the Chairman for Aetna, Inc., a managed healthcare company (2001 – 2003)</w:t>
      </w:r>
    </w:p>
    <w:p>
      <w:pPr>
        <w:ind w:left="960" w:hanging="381"/>
        <w:spacing w:after="0"/>
        <w:tabs>
          <w:tab w:leader="none" w:pos="9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Executive Vice President, Chief Financial Officer and Managing Director, Chubb Corporation, a property and casualty insurer (1996 – 2001)</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Past Five Years</w:t>
      </w:r>
    </w:p>
    <w:p>
      <w:pPr>
        <w:spacing w:after="0" w:line="180" w:lineRule="exact"/>
        <w:rPr>
          <w:sz w:val="20"/>
          <w:szCs w:val="20"/>
          <w:color w:val="auto"/>
        </w:rPr>
      </w:pPr>
    </w:p>
    <w:p>
      <w:pPr>
        <w:ind w:left="960" w:right="179" w:hanging="381"/>
        <w:spacing w:after="0" w:line="235" w:lineRule="auto"/>
        <w:tabs>
          <w:tab w:leader="none" w:pos="9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Director and member of audit committee and finance &amp; investment committee, Assurant, Inc., a global provider of risk management products and services (NYSE: AIZ) (2007 – 2015)</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Directorships</w:t>
      </w:r>
    </w:p>
    <w:p>
      <w:pPr>
        <w:spacing w:after="0" w:line="189" w:lineRule="exact"/>
        <w:rPr>
          <w:sz w:val="20"/>
          <w:szCs w:val="20"/>
          <w:color w:val="auto"/>
        </w:rPr>
      </w:pPr>
    </w:p>
    <w:p>
      <w:pPr>
        <w:ind w:left="1000" w:right="179" w:hanging="421"/>
        <w:spacing w:after="0" w:line="231" w:lineRule="auto"/>
        <w:tabs>
          <w:tab w:leader="none" w:pos="965" w:val="left"/>
        </w:tabs>
        <w:numPr>
          <w:ilvl w:val="0"/>
          <w:numId w:val="29"/>
        </w:numPr>
        <w:rPr>
          <w:rFonts w:ascii="Arial" w:cs="Arial" w:eastAsia="Arial" w:hAnsi="Arial"/>
          <w:sz w:val="13"/>
          <w:szCs w:val="13"/>
          <w:color w:val="auto"/>
        </w:rPr>
      </w:pPr>
      <w:r>
        <w:rPr>
          <w:rFonts w:ascii="Arial" w:cs="Arial" w:eastAsia="Arial" w:hAnsi="Arial"/>
          <w:sz w:val="13"/>
          <w:szCs w:val="13"/>
          <w:color w:val="auto"/>
        </w:rPr>
        <w:t>Lead independent director and chair of the audit, nominating and valuation committees, Sound Shore Fund, an equity mutual fund (2006 – present)</w:t>
      </w:r>
    </w:p>
    <w:p>
      <w:pPr>
        <w:ind w:left="960" w:hanging="381"/>
        <w:spacing w:after="0"/>
        <w:tabs>
          <w:tab w:leader="none" w:pos="9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Director, Aspen Holdings Limited, a property and casualty reinsurance company (2005 – 2011)</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Board of Trustees, Darden School Foundation of the University of Virginia Darden School of Business</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Audit committee financial expert under applicable SEC rules and regulations.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340" w:val="left"/>
          <w:tab w:leader="none" w:pos="7460" w:val="left"/>
        </w:tabs>
        <w:rPr>
          <w:sz w:val="20"/>
          <w:szCs w:val="20"/>
          <w:color w:val="auto"/>
        </w:rPr>
      </w:pPr>
      <w:r>
        <w:rPr>
          <w:rFonts w:ascii="Arial" w:cs="Arial" w:eastAsia="Arial" w:hAnsi="Arial"/>
          <w:sz w:val="15"/>
          <w:szCs w:val="15"/>
          <w:b w:val="1"/>
          <w:bCs w:val="1"/>
          <w:color w:val="FFFFFE"/>
        </w:rPr>
        <w:t>Som Mittal |</w:t>
        <w:tab/>
        <w:t>Director since December 2013</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ind w:left="1560" w:right="359"/>
        <w:spacing w:after="0" w:line="265" w:lineRule="auto"/>
        <w:rPr>
          <w:sz w:val="20"/>
          <w:szCs w:val="20"/>
          <w:color w:val="auto"/>
        </w:rPr>
      </w:pPr>
      <w:r>
        <w:rPr>
          <w:rFonts w:ascii="Arial" w:cs="Arial" w:eastAsia="Arial" w:hAnsi="Arial"/>
          <w:sz w:val="15"/>
          <w:szCs w:val="15"/>
          <w:i w:val="1"/>
          <w:iCs w:val="1"/>
          <w:color w:val="auto"/>
        </w:rPr>
        <w:t>Som Mittal</w:t>
      </w:r>
      <w:r>
        <w:rPr>
          <w:rFonts w:ascii="Arial" w:cs="Arial" w:eastAsia="Arial" w:hAnsi="Arial"/>
          <w:sz w:val="15"/>
          <w:szCs w:val="15"/>
          <w:color w:val="auto"/>
        </w:rPr>
        <w:t>—Age: 67</w:t>
      </w:r>
      <w:r>
        <w:rPr>
          <w:rFonts w:ascii="Arial" w:cs="Arial" w:eastAsia="Arial" w:hAnsi="Arial"/>
          <w:sz w:val="12"/>
          <w:szCs w:val="12"/>
          <w:color w:val="auto"/>
        </w:rPr>
        <w:t>—has held various corporate leadership roles in the IT industry since 1989 and extensive experience in</w:t>
      </w:r>
      <w:r>
        <w:rPr>
          <w:rFonts w:ascii="Arial" w:cs="Arial" w:eastAsia="Arial" w:hAnsi="Arial"/>
          <w:sz w:val="15"/>
          <w:szCs w:val="15"/>
          <w:i w:val="1"/>
          <w:iCs w:val="1"/>
          <w:color w:val="auto"/>
        </w:rPr>
        <w:t xml:space="preserve"> </w:t>
      </w:r>
      <w:r>
        <w:rPr>
          <w:rFonts w:ascii="Arial" w:cs="Arial" w:eastAsia="Arial" w:hAnsi="Arial"/>
          <w:sz w:val="12"/>
          <w:szCs w:val="12"/>
          <w:color w:val="auto"/>
        </w:rPr>
        <w:t>the engineering and automotive sectors. His business experience and directorships are detailed below. The Company has concluded, based in part on Mr. Mittal's business experience as President of NASSCOM and his knowledge of the global outsourcing industry, that Mr. Mittal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2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8940" cy="144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Nominating and Corporate Governance</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84" w:lineRule="exact"/>
        <w:rPr>
          <w:sz w:val="20"/>
          <w:szCs w:val="20"/>
          <w:color w:val="auto"/>
        </w:rPr>
      </w:pPr>
    </w:p>
    <w:p>
      <w:pPr>
        <w:ind w:left="960" w:hanging="381"/>
        <w:spacing w:after="0"/>
        <w:tabs>
          <w:tab w:leader="none" w:pos="9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Chairman and President, NASSCOM, a trade body for the IT and business process management industries in India (2008 – 2014)</w:t>
      </w:r>
    </w:p>
    <w:p>
      <w:pPr>
        <w:ind w:left="960" w:hanging="381"/>
        <w:spacing w:after="0" w:line="231" w:lineRule="auto"/>
        <w:tabs>
          <w:tab w:leader="none" w:pos="9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Prior leadership roles at Wipro, and at Digital, Compaq and HP</w:t>
      </w:r>
    </w:p>
    <w:p>
      <w:pPr>
        <w:ind w:left="960" w:hanging="381"/>
        <w:spacing w:after="0"/>
        <w:tabs>
          <w:tab w:leader="none" w:pos="9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Prior executive roles at Larsen &amp; Toubro, Escorts and Denso</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Past Five Years</w:t>
      </w:r>
    </w:p>
    <w:p>
      <w:pPr>
        <w:spacing w:after="0" w:line="189" w:lineRule="exact"/>
        <w:rPr>
          <w:sz w:val="20"/>
          <w:szCs w:val="20"/>
          <w:color w:val="auto"/>
        </w:rPr>
      </w:pPr>
    </w:p>
    <w:p>
      <w:pPr>
        <w:ind w:left="960" w:right="199" w:hanging="381"/>
        <w:spacing w:after="0" w:line="231" w:lineRule="auto"/>
        <w:tabs>
          <w:tab w:leader="none" w:pos="9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Director and chairman of customer service committee and IT strategy committee, member of nomination and remuneration committee and other committees, Axis Bank, Ltd., a financial services company (NSE:Axis) (2011 – present)</w:t>
      </w:r>
    </w:p>
    <w:p>
      <w:pPr>
        <w:ind w:left="1000" w:right="199" w:hanging="421"/>
        <w:spacing w:after="0" w:line="231" w:lineRule="auto"/>
        <w:tabs>
          <w:tab w:leader="none" w:pos="965"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Director and member of audit and risk management committee, Cyient Ltd., an engineering design services company (NSE:CYIENT) (2014 – present)</w:t>
      </w:r>
    </w:p>
    <w:p>
      <w:pPr>
        <w:ind w:left="960" w:hanging="381"/>
        <w:spacing w:after="0"/>
        <w:tabs>
          <w:tab w:leader="none" w:pos="9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Director and chairman of nomination and remuneration committee, Sheela Foam Ltd., a manufacturing company (NSE: SFL) (2016 – present)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Directorships</w:t>
      </w:r>
    </w:p>
    <w:p>
      <w:pPr>
        <w:spacing w:after="0" w:line="189" w:lineRule="exact"/>
        <w:rPr>
          <w:sz w:val="20"/>
          <w:szCs w:val="20"/>
          <w:color w:val="auto"/>
        </w:rPr>
      </w:pPr>
    </w:p>
    <w:p>
      <w:pPr>
        <w:ind w:left="1000" w:right="179" w:hanging="421"/>
        <w:spacing w:after="0" w:line="235" w:lineRule="auto"/>
        <w:tabs>
          <w:tab w:leader="none" w:pos="96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Tata SIA Airlines, Ltd., an Indian airline joint venture between TATA and Singapore Airlines with Indian and international operations (2015 – present)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79" w:lineRule="exact"/>
        <w:rPr>
          <w:sz w:val="20"/>
          <w:szCs w:val="20"/>
          <w:color w:val="auto"/>
        </w:rPr>
      </w:pPr>
    </w:p>
    <w:p>
      <w:pPr>
        <w:ind w:left="960" w:hanging="381"/>
        <w:spacing w:after="0"/>
        <w:tabs>
          <w:tab w:leader="none" w:pos="9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Prior member, Board of Governors, Indian Institute of Corporate Affairs</w:t>
      </w:r>
    </w:p>
    <w:p>
      <w:pPr>
        <w:ind w:left="960" w:hanging="381"/>
        <w:spacing w:after="0"/>
        <w:tabs>
          <w:tab w:leader="none" w:pos="9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Prior Committee Member, Indian Prime Minister's National e-Governance Program</w:t>
      </w:r>
    </w:p>
    <w:p>
      <w:pPr>
        <w:ind w:left="960" w:hanging="381"/>
        <w:spacing w:after="0"/>
        <w:tabs>
          <w:tab w:leader="none" w:pos="9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Member/trustee of educational institutions and non-governmental organizations</w:t>
      </w:r>
    </w:p>
    <w:p>
      <w:pPr>
        <w:sectPr>
          <w:pgSz w:w="11900" w:h="16838" w:orient="portrait"/>
          <w:cols w:equalWidth="0" w:num="1">
            <w:col w:w="9019"/>
          </w:cols>
          <w:pgMar w:left="1440" w:top="296" w:right="1440" w:bottom="662"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662" w:gutter="0" w:footer="0" w:header="0"/>
          <w:type w:val="continuous"/>
        </w:sectPr>
      </w:pPr>
    </w:p>
    <w:bookmarkStart w:id="13" w:name="page14"/>
    <w:bookmarkEnd w:id="13"/>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500" w:val="left"/>
          <w:tab w:leader="none" w:pos="7460" w:val="left"/>
        </w:tabs>
        <w:rPr>
          <w:sz w:val="20"/>
          <w:szCs w:val="20"/>
          <w:color w:val="auto"/>
        </w:rPr>
      </w:pPr>
      <w:r>
        <w:rPr>
          <w:rFonts w:ascii="Arial" w:cs="Arial" w:eastAsia="Arial" w:hAnsi="Arial"/>
          <w:sz w:val="15"/>
          <w:szCs w:val="15"/>
          <w:b w:val="1"/>
          <w:bCs w:val="1"/>
          <w:color w:val="FFFFFE"/>
        </w:rPr>
        <w:t>Clyde Ostler |</w:t>
        <w:tab/>
        <w:t>Director since December 2007</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71" w:lineRule="auto"/>
        <w:rPr>
          <w:sz w:val="20"/>
          <w:szCs w:val="20"/>
          <w:color w:val="auto"/>
        </w:rPr>
      </w:pPr>
      <w:r>
        <w:rPr>
          <w:rFonts w:ascii="Arial" w:cs="Arial" w:eastAsia="Arial" w:hAnsi="Arial"/>
          <w:sz w:val="15"/>
          <w:szCs w:val="15"/>
          <w:i w:val="1"/>
          <w:iCs w:val="1"/>
          <w:color w:val="auto"/>
        </w:rPr>
        <w:t>Clyde W. Ostler</w:t>
      </w:r>
      <w:r>
        <w:rPr>
          <w:rFonts w:ascii="Arial" w:cs="Arial" w:eastAsia="Arial" w:hAnsi="Arial"/>
          <w:sz w:val="15"/>
          <w:szCs w:val="15"/>
          <w:color w:val="auto"/>
        </w:rPr>
        <w:t>—Age: 72</w:t>
      </w:r>
      <w:r>
        <w:rPr>
          <w:rFonts w:ascii="Arial" w:cs="Arial" w:eastAsia="Arial" w:hAnsi="Arial"/>
          <w:sz w:val="12"/>
          <w:szCs w:val="12"/>
          <w:color w:val="auto"/>
        </w:rPr>
        <w:t>—is a retired executive of Wells Fargo and during his 40-year tenure held numerous senior</w:t>
      </w:r>
      <w:r>
        <w:rPr>
          <w:rFonts w:ascii="Arial" w:cs="Arial" w:eastAsia="Arial" w:hAnsi="Arial"/>
          <w:sz w:val="15"/>
          <w:szCs w:val="15"/>
          <w:i w:val="1"/>
          <w:iCs w:val="1"/>
          <w:color w:val="auto"/>
        </w:rPr>
        <w:t xml:space="preserve"> </w:t>
      </w:r>
      <w:r>
        <w:rPr>
          <w:rFonts w:ascii="Arial" w:cs="Arial" w:eastAsia="Arial" w:hAnsi="Arial"/>
          <w:sz w:val="12"/>
          <w:szCs w:val="12"/>
          <w:color w:val="auto"/>
        </w:rPr>
        <w:t>leadership positions within that organization. The Company has concluded, based in part on Mr. Ostler's business experience through his positions at Wells Fargo &amp; Company, that Mr. Ostler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-307975</wp:posOffset>
            </wp:positionV>
            <wp:extent cx="5488940" cy="144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(Chair)*, Compensation</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80" w:lineRule="exact"/>
        <w:rPr>
          <w:sz w:val="20"/>
          <w:szCs w:val="20"/>
          <w:color w:val="auto"/>
        </w:rPr>
      </w:pPr>
    </w:p>
    <w:p>
      <w:pPr>
        <w:jc w:val="both"/>
        <w:ind w:left="960" w:right="179" w:hanging="381"/>
        <w:spacing w:after="0" w:line="273" w:lineRule="auto"/>
        <w:tabs>
          <w:tab w:leader="none" w:pos="9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Leadership positions within Wells Fargo including: Group Executive Vice President, Wells Fargo &amp; Co., Vice Chairman, Wells Fargo Bank California NA, President, Wells Fargo Family Wealth, Vice Chairman in the Office of the President, Chief Financial Officer, Chief Auditor, Head of Retail Branch Banking, Head of Information Technology, Head of Institutional and Personal Investments and Head of Internet Services</w:t>
      </w:r>
    </w:p>
    <w:p>
      <w:pPr>
        <w:spacing w:after="0" w:line="1" w:lineRule="exact"/>
        <w:rPr>
          <w:rFonts w:ascii="Arial" w:cs="Arial" w:eastAsia="Arial" w:hAnsi="Arial"/>
          <w:sz w:val="11"/>
          <w:szCs w:val="11"/>
          <w:color w:val="auto"/>
        </w:rPr>
      </w:pPr>
    </w:p>
    <w:p>
      <w:pPr>
        <w:ind w:left="960" w:hanging="381"/>
        <w:spacing w:after="0"/>
        <w:tabs>
          <w:tab w:leader="none" w:pos="9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Served on the Senior Management Committee of Wells Fargo for over 25 years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the Past Five Years</w:t>
      </w:r>
    </w:p>
    <w:p>
      <w:pPr>
        <w:spacing w:after="0" w:line="189" w:lineRule="exact"/>
        <w:rPr>
          <w:sz w:val="20"/>
          <w:szCs w:val="20"/>
          <w:color w:val="auto"/>
        </w:rPr>
      </w:pPr>
    </w:p>
    <w:p>
      <w:pPr>
        <w:ind w:left="1000" w:right="179" w:hanging="421"/>
        <w:spacing w:after="0" w:line="235" w:lineRule="auto"/>
        <w:tabs>
          <w:tab w:leader="none" w:pos="965" w:val="left"/>
        </w:tabs>
        <w:numPr>
          <w:ilvl w:val="0"/>
          <w:numId w:val="36"/>
        </w:numPr>
        <w:rPr>
          <w:rFonts w:ascii="Arial" w:cs="Arial" w:eastAsia="Arial" w:hAnsi="Arial"/>
          <w:sz w:val="13"/>
          <w:szCs w:val="13"/>
          <w:color w:val="auto"/>
        </w:rPr>
      </w:pPr>
      <w:r>
        <w:rPr>
          <w:rFonts w:ascii="Arial" w:cs="Arial" w:eastAsia="Arial" w:hAnsi="Arial"/>
          <w:sz w:val="13"/>
          <w:szCs w:val="13"/>
          <w:color w:val="auto"/>
        </w:rPr>
        <w:t>Director, member of the audit committee and compensation committee, McClatchy Company, a publishing company (NYSE: MNI) (2013 – present)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Directorships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Advisory Director Emeritus, FTV Capital, a private global investment company</w:t>
      </w:r>
    </w:p>
    <w:p>
      <w:pPr>
        <w:spacing w:after="0" w:line="35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Audit committee financial expert under applicable SEC rules and regulations.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Class III Directors (Terms Expiring in 2021)</w:t>
      </w:r>
    </w:p>
    <w:p>
      <w:pPr>
        <w:spacing w:after="0" w:line="140" w:lineRule="exact"/>
        <w:rPr>
          <w:sz w:val="20"/>
          <w:szCs w:val="20"/>
          <w:color w:val="auto"/>
        </w:rPr>
      </w:pPr>
    </w:p>
    <w:p>
      <w:pPr>
        <w:ind w:left="240"/>
        <w:spacing w:after="0"/>
        <w:tabs>
          <w:tab w:leader="none" w:pos="1540" w:val="left"/>
          <w:tab w:leader="none" w:pos="7460" w:val="left"/>
        </w:tabs>
        <w:rPr>
          <w:sz w:val="20"/>
          <w:szCs w:val="20"/>
          <w:color w:val="auto"/>
        </w:rPr>
      </w:pPr>
      <w:r>
        <w:rPr>
          <w:rFonts w:ascii="Arial" w:cs="Arial" w:eastAsia="Arial" w:hAnsi="Arial"/>
          <w:sz w:val="15"/>
          <w:szCs w:val="15"/>
          <w:b w:val="1"/>
          <w:bCs w:val="1"/>
          <w:color w:val="FFFFFE"/>
        </w:rPr>
        <w:t>Deborah Kerr |</w:t>
        <w:tab/>
        <w:t>Director since January 2015</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65" w:lineRule="auto"/>
        <w:rPr>
          <w:sz w:val="20"/>
          <w:szCs w:val="20"/>
          <w:color w:val="auto"/>
        </w:rPr>
      </w:pPr>
      <w:r>
        <w:rPr>
          <w:rFonts w:ascii="Arial" w:cs="Arial" w:eastAsia="Arial" w:hAnsi="Arial"/>
          <w:sz w:val="15"/>
          <w:szCs w:val="15"/>
          <w:i w:val="1"/>
          <w:iCs w:val="1"/>
          <w:color w:val="auto"/>
        </w:rPr>
        <w:t>Deborah Kerr</w:t>
      </w:r>
      <w:r>
        <w:rPr>
          <w:rFonts w:ascii="Arial" w:cs="Arial" w:eastAsia="Arial" w:hAnsi="Arial"/>
          <w:sz w:val="15"/>
          <w:szCs w:val="15"/>
          <w:color w:val="auto"/>
        </w:rPr>
        <w:t>—Age: 47</w:t>
      </w:r>
      <w:r>
        <w:rPr>
          <w:rFonts w:ascii="Arial" w:cs="Arial" w:eastAsia="Arial" w:hAnsi="Arial"/>
          <w:sz w:val="12"/>
          <w:szCs w:val="12"/>
          <w:color w:val="auto"/>
        </w:rPr>
        <w:t>—is a proven technology leader in the software industry with more than 25 years of diverse</w:t>
      </w:r>
      <w:r>
        <w:rPr>
          <w:rFonts w:ascii="Arial" w:cs="Arial" w:eastAsia="Arial" w:hAnsi="Arial"/>
          <w:sz w:val="15"/>
          <w:szCs w:val="15"/>
          <w:i w:val="1"/>
          <w:iCs w:val="1"/>
          <w:color w:val="auto"/>
        </w:rPr>
        <w:t xml:space="preserve"> </w:t>
      </w:r>
      <w:r>
        <w:rPr>
          <w:rFonts w:ascii="Arial" w:cs="Arial" w:eastAsia="Arial" w:hAnsi="Arial"/>
          <w:sz w:val="12"/>
          <w:szCs w:val="12"/>
          <w:color w:val="auto"/>
        </w:rPr>
        <w:t>management experience. Ms. Kerr's business experience and directorships are detailed below. The Company has concluded, based in part on Ms. Kerr's experience in the technology, digital, marketing, operations and software and services industries, and her general management experience, that Ms. Kerr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Nominating and Corporate Governance</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9" w:lineRule="exact"/>
        <w:rPr>
          <w:sz w:val="20"/>
          <w:szCs w:val="20"/>
          <w:color w:val="auto"/>
        </w:rPr>
      </w:pPr>
    </w:p>
    <w:p>
      <w:pPr>
        <w:ind w:left="960" w:hanging="381"/>
        <w:spacing w:after="0"/>
        <w:tabs>
          <w:tab w:leader="none" w:pos="9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Managing Director, Warburg Pincus, a private equity firm (2019 – present) and previously Senior Advisor (2017 – 2019)</w:t>
      </w:r>
    </w:p>
    <w:p>
      <w:pPr>
        <w:spacing w:after="0" w:line="4" w:lineRule="exact"/>
        <w:rPr>
          <w:rFonts w:ascii="Arial" w:cs="Arial" w:eastAsia="Arial" w:hAnsi="Arial"/>
          <w:sz w:val="13"/>
          <w:szCs w:val="13"/>
          <w:color w:val="auto"/>
        </w:rPr>
      </w:pPr>
    </w:p>
    <w:p>
      <w:pPr>
        <w:ind w:left="960" w:right="199" w:hanging="381"/>
        <w:spacing w:after="0" w:line="231" w:lineRule="auto"/>
        <w:tabs>
          <w:tab w:leader="none" w:pos="9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Executive Vice President and Chief Product and Technology Officer, Sabre Corporation (NASDAQ: SABR), a global technology company (2013 – 2017)</w:t>
      </w:r>
    </w:p>
    <w:p>
      <w:pPr>
        <w:ind w:left="960" w:hanging="381"/>
        <w:spacing w:after="0"/>
        <w:tabs>
          <w:tab w:leader="none" w:pos="9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Executive Vice President, Chief Product and Technology Officer, Fair Isaac Corporation (FICO), an analytics software company (2009 – 2012)</w:t>
      </w:r>
    </w:p>
    <w:p>
      <w:pPr>
        <w:spacing w:after="0" w:line="17" w:lineRule="exact"/>
        <w:rPr>
          <w:rFonts w:ascii="Arial" w:cs="Arial" w:eastAsia="Arial" w:hAnsi="Arial"/>
          <w:sz w:val="11"/>
          <w:szCs w:val="11"/>
          <w:color w:val="auto"/>
        </w:rPr>
      </w:pPr>
    </w:p>
    <w:p>
      <w:pPr>
        <w:ind w:left="960" w:hanging="381"/>
        <w:spacing w:after="0"/>
        <w:tabs>
          <w:tab w:leader="none" w:pos="9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Prior senior leadership roles with Hewlett Packard, Peregrine Systems and NASA's Jet Propulsion Laboratory</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Past Five Years</w:t>
      </w:r>
    </w:p>
    <w:p>
      <w:pPr>
        <w:spacing w:after="0" w:line="184" w:lineRule="exact"/>
        <w:rPr>
          <w:sz w:val="20"/>
          <w:szCs w:val="20"/>
          <w:color w:val="auto"/>
        </w:rPr>
      </w:pPr>
    </w:p>
    <w:p>
      <w:pPr>
        <w:ind w:left="960" w:hanging="381"/>
        <w:spacing w:after="0"/>
        <w:tabs>
          <w:tab w:leader="none" w:pos="9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Director and member of the audit committee, International Airlines Group (BMAD: IAG, LSE: IAG) (2018 – present)</w:t>
      </w:r>
    </w:p>
    <w:p>
      <w:pPr>
        <w:ind w:left="960" w:hanging="381"/>
        <w:spacing w:after="0" w:line="231" w:lineRule="auto"/>
        <w:tabs>
          <w:tab w:leader="none" w:pos="9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Director and member of the audit committee, NetApp (NASDAQ: NTAP), a hybrid cloud and data services company (2017 – present)</w:t>
      </w:r>
    </w:p>
    <w:p>
      <w:pPr>
        <w:ind w:left="960" w:right="179" w:hanging="381"/>
        <w:spacing w:after="0" w:line="235" w:lineRule="auto"/>
        <w:tabs>
          <w:tab w:leader="none" w:pos="9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Director and member of the human resources, compensation and benefits committee, Chico's FAS, Inc., a specialty retailer of women's apparel (NYSE: CHS) (2017 – present)</w:t>
      </w:r>
    </w:p>
    <w:p>
      <w:pPr>
        <w:spacing w:after="0" w:line="5" w:lineRule="exact"/>
        <w:rPr>
          <w:rFonts w:ascii="Arial" w:cs="Arial" w:eastAsia="Arial" w:hAnsi="Arial"/>
          <w:sz w:val="13"/>
          <w:szCs w:val="13"/>
          <w:color w:val="auto"/>
        </w:rPr>
      </w:pPr>
    </w:p>
    <w:p>
      <w:pPr>
        <w:ind w:left="960" w:hanging="381"/>
        <w:spacing w:after="0"/>
        <w:tabs>
          <w:tab w:leader="none" w:pos="9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Director, D+H Corporation (TSX: DH), a provider of technology solutions and products to the financial industry (2013 – 2017)</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Directorships</w:t>
      </w:r>
    </w:p>
    <w:p>
      <w:pPr>
        <w:spacing w:after="0" w:line="180" w:lineRule="exact"/>
        <w:rPr>
          <w:sz w:val="20"/>
          <w:szCs w:val="20"/>
          <w:color w:val="auto"/>
        </w:rPr>
      </w:pPr>
    </w:p>
    <w:p>
      <w:pPr>
        <w:ind w:left="960" w:right="199" w:hanging="381"/>
        <w:spacing w:after="0" w:line="235" w:lineRule="auto"/>
        <w:tabs>
          <w:tab w:leader="none" w:pos="9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Director and chair of the technology committee, Mitchell International Inc., a provider of technology solutions and services to the property and casualty industry (2010 – 2013)</w:t>
      </w:r>
    </w:p>
    <w:p>
      <w:pPr>
        <w:sectPr>
          <w:pgSz w:w="11900" w:h="16838" w:orient="portrait"/>
          <w:cols w:equalWidth="0" w:num="1">
            <w:col w:w="9019"/>
          </w:cols>
          <w:pgMar w:left="1440" w:top="296"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14" w:name="page15"/>
    <w:bookmarkEnd w:id="14"/>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760" w:val="left"/>
          <w:tab w:leader="none" w:pos="7460" w:val="left"/>
        </w:tabs>
        <w:rPr>
          <w:sz w:val="20"/>
          <w:szCs w:val="20"/>
          <w:color w:val="auto"/>
        </w:rPr>
      </w:pPr>
      <w:r>
        <w:rPr>
          <w:rFonts w:ascii="Arial" w:cs="Arial" w:eastAsia="Arial" w:hAnsi="Arial"/>
          <w:sz w:val="15"/>
          <w:szCs w:val="15"/>
          <w:b w:val="1"/>
          <w:bCs w:val="1"/>
          <w:color w:val="FFFFFE"/>
        </w:rPr>
        <w:t>Vikram S. Pandit |</w:t>
        <w:tab/>
        <w:t>Director since October 2018</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ind w:left="1560" w:right="319"/>
        <w:spacing w:after="0" w:line="257" w:lineRule="auto"/>
        <w:rPr>
          <w:sz w:val="20"/>
          <w:szCs w:val="20"/>
          <w:color w:val="auto"/>
        </w:rPr>
      </w:pPr>
      <w:r>
        <w:rPr>
          <w:rFonts w:ascii="Arial" w:cs="Arial" w:eastAsia="Arial" w:hAnsi="Arial"/>
          <w:sz w:val="15"/>
          <w:szCs w:val="15"/>
          <w:i w:val="1"/>
          <w:iCs w:val="1"/>
          <w:color w:val="auto"/>
        </w:rPr>
        <w:t>Vikram S. Pandit</w:t>
      </w:r>
      <w:r>
        <w:rPr>
          <w:rFonts w:ascii="Arial" w:cs="Arial" w:eastAsia="Arial" w:hAnsi="Arial"/>
          <w:sz w:val="15"/>
          <w:szCs w:val="15"/>
          <w:color w:val="auto"/>
        </w:rPr>
        <w:t>—Age: 62</w:t>
      </w:r>
      <w:r>
        <w:rPr>
          <w:rFonts w:ascii="Arial" w:cs="Arial" w:eastAsia="Arial" w:hAnsi="Arial"/>
          <w:sz w:val="12"/>
          <w:szCs w:val="12"/>
          <w:color w:val="auto"/>
        </w:rPr>
        <w:t>—is Chairman and Chief Executive Officer of the Orogen Group, which makes significant long-term strategic investments in financial services companies and related businesses. Mr. Pandit's business experience and directorships are detailed below. Mr. Pandit was appointed to the Board pursuant to the terms of an Investment Agreement, dated as of October 1, 2018, between the Company and Orogen Echo LLC, an affiliate of The Orogen Group LLC.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-572770</wp:posOffset>
            </wp:positionV>
            <wp:extent cx="5488940" cy="1448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5" w:lineRule="exact"/>
        <w:rPr>
          <w:sz w:val="20"/>
          <w:szCs w:val="20"/>
          <w:color w:val="auto"/>
        </w:rPr>
      </w:pPr>
    </w:p>
    <w:p>
      <w:pPr>
        <w:ind w:left="960" w:hanging="381"/>
        <w:spacing w:after="0"/>
        <w:tabs>
          <w:tab w:leader="none" w:pos="9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Chairman and Chief Executive Officer, The Orogen Group (July 2016 – present)</w:t>
      </w:r>
    </w:p>
    <w:p>
      <w:pPr>
        <w:ind w:left="960" w:hanging="381"/>
        <w:spacing w:after="0"/>
        <w:tabs>
          <w:tab w:leader="none" w:pos="9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Chairman, TGG Group (February 2014 – June 2016)</w:t>
      </w:r>
    </w:p>
    <w:p>
      <w:pPr>
        <w:spacing w:after="0" w:line="4" w:lineRule="exact"/>
        <w:rPr>
          <w:rFonts w:ascii="Arial" w:cs="Arial" w:eastAsia="Arial" w:hAnsi="Arial"/>
          <w:sz w:val="13"/>
          <w:szCs w:val="13"/>
          <w:color w:val="auto"/>
        </w:rPr>
      </w:pPr>
    </w:p>
    <w:p>
      <w:pPr>
        <w:ind w:left="960" w:hanging="381"/>
        <w:spacing w:after="0"/>
        <w:tabs>
          <w:tab w:leader="none" w:pos="9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Chief Executive Officer, Citigroup Inc. (December 2007 – October 2012)</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the Past Five Years</w:t>
      </w:r>
    </w:p>
    <w:p>
      <w:pPr>
        <w:spacing w:after="0" w:line="180" w:lineRule="exact"/>
        <w:rPr>
          <w:sz w:val="20"/>
          <w:szCs w:val="20"/>
          <w:color w:val="auto"/>
        </w:rPr>
      </w:pPr>
    </w:p>
    <w:p>
      <w:pPr>
        <w:ind w:left="960" w:hanging="381"/>
        <w:spacing w:after="0"/>
        <w:tabs>
          <w:tab w:leader="none" w:pos="9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Director and member of the nominating and governance and finance committees, Virtusa Corporation (NASDAQ: VRTU) (2017 – present)</w:t>
      </w:r>
    </w:p>
    <w:p>
      <w:pPr>
        <w:spacing w:after="0" w:line="17" w:lineRule="exact"/>
        <w:rPr>
          <w:rFonts w:ascii="Arial" w:cs="Arial" w:eastAsia="Arial" w:hAnsi="Arial"/>
          <w:sz w:val="11"/>
          <w:szCs w:val="11"/>
          <w:color w:val="auto"/>
        </w:rPr>
      </w:pPr>
    </w:p>
    <w:p>
      <w:pPr>
        <w:ind w:left="960" w:right="179" w:hanging="381"/>
        <w:spacing w:after="0" w:line="235" w:lineRule="auto"/>
        <w:tabs>
          <w:tab w:leader="none" w:pos="9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Director, chair of the human resources and compensation committee and member of the corporate governance and nominating committee, Bombardier Inc. (TSX: BBD) (2014 – present)</w:t>
      </w:r>
    </w:p>
    <w:p>
      <w:pPr>
        <w:spacing w:after="0" w:line="5" w:lineRule="exact"/>
        <w:rPr>
          <w:rFonts w:ascii="Arial" w:cs="Arial" w:eastAsia="Arial" w:hAnsi="Arial"/>
          <w:sz w:val="13"/>
          <w:szCs w:val="13"/>
          <w:color w:val="auto"/>
        </w:rPr>
      </w:pPr>
    </w:p>
    <w:p>
      <w:pPr>
        <w:ind w:left="960" w:hanging="381"/>
        <w:spacing w:after="0"/>
        <w:tabs>
          <w:tab w:leader="none" w:pos="9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Director, Citigroup Inc. (December 2007 – October 2012)</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75" w:lineRule="exact"/>
        <w:rPr>
          <w:sz w:val="20"/>
          <w:szCs w:val="20"/>
          <w:color w:val="auto"/>
        </w:rPr>
      </w:pPr>
    </w:p>
    <w:p>
      <w:pPr>
        <w:ind w:left="960" w:hanging="381"/>
        <w:spacing w:after="0"/>
        <w:tabs>
          <w:tab w:leader="none" w:pos="9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Chairman, Fair Square Financial Holdings (2017 – present)</w:t>
      </w:r>
    </w:p>
    <w:p>
      <w:pPr>
        <w:ind w:left="960" w:hanging="381"/>
        <w:spacing w:after="0"/>
        <w:tabs>
          <w:tab w:leader="none" w:pos="9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Chairman, JM Financial Credit Solutions Ltd. (2014 – present)</w:t>
      </w:r>
    </w:p>
    <w:p>
      <w:pPr>
        <w:ind w:left="960" w:hanging="381"/>
        <w:spacing w:after="0"/>
        <w:tabs>
          <w:tab w:leader="none" w:pos="9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Member of the Board of Overseers of Columbia Business School</w:t>
      </w:r>
    </w:p>
    <w:p>
      <w:pPr>
        <w:ind w:left="960" w:hanging="381"/>
        <w:spacing w:after="0" w:line="231" w:lineRule="auto"/>
        <w:tabs>
          <w:tab w:leader="none" w:pos="9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Member of the Board of Visitors of Columbia School of Engineering</w:t>
      </w:r>
    </w:p>
    <w:p>
      <w:pPr>
        <w:ind w:left="960" w:hanging="381"/>
        <w:spacing w:after="0"/>
        <w:tabs>
          <w:tab w:leader="none" w:pos="9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Member of the Board of Trustees of Columbia Business School until 2016</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460" w:val="left"/>
          <w:tab w:leader="none" w:pos="7460" w:val="left"/>
        </w:tabs>
        <w:rPr>
          <w:sz w:val="20"/>
          <w:szCs w:val="20"/>
          <w:color w:val="auto"/>
        </w:rPr>
      </w:pPr>
      <w:r>
        <w:rPr>
          <w:rFonts w:ascii="Arial" w:cs="Arial" w:eastAsia="Arial" w:hAnsi="Arial"/>
          <w:sz w:val="15"/>
          <w:szCs w:val="15"/>
          <w:b w:val="1"/>
          <w:bCs w:val="1"/>
          <w:color w:val="FFFFFE"/>
        </w:rPr>
        <w:t>Nitin Sahney |</w:t>
        <w:tab/>
        <w:t>Director since January 2016</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65" w:lineRule="auto"/>
        <w:rPr>
          <w:sz w:val="20"/>
          <w:szCs w:val="20"/>
          <w:color w:val="auto"/>
        </w:rPr>
      </w:pPr>
      <w:r>
        <w:rPr>
          <w:rFonts w:ascii="Arial" w:cs="Arial" w:eastAsia="Arial" w:hAnsi="Arial"/>
          <w:sz w:val="15"/>
          <w:szCs w:val="15"/>
          <w:i w:val="1"/>
          <w:iCs w:val="1"/>
          <w:color w:val="auto"/>
        </w:rPr>
        <w:t>Nitin Sahney</w:t>
      </w:r>
      <w:r>
        <w:rPr>
          <w:rFonts w:ascii="Arial" w:cs="Arial" w:eastAsia="Arial" w:hAnsi="Arial"/>
          <w:sz w:val="15"/>
          <w:szCs w:val="15"/>
          <w:color w:val="auto"/>
        </w:rPr>
        <w:t>—Age: 56</w:t>
      </w:r>
      <w:r>
        <w:rPr>
          <w:rFonts w:ascii="Arial" w:cs="Arial" w:eastAsia="Arial" w:hAnsi="Arial"/>
          <w:sz w:val="12"/>
          <w:szCs w:val="12"/>
          <w:color w:val="auto"/>
        </w:rPr>
        <w:t>—is a leader in the healthcare industry with over 25 years of experience across all areas of healthcare.</w:t>
      </w:r>
      <w:r>
        <w:rPr>
          <w:rFonts w:ascii="Arial" w:cs="Arial" w:eastAsia="Arial" w:hAnsi="Arial"/>
          <w:sz w:val="15"/>
          <w:szCs w:val="15"/>
          <w:i w:val="1"/>
          <w:iCs w:val="1"/>
          <w:color w:val="auto"/>
        </w:rPr>
        <w:t xml:space="preserve"> </w:t>
      </w:r>
      <w:r>
        <w:rPr>
          <w:rFonts w:ascii="Arial" w:cs="Arial" w:eastAsia="Arial" w:hAnsi="Arial"/>
          <w:sz w:val="12"/>
          <w:szCs w:val="12"/>
          <w:color w:val="auto"/>
        </w:rPr>
        <w:t>Mr. Sahney's business experience and directorships are detailed below. The Company has concluded, based in part on Mr. Sahney's experience as CEO of Omnicare, Inc. and his expertise in the healthcare industry garnered from more than two decades of experience, that Mr. Sahney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-397510</wp:posOffset>
            </wp:positionV>
            <wp:extent cx="5488940" cy="1448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Compensation</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80" w:lineRule="exact"/>
        <w:rPr>
          <w:sz w:val="20"/>
          <w:szCs w:val="20"/>
          <w:color w:val="auto"/>
        </w:rPr>
      </w:pPr>
    </w:p>
    <w:p>
      <w:pPr>
        <w:ind w:left="960" w:right="199" w:hanging="381"/>
        <w:spacing w:after="0" w:line="235" w:lineRule="auto"/>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Founder, Member-Manager and Chief Executive Officer, Pharmacord, LLC, a company that helps biopharma manufacturers address product access hurdles (2016 – present)</w:t>
      </w:r>
    </w:p>
    <w:p>
      <w:pPr>
        <w:ind w:left="960" w:hanging="381"/>
        <w:spacing w:after="0"/>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Operating Advisor, Clayton Dubilier &amp; Rice Funds, a private equity firm (2016 – 2017)</w:t>
      </w:r>
    </w:p>
    <w:p>
      <w:pPr>
        <w:ind w:left="960" w:right="179" w:hanging="381"/>
        <w:spacing w:after="0" w:line="231" w:lineRule="auto"/>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President and CEO (2014 – 2015) and President and COO (2012 – 2014) of Omnicare Inc., a former New York Stock Exchange-listed Fortune 500 company in the long-term care and specialty care industries</w:t>
      </w:r>
    </w:p>
    <w:p>
      <w:pPr>
        <w:ind w:left="960" w:hanging="381"/>
        <w:spacing w:after="0"/>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Manager of a healthcare investment fund (2008 – 2010)</w:t>
      </w:r>
    </w:p>
    <w:p>
      <w:pPr>
        <w:ind w:left="960" w:hanging="381"/>
        <w:spacing w:after="0"/>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Founder and CEO of RxCrossroads, a specialty pharmaceutical company (2001 – 2007)</w:t>
      </w:r>
    </w:p>
    <w:p>
      <w:pPr>
        <w:ind w:left="960" w:hanging="381"/>
        <w:spacing w:after="0"/>
        <w:tabs>
          <w:tab w:leader="none" w:pos="9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Prior leadership positions with Cardinal Healthcare, a global healthcare services and products company</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84" w:lineRule="exact"/>
        <w:rPr>
          <w:sz w:val="20"/>
          <w:szCs w:val="20"/>
          <w:color w:val="auto"/>
        </w:rPr>
      </w:pPr>
    </w:p>
    <w:p>
      <w:pPr>
        <w:ind w:left="960" w:hanging="381"/>
        <w:spacing w:after="0"/>
        <w:tabs>
          <w:tab w:leader="none" w:pos="9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Director, Option Care Enterprises, Inc. (2019 – present)</w:t>
      </w:r>
    </w:p>
    <w:p>
      <w:pPr>
        <w:ind w:left="960" w:hanging="381"/>
        <w:spacing w:after="0"/>
        <w:tabs>
          <w:tab w:leader="none" w:pos="9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Member of the Board of Trustees, University of Louisville (2017 – present)</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5" w:name="page16"/>
    <w:bookmarkEnd w:id="15"/>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40"/>
        <w:spacing w:after="0"/>
        <w:tabs>
          <w:tab w:leader="none" w:pos="1740" w:val="left"/>
          <w:tab w:leader="none" w:pos="7460" w:val="left"/>
        </w:tabs>
        <w:rPr>
          <w:sz w:val="20"/>
          <w:szCs w:val="20"/>
          <w:color w:val="auto"/>
        </w:rPr>
      </w:pPr>
      <w:r>
        <w:rPr>
          <w:rFonts w:ascii="Arial" w:cs="Arial" w:eastAsia="Arial" w:hAnsi="Arial"/>
          <w:sz w:val="15"/>
          <w:szCs w:val="15"/>
          <w:b w:val="1"/>
          <w:bCs w:val="1"/>
          <w:color w:val="FFFFFE"/>
        </w:rPr>
        <w:t>Garen K. Staglin |</w:t>
        <w:tab/>
        <w:t>Director since June 2005, Chairman of the Board since February 2014</w:t>
      </w:r>
      <w:r>
        <w:rPr>
          <w:sz w:val="20"/>
          <w:szCs w:val="20"/>
          <w:color w:val="auto"/>
        </w:rPr>
        <w:tab/>
      </w:r>
      <w:r>
        <w:rPr>
          <w:rFonts w:ascii="Arial" w:cs="Arial" w:eastAsia="Arial" w:hAnsi="Arial"/>
          <w:sz w:val="15"/>
          <w:szCs w:val="15"/>
          <w:b w:val="1"/>
          <w:bCs w:val="1"/>
          <w:color w:val="FFFFFE"/>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-94615</wp:posOffset>
            </wp:positionV>
            <wp:extent cx="5482590" cy="1098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2590" cy="109855"/>
                    </a:xfrm>
                    <a:prstGeom prst="rect">
                      <a:avLst/>
                    </a:prstGeom>
                    <a:noFill/>
                  </pic:spPr>
                </pic:pic>
              </a:graphicData>
            </a:graphic>
          </wp:anchor>
        </w:drawing>
      </w:r>
    </w:p>
    <w:p>
      <w:pPr>
        <w:spacing w:after="0" w:line="272" w:lineRule="exact"/>
        <w:rPr>
          <w:sz w:val="20"/>
          <w:szCs w:val="20"/>
          <w:color w:val="auto"/>
        </w:rPr>
      </w:pPr>
    </w:p>
    <w:p>
      <w:pPr>
        <w:jc w:val="both"/>
        <w:ind w:left="1560" w:right="199"/>
        <w:spacing w:after="0" w:line="246" w:lineRule="auto"/>
        <w:rPr>
          <w:sz w:val="20"/>
          <w:szCs w:val="20"/>
          <w:color w:val="auto"/>
        </w:rPr>
      </w:pPr>
      <w:r>
        <w:rPr>
          <w:rFonts w:ascii="Arial" w:cs="Arial" w:eastAsia="Arial" w:hAnsi="Arial"/>
          <w:sz w:val="15"/>
          <w:szCs w:val="15"/>
          <w:i w:val="1"/>
          <w:iCs w:val="1"/>
          <w:color w:val="auto"/>
        </w:rPr>
        <w:t>Garen K. Staglin</w:t>
      </w:r>
      <w:r>
        <w:rPr>
          <w:rFonts w:ascii="Arial" w:cs="Arial" w:eastAsia="Arial" w:hAnsi="Arial"/>
          <w:sz w:val="15"/>
          <w:szCs w:val="15"/>
          <w:color w:val="auto"/>
        </w:rPr>
        <w:t>—Age: 74</w:t>
      </w:r>
      <w:r>
        <w:rPr>
          <w:rFonts w:ascii="Arial" w:cs="Arial" w:eastAsia="Arial" w:hAnsi="Arial"/>
          <w:sz w:val="12"/>
          <w:szCs w:val="12"/>
          <w:color w:val="auto"/>
        </w:rPr>
        <w:t>—has over 40 years of experience in the financial services and technology industries. Mr. Staglin's</w:t>
      </w:r>
      <w:r>
        <w:rPr>
          <w:rFonts w:ascii="Arial" w:cs="Arial" w:eastAsia="Arial" w:hAnsi="Arial"/>
          <w:sz w:val="15"/>
          <w:szCs w:val="15"/>
          <w:i w:val="1"/>
          <w:iCs w:val="1"/>
          <w:color w:val="auto"/>
        </w:rPr>
        <w:t xml:space="preserve"> </w:t>
      </w:r>
      <w:r>
        <w:rPr>
          <w:rFonts w:ascii="Arial" w:cs="Arial" w:eastAsia="Arial" w:hAnsi="Arial"/>
          <w:sz w:val="12"/>
          <w:szCs w:val="12"/>
          <w:color w:val="auto"/>
        </w:rPr>
        <w:t>business experience and directorships are detailed below. The Company has concluded, based in part on Mr. Staglin's experience in the financial services and technology industries and his past experience as a member of public company boards of directors, that Mr. Staglin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-390525</wp:posOffset>
            </wp:positionV>
            <wp:extent cx="5488940" cy="1448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8894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Nominating and Corporate Governance</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Business Experience</w:t>
      </w:r>
    </w:p>
    <w:p>
      <w:pPr>
        <w:spacing w:after="0" w:line="175" w:lineRule="exact"/>
        <w:rPr>
          <w:sz w:val="20"/>
          <w:szCs w:val="20"/>
          <w:color w:val="auto"/>
        </w:rPr>
      </w:pPr>
    </w:p>
    <w:p>
      <w:pPr>
        <w:ind w:left="960" w:hanging="381"/>
        <w:spacing w:after="0"/>
        <w:tabs>
          <w:tab w:leader="none" w:pos="9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Chief Executive Officer of eONE Global LP, an emerging payments company (2001 – 2004)</w:t>
      </w:r>
    </w:p>
    <w:p>
      <w:pPr>
        <w:ind w:left="960" w:hanging="381"/>
        <w:spacing w:after="0"/>
        <w:tabs>
          <w:tab w:leader="none" w:pos="9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Chief Executive Officer of Safelite Auto Glass, a provider of glass claim solutions (1993 – 1999)</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Public Directorships during Past Five Years</w:t>
      </w:r>
    </w:p>
    <w:p>
      <w:pPr>
        <w:spacing w:after="0" w:line="189" w:lineRule="exact"/>
        <w:rPr>
          <w:sz w:val="20"/>
          <w:szCs w:val="20"/>
          <w:color w:val="auto"/>
        </w:rPr>
      </w:pPr>
    </w:p>
    <w:p>
      <w:pPr>
        <w:ind w:left="960" w:right="199" w:hanging="381"/>
        <w:spacing w:after="0" w:line="235" w:lineRule="auto"/>
        <w:tabs>
          <w:tab w:leader="none" w:pos="9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Director, chairman of the compensation and member of the governance committee, SVB Financial Group (NASDAQ:SIVB), a financial services provider (2011 – present)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Directorships</w:t>
      </w:r>
    </w:p>
    <w:p>
      <w:pPr>
        <w:spacing w:after="0" w:line="175" w:lineRule="exact"/>
        <w:rPr>
          <w:sz w:val="20"/>
          <w:szCs w:val="20"/>
          <w:color w:val="auto"/>
        </w:rPr>
      </w:pPr>
    </w:p>
    <w:p>
      <w:pPr>
        <w:ind w:left="960" w:hanging="381"/>
        <w:spacing w:after="0"/>
        <w:tabs>
          <w:tab w:leader="none" w:pos="9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Senior Advisor and Advisory Director, FTV Capital, a private global investment company (2004 – present)</w:t>
      </w:r>
    </w:p>
    <w:p>
      <w:pPr>
        <w:ind w:left="960" w:hanging="381"/>
        <w:spacing w:after="0"/>
        <w:tabs>
          <w:tab w:leader="none" w:pos="9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Vice Chairman, Profit Velocity Solutions, a manufacturing analytics firm (2007 – present)</w:t>
      </w:r>
    </w:p>
    <w:p>
      <w:pPr>
        <w:ind w:left="960" w:hanging="381"/>
        <w:spacing w:after="0"/>
        <w:tabs>
          <w:tab w:leader="none" w:pos="9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Chairman, Nvoice Payments, an electronic payment service provider (2010 – present)</w:t>
      </w:r>
    </w:p>
    <w:p>
      <w:pPr>
        <w:ind w:left="960" w:hanging="381"/>
        <w:spacing w:after="0" w:line="231" w:lineRule="auto"/>
        <w:tabs>
          <w:tab w:leader="none" w:pos="9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Advisory Director, Specialized Bicycle, a manufacturer of cycling equipment (1995 – 2014)</w:t>
      </w:r>
    </w:p>
    <w:p>
      <w:pPr>
        <w:jc w:val="both"/>
        <w:ind w:left="960" w:right="179" w:hanging="381"/>
        <w:spacing w:after="0" w:line="233" w:lineRule="auto"/>
        <w:tabs>
          <w:tab w:leader="none" w:pos="9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Other directorships completed prior to 2014 include: Bottomline Technologies, a provider of payment and invoice automation software and services (2007 – 2012); Solera Holdings, a public automotive insurance software service provider (2005 – 2011); First Data Corporation, a payments solutions provider (1992 – 2003); and Global Document Solutions, a private document processing outsourcing company (2005 – 2010)</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Relevant Experience</w:t>
      </w:r>
    </w:p>
    <w:p>
      <w:pPr>
        <w:spacing w:after="0" w:line="184" w:lineRule="exact"/>
        <w:rPr>
          <w:sz w:val="20"/>
          <w:szCs w:val="20"/>
          <w:color w:val="auto"/>
        </w:rPr>
      </w:pPr>
    </w:p>
    <w:p>
      <w:pPr>
        <w:ind w:left="960" w:hanging="381"/>
        <w:spacing w:after="0"/>
        <w:tabs>
          <w:tab w:leader="none" w:pos="9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Co-Founder and Co-Chairman, One Mind (1995 – present)</w:t>
      </w:r>
    </w:p>
    <w:p>
      <w:pPr>
        <w:ind w:left="960" w:hanging="381"/>
        <w:spacing w:after="0" w:line="231" w:lineRule="auto"/>
        <w:tabs>
          <w:tab w:leader="none" w:pos="9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Founder and President, BringChange2Mind (2009 – 2014)</w:t>
      </w:r>
    </w:p>
    <w:p>
      <w:pPr>
        <w:ind w:left="960" w:hanging="381"/>
        <w:spacing w:after="0"/>
        <w:tabs>
          <w:tab w:leader="none" w:pos="9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Co-Chairman, UCLA Centennial Capital Campaign (2014 – present)</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CORPORATE GOVERNANCE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Director Independence</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In determining director independence, the board of directors considered the transactions and relationships set forth below under "Certain Relationships and Related Person Transactions—Related Party Transactions." Based on its review of all applicable relationships, our board of directors has determined that all of the members on our board of directors, other than Mr. Kapoor, meet the independence requirements of the Nasdaq Stock Market and federal securities laws.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210185</wp:posOffset>
            </wp:positionV>
            <wp:extent cx="1968500" cy="629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0" cy="629285"/>
                    </a:xfrm>
                    <a:prstGeom prst="rect">
                      <a:avLst/>
                    </a:prstGeom>
                    <a:noFill/>
                  </pic:spPr>
                </pic:pic>
              </a:graphicData>
            </a:graphic>
          </wp:anchor>
        </w:drawing>
      </w:r>
    </w:p>
    <w:p>
      <w:pPr>
        <w:spacing w:after="0" w:line="314" w:lineRule="exact"/>
        <w:rPr>
          <w:sz w:val="20"/>
          <w:szCs w:val="20"/>
          <w:color w:val="auto"/>
        </w:rPr>
      </w:pPr>
    </w:p>
    <w:p>
      <w:pPr>
        <w:jc w:val="both"/>
        <w:ind w:left="200" w:right="4759"/>
        <w:spacing w:after="0" w:line="232" w:lineRule="auto"/>
        <w:rPr>
          <w:sz w:val="20"/>
          <w:szCs w:val="20"/>
          <w:color w:val="auto"/>
        </w:rPr>
      </w:pPr>
      <w:r>
        <w:rPr>
          <w:rFonts w:ascii="Arial" w:cs="Arial" w:eastAsia="Arial" w:hAnsi="Arial"/>
          <w:sz w:val="13"/>
          <w:szCs w:val="13"/>
          <w:color w:val="auto"/>
        </w:rPr>
        <w:t>Our directors are expected to attend all board of directors meetings and meetings of committees on which they serve. Directors are also expected to spend sufficient time and meet as frequently as necessary to discharge their responsibilities properly. Each member of our board of directors attended at least 75% of the aggregate meetings of our board of directors and the committees on which they served during 2018. It is our policy that all of our directors should attend our Annual Meetings of Stockholders absent exceptional cause. All of the persons who were members of the board of directors at the time of our 2018 Annual Meeting of Stockholders attended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-191135</wp:posOffset>
            </wp:positionV>
            <wp:extent cx="1968500" cy="440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0" cy="44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Board Leadership Structure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Our board of directors is currently led by Garen K. Staglin, our Chairman, and Rohit Kapoor, our Vice Chairman and CEO.</w:t>
      </w:r>
    </w:p>
    <w:p>
      <w:pPr>
        <w:spacing w:after="0" w:line="149" w:lineRule="exact"/>
        <w:rPr>
          <w:sz w:val="20"/>
          <w:szCs w:val="20"/>
          <w:color w:val="auto"/>
        </w:rPr>
      </w:pPr>
    </w:p>
    <w:p>
      <w:pPr>
        <w:jc w:val="both"/>
        <w:ind w:left="3960" w:right="179"/>
        <w:spacing w:after="0" w:line="273" w:lineRule="auto"/>
        <w:rPr>
          <w:sz w:val="20"/>
          <w:szCs w:val="20"/>
          <w:color w:val="auto"/>
        </w:rPr>
      </w:pPr>
      <w:r>
        <w:rPr>
          <w:rFonts w:ascii="Arial" w:cs="Arial" w:eastAsia="Arial" w:hAnsi="Arial"/>
          <w:sz w:val="11"/>
          <w:szCs w:val="11"/>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and our CEO, a majority of our directors present may elect as chairman of the meeting any director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-512445</wp:posOffset>
            </wp:positionV>
            <wp:extent cx="2298065" cy="4584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98065" cy="458470"/>
                    </a:xfrm>
                    <a:prstGeom prst="rect">
                      <a:avLst/>
                    </a:prstGeom>
                    <a:noFill/>
                  </pic:spPr>
                </pic:pic>
              </a:graphicData>
            </a:graphic>
          </wp:anchor>
        </w:drawing>
      </w:r>
    </w:p>
    <w:p>
      <w:pPr>
        <w:jc w:val="both"/>
        <w:ind w:left="200" w:right="179"/>
        <w:spacing w:after="0" w:line="234" w:lineRule="auto"/>
        <w:rPr>
          <w:sz w:val="20"/>
          <w:szCs w:val="20"/>
          <w:color w:val="auto"/>
        </w:rPr>
      </w:pPr>
      <w:r>
        <w:rPr>
          <w:rFonts w:ascii="Arial" w:cs="Arial" w:eastAsia="Arial" w:hAnsi="Arial"/>
          <w:sz w:val="13"/>
          <w:szCs w:val="13"/>
          <w:color w:val="auto"/>
        </w:rPr>
        <w:t>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5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w:t>
      </w:r>
    </w:p>
    <w:p>
      <w:pPr>
        <w:sectPr>
          <w:pgSz w:w="11900" w:h="16838" w:orient="portrait"/>
          <w:cols w:equalWidth="0" w:num="1">
            <w:col w:w="9019"/>
          </w:cols>
          <w:pgMar w:left="1440" w:top="296" w:right="1440" w:bottom="748"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748" w:gutter="0" w:footer="0" w:header="0"/>
          <w:type w:val="continuous"/>
        </w:sectPr>
      </w:pPr>
    </w:p>
    <w:bookmarkStart w:id="16" w:name="page17"/>
    <w:bookmarkEnd w:id="16"/>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84" w:lineRule="auto"/>
        <w:rPr>
          <w:sz w:val="20"/>
          <w:szCs w:val="20"/>
          <w:color w:val="auto"/>
        </w:rPr>
      </w:pPr>
      <w:r>
        <w:rPr>
          <w:rFonts w:ascii="Arial" w:cs="Arial" w:eastAsia="Arial" w:hAnsi="Arial"/>
          <w:sz w:val="11"/>
          <w:szCs w:val="11"/>
          <w:color w:val="auto"/>
        </w:rPr>
        <w:t>of responsibilities, such that our Chairman and our Vice Chairman and CEO may each successfully and effectively perform and discharge their respective duties and, as a corollary, enhance our prospects for success. As a result, the Company will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 For the foregoing reasons, our board of directors has determined that its leadership structure is appropriate and in the best interests of our stockholders at this time.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Majority Voting in Director Elections</w:t>
      </w:r>
    </w:p>
    <w:p>
      <w:pPr>
        <w:spacing w:after="0" w:line="180" w:lineRule="exact"/>
        <w:rPr>
          <w:sz w:val="20"/>
          <w:szCs w:val="20"/>
          <w:color w:val="auto"/>
        </w:rPr>
      </w:pPr>
    </w:p>
    <w:p>
      <w:pPr>
        <w:jc w:val="both"/>
        <w:ind w:left="200" w:right="179"/>
        <w:spacing w:after="0" w:line="282" w:lineRule="auto"/>
        <w:rPr>
          <w:sz w:val="20"/>
          <w:szCs w:val="20"/>
          <w:color w:val="auto"/>
        </w:rPr>
      </w:pPr>
      <w:r>
        <w:rPr>
          <w:rFonts w:ascii="Arial" w:cs="Arial" w:eastAsia="Arial" w:hAnsi="Arial"/>
          <w:sz w:val="11"/>
          <w:szCs w:val="11"/>
          <w:color w:val="auto"/>
        </w:rPr>
        <w:t>Under our by-laws, directors who are standing for election in an uncontested election are elected by the affirmative vote of a majority of votes cast (meaning the number of shares voted "for" a nominee must exceed the number of shares voted "against" such nominee) in person or represented by proxy and entitled to vote at the meeting. If any incumbent nominee for director in an uncontested election receives a greater number of votes "against" his or her election than votes "for" such election, our by-laws provide that such person shall tender to the board of directors his or her resignation as a director. (In contested elections, directors will be elected by the affirmative vote of a plurality of votes cast in person or represented by proxy and entitled to vote at the Annual Meeting.) An uncontested election means an election in which the number of nominees for director is not greater than the number to be elected.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Committees</w:t>
      </w:r>
    </w:p>
    <w:p>
      <w:pPr>
        <w:spacing w:after="0" w:line="18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Our board of directors currently has three standing committees: the Audit Committee, the Nominating and Governance Committee and the Compensation Committee.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-85725</wp:posOffset>
            </wp:positionV>
            <wp:extent cx="1906905" cy="2004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6905" cy="2004695"/>
                    </a:xfrm>
                    <a:prstGeom prst="rect">
                      <a:avLst/>
                    </a:prstGeom>
                    <a:noFill/>
                  </pic:spPr>
                </pic:pic>
              </a:graphicData>
            </a:graphic>
          </wp:anchor>
        </w:drawing>
      </w:r>
    </w:p>
    <w:p>
      <w:pPr>
        <w:spacing w:after="0" w:line="145" w:lineRule="exact"/>
        <w:rPr>
          <w:sz w:val="20"/>
          <w:szCs w:val="20"/>
          <w:color w:val="auto"/>
        </w:rPr>
      </w:pPr>
    </w:p>
    <w:p>
      <w:pPr>
        <w:jc w:val="both"/>
        <w:ind w:left="200" w:right="3559"/>
        <w:spacing w:after="0" w:line="232" w:lineRule="auto"/>
        <w:rPr>
          <w:sz w:val="20"/>
          <w:szCs w:val="20"/>
          <w:color w:val="auto"/>
        </w:rPr>
      </w:pPr>
      <w:r>
        <w:rPr>
          <w:rFonts w:ascii="Arial" w:cs="Arial" w:eastAsia="Arial" w:hAnsi="Arial"/>
          <w:sz w:val="13"/>
          <w:szCs w:val="13"/>
          <w:color w:val="auto"/>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w:t>
      </w:r>
    </w:p>
    <w:p>
      <w:pPr>
        <w:spacing w:after="0" w:line="153" w:lineRule="exact"/>
        <w:rPr>
          <w:sz w:val="20"/>
          <w:szCs w:val="20"/>
          <w:color w:val="auto"/>
        </w:rPr>
      </w:pPr>
    </w:p>
    <w:p>
      <w:pPr>
        <w:jc w:val="both"/>
        <w:ind w:left="200" w:right="3359"/>
        <w:spacing w:after="0" w:line="233" w:lineRule="auto"/>
        <w:rPr>
          <w:sz w:val="20"/>
          <w:szCs w:val="20"/>
          <w:color w:val="auto"/>
        </w:rPr>
      </w:pPr>
      <w:r>
        <w:rPr>
          <w:rFonts w:ascii="Arial" w:cs="Arial" w:eastAsia="Arial" w:hAnsi="Arial"/>
          <w:sz w:val="13"/>
          <w:szCs w:val="13"/>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637540</wp:posOffset>
            </wp:positionV>
            <wp:extent cx="1894840" cy="318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484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Audit Committee was established in accordance with Section 3(a)(58)(A) of the Securities Exchange Act of 1934 (the "Exchange Act"). Our Audit Committee annually reviews and assesses the adequacy of the Audit Committee charter and its own performance. A copy of our Audit Committee charter can be found on our website at www.exlservice.com. Information on our website referred to in this proxy statement does not constitute a part of this proxy statement.</w:t>
      </w:r>
    </w:p>
    <w:p>
      <w:pPr>
        <w:spacing w:after="0" w:line="151"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103505</wp:posOffset>
            </wp:positionV>
            <wp:extent cx="1894840" cy="13938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4840" cy="1393825"/>
                    </a:xfrm>
                    <a:prstGeom prst="rect">
                      <a:avLst/>
                    </a:prstGeom>
                    <a:noFill/>
                  </pic:spPr>
                </pic:pic>
              </a:graphicData>
            </a:graphic>
          </wp:anchor>
        </w:drawing>
      </w:r>
    </w:p>
    <w:p>
      <w:pPr>
        <w:spacing w:after="0" w:line="145" w:lineRule="exact"/>
        <w:rPr>
          <w:sz w:val="20"/>
          <w:szCs w:val="20"/>
          <w:color w:val="auto"/>
        </w:rPr>
      </w:pPr>
    </w:p>
    <w:p>
      <w:pPr>
        <w:jc w:val="both"/>
        <w:ind w:left="200" w:right="3339"/>
        <w:spacing w:after="0" w:line="233" w:lineRule="auto"/>
        <w:rPr>
          <w:sz w:val="20"/>
          <w:szCs w:val="20"/>
          <w:color w:val="auto"/>
        </w:rPr>
      </w:pPr>
      <w:r>
        <w:rPr>
          <w:rFonts w:ascii="Arial" w:cs="Arial" w:eastAsia="Arial" w:hAnsi="Arial"/>
          <w:sz w:val="13"/>
          <w:szCs w:val="13"/>
          <w:color w:val="auto"/>
        </w:rPr>
        <w:t>Our Nominating and Governance Committee is responsible for: (i) identifying and recommending candidates for election to our board of directors using selection criteria approved by our board of directors, (ii) developing and recommending to our board of directors Corporate Governance Guidelines that are applicable to us, and (iii) overseeing our board of director and management evaluations. A copy of our Nominating and Governance Committee charter can be found on our website at www.exlservice.com.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937260</wp:posOffset>
            </wp:positionV>
            <wp:extent cx="1894840" cy="3181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9484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3320" w:right="179"/>
        <w:spacing w:after="0" w:line="273" w:lineRule="auto"/>
        <w:rPr>
          <w:sz w:val="20"/>
          <w:szCs w:val="20"/>
          <w:color w:val="auto"/>
        </w:rPr>
      </w:pPr>
      <w:r>
        <w:rPr>
          <w:rFonts w:ascii="Arial" w:cs="Arial" w:eastAsia="Arial" w:hAnsi="Arial"/>
          <w:sz w:val="11"/>
          <w:szCs w:val="11"/>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320</w:t>
      </w:r>
    </w:p>
    <w:p>
      <w:pPr>
        <w:spacing w:after="0" w:line="1" w:lineRule="exact"/>
        <w:rPr>
          <w:sz w:val="20"/>
          <w:szCs w:val="20"/>
          <w:color w:val="auto"/>
        </w:rPr>
      </w:pPr>
    </w:p>
    <w:p>
      <w:pPr>
        <w:jc w:val="right"/>
        <w:ind w:left="200" w:right="179"/>
        <w:spacing w:after="0" w:line="209" w:lineRule="auto"/>
        <w:rPr>
          <w:sz w:val="20"/>
          <w:szCs w:val="20"/>
          <w:color w:val="auto"/>
        </w:rPr>
      </w:pPr>
      <w:r>
        <w:rPr>
          <w:rFonts w:ascii="Arial" w:cs="Arial" w:eastAsia="Arial" w:hAnsi="Arial"/>
          <w:sz w:val="13"/>
          <w:szCs w:val="13"/>
          <w:color w:val="auto"/>
        </w:rPr>
        <w:t>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w:t>
      </w:r>
    </w:p>
    <w:p>
      <w:pPr>
        <w:spacing w:after="0" w:line="2"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51" w:lineRule="exact"/>
        <w:rPr>
          <w:sz w:val="20"/>
          <w:szCs w:val="20"/>
          <w:color w:val="auto"/>
        </w:rPr>
      </w:pPr>
    </w:p>
    <w:p>
      <w:pPr>
        <w:jc w:val="both"/>
        <w:ind w:left="200" w:right="179"/>
        <w:spacing w:after="0" w:line="317" w:lineRule="auto"/>
        <w:rPr>
          <w:sz w:val="20"/>
          <w:szCs w:val="20"/>
          <w:color w:val="auto"/>
        </w:rPr>
      </w:pPr>
      <w:r>
        <w:rPr>
          <w:rFonts w:ascii="Arial" w:cs="Arial" w:eastAsia="Arial" w:hAnsi="Arial"/>
          <w:sz w:val="11"/>
          <w:szCs w:val="11"/>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09"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Although our Nominating and Governance Committee does not have a formal policy with regard to diversity of board members, pursuant to our Corporate Governance Guidelines, our</w:t>
      </w:r>
    </w:p>
    <w:p>
      <w:pPr>
        <w:sectPr>
          <w:pgSz w:w="11900" w:h="16838" w:orient="portrait"/>
          <w:cols w:equalWidth="0" w:num="1">
            <w:col w:w="9019"/>
          </w:cols>
          <w:pgMar w:left="1440" w:top="296"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17" w:name="page18"/>
    <w:bookmarkEnd w:id="17"/>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The Nominating and Governance Committee also oversees our director onboarding and training program, which provides new directors with training regarding the Company's policies and procedures and specific requirements that may be needed based on the director's committee memberships. Our Nominating and Governance Committee annually reviews and assesses the adequacy of the Nominating and Governance Committee charter and its own performance.</w:t>
      </w:r>
    </w:p>
    <w:p>
      <w:pPr>
        <w:spacing w:after="0" w:line="153" w:lineRule="exact"/>
        <w:rPr>
          <w:sz w:val="20"/>
          <w:szCs w:val="20"/>
          <w:color w:val="auto"/>
        </w:rPr>
      </w:pPr>
    </w:p>
    <w:p>
      <w:pPr>
        <w:jc w:val="both"/>
        <w:ind w:left="200" w:right="179"/>
        <w:spacing w:after="0" w:line="317" w:lineRule="auto"/>
        <w:rPr>
          <w:sz w:val="20"/>
          <w:szCs w:val="20"/>
          <w:color w:val="auto"/>
        </w:rPr>
      </w:pPr>
      <w:r>
        <w:rPr>
          <w:rFonts w:ascii="Arial" w:cs="Arial" w:eastAsia="Arial" w:hAnsi="Arial"/>
          <w:sz w:val="11"/>
          <w:szCs w:val="11"/>
          <w:color w:val="auto"/>
        </w:rPr>
        <w:t>The members of our Nominating and Governance Committee are appointed by our board of directors. Our board of directors has determined that all of the members of the Nominating and Governance Committee meet the independence requirements of the Nasdaq Stock Market and federal securities laws.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103505</wp:posOffset>
            </wp:positionV>
            <wp:extent cx="2225040" cy="128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5040" cy="1283335"/>
                    </a:xfrm>
                    <a:prstGeom prst="rect">
                      <a:avLst/>
                    </a:prstGeom>
                    <a:noFill/>
                  </pic:spPr>
                </pic:pic>
              </a:graphicData>
            </a:graphic>
          </wp:anchor>
        </w:drawing>
      </w:r>
    </w:p>
    <w:p>
      <w:pPr>
        <w:spacing w:after="0" w:line="145" w:lineRule="exact"/>
        <w:rPr>
          <w:sz w:val="20"/>
          <w:szCs w:val="20"/>
          <w:color w:val="auto"/>
        </w:rPr>
      </w:pPr>
    </w:p>
    <w:p>
      <w:pPr>
        <w:jc w:val="both"/>
        <w:ind w:left="200" w:right="3819"/>
        <w:spacing w:after="0" w:line="233" w:lineRule="auto"/>
        <w:rPr>
          <w:sz w:val="20"/>
          <w:szCs w:val="20"/>
          <w:color w:val="auto"/>
        </w:rPr>
      </w:pPr>
      <w:r>
        <w:rPr>
          <w:rFonts w:ascii="Arial" w:cs="Arial" w:eastAsia="Arial" w:hAnsi="Arial"/>
          <w:sz w:val="13"/>
          <w:szCs w:val="13"/>
          <w:color w:val="auto"/>
        </w:rPr>
        <w:t>Our Compensation Committee reviews and recommends policies relating to compensation and benefits of 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826770</wp:posOffset>
            </wp:positionV>
            <wp:extent cx="1894840" cy="318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484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320" w:right="179"/>
        <w:spacing w:after="0" w:line="233" w:lineRule="auto"/>
        <w:rPr>
          <w:sz w:val="20"/>
          <w:szCs w:val="20"/>
          <w:color w:val="auto"/>
        </w:rPr>
      </w:pPr>
      <w:r>
        <w:rPr>
          <w:rFonts w:ascii="Arial" w:cs="Arial" w:eastAsia="Arial" w:hAnsi="Arial"/>
          <w:sz w:val="13"/>
          <w:szCs w:val="13"/>
          <w:color w:val="auto"/>
        </w:rPr>
        <w:t>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150"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Our Compensation Committee charter also permits the committee to retain advisors, consultants or other professionals to assist the Compensation Committee to evaluate director, Vice Chairman and CEO or other senior executive compensation and to carry out its duties. For 2018, our Compensation Committee retained the services of Frederick W. Cook &amp; Co., Inc. ("FW Cook"), a qualified and independent compensation consultant, to aid the Compensation Committee in performing its review of executive compensation including executive compensation benchmarking and peer group analysis.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Discussion and Analysis below. A copy of our Compensation Committee charter can be found on our website at www.exlservice.com.</w:t>
      </w:r>
    </w:p>
    <w:p>
      <w:pPr>
        <w:spacing w:after="0" w:line="149"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Risk Oversight</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51" w:lineRule="exact"/>
        <w:rPr>
          <w:sz w:val="20"/>
          <w:szCs w:val="20"/>
          <w:color w:val="auto"/>
        </w:rPr>
      </w:pPr>
    </w:p>
    <w:p>
      <w:pPr>
        <w:jc w:val="both"/>
        <w:ind w:left="4140" w:right="179"/>
        <w:spacing w:after="0" w:line="277" w:lineRule="auto"/>
        <w:rPr>
          <w:sz w:val="20"/>
          <w:szCs w:val="20"/>
          <w:color w:val="auto"/>
        </w:rPr>
      </w:pPr>
      <w:r>
        <w:rPr>
          <w:rFonts w:ascii="Arial" w:cs="Arial" w:eastAsia="Arial" w:hAnsi="Arial"/>
          <w:sz w:val="11"/>
          <w:szCs w:val="11"/>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-909320</wp:posOffset>
            </wp:positionV>
            <wp:extent cx="2420620" cy="922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0620" cy="922655"/>
                    </a:xfrm>
                    <a:prstGeom prst="rect">
                      <a:avLst/>
                    </a:prstGeom>
                    <a:noFill/>
                  </pic:spPr>
                </pic:pic>
              </a:graphicData>
            </a:graphic>
          </wp:anchor>
        </w:drawing>
      </w:r>
    </w:p>
    <w:p>
      <w:pPr>
        <w:spacing w:after="0" w:line="108"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150"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In addition, we maintain Risk Appetite Guidelines that describe certain categories of risk and qualitative and quantitative thresholds considered by the Company to be consistent with its strategic objectives. These guidelines are designed to serve as a reference in assessing and implementing strategy, and to be actionable by management such that they are meaningful from an operational perspective.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Compensation Committee Interlocks and Insider Participation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Ms. Kerr, Ms. Minto, Mr. Mittal, Mr. Ostler, Mr. Staglin and Ms. Studenmund are the members of our Compensation Committee.</w:t>
      </w:r>
    </w:p>
    <w:p>
      <w:pPr>
        <w:spacing w:after="0" w:line="149"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During 2018, none of our executive officers served as a member of the board of directors or compensation committee of any entity that has one or more executive officers who serve on our board of directors or Compensation Committee.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Other Directorships</w:t>
      </w:r>
    </w:p>
    <w:p>
      <w:pPr>
        <w:spacing w:after="0" w:line="18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The Board maintains a practice whereby our directors disclose to the Board any offers to be a director of any other organization, which is then evaluated by the Board for potential business and other conflicts.</w:t>
      </w:r>
    </w:p>
    <w:p>
      <w:pPr>
        <w:sectPr>
          <w:pgSz w:w="11900" w:h="16838" w:orient="portrait"/>
          <w:cols w:equalWidth="0" w:num="1">
            <w:col w:w="9019"/>
          </w:cols>
          <w:pgMar w:left="1440" w:top="296"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18" w:name="page19"/>
    <w:bookmarkEnd w:id="18"/>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Code of Conduct and Ethics; Corporate Governance Guidelines</w:t>
      </w:r>
    </w:p>
    <w:p>
      <w:pPr>
        <w:spacing w:after="0" w:line="18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A copy of our Code of Conduct and Ethics can be found on our website at www.exlservice.com.</w:t>
      </w:r>
    </w:p>
    <w:p>
      <w:pPr>
        <w:spacing w:after="0" w:line="151"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Communications with the Board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Stockholders interested in contacting our board of directors, our Chairman or any individual director are invited to do so by writing to:</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Board of Directors of ExlService Holdings, Inc.</w:t>
      </w:r>
    </w:p>
    <w:p>
      <w:pPr>
        <w:ind w:left="960"/>
        <w:spacing w:after="0" w:line="231" w:lineRule="auto"/>
        <w:rPr>
          <w:sz w:val="20"/>
          <w:szCs w:val="20"/>
          <w:color w:val="auto"/>
        </w:rPr>
      </w:pPr>
      <w:r>
        <w:rPr>
          <w:rFonts w:ascii="Arial" w:cs="Arial" w:eastAsia="Arial" w:hAnsi="Arial"/>
          <w:sz w:val="13"/>
          <w:szCs w:val="13"/>
          <w:color w:val="auto"/>
        </w:rPr>
        <w:t>c/o Corporate Secretary</w:t>
      </w:r>
    </w:p>
    <w:p>
      <w:pPr>
        <w:ind w:left="960"/>
        <w:spacing w:after="0" w:line="232" w:lineRule="auto"/>
        <w:rPr>
          <w:sz w:val="20"/>
          <w:szCs w:val="20"/>
          <w:color w:val="auto"/>
        </w:rPr>
      </w:pPr>
      <w:r>
        <w:rPr>
          <w:rFonts w:ascii="Arial" w:cs="Arial" w:eastAsia="Arial" w:hAnsi="Arial"/>
          <w:sz w:val="13"/>
          <w:szCs w:val="13"/>
          <w:color w:val="auto"/>
        </w:rPr>
        <w:t>ExlService Holdings, Inc.</w:t>
      </w:r>
    </w:p>
    <w:p>
      <w:pPr>
        <w:ind w:left="960"/>
        <w:spacing w:after="0" w:line="181" w:lineRule="auto"/>
        <w:rPr>
          <w:sz w:val="20"/>
          <w:szCs w:val="20"/>
          <w:color w:val="auto"/>
        </w:rPr>
      </w:pPr>
      <w:r>
        <w:rPr>
          <w:rFonts w:ascii="Arial" w:cs="Arial" w:eastAsia="Arial" w:hAnsi="Arial"/>
          <w:sz w:val="13"/>
          <w:szCs w:val="13"/>
          <w:color w:val="auto"/>
        </w:rPr>
        <w:t>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w:t>
      </w:r>
    </w:p>
    <w:p>
      <w:pPr>
        <w:ind w:left="960"/>
        <w:spacing w:after="0"/>
        <w:rPr>
          <w:sz w:val="20"/>
          <w:szCs w:val="20"/>
          <w:color w:val="auto"/>
        </w:rPr>
      </w:pPr>
      <w:r>
        <w:rPr>
          <w:rFonts w:ascii="Arial" w:cs="Arial" w:eastAsia="Arial" w:hAnsi="Arial"/>
          <w:sz w:val="13"/>
          <w:szCs w:val="13"/>
          <w:color w:val="auto"/>
        </w:rPr>
        <w:t>New York, New York 10022</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All other stockholder communications addressed to our board of directors will be referred to our Chairman and tracked by our Corporate Secretary.</w:t>
      </w:r>
    </w:p>
    <w:p>
      <w:pPr>
        <w:ind w:left="200"/>
        <w:spacing w:after="0"/>
        <w:rPr>
          <w:sz w:val="20"/>
          <w:szCs w:val="20"/>
          <w:color w:val="auto"/>
        </w:rPr>
      </w:pPr>
      <w:r>
        <w:rPr>
          <w:rFonts w:ascii="Arial" w:cs="Arial" w:eastAsia="Arial" w:hAnsi="Arial"/>
          <w:sz w:val="13"/>
          <w:szCs w:val="13"/>
          <w:color w:val="auto"/>
        </w:rPr>
        <w:t>Stockholder communications specifically addressed to a particular director will be referred to that director.</w:t>
      </w:r>
    </w:p>
    <w:p>
      <w:pPr>
        <w:spacing w:after="0" w:line="149"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45" w:lineRule="exact"/>
        <w:rPr>
          <w:sz w:val="20"/>
          <w:szCs w:val="20"/>
          <w:color w:val="auto"/>
        </w:rPr>
      </w:pPr>
    </w:p>
    <w:p>
      <w:pPr>
        <w:ind w:left="960"/>
        <w:spacing w:after="0"/>
        <w:rPr>
          <w:sz w:val="20"/>
          <w:szCs w:val="20"/>
          <w:color w:val="auto"/>
        </w:rPr>
      </w:pPr>
      <w:r>
        <w:rPr>
          <w:rFonts w:ascii="Arial" w:cs="Arial" w:eastAsia="Arial" w:hAnsi="Arial"/>
          <w:sz w:val="13"/>
          <w:szCs w:val="13"/>
          <w:color w:val="auto"/>
        </w:rPr>
        <w:t>Audit Committee of the Board of Directors</w:t>
      </w:r>
    </w:p>
    <w:p>
      <w:pPr>
        <w:ind w:left="960"/>
        <w:spacing w:after="0" w:line="231" w:lineRule="auto"/>
        <w:rPr>
          <w:sz w:val="20"/>
          <w:szCs w:val="20"/>
          <w:color w:val="auto"/>
        </w:rPr>
      </w:pPr>
      <w:r>
        <w:rPr>
          <w:rFonts w:ascii="Arial" w:cs="Arial" w:eastAsia="Arial" w:hAnsi="Arial"/>
          <w:sz w:val="13"/>
          <w:szCs w:val="13"/>
          <w:color w:val="auto"/>
        </w:rPr>
        <w:t>ExlService Holdings, Inc.</w:t>
      </w:r>
    </w:p>
    <w:p>
      <w:pPr>
        <w:ind w:left="960"/>
        <w:spacing w:after="0" w:line="181" w:lineRule="auto"/>
        <w:rPr>
          <w:sz w:val="20"/>
          <w:szCs w:val="20"/>
          <w:color w:val="auto"/>
        </w:rPr>
      </w:pPr>
      <w:r>
        <w:rPr>
          <w:rFonts w:ascii="Arial" w:cs="Arial" w:eastAsia="Arial" w:hAnsi="Arial"/>
          <w:sz w:val="13"/>
          <w:szCs w:val="13"/>
          <w:color w:val="auto"/>
        </w:rPr>
        <w:t>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w:t>
      </w:r>
    </w:p>
    <w:p>
      <w:pPr>
        <w:ind w:left="960"/>
        <w:spacing w:after="0" w:line="232" w:lineRule="auto"/>
        <w:rPr>
          <w:sz w:val="20"/>
          <w:szCs w:val="20"/>
          <w:color w:val="auto"/>
        </w:rPr>
      </w:pPr>
      <w:r>
        <w:rPr>
          <w:rFonts w:ascii="Arial" w:cs="Arial" w:eastAsia="Arial" w:hAnsi="Arial"/>
          <w:sz w:val="13"/>
          <w:szCs w:val="13"/>
          <w:color w:val="auto"/>
        </w:rPr>
        <w:t>New York, New York 10022</w:t>
      </w:r>
    </w:p>
    <w:p>
      <w:pPr>
        <w:ind w:left="960"/>
        <w:spacing w:after="0"/>
        <w:rPr>
          <w:sz w:val="20"/>
          <w:szCs w:val="20"/>
          <w:color w:val="auto"/>
        </w:rPr>
      </w:pPr>
      <w:r>
        <w:rPr>
          <w:rFonts w:ascii="Arial" w:cs="Arial" w:eastAsia="Arial" w:hAnsi="Arial"/>
          <w:sz w:val="13"/>
          <w:szCs w:val="13"/>
          <w:color w:val="auto"/>
        </w:rPr>
        <w:t>Attn: General Counsel</w:t>
      </w:r>
    </w:p>
    <w:p>
      <w:pPr>
        <w:spacing w:after="0" w:line="149"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8ED0"/>
        </w:rPr>
        <w:t>Section 16(a) Beneficial Ownership Reporting Compliance</w:t>
      </w:r>
    </w:p>
    <w:p>
      <w:pPr>
        <w:spacing w:after="0" w:line="18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 Based solely on a review of the reports furnished to us, or written</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representations from reporting persons that all reportable transaction were reported, the Company's officers, directors and greater than ten percent owners timely filed all reports they were required to file under Section 16(a) with respect to transactions during fiscal year 2018, except for the following Form 4s that were filed subsequent to the due date on account of administrative error: one report (one transaction) for each of Messrs. Staglin, Kapoor, Bagai, Bhalla, Chhibbar, Miglani and Srivatsan and one report (one transaction) for each of Mr. Rembert de Villa and Ms. Nancy Saltzman, each a former officer of the Company.</w:t>
      </w:r>
    </w:p>
    <w:p>
      <w:pPr>
        <w:spacing w:after="0" w:line="150" w:lineRule="exact"/>
        <w:rPr>
          <w:sz w:val="20"/>
          <w:szCs w:val="20"/>
          <w:color w:val="auto"/>
        </w:rPr>
      </w:pPr>
    </w:p>
    <w:tbl>
      <w:tblPr>
        <w:tblLayout w:type="fixed"/>
        <w:tblInd w:w="21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40" w:type="dxa"/>
            <w:vAlign w:val="bottom"/>
            <w:gridSpan w:val="2"/>
          </w:tcPr>
          <w:p>
            <w:pPr>
              <w:ind w:left="2680"/>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2"/>
                <w:szCs w:val="12"/>
                <w:color w:val="auto"/>
              </w:rPr>
            </w:pPr>
          </w:p>
        </w:tc>
      </w:tr>
      <w:tr>
        <w:trPr>
          <w:trHeight w:val="151"/>
        </w:trPr>
        <w:tc>
          <w:tcPr>
            <w:tcW w:w="2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gridSpan w:val="2"/>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7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r>
      <w:tr>
        <w:trPr>
          <w:trHeight w:val="582"/>
        </w:trPr>
        <w:tc>
          <w:tcPr>
            <w:tcW w:w="1560" w:type="dxa"/>
            <w:vAlign w:val="bottom"/>
            <w:gridSpan w:val="5"/>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Table of Contents</w:t>
              </w:r>
            </w:hyperlink>
          </w:p>
        </w:tc>
        <w:tc>
          <w:tcPr>
            <w:tcW w:w="1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9"/>
        </w:trPr>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2"/>
          </w:tcPr>
          <w:p>
            <w:pPr>
              <w:ind w:left="1460"/>
              <w:spacing w:after="0"/>
              <w:rPr>
                <w:sz w:val="20"/>
                <w:szCs w:val="20"/>
                <w:color w:val="auto"/>
              </w:rPr>
            </w:pPr>
            <w:r>
              <w:rPr>
                <w:rFonts w:ascii="Arial" w:cs="Arial" w:eastAsia="Arial" w:hAnsi="Arial"/>
                <w:sz w:val="17"/>
                <w:szCs w:val="17"/>
                <w:b w:val="1"/>
                <w:bCs w:val="1"/>
                <w:color w:val="F79646"/>
              </w:rPr>
              <w:t>OUR EXECUTIVE OFFICERS</w:t>
            </w:r>
          </w:p>
        </w:tc>
      </w:tr>
      <w:tr>
        <w:trPr>
          <w:trHeight w:val="150"/>
        </w:trPr>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4"/>
        </w:trPr>
        <w:tc>
          <w:tcPr>
            <w:tcW w:w="240" w:type="dxa"/>
            <w:vAlign w:val="bottom"/>
            <w:tcBorders>
              <w:left w:val="single" w:sz="8" w:color="F79646"/>
              <w:bottom w:val="single" w:sz="8" w:color="F79646"/>
            </w:tcBorders>
            <w:shd w:val="clear" w:color="auto" w:fill="F79646"/>
          </w:tcPr>
          <w:p>
            <w:pPr>
              <w:spacing w:after="0"/>
              <w:rPr>
                <w:sz w:val="13"/>
                <w:szCs w:val="13"/>
                <w:color w:val="auto"/>
              </w:rPr>
            </w:pPr>
          </w:p>
        </w:tc>
        <w:tc>
          <w:tcPr>
            <w:tcW w:w="580" w:type="dxa"/>
            <w:vAlign w:val="bottom"/>
            <w:tcBorders>
              <w:bottom w:val="single" w:sz="8" w:color="auto"/>
            </w:tcBorders>
            <w:shd w:val="clear" w:color="auto" w:fill="F79646"/>
          </w:tcPr>
          <w:p>
            <w:pPr>
              <w:ind w:left="120"/>
              <w:spacing w:after="0"/>
              <w:rPr>
                <w:sz w:val="20"/>
                <w:szCs w:val="20"/>
                <w:color w:val="auto"/>
              </w:rPr>
            </w:pPr>
            <w:r>
              <w:rPr>
                <w:rFonts w:ascii="Arial" w:cs="Arial" w:eastAsia="Arial" w:hAnsi="Arial"/>
                <w:sz w:val="13"/>
                <w:szCs w:val="13"/>
                <w:color w:val="FFFFFE"/>
              </w:rPr>
              <w:t>Name</w:t>
            </w:r>
          </w:p>
        </w:tc>
        <w:tc>
          <w:tcPr>
            <w:tcW w:w="120" w:type="dxa"/>
            <w:vAlign w:val="bottom"/>
            <w:tcBorders>
              <w:bottom w:val="single" w:sz="8" w:color="F79646"/>
            </w:tcBorders>
            <w:shd w:val="clear" w:color="auto" w:fill="F79646"/>
          </w:tcPr>
          <w:p>
            <w:pPr>
              <w:spacing w:after="0"/>
              <w:rPr>
                <w:sz w:val="13"/>
                <w:szCs w:val="13"/>
                <w:color w:val="auto"/>
              </w:rPr>
            </w:pPr>
          </w:p>
        </w:tc>
        <w:tc>
          <w:tcPr>
            <w:tcW w:w="20" w:type="dxa"/>
            <w:vAlign w:val="bottom"/>
            <w:tcBorders>
              <w:bottom w:val="single" w:sz="8" w:color="auto"/>
            </w:tcBorders>
            <w:shd w:val="clear" w:color="auto" w:fill="F79646"/>
          </w:tcPr>
          <w:p>
            <w:pPr>
              <w:spacing w:after="0"/>
              <w:rPr>
                <w:sz w:val="13"/>
                <w:szCs w:val="13"/>
                <w:color w:val="auto"/>
              </w:rPr>
            </w:pPr>
          </w:p>
        </w:tc>
        <w:tc>
          <w:tcPr>
            <w:tcW w:w="600" w:type="dxa"/>
            <w:vAlign w:val="bottom"/>
            <w:tcBorders>
              <w:bottom w:val="single" w:sz="8" w:color="auto"/>
            </w:tcBorders>
            <w:shd w:val="clear" w:color="auto" w:fill="F79646"/>
          </w:tcPr>
          <w:p>
            <w:pPr>
              <w:ind w:left="60"/>
              <w:spacing w:after="0"/>
              <w:rPr>
                <w:sz w:val="20"/>
                <w:szCs w:val="20"/>
                <w:color w:val="auto"/>
              </w:rPr>
            </w:pPr>
            <w:r>
              <w:rPr>
                <w:rFonts w:ascii="Arial" w:cs="Arial" w:eastAsia="Arial" w:hAnsi="Arial"/>
                <w:sz w:val="13"/>
                <w:szCs w:val="13"/>
                <w:color w:val="FFFFFE"/>
              </w:rPr>
              <w:t>Position</w:t>
            </w:r>
          </w:p>
        </w:tc>
        <w:tc>
          <w:tcPr>
            <w:tcW w:w="120" w:type="dxa"/>
            <w:vAlign w:val="bottom"/>
            <w:tcBorders>
              <w:bottom w:val="single" w:sz="8" w:color="F79646"/>
            </w:tcBorders>
            <w:shd w:val="clear" w:color="auto" w:fill="F79646"/>
          </w:tcPr>
          <w:p>
            <w:pPr>
              <w:spacing w:after="0"/>
              <w:rPr>
                <w:sz w:val="13"/>
                <w:szCs w:val="13"/>
                <w:color w:val="auto"/>
              </w:rPr>
            </w:pPr>
          </w:p>
        </w:tc>
        <w:tc>
          <w:tcPr>
            <w:tcW w:w="6720" w:type="dxa"/>
            <w:vAlign w:val="bottom"/>
            <w:tcBorders>
              <w:bottom w:val="single" w:sz="8" w:color="auto"/>
            </w:tcBorders>
            <w:shd w:val="clear" w:color="auto" w:fill="F79646"/>
          </w:tcPr>
          <w:p>
            <w:pPr>
              <w:ind w:left="2680"/>
              <w:spacing w:after="0"/>
              <w:rPr>
                <w:sz w:val="20"/>
                <w:szCs w:val="20"/>
                <w:color w:val="auto"/>
              </w:rPr>
            </w:pPr>
            <w:r>
              <w:rPr>
                <w:rFonts w:ascii="Arial" w:cs="Arial" w:eastAsia="Arial" w:hAnsi="Arial"/>
                <w:sz w:val="13"/>
                <w:szCs w:val="13"/>
                <w:color w:val="FFFFFE"/>
              </w:rPr>
              <w:t>Biographical Information</w:t>
            </w:r>
          </w:p>
        </w:tc>
        <w:tc>
          <w:tcPr>
            <w:tcW w:w="24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20"/>
        </w:trPr>
        <w:tc>
          <w:tcPr>
            <w:tcW w:w="240" w:type="dxa"/>
            <w:vAlign w:val="bottom"/>
            <w:tcBorders>
              <w:left w:val="single" w:sz="8" w:color="F79646"/>
            </w:tcBorders>
          </w:tcPr>
          <w:p>
            <w:pPr>
              <w:spacing w:after="0"/>
              <w:rPr>
                <w:sz w:val="10"/>
                <w:szCs w:val="10"/>
                <w:color w:val="auto"/>
              </w:rPr>
            </w:pPr>
          </w:p>
        </w:tc>
        <w:tc>
          <w:tcPr>
            <w:tcW w:w="580" w:type="dxa"/>
            <w:vAlign w:val="bottom"/>
          </w:tcPr>
          <w:p>
            <w:pPr>
              <w:spacing w:after="0" w:line="121" w:lineRule="exact"/>
              <w:rPr>
                <w:sz w:val="20"/>
                <w:szCs w:val="20"/>
                <w:color w:val="auto"/>
              </w:rPr>
            </w:pPr>
            <w:r>
              <w:rPr>
                <w:rFonts w:ascii="Arial" w:cs="Arial" w:eastAsia="Arial" w:hAnsi="Arial"/>
                <w:sz w:val="13"/>
                <w:szCs w:val="13"/>
                <w:b w:val="1"/>
                <w:bCs w:val="1"/>
                <w:color w:val="auto"/>
              </w:rPr>
              <w:t>Rohit</w:t>
            </w:r>
          </w:p>
        </w:tc>
        <w:tc>
          <w:tcPr>
            <w:tcW w:w="740" w:type="dxa"/>
            <w:vAlign w:val="bottom"/>
            <w:gridSpan w:val="3"/>
          </w:tcPr>
          <w:p>
            <w:pPr>
              <w:ind w:left="120"/>
              <w:spacing w:after="0" w:line="121" w:lineRule="exact"/>
              <w:rPr>
                <w:sz w:val="20"/>
                <w:szCs w:val="20"/>
                <w:color w:val="auto"/>
              </w:rPr>
            </w:pPr>
            <w:r>
              <w:rPr>
                <w:rFonts w:ascii="Arial" w:cs="Arial" w:eastAsia="Arial" w:hAnsi="Arial"/>
                <w:sz w:val="13"/>
                <w:szCs w:val="13"/>
                <w:color w:val="auto"/>
              </w:rPr>
              <w:t>Vice</w:t>
            </w:r>
          </w:p>
        </w:tc>
        <w:tc>
          <w:tcPr>
            <w:tcW w:w="7080" w:type="dxa"/>
            <w:vAlign w:val="bottom"/>
            <w:tcBorders>
              <w:right w:val="single" w:sz="8" w:color="F79646"/>
            </w:tcBorders>
            <w:gridSpan w:val="3"/>
          </w:tcPr>
          <w:p>
            <w:pPr>
              <w:ind w:left="120"/>
              <w:spacing w:after="0" w:line="121" w:lineRule="exact"/>
              <w:rPr>
                <w:sz w:val="20"/>
                <w:szCs w:val="20"/>
                <w:color w:val="auto"/>
              </w:rPr>
            </w:pPr>
            <w:r>
              <w:rPr>
                <w:rFonts w:ascii="Arial" w:cs="Arial" w:eastAsia="Arial" w:hAnsi="Arial"/>
                <w:sz w:val="13"/>
                <w:szCs w:val="13"/>
                <w:color w:val="auto"/>
              </w:rPr>
              <w:t>See section entitled "Our Board of Directors" above.</w:t>
            </w:r>
          </w:p>
        </w:tc>
      </w:tr>
      <w:tr>
        <w:trPr>
          <w:trHeight w:val="144"/>
        </w:trPr>
        <w:tc>
          <w:tcPr>
            <w:tcW w:w="82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b w:val="1"/>
                <w:bCs w:val="1"/>
                <w:color w:val="auto"/>
              </w:rPr>
              <w:t>Kapoor</w:t>
            </w:r>
          </w:p>
        </w:tc>
        <w:tc>
          <w:tcPr>
            <w:tcW w:w="7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Chairman</w:t>
            </w:r>
          </w:p>
        </w:tc>
        <w:tc>
          <w:tcPr>
            <w:tcW w:w="1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Borders>
              <w:right w:val="single" w:sz="8" w:color="F79646"/>
            </w:tcBorders>
          </w:tcPr>
          <w:p>
            <w:pPr>
              <w:spacing w:after="0"/>
              <w:rPr>
                <w:sz w:val="12"/>
                <w:szCs w:val="12"/>
                <w:color w:val="auto"/>
              </w:rPr>
            </w:pPr>
          </w:p>
        </w:tc>
      </w:tr>
      <w:tr>
        <w:trPr>
          <w:trHeight w:val="158"/>
        </w:trPr>
        <w:tc>
          <w:tcPr>
            <w:tcW w:w="820" w:type="dxa"/>
            <w:vAlign w:val="bottom"/>
            <w:tcBorders>
              <w:left w:val="single" w:sz="8" w:color="F79646"/>
              <w:bottom w:val="single" w:sz="8" w:color="F79646"/>
            </w:tcBorders>
            <w:gridSpan w:val="2"/>
          </w:tcPr>
          <w:p>
            <w:pPr>
              <w:ind w:left="220"/>
              <w:spacing w:after="0"/>
              <w:rPr>
                <w:sz w:val="20"/>
                <w:szCs w:val="20"/>
                <w:color w:val="auto"/>
              </w:rPr>
            </w:pPr>
            <w:r>
              <w:rPr>
                <w:rFonts w:ascii="Arial" w:cs="Arial" w:eastAsia="Arial" w:hAnsi="Arial"/>
                <w:sz w:val="13"/>
                <w:szCs w:val="13"/>
                <w:b w:val="1"/>
                <w:bCs w:val="1"/>
                <w:color w:val="auto"/>
              </w:rPr>
              <w:t>(age 54)</w:t>
            </w:r>
          </w:p>
        </w:tc>
        <w:tc>
          <w:tcPr>
            <w:tcW w:w="740" w:type="dxa"/>
            <w:vAlign w:val="bottom"/>
            <w:tcBorders>
              <w:bottom w:val="single" w:sz="8" w:color="F79646"/>
            </w:tcBorders>
            <w:gridSpan w:val="3"/>
          </w:tcPr>
          <w:p>
            <w:pPr>
              <w:ind w:left="120"/>
              <w:spacing w:after="0"/>
              <w:rPr>
                <w:sz w:val="20"/>
                <w:szCs w:val="20"/>
                <w:color w:val="auto"/>
              </w:rPr>
            </w:pPr>
            <w:r>
              <w:rPr>
                <w:rFonts w:ascii="Arial" w:cs="Arial" w:eastAsia="Arial" w:hAnsi="Arial"/>
                <w:sz w:val="13"/>
                <w:szCs w:val="13"/>
                <w:color w:val="auto"/>
              </w:rPr>
              <w:t>and CEO</w:t>
            </w:r>
          </w:p>
        </w:tc>
        <w:tc>
          <w:tcPr>
            <w:tcW w:w="120" w:type="dxa"/>
            <w:vAlign w:val="bottom"/>
            <w:tcBorders>
              <w:bottom w:val="single" w:sz="8" w:color="F79646"/>
            </w:tcBorders>
          </w:tcPr>
          <w:p>
            <w:pPr>
              <w:spacing w:after="0"/>
              <w:rPr>
                <w:sz w:val="13"/>
                <w:szCs w:val="13"/>
                <w:color w:val="auto"/>
              </w:rPr>
            </w:pPr>
          </w:p>
        </w:tc>
        <w:tc>
          <w:tcPr>
            <w:tcW w:w="6720" w:type="dxa"/>
            <w:vAlign w:val="bottom"/>
            <w:tcBorders>
              <w:bottom w:val="single" w:sz="8" w:color="F79646"/>
            </w:tcBorders>
          </w:tcPr>
          <w:p>
            <w:pPr>
              <w:spacing w:after="0"/>
              <w:rPr>
                <w:sz w:val="13"/>
                <w:szCs w:val="13"/>
                <w:color w:val="auto"/>
              </w:rPr>
            </w:pPr>
          </w:p>
        </w:tc>
        <w:tc>
          <w:tcPr>
            <w:tcW w:w="240" w:type="dxa"/>
            <w:vAlign w:val="bottom"/>
            <w:tcBorders>
              <w:bottom w:val="single" w:sz="8" w:color="F79646"/>
              <w:right w:val="single" w:sz="8" w:color="F79646"/>
            </w:tcBorders>
          </w:tcPr>
          <w:p>
            <w:pPr>
              <w:spacing w:after="0"/>
              <w:rPr>
                <w:sz w:val="13"/>
                <w:szCs w:val="13"/>
                <w:color w:val="auto"/>
              </w:rPr>
            </w:pPr>
          </w:p>
        </w:tc>
      </w:tr>
      <w:tr>
        <w:trPr>
          <w:trHeight w:val="120"/>
        </w:trPr>
        <w:tc>
          <w:tcPr>
            <w:tcW w:w="820" w:type="dxa"/>
            <w:vAlign w:val="bottom"/>
            <w:tcBorders>
              <w:left w:val="single" w:sz="8" w:color="F79646"/>
            </w:tcBorders>
            <w:gridSpan w:val="2"/>
            <w:shd w:val="clear" w:color="auto" w:fill="FCDEC5"/>
          </w:tcPr>
          <w:p>
            <w:pPr>
              <w:ind w:left="220"/>
              <w:spacing w:after="0" w:line="121" w:lineRule="exact"/>
              <w:rPr>
                <w:sz w:val="20"/>
                <w:szCs w:val="20"/>
                <w:color w:val="auto"/>
              </w:rPr>
            </w:pPr>
            <w:r>
              <w:rPr>
                <w:rFonts w:ascii="Arial" w:cs="Arial" w:eastAsia="Arial" w:hAnsi="Arial"/>
                <w:sz w:val="13"/>
                <w:szCs w:val="13"/>
                <w:b w:val="1"/>
                <w:bCs w:val="1"/>
                <w:color w:val="auto"/>
              </w:rPr>
              <w:t>Ajay</w:t>
            </w:r>
          </w:p>
        </w:tc>
        <w:tc>
          <w:tcPr>
            <w:tcW w:w="740" w:type="dxa"/>
            <w:vAlign w:val="bottom"/>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rPr>
              <w:t>Senior</w:t>
            </w:r>
          </w:p>
        </w:tc>
        <w:tc>
          <w:tcPr>
            <w:tcW w:w="7080" w:type="dxa"/>
            <w:vAlign w:val="bottom"/>
            <w:tcBorders>
              <w:right w:val="single" w:sz="8" w:color="F79646"/>
            </w:tcBorders>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w w:val="99"/>
              </w:rPr>
              <w:t>Mr. Ayyappan has served as our Senior Vice President, General Counsel and Corporate Secretary since December 2018</w:t>
            </w:r>
          </w:p>
        </w:tc>
      </w:tr>
      <w:tr>
        <w:trPr>
          <w:trHeight w:val="144"/>
        </w:trPr>
        <w:tc>
          <w:tcPr>
            <w:tcW w:w="820" w:type="dxa"/>
            <w:vAlign w:val="bottom"/>
            <w:tcBorders>
              <w:left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b w:val="1"/>
                <w:bCs w:val="1"/>
                <w:color w:val="auto"/>
                <w:w w:val="93"/>
              </w:rPr>
              <w:t>Ayyappan</w:t>
            </w: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Vice</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and our Vice President, Acting General Counsel and Corporate Secretary since August 2018. He previously served as</w:t>
            </w:r>
          </w:p>
        </w:tc>
      </w:tr>
      <w:tr>
        <w:trPr>
          <w:trHeight w:val="160"/>
        </w:trPr>
        <w:tc>
          <w:tcPr>
            <w:tcW w:w="82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3"/>
                <w:szCs w:val="13"/>
                <w:b w:val="1"/>
                <w:bCs w:val="1"/>
                <w:color w:val="auto"/>
              </w:rPr>
              <w:t>(age 41)</w:t>
            </w:r>
          </w:p>
        </w:tc>
        <w:tc>
          <w:tcPr>
            <w:tcW w:w="740" w:type="dxa"/>
            <w:vAlign w:val="bottom"/>
            <w:gridSpan w:val="3"/>
            <w:shd w:val="clear" w:color="auto" w:fill="FCDEC5"/>
          </w:tcPr>
          <w:p>
            <w:pPr>
              <w:ind w:left="120"/>
              <w:spacing w:after="0"/>
              <w:rPr>
                <w:sz w:val="20"/>
                <w:szCs w:val="20"/>
                <w:color w:val="auto"/>
              </w:rPr>
            </w:pPr>
            <w:r>
              <w:rPr>
                <w:rFonts w:ascii="Arial" w:cs="Arial" w:eastAsia="Arial" w:hAnsi="Arial"/>
                <w:sz w:val="13"/>
                <w:szCs w:val="13"/>
                <w:color w:val="auto"/>
              </w:rPr>
              <w:t>President,</w:t>
            </w:r>
          </w:p>
        </w:tc>
        <w:tc>
          <w:tcPr>
            <w:tcW w:w="7080" w:type="dxa"/>
            <w:vAlign w:val="bottom"/>
            <w:tcBorders>
              <w:right w:val="single" w:sz="8" w:color="F79646"/>
            </w:tcBorders>
            <w:gridSpan w:val="3"/>
            <w:shd w:val="clear" w:color="auto" w:fill="FCDEC5"/>
          </w:tcPr>
          <w:p>
            <w:pPr>
              <w:ind w:left="120"/>
              <w:spacing w:after="0"/>
              <w:rPr>
                <w:sz w:val="20"/>
                <w:szCs w:val="20"/>
                <w:color w:val="auto"/>
              </w:rPr>
            </w:pPr>
            <w:r>
              <w:rPr>
                <w:rFonts w:ascii="Arial" w:cs="Arial" w:eastAsia="Arial" w:hAnsi="Arial"/>
                <w:sz w:val="13"/>
                <w:szCs w:val="13"/>
                <w:color w:val="auto"/>
                <w:w w:val="99"/>
              </w:rPr>
              <w:t>Vice President, Deputy General Counsel and Assistant Secretary from April 2014 to August 2018 and Vice President and</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General</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w w:val="99"/>
              </w:rPr>
              <w:t>Assistant General Counsel from March 2007 to March 2014. Prior to joining us, Mr. Ayyappan was a corporate associate</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Counsel</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at the law firm of Morgan, Lewis &amp; Bockius LLP.</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and</w:t>
            </w:r>
          </w:p>
        </w:tc>
        <w:tc>
          <w:tcPr>
            <w:tcW w:w="120" w:type="dxa"/>
            <w:vAlign w:val="bottom"/>
            <w:shd w:val="clear" w:color="auto" w:fill="FCDEC5"/>
          </w:tcPr>
          <w:p>
            <w:pPr>
              <w:spacing w:after="0"/>
              <w:rPr>
                <w:sz w:val="12"/>
                <w:szCs w:val="12"/>
                <w:color w:val="auto"/>
              </w:rPr>
            </w:pPr>
          </w:p>
        </w:tc>
        <w:tc>
          <w:tcPr>
            <w:tcW w:w="6720" w:type="dxa"/>
            <w:vAlign w:val="bottom"/>
            <w:shd w:val="clear" w:color="auto" w:fill="FCDEC5"/>
          </w:tcPr>
          <w:p>
            <w:pPr>
              <w:spacing w:after="0"/>
              <w:rPr>
                <w:sz w:val="12"/>
                <w:szCs w:val="12"/>
                <w:color w:val="auto"/>
              </w:rPr>
            </w:pPr>
          </w:p>
        </w:tc>
        <w:tc>
          <w:tcPr>
            <w:tcW w:w="240" w:type="dxa"/>
            <w:vAlign w:val="bottom"/>
            <w:tcBorders>
              <w:right w:val="single" w:sz="8" w:color="F79646"/>
            </w:tcBorders>
            <w:shd w:val="clear" w:color="auto" w:fill="FCDEC5"/>
          </w:tcPr>
          <w:p>
            <w:pPr>
              <w:spacing w:after="0"/>
              <w:rPr>
                <w:sz w:val="12"/>
                <w:szCs w:val="12"/>
                <w:color w:val="auto"/>
              </w:rPr>
            </w:pP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Corporate</w:t>
            </w:r>
          </w:p>
        </w:tc>
        <w:tc>
          <w:tcPr>
            <w:tcW w:w="120" w:type="dxa"/>
            <w:vAlign w:val="bottom"/>
            <w:shd w:val="clear" w:color="auto" w:fill="FCDEC5"/>
          </w:tcPr>
          <w:p>
            <w:pPr>
              <w:spacing w:after="0"/>
              <w:rPr>
                <w:sz w:val="12"/>
                <w:szCs w:val="12"/>
                <w:color w:val="auto"/>
              </w:rPr>
            </w:pPr>
          </w:p>
        </w:tc>
        <w:tc>
          <w:tcPr>
            <w:tcW w:w="6720" w:type="dxa"/>
            <w:vAlign w:val="bottom"/>
            <w:shd w:val="clear" w:color="auto" w:fill="FCDEC5"/>
          </w:tcPr>
          <w:p>
            <w:pPr>
              <w:spacing w:after="0"/>
              <w:rPr>
                <w:sz w:val="12"/>
                <w:szCs w:val="12"/>
                <w:color w:val="auto"/>
              </w:rPr>
            </w:pPr>
          </w:p>
        </w:tc>
        <w:tc>
          <w:tcPr>
            <w:tcW w:w="240" w:type="dxa"/>
            <w:vAlign w:val="bottom"/>
            <w:tcBorders>
              <w:right w:val="single" w:sz="8" w:color="F79646"/>
            </w:tcBorders>
            <w:shd w:val="clear" w:color="auto" w:fill="FCDEC5"/>
          </w:tcPr>
          <w:p>
            <w:pPr>
              <w:spacing w:after="0"/>
              <w:rPr>
                <w:sz w:val="12"/>
                <w:szCs w:val="12"/>
                <w:color w:val="auto"/>
              </w:rPr>
            </w:pPr>
          </w:p>
        </w:tc>
      </w:tr>
      <w:tr>
        <w:trPr>
          <w:trHeight w:val="142"/>
        </w:trPr>
        <w:tc>
          <w:tcPr>
            <w:tcW w:w="240" w:type="dxa"/>
            <w:vAlign w:val="bottom"/>
            <w:tcBorders>
              <w:left w:val="single" w:sz="8" w:color="F79646"/>
              <w:bottom w:val="single" w:sz="8" w:color="F79646"/>
            </w:tcBorders>
            <w:shd w:val="clear" w:color="auto" w:fill="FCDEC5"/>
          </w:tcPr>
          <w:p>
            <w:pPr>
              <w:spacing w:after="0"/>
              <w:rPr>
                <w:sz w:val="12"/>
                <w:szCs w:val="12"/>
                <w:color w:val="auto"/>
              </w:rPr>
            </w:pPr>
          </w:p>
        </w:tc>
        <w:tc>
          <w:tcPr>
            <w:tcW w:w="580" w:type="dxa"/>
            <w:vAlign w:val="bottom"/>
            <w:tcBorders>
              <w:bottom w:val="single" w:sz="8" w:color="F79646"/>
            </w:tcBorders>
            <w:shd w:val="clear" w:color="auto" w:fill="FCDEC5"/>
          </w:tcPr>
          <w:p>
            <w:pPr>
              <w:spacing w:after="0"/>
              <w:rPr>
                <w:sz w:val="12"/>
                <w:szCs w:val="12"/>
                <w:color w:val="auto"/>
              </w:rPr>
            </w:pPr>
          </w:p>
        </w:tc>
        <w:tc>
          <w:tcPr>
            <w:tcW w:w="740" w:type="dxa"/>
            <w:vAlign w:val="bottom"/>
            <w:tcBorders>
              <w:bottom w:val="single" w:sz="8" w:color="F79646"/>
            </w:tcBorders>
            <w:gridSpan w:val="3"/>
            <w:shd w:val="clear" w:color="auto" w:fill="FCDEC5"/>
          </w:tcPr>
          <w:p>
            <w:pPr>
              <w:ind w:left="120"/>
              <w:spacing w:after="0" w:line="143" w:lineRule="exact"/>
              <w:rPr>
                <w:sz w:val="20"/>
                <w:szCs w:val="20"/>
                <w:color w:val="auto"/>
              </w:rPr>
            </w:pPr>
            <w:r>
              <w:rPr>
                <w:rFonts w:ascii="Arial" w:cs="Arial" w:eastAsia="Arial" w:hAnsi="Arial"/>
                <w:sz w:val="13"/>
                <w:szCs w:val="13"/>
                <w:color w:val="auto"/>
              </w:rPr>
              <w:t>Secretary</w:t>
            </w:r>
          </w:p>
        </w:tc>
        <w:tc>
          <w:tcPr>
            <w:tcW w:w="120" w:type="dxa"/>
            <w:vAlign w:val="bottom"/>
            <w:tcBorders>
              <w:bottom w:val="single" w:sz="8" w:color="F79646"/>
            </w:tcBorders>
            <w:shd w:val="clear" w:color="auto" w:fill="FCDEC5"/>
          </w:tcPr>
          <w:p>
            <w:pPr>
              <w:spacing w:after="0"/>
              <w:rPr>
                <w:sz w:val="12"/>
                <w:szCs w:val="12"/>
                <w:color w:val="auto"/>
              </w:rPr>
            </w:pPr>
          </w:p>
        </w:tc>
        <w:tc>
          <w:tcPr>
            <w:tcW w:w="6720" w:type="dxa"/>
            <w:vAlign w:val="bottom"/>
            <w:tcBorders>
              <w:bottom w:val="single" w:sz="8" w:color="F79646"/>
            </w:tcBorders>
            <w:shd w:val="clear" w:color="auto" w:fill="FCDEC5"/>
          </w:tcPr>
          <w:p>
            <w:pPr>
              <w:spacing w:after="0"/>
              <w:rPr>
                <w:sz w:val="12"/>
                <w:szCs w:val="12"/>
                <w:color w:val="auto"/>
              </w:rPr>
            </w:pPr>
          </w:p>
        </w:tc>
        <w:tc>
          <w:tcPr>
            <w:tcW w:w="240" w:type="dxa"/>
            <w:vAlign w:val="bottom"/>
            <w:tcBorders>
              <w:bottom w:val="single" w:sz="8" w:color="F79646"/>
              <w:right w:val="single" w:sz="8" w:color="F79646"/>
            </w:tcBorders>
            <w:shd w:val="clear" w:color="auto" w:fill="FCDEC5"/>
          </w:tcPr>
          <w:p>
            <w:pPr>
              <w:spacing w:after="0"/>
              <w:rPr>
                <w:sz w:val="12"/>
                <w:szCs w:val="12"/>
                <w:color w:val="auto"/>
              </w:rPr>
            </w:pPr>
          </w:p>
        </w:tc>
      </w:tr>
      <w:tr>
        <w:trPr>
          <w:trHeight w:val="120"/>
        </w:trPr>
        <w:tc>
          <w:tcPr>
            <w:tcW w:w="820" w:type="dxa"/>
            <w:vAlign w:val="bottom"/>
            <w:tcBorders>
              <w:left w:val="single" w:sz="8" w:color="F79646"/>
            </w:tcBorders>
            <w:gridSpan w:val="2"/>
          </w:tcPr>
          <w:p>
            <w:pPr>
              <w:ind w:left="220"/>
              <w:spacing w:after="0" w:line="121" w:lineRule="exact"/>
              <w:rPr>
                <w:sz w:val="20"/>
                <w:szCs w:val="20"/>
                <w:color w:val="auto"/>
              </w:rPr>
            </w:pPr>
            <w:r>
              <w:rPr>
                <w:rFonts w:ascii="Arial" w:cs="Arial" w:eastAsia="Arial" w:hAnsi="Arial"/>
                <w:sz w:val="13"/>
                <w:szCs w:val="13"/>
                <w:b w:val="1"/>
                <w:bCs w:val="1"/>
                <w:color w:val="auto"/>
              </w:rPr>
              <w:t>Pavan</w:t>
            </w:r>
          </w:p>
        </w:tc>
        <w:tc>
          <w:tcPr>
            <w:tcW w:w="740" w:type="dxa"/>
            <w:vAlign w:val="bottom"/>
            <w:gridSpan w:val="3"/>
          </w:tcPr>
          <w:p>
            <w:pPr>
              <w:ind w:left="120"/>
              <w:spacing w:after="0" w:line="121" w:lineRule="exact"/>
              <w:rPr>
                <w:sz w:val="20"/>
                <w:szCs w:val="20"/>
                <w:color w:val="auto"/>
              </w:rPr>
            </w:pPr>
            <w:r>
              <w:rPr>
                <w:rFonts w:ascii="Arial" w:cs="Arial" w:eastAsia="Arial" w:hAnsi="Arial"/>
                <w:sz w:val="13"/>
                <w:szCs w:val="13"/>
                <w:color w:val="auto"/>
              </w:rPr>
              <w:t>President</w:t>
            </w:r>
          </w:p>
        </w:tc>
        <w:tc>
          <w:tcPr>
            <w:tcW w:w="7080" w:type="dxa"/>
            <w:vAlign w:val="bottom"/>
            <w:tcBorders>
              <w:right w:val="single" w:sz="8" w:color="F79646"/>
            </w:tcBorders>
            <w:gridSpan w:val="3"/>
          </w:tcPr>
          <w:p>
            <w:pPr>
              <w:ind w:left="120"/>
              <w:spacing w:after="0" w:line="121" w:lineRule="exact"/>
              <w:rPr>
                <w:sz w:val="20"/>
                <w:szCs w:val="20"/>
                <w:color w:val="auto"/>
              </w:rPr>
            </w:pPr>
            <w:r>
              <w:rPr>
                <w:rFonts w:ascii="Arial" w:cs="Arial" w:eastAsia="Arial" w:hAnsi="Arial"/>
                <w:sz w:val="13"/>
                <w:szCs w:val="13"/>
                <w:color w:val="auto"/>
              </w:rPr>
              <w:t>Mr. Bagai has served as our President and Chief Operating Officer since April 2012, as our Chief Operating Officer from</w:t>
            </w:r>
          </w:p>
        </w:tc>
      </w:tr>
      <w:tr>
        <w:trPr>
          <w:trHeight w:val="144"/>
        </w:trPr>
        <w:tc>
          <w:tcPr>
            <w:tcW w:w="82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b w:val="1"/>
                <w:bCs w:val="1"/>
                <w:color w:val="auto"/>
              </w:rPr>
              <w:t>Bagai</w:t>
            </w:r>
          </w:p>
        </w:tc>
        <w:tc>
          <w:tcPr>
            <w:tcW w:w="7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and Chief</w:t>
            </w: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May 2008 to March 2012 and as Vice President, Head of Outsourcing Services of EXL India from June 2006 until April</w:t>
            </w:r>
          </w:p>
        </w:tc>
      </w:tr>
      <w:tr>
        <w:trPr>
          <w:trHeight w:val="160"/>
        </w:trPr>
        <w:tc>
          <w:tcPr>
            <w:tcW w:w="820" w:type="dxa"/>
            <w:vAlign w:val="bottom"/>
            <w:tcBorders>
              <w:left w:val="single" w:sz="8" w:color="F79646"/>
            </w:tcBorders>
            <w:gridSpan w:val="2"/>
          </w:tcPr>
          <w:p>
            <w:pPr>
              <w:ind w:left="220"/>
              <w:spacing w:after="0"/>
              <w:rPr>
                <w:sz w:val="20"/>
                <w:szCs w:val="20"/>
                <w:color w:val="auto"/>
              </w:rPr>
            </w:pPr>
            <w:r>
              <w:rPr>
                <w:rFonts w:ascii="Arial" w:cs="Arial" w:eastAsia="Arial" w:hAnsi="Arial"/>
                <w:sz w:val="13"/>
                <w:szCs w:val="13"/>
                <w:b w:val="1"/>
                <w:bCs w:val="1"/>
                <w:color w:val="auto"/>
              </w:rPr>
              <w:t>(age 57)</w:t>
            </w:r>
          </w:p>
        </w:tc>
        <w:tc>
          <w:tcPr>
            <w:tcW w:w="740" w:type="dxa"/>
            <w:vAlign w:val="bottom"/>
            <w:gridSpan w:val="3"/>
          </w:tcPr>
          <w:p>
            <w:pPr>
              <w:ind w:left="120"/>
              <w:spacing w:after="0"/>
              <w:rPr>
                <w:sz w:val="20"/>
                <w:szCs w:val="20"/>
                <w:color w:val="auto"/>
              </w:rPr>
            </w:pPr>
            <w:r>
              <w:rPr>
                <w:rFonts w:ascii="Arial" w:cs="Arial" w:eastAsia="Arial" w:hAnsi="Arial"/>
                <w:sz w:val="13"/>
                <w:szCs w:val="13"/>
                <w:color w:val="auto"/>
              </w:rPr>
              <w:t>Operating</w:t>
            </w:r>
          </w:p>
        </w:tc>
        <w:tc>
          <w:tcPr>
            <w:tcW w:w="7080" w:type="dxa"/>
            <w:vAlign w:val="bottom"/>
            <w:tcBorders>
              <w:right w:val="single" w:sz="8" w:color="F79646"/>
            </w:tcBorders>
            <w:gridSpan w:val="3"/>
          </w:tcPr>
          <w:p>
            <w:pPr>
              <w:ind w:left="120"/>
              <w:spacing w:after="0"/>
              <w:rPr>
                <w:sz w:val="20"/>
                <w:szCs w:val="20"/>
                <w:color w:val="auto"/>
              </w:rPr>
            </w:pPr>
            <w:r>
              <w:rPr>
                <w:rFonts w:ascii="Arial" w:cs="Arial" w:eastAsia="Arial" w:hAnsi="Arial"/>
                <w:sz w:val="13"/>
                <w:szCs w:val="13"/>
                <w:color w:val="auto"/>
              </w:rPr>
              <w:t>2008. He previously served as Vice President, Research and Analytics of EXL India from December 2004 to May 2006,</w:t>
            </w:r>
          </w:p>
        </w:tc>
      </w:tr>
      <w:tr>
        <w:trPr>
          <w:trHeight w:val="144"/>
        </w:trPr>
        <w:tc>
          <w:tcPr>
            <w:tcW w:w="240" w:type="dxa"/>
            <w:vAlign w:val="bottom"/>
            <w:tcBorders>
              <w:left w:val="single" w:sz="8" w:color="F79646"/>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Officer</w:t>
            </w: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as Vice President, Operations of EXL India from November 2003 to November 2004 and as Vice President, Strategic</w:t>
            </w:r>
          </w:p>
        </w:tc>
      </w:tr>
      <w:tr>
        <w:trPr>
          <w:trHeight w:val="144"/>
        </w:trPr>
        <w:tc>
          <w:tcPr>
            <w:tcW w:w="240" w:type="dxa"/>
            <w:vAlign w:val="bottom"/>
            <w:tcBorders>
              <w:left w:val="single" w:sz="8" w:color="F79646"/>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Businesses of EXL India from July 2002 to November 2003. Prior to joining us, Mr. Bagai served in various capacities in</w:t>
            </w:r>
          </w:p>
        </w:tc>
      </w:tr>
      <w:tr>
        <w:trPr>
          <w:trHeight w:val="142"/>
        </w:trPr>
        <w:tc>
          <w:tcPr>
            <w:tcW w:w="240" w:type="dxa"/>
            <w:vAlign w:val="bottom"/>
            <w:tcBorders>
              <w:left w:val="single" w:sz="8" w:color="F79646"/>
              <w:bottom w:val="single" w:sz="8" w:color="F79646"/>
            </w:tcBorders>
          </w:tcPr>
          <w:p>
            <w:pPr>
              <w:spacing w:after="0"/>
              <w:rPr>
                <w:sz w:val="12"/>
                <w:szCs w:val="12"/>
                <w:color w:val="auto"/>
              </w:rPr>
            </w:pPr>
          </w:p>
        </w:tc>
        <w:tc>
          <w:tcPr>
            <w:tcW w:w="580" w:type="dxa"/>
            <w:vAlign w:val="bottom"/>
            <w:tcBorders>
              <w:bottom w:val="single" w:sz="8" w:color="F79646"/>
            </w:tcBorders>
          </w:tcPr>
          <w:p>
            <w:pPr>
              <w:spacing w:after="0"/>
              <w:rPr>
                <w:sz w:val="12"/>
                <w:szCs w:val="12"/>
                <w:color w:val="auto"/>
              </w:rPr>
            </w:pPr>
          </w:p>
        </w:tc>
        <w:tc>
          <w:tcPr>
            <w:tcW w:w="120" w:type="dxa"/>
            <w:vAlign w:val="bottom"/>
            <w:tcBorders>
              <w:bottom w:val="single" w:sz="8" w:color="F79646"/>
            </w:tcBorders>
          </w:tcPr>
          <w:p>
            <w:pPr>
              <w:spacing w:after="0"/>
              <w:rPr>
                <w:sz w:val="12"/>
                <w:szCs w:val="12"/>
                <w:color w:val="auto"/>
              </w:rPr>
            </w:pPr>
          </w:p>
        </w:tc>
        <w:tc>
          <w:tcPr>
            <w:tcW w:w="20" w:type="dxa"/>
            <w:vAlign w:val="bottom"/>
            <w:tcBorders>
              <w:bottom w:val="single" w:sz="8" w:color="F79646"/>
            </w:tcBorders>
          </w:tcPr>
          <w:p>
            <w:pPr>
              <w:spacing w:after="0"/>
              <w:rPr>
                <w:sz w:val="12"/>
                <w:szCs w:val="12"/>
                <w:color w:val="auto"/>
              </w:rPr>
            </w:pPr>
          </w:p>
        </w:tc>
        <w:tc>
          <w:tcPr>
            <w:tcW w:w="600" w:type="dxa"/>
            <w:vAlign w:val="bottom"/>
            <w:tcBorders>
              <w:bottom w:val="single" w:sz="8" w:color="F79646"/>
            </w:tcBorders>
          </w:tcPr>
          <w:p>
            <w:pPr>
              <w:spacing w:after="0"/>
              <w:rPr>
                <w:sz w:val="12"/>
                <w:szCs w:val="12"/>
                <w:color w:val="auto"/>
              </w:rPr>
            </w:pPr>
          </w:p>
        </w:tc>
        <w:tc>
          <w:tcPr>
            <w:tcW w:w="7080" w:type="dxa"/>
            <w:vAlign w:val="bottom"/>
            <w:tcBorders>
              <w:bottom w:val="single" w:sz="8" w:color="F79646"/>
              <w:right w:val="single" w:sz="8" w:color="F79646"/>
            </w:tcBorders>
            <w:gridSpan w:val="3"/>
          </w:tcPr>
          <w:p>
            <w:pPr>
              <w:ind w:left="120"/>
              <w:spacing w:after="0" w:line="143" w:lineRule="exact"/>
              <w:rPr>
                <w:sz w:val="20"/>
                <w:szCs w:val="20"/>
                <w:color w:val="auto"/>
              </w:rPr>
            </w:pPr>
            <w:r>
              <w:rPr>
                <w:rFonts w:ascii="Arial" w:cs="Arial" w:eastAsia="Arial" w:hAnsi="Arial"/>
                <w:sz w:val="13"/>
                <w:szCs w:val="13"/>
                <w:color w:val="auto"/>
              </w:rPr>
              <w:t>several business areas across markets in Europe and Asia, including India, at Bank of America beginning in 1985.</w:t>
            </w:r>
          </w:p>
        </w:tc>
      </w:tr>
      <w:tr>
        <w:trPr>
          <w:trHeight w:val="120"/>
        </w:trPr>
        <w:tc>
          <w:tcPr>
            <w:tcW w:w="820" w:type="dxa"/>
            <w:vAlign w:val="bottom"/>
            <w:tcBorders>
              <w:left w:val="single" w:sz="8" w:color="F79646"/>
            </w:tcBorders>
            <w:gridSpan w:val="2"/>
            <w:shd w:val="clear" w:color="auto" w:fill="FCDEC5"/>
          </w:tcPr>
          <w:p>
            <w:pPr>
              <w:ind w:left="220"/>
              <w:spacing w:after="0" w:line="121" w:lineRule="exact"/>
              <w:rPr>
                <w:sz w:val="20"/>
                <w:szCs w:val="20"/>
                <w:color w:val="auto"/>
              </w:rPr>
            </w:pPr>
            <w:r>
              <w:rPr>
                <w:rFonts w:ascii="Arial" w:cs="Arial" w:eastAsia="Arial" w:hAnsi="Arial"/>
                <w:sz w:val="13"/>
                <w:szCs w:val="13"/>
                <w:b w:val="1"/>
                <w:bCs w:val="1"/>
                <w:color w:val="auto"/>
              </w:rPr>
              <w:t>Vikas</w:t>
            </w:r>
          </w:p>
        </w:tc>
        <w:tc>
          <w:tcPr>
            <w:tcW w:w="740" w:type="dxa"/>
            <w:vAlign w:val="bottom"/>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rPr>
              <w:t>Executive</w:t>
            </w:r>
          </w:p>
        </w:tc>
        <w:tc>
          <w:tcPr>
            <w:tcW w:w="7080" w:type="dxa"/>
            <w:vAlign w:val="bottom"/>
            <w:tcBorders>
              <w:right w:val="single" w:sz="8" w:color="F79646"/>
            </w:tcBorders>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rPr>
              <w:t>Mr. Bhalla has served as our Executive Vice President and Head of Insurance since January 2014, and as our Head of</w:t>
            </w:r>
          </w:p>
        </w:tc>
      </w:tr>
      <w:tr>
        <w:trPr>
          <w:trHeight w:val="144"/>
        </w:trPr>
        <w:tc>
          <w:tcPr>
            <w:tcW w:w="820" w:type="dxa"/>
            <w:vAlign w:val="bottom"/>
            <w:tcBorders>
              <w:left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b w:val="1"/>
                <w:bCs w:val="1"/>
                <w:color w:val="auto"/>
              </w:rPr>
              <w:t>Bhalla</w:t>
            </w: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Vice</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Outsourcing since November 2009. He previously served as Vice President, Operations of EXL India from June 2006 to</w:t>
            </w:r>
          </w:p>
        </w:tc>
      </w:tr>
      <w:tr>
        <w:trPr>
          <w:trHeight w:val="160"/>
        </w:trPr>
        <w:tc>
          <w:tcPr>
            <w:tcW w:w="82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3"/>
                <w:szCs w:val="13"/>
                <w:b w:val="1"/>
                <w:bCs w:val="1"/>
                <w:color w:val="auto"/>
              </w:rPr>
              <w:t>(age 47)</w:t>
            </w:r>
          </w:p>
        </w:tc>
        <w:tc>
          <w:tcPr>
            <w:tcW w:w="740" w:type="dxa"/>
            <w:vAlign w:val="bottom"/>
            <w:gridSpan w:val="3"/>
            <w:shd w:val="clear" w:color="auto" w:fill="FCDEC5"/>
          </w:tcPr>
          <w:p>
            <w:pPr>
              <w:ind w:left="120"/>
              <w:spacing w:after="0"/>
              <w:rPr>
                <w:sz w:val="20"/>
                <w:szCs w:val="20"/>
                <w:color w:val="auto"/>
              </w:rPr>
            </w:pPr>
            <w:r>
              <w:rPr>
                <w:rFonts w:ascii="Arial" w:cs="Arial" w:eastAsia="Arial" w:hAnsi="Arial"/>
                <w:sz w:val="13"/>
                <w:szCs w:val="13"/>
                <w:color w:val="auto"/>
              </w:rPr>
              <w:t>President</w:t>
            </w:r>
          </w:p>
        </w:tc>
        <w:tc>
          <w:tcPr>
            <w:tcW w:w="7080" w:type="dxa"/>
            <w:vAlign w:val="bottom"/>
            <w:tcBorders>
              <w:right w:val="single" w:sz="8" w:color="F79646"/>
            </w:tcBorders>
            <w:gridSpan w:val="3"/>
            <w:shd w:val="clear" w:color="auto" w:fill="FCDEC5"/>
          </w:tcPr>
          <w:p>
            <w:pPr>
              <w:ind w:left="120"/>
              <w:spacing w:after="0"/>
              <w:rPr>
                <w:sz w:val="20"/>
                <w:szCs w:val="20"/>
                <w:color w:val="auto"/>
              </w:rPr>
            </w:pPr>
            <w:r>
              <w:rPr>
                <w:rFonts w:ascii="Arial" w:cs="Arial" w:eastAsia="Arial" w:hAnsi="Arial"/>
                <w:sz w:val="13"/>
                <w:szCs w:val="13"/>
                <w:color w:val="auto"/>
              </w:rPr>
              <w:t>October 2009 and as Vice President, Migrations, Quality and Process Excellence of EXL India from April 2002 to June</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and Head</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2006 and as Director, Quality Initiatives of EXL India from May 2001 to March 2002. From May 1998 to May 2001,</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80" w:type="dxa"/>
            <w:vAlign w:val="bottom"/>
            <w:shd w:val="clear" w:color="auto" w:fill="FCDEC5"/>
          </w:tcPr>
          <w:p>
            <w:pPr>
              <w:spacing w:after="0"/>
              <w:rPr>
                <w:sz w:val="12"/>
                <w:szCs w:val="12"/>
                <w:color w:val="auto"/>
              </w:rPr>
            </w:pP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of</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w w:val="99"/>
              </w:rPr>
              <w:t>Mr. Bhalla served in various capacities at General Electric, including as the Quality Leader and E-Business Leader for GE</w:t>
            </w:r>
          </w:p>
        </w:tc>
      </w:tr>
      <w:tr>
        <w:trPr>
          <w:trHeight w:val="142"/>
        </w:trPr>
        <w:tc>
          <w:tcPr>
            <w:tcW w:w="240" w:type="dxa"/>
            <w:vAlign w:val="bottom"/>
            <w:tcBorders>
              <w:left w:val="single" w:sz="8" w:color="F79646"/>
              <w:bottom w:val="single" w:sz="8" w:color="F79646"/>
            </w:tcBorders>
            <w:shd w:val="clear" w:color="auto" w:fill="FCDEC5"/>
          </w:tcPr>
          <w:p>
            <w:pPr>
              <w:spacing w:after="0"/>
              <w:rPr>
                <w:sz w:val="12"/>
                <w:szCs w:val="12"/>
                <w:color w:val="auto"/>
              </w:rPr>
            </w:pPr>
          </w:p>
        </w:tc>
        <w:tc>
          <w:tcPr>
            <w:tcW w:w="580" w:type="dxa"/>
            <w:vAlign w:val="bottom"/>
            <w:tcBorders>
              <w:bottom w:val="single" w:sz="8" w:color="F79646"/>
            </w:tcBorders>
            <w:shd w:val="clear" w:color="auto" w:fill="FCDEC5"/>
          </w:tcPr>
          <w:p>
            <w:pPr>
              <w:spacing w:after="0"/>
              <w:rPr>
                <w:sz w:val="12"/>
                <w:szCs w:val="12"/>
                <w:color w:val="auto"/>
              </w:rPr>
            </w:pPr>
          </w:p>
        </w:tc>
        <w:tc>
          <w:tcPr>
            <w:tcW w:w="740" w:type="dxa"/>
            <w:vAlign w:val="bottom"/>
            <w:tcBorders>
              <w:bottom w:val="single" w:sz="8" w:color="F79646"/>
            </w:tcBorders>
            <w:gridSpan w:val="3"/>
            <w:shd w:val="clear" w:color="auto" w:fill="FCDEC5"/>
          </w:tcPr>
          <w:p>
            <w:pPr>
              <w:ind w:left="120"/>
              <w:spacing w:after="0" w:line="143" w:lineRule="exact"/>
              <w:rPr>
                <w:sz w:val="20"/>
                <w:szCs w:val="20"/>
                <w:color w:val="auto"/>
              </w:rPr>
            </w:pPr>
            <w:r>
              <w:rPr>
                <w:rFonts w:ascii="Arial" w:cs="Arial" w:eastAsia="Arial" w:hAnsi="Arial"/>
                <w:sz w:val="13"/>
                <w:szCs w:val="13"/>
                <w:color w:val="auto"/>
              </w:rPr>
              <w:t>Insurance</w:t>
            </w:r>
          </w:p>
        </w:tc>
        <w:tc>
          <w:tcPr>
            <w:tcW w:w="7080" w:type="dxa"/>
            <w:vAlign w:val="bottom"/>
            <w:tcBorders>
              <w:bottom w:val="single" w:sz="8" w:color="F79646"/>
              <w:right w:val="single" w:sz="8" w:color="F79646"/>
            </w:tcBorders>
            <w:gridSpan w:val="3"/>
            <w:shd w:val="clear" w:color="auto" w:fill="FCDEC5"/>
          </w:tcPr>
          <w:p>
            <w:pPr>
              <w:ind w:left="120"/>
              <w:spacing w:after="0" w:line="143" w:lineRule="exact"/>
              <w:rPr>
                <w:sz w:val="20"/>
                <w:szCs w:val="20"/>
                <w:color w:val="auto"/>
              </w:rPr>
            </w:pPr>
            <w:r>
              <w:rPr>
                <w:rFonts w:ascii="Arial" w:cs="Arial" w:eastAsia="Arial" w:hAnsi="Arial"/>
                <w:sz w:val="13"/>
                <w:szCs w:val="13"/>
                <w:color w:val="auto"/>
              </w:rPr>
              <w:t>Plastics India.</w:t>
            </w:r>
          </w:p>
        </w:tc>
      </w:tr>
      <w:tr>
        <w:trPr>
          <w:trHeight w:val="120"/>
        </w:trPr>
        <w:tc>
          <w:tcPr>
            <w:tcW w:w="820" w:type="dxa"/>
            <w:vAlign w:val="bottom"/>
            <w:tcBorders>
              <w:left w:val="single" w:sz="8" w:color="F79646"/>
            </w:tcBorders>
            <w:gridSpan w:val="2"/>
          </w:tcPr>
          <w:p>
            <w:pPr>
              <w:ind w:left="220"/>
              <w:spacing w:after="0" w:line="121" w:lineRule="exact"/>
              <w:rPr>
                <w:sz w:val="20"/>
                <w:szCs w:val="20"/>
                <w:color w:val="auto"/>
              </w:rPr>
            </w:pPr>
            <w:r>
              <w:rPr>
                <w:rFonts w:ascii="Arial" w:cs="Arial" w:eastAsia="Arial" w:hAnsi="Arial"/>
                <w:sz w:val="13"/>
                <w:szCs w:val="13"/>
                <w:b w:val="1"/>
                <w:bCs w:val="1"/>
                <w:color w:val="auto"/>
              </w:rPr>
              <w:t>Vishal</w:t>
            </w:r>
          </w:p>
        </w:tc>
        <w:tc>
          <w:tcPr>
            <w:tcW w:w="740" w:type="dxa"/>
            <w:vAlign w:val="bottom"/>
            <w:gridSpan w:val="3"/>
          </w:tcPr>
          <w:p>
            <w:pPr>
              <w:ind w:left="120"/>
              <w:spacing w:after="0" w:line="121" w:lineRule="exact"/>
              <w:rPr>
                <w:sz w:val="20"/>
                <w:szCs w:val="20"/>
                <w:color w:val="auto"/>
              </w:rPr>
            </w:pPr>
            <w:r>
              <w:rPr>
                <w:rFonts w:ascii="Arial" w:cs="Arial" w:eastAsia="Arial" w:hAnsi="Arial"/>
                <w:sz w:val="13"/>
                <w:szCs w:val="13"/>
                <w:color w:val="auto"/>
              </w:rPr>
              <w:t>Executive</w:t>
            </w:r>
          </w:p>
        </w:tc>
        <w:tc>
          <w:tcPr>
            <w:tcW w:w="7080" w:type="dxa"/>
            <w:vAlign w:val="bottom"/>
            <w:tcBorders>
              <w:right w:val="single" w:sz="8" w:color="F79646"/>
            </w:tcBorders>
            <w:gridSpan w:val="3"/>
          </w:tcPr>
          <w:p>
            <w:pPr>
              <w:ind w:left="120"/>
              <w:spacing w:after="0" w:line="121" w:lineRule="exact"/>
              <w:rPr>
                <w:sz w:val="20"/>
                <w:szCs w:val="20"/>
                <w:color w:val="auto"/>
              </w:rPr>
            </w:pPr>
            <w:r>
              <w:rPr>
                <w:rFonts w:ascii="Arial" w:cs="Arial" w:eastAsia="Arial" w:hAnsi="Arial"/>
                <w:sz w:val="13"/>
                <w:szCs w:val="13"/>
                <w:color w:val="auto"/>
              </w:rPr>
              <w:t>Mr. Chhibbar has served as our Executive Vice President and CFO since April 2012 and as our CFO since June 2009.</w:t>
            </w:r>
          </w:p>
        </w:tc>
      </w:tr>
      <w:tr>
        <w:trPr>
          <w:trHeight w:val="144"/>
        </w:trPr>
        <w:tc>
          <w:tcPr>
            <w:tcW w:w="82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b w:val="1"/>
                <w:bCs w:val="1"/>
                <w:color w:val="auto"/>
              </w:rPr>
              <w:t>Chhibbar</w:t>
            </w:r>
          </w:p>
        </w:tc>
        <w:tc>
          <w:tcPr>
            <w:tcW w:w="7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Vice</w:t>
            </w: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He has over 25 years of professional experience in finance. Prior to joining us, Mr. Chhibbar was with GE Capital in</w:t>
            </w:r>
          </w:p>
        </w:tc>
      </w:tr>
      <w:tr>
        <w:trPr>
          <w:trHeight w:val="160"/>
        </w:trPr>
        <w:tc>
          <w:tcPr>
            <w:tcW w:w="820" w:type="dxa"/>
            <w:vAlign w:val="bottom"/>
            <w:tcBorders>
              <w:left w:val="single" w:sz="8" w:color="F79646"/>
            </w:tcBorders>
            <w:gridSpan w:val="2"/>
          </w:tcPr>
          <w:p>
            <w:pPr>
              <w:ind w:left="220"/>
              <w:spacing w:after="0"/>
              <w:rPr>
                <w:sz w:val="20"/>
                <w:szCs w:val="20"/>
                <w:color w:val="auto"/>
              </w:rPr>
            </w:pPr>
            <w:r>
              <w:rPr>
                <w:rFonts w:ascii="Arial" w:cs="Arial" w:eastAsia="Arial" w:hAnsi="Arial"/>
                <w:sz w:val="13"/>
                <w:szCs w:val="13"/>
                <w:b w:val="1"/>
                <w:bCs w:val="1"/>
                <w:color w:val="auto"/>
              </w:rPr>
              <w:t>(age 51)</w:t>
            </w:r>
          </w:p>
        </w:tc>
        <w:tc>
          <w:tcPr>
            <w:tcW w:w="740" w:type="dxa"/>
            <w:vAlign w:val="bottom"/>
            <w:gridSpan w:val="3"/>
          </w:tcPr>
          <w:p>
            <w:pPr>
              <w:ind w:left="120"/>
              <w:spacing w:after="0"/>
              <w:rPr>
                <w:sz w:val="20"/>
                <w:szCs w:val="20"/>
                <w:color w:val="auto"/>
              </w:rPr>
            </w:pPr>
            <w:r>
              <w:rPr>
                <w:rFonts w:ascii="Arial" w:cs="Arial" w:eastAsia="Arial" w:hAnsi="Arial"/>
                <w:sz w:val="13"/>
                <w:szCs w:val="13"/>
                <w:color w:val="auto"/>
              </w:rPr>
              <w:t>President</w:t>
            </w:r>
          </w:p>
        </w:tc>
        <w:tc>
          <w:tcPr>
            <w:tcW w:w="7080" w:type="dxa"/>
            <w:vAlign w:val="bottom"/>
            <w:tcBorders>
              <w:right w:val="single" w:sz="8" w:color="F79646"/>
            </w:tcBorders>
            <w:gridSpan w:val="3"/>
          </w:tcPr>
          <w:p>
            <w:pPr>
              <w:ind w:left="120"/>
              <w:spacing w:after="0"/>
              <w:rPr>
                <w:sz w:val="20"/>
                <w:szCs w:val="20"/>
                <w:color w:val="auto"/>
              </w:rPr>
            </w:pPr>
            <w:r>
              <w:rPr>
                <w:rFonts w:ascii="Arial" w:cs="Arial" w:eastAsia="Arial" w:hAnsi="Arial"/>
                <w:sz w:val="13"/>
                <w:szCs w:val="13"/>
                <w:color w:val="auto"/>
              </w:rPr>
              <w:t>various leadership roles. Since 2005, Mr. Chhibbar has served as the Regional Head, Group Financial Planning for</w:t>
            </w:r>
          </w:p>
        </w:tc>
      </w:tr>
      <w:tr>
        <w:trPr>
          <w:trHeight w:val="144"/>
        </w:trPr>
        <w:tc>
          <w:tcPr>
            <w:tcW w:w="240" w:type="dxa"/>
            <w:vAlign w:val="bottom"/>
            <w:tcBorders>
              <w:left w:val="single" w:sz="8" w:color="F79646"/>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and CFO</w:t>
            </w: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Strategy and Treasury for GE Capital, Australia and New Zealand. In 2004 and 2005, Mr. Chhibbar was Chief Financial</w:t>
            </w:r>
          </w:p>
        </w:tc>
      </w:tr>
      <w:tr>
        <w:trPr>
          <w:trHeight w:val="144"/>
        </w:trPr>
        <w:tc>
          <w:tcPr>
            <w:tcW w:w="240" w:type="dxa"/>
            <w:vAlign w:val="bottom"/>
            <w:tcBorders>
              <w:left w:val="single" w:sz="8" w:color="F79646"/>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8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Officer for GE Capital, South Korea. From 1998 to 2004, Mr. Chhibbar was the Chief Financial Officer for GE Capital,</w:t>
            </w:r>
          </w:p>
        </w:tc>
      </w:tr>
      <w:tr>
        <w:trPr>
          <w:trHeight w:val="142"/>
        </w:trPr>
        <w:tc>
          <w:tcPr>
            <w:tcW w:w="240" w:type="dxa"/>
            <w:vAlign w:val="bottom"/>
            <w:tcBorders>
              <w:left w:val="single" w:sz="8" w:color="F79646"/>
              <w:bottom w:val="single" w:sz="8" w:color="F79646"/>
            </w:tcBorders>
          </w:tcPr>
          <w:p>
            <w:pPr>
              <w:spacing w:after="0"/>
              <w:rPr>
                <w:sz w:val="12"/>
                <w:szCs w:val="12"/>
                <w:color w:val="auto"/>
              </w:rPr>
            </w:pPr>
          </w:p>
        </w:tc>
        <w:tc>
          <w:tcPr>
            <w:tcW w:w="580" w:type="dxa"/>
            <w:vAlign w:val="bottom"/>
            <w:tcBorders>
              <w:bottom w:val="single" w:sz="8" w:color="F79646"/>
            </w:tcBorders>
          </w:tcPr>
          <w:p>
            <w:pPr>
              <w:spacing w:after="0"/>
              <w:rPr>
                <w:sz w:val="12"/>
                <w:szCs w:val="12"/>
                <w:color w:val="auto"/>
              </w:rPr>
            </w:pPr>
          </w:p>
        </w:tc>
        <w:tc>
          <w:tcPr>
            <w:tcW w:w="120" w:type="dxa"/>
            <w:vAlign w:val="bottom"/>
            <w:tcBorders>
              <w:bottom w:val="single" w:sz="8" w:color="F79646"/>
            </w:tcBorders>
          </w:tcPr>
          <w:p>
            <w:pPr>
              <w:spacing w:after="0"/>
              <w:rPr>
                <w:sz w:val="12"/>
                <w:szCs w:val="12"/>
                <w:color w:val="auto"/>
              </w:rPr>
            </w:pPr>
          </w:p>
        </w:tc>
        <w:tc>
          <w:tcPr>
            <w:tcW w:w="20" w:type="dxa"/>
            <w:vAlign w:val="bottom"/>
            <w:tcBorders>
              <w:bottom w:val="single" w:sz="8" w:color="F79646"/>
            </w:tcBorders>
          </w:tcPr>
          <w:p>
            <w:pPr>
              <w:spacing w:after="0"/>
              <w:rPr>
                <w:sz w:val="12"/>
                <w:szCs w:val="12"/>
                <w:color w:val="auto"/>
              </w:rPr>
            </w:pPr>
          </w:p>
        </w:tc>
        <w:tc>
          <w:tcPr>
            <w:tcW w:w="600" w:type="dxa"/>
            <w:vAlign w:val="bottom"/>
            <w:tcBorders>
              <w:bottom w:val="single" w:sz="8" w:color="F79646"/>
            </w:tcBorders>
          </w:tcPr>
          <w:p>
            <w:pPr>
              <w:spacing w:after="0"/>
              <w:rPr>
                <w:sz w:val="12"/>
                <w:szCs w:val="12"/>
                <w:color w:val="auto"/>
              </w:rPr>
            </w:pPr>
          </w:p>
        </w:tc>
        <w:tc>
          <w:tcPr>
            <w:tcW w:w="7080" w:type="dxa"/>
            <w:vAlign w:val="bottom"/>
            <w:tcBorders>
              <w:bottom w:val="single" w:sz="8" w:color="F79646"/>
              <w:right w:val="single" w:sz="8" w:color="F79646"/>
            </w:tcBorders>
            <w:gridSpan w:val="3"/>
          </w:tcPr>
          <w:p>
            <w:pPr>
              <w:ind w:left="120"/>
              <w:spacing w:after="0" w:line="143" w:lineRule="exact"/>
              <w:rPr>
                <w:sz w:val="20"/>
                <w:szCs w:val="20"/>
                <w:color w:val="auto"/>
              </w:rPr>
            </w:pPr>
            <w:r>
              <w:rPr>
                <w:rFonts w:ascii="Arial" w:cs="Arial" w:eastAsia="Arial" w:hAnsi="Arial"/>
                <w:sz w:val="13"/>
                <w:szCs w:val="13"/>
                <w:color w:val="auto"/>
              </w:rPr>
              <w:t>Indonesia and Malaysia. Mr. Chhibbar is a Chartered Accountant and an Associate Member of CPA, Australia.</w:t>
            </w:r>
          </w:p>
        </w:tc>
      </w:tr>
      <w:tr>
        <w:trPr>
          <w:trHeight w:val="120"/>
        </w:trPr>
        <w:tc>
          <w:tcPr>
            <w:tcW w:w="820" w:type="dxa"/>
            <w:vAlign w:val="bottom"/>
            <w:tcBorders>
              <w:left w:val="single" w:sz="8" w:color="F79646"/>
            </w:tcBorders>
            <w:gridSpan w:val="2"/>
            <w:shd w:val="clear" w:color="auto" w:fill="FCDEC5"/>
          </w:tcPr>
          <w:p>
            <w:pPr>
              <w:ind w:left="220"/>
              <w:spacing w:after="0" w:line="121" w:lineRule="exact"/>
              <w:rPr>
                <w:sz w:val="20"/>
                <w:szCs w:val="20"/>
                <w:color w:val="auto"/>
              </w:rPr>
            </w:pPr>
            <w:r>
              <w:rPr>
                <w:rFonts w:ascii="Arial" w:cs="Arial" w:eastAsia="Arial" w:hAnsi="Arial"/>
                <w:sz w:val="13"/>
                <w:szCs w:val="13"/>
                <w:b w:val="1"/>
                <w:bCs w:val="1"/>
                <w:color w:val="auto"/>
              </w:rPr>
              <w:t>Samuel</w:t>
            </w:r>
          </w:p>
        </w:tc>
        <w:tc>
          <w:tcPr>
            <w:tcW w:w="740" w:type="dxa"/>
            <w:vAlign w:val="bottom"/>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rPr>
              <w:t>Executive</w:t>
            </w:r>
          </w:p>
        </w:tc>
        <w:tc>
          <w:tcPr>
            <w:tcW w:w="7080" w:type="dxa"/>
            <w:vAlign w:val="bottom"/>
            <w:tcBorders>
              <w:right w:val="single" w:sz="8" w:color="F79646"/>
            </w:tcBorders>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rPr>
              <w:t>Mr. Meckey has served as an Executive Vice President since November 2018. Prior to joining us, Mr. Meckey served as</w:t>
            </w:r>
          </w:p>
        </w:tc>
      </w:tr>
      <w:tr>
        <w:trPr>
          <w:trHeight w:val="144"/>
        </w:trPr>
        <w:tc>
          <w:tcPr>
            <w:tcW w:w="820" w:type="dxa"/>
            <w:vAlign w:val="bottom"/>
            <w:tcBorders>
              <w:left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b w:val="1"/>
                <w:bCs w:val="1"/>
                <w:color w:val="auto"/>
              </w:rPr>
              <w:t>Meckey</w:t>
            </w:r>
          </w:p>
        </w:tc>
        <w:tc>
          <w:tcPr>
            <w:tcW w:w="740" w:type="dxa"/>
            <w:vAlign w:val="bottom"/>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Vice</w:t>
            </w:r>
          </w:p>
        </w:tc>
        <w:tc>
          <w:tcPr>
            <w:tcW w:w="708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President of UnitedHealth Group's Optum Global Solutions and before that has held various executive roles at</w:t>
            </w:r>
          </w:p>
        </w:tc>
      </w:tr>
      <w:tr>
        <w:trPr>
          <w:trHeight w:val="160"/>
        </w:trPr>
        <w:tc>
          <w:tcPr>
            <w:tcW w:w="82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3"/>
                <w:szCs w:val="13"/>
                <w:b w:val="1"/>
                <w:bCs w:val="1"/>
                <w:color w:val="auto"/>
              </w:rPr>
              <w:t>(age 48)</w:t>
            </w:r>
          </w:p>
        </w:tc>
        <w:tc>
          <w:tcPr>
            <w:tcW w:w="740" w:type="dxa"/>
            <w:vAlign w:val="bottom"/>
            <w:gridSpan w:val="3"/>
            <w:shd w:val="clear" w:color="auto" w:fill="FCDEC5"/>
          </w:tcPr>
          <w:p>
            <w:pPr>
              <w:ind w:left="120"/>
              <w:spacing w:after="0"/>
              <w:rPr>
                <w:sz w:val="20"/>
                <w:szCs w:val="20"/>
                <w:color w:val="auto"/>
              </w:rPr>
            </w:pPr>
            <w:r>
              <w:rPr>
                <w:rFonts w:ascii="Arial" w:cs="Arial" w:eastAsia="Arial" w:hAnsi="Arial"/>
                <w:sz w:val="13"/>
                <w:szCs w:val="13"/>
                <w:color w:val="auto"/>
              </w:rPr>
              <w:t>President</w:t>
            </w:r>
          </w:p>
        </w:tc>
        <w:tc>
          <w:tcPr>
            <w:tcW w:w="7080" w:type="dxa"/>
            <w:vAlign w:val="bottom"/>
            <w:tcBorders>
              <w:right w:val="single" w:sz="8" w:color="F79646"/>
            </w:tcBorders>
            <w:gridSpan w:val="3"/>
            <w:shd w:val="clear" w:color="auto" w:fill="FCDEC5"/>
          </w:tcPr>
          <w:p>
            <w:pPr>
              <w:ind w:left="120"/>
              <w:spacing w:after="0"/>
              <w:rPr>
                <w:sz w:val="20"/>
                <w:szCs w:val="20"/>
                <w:color w:val="auto"/>
              </w:rPr>
            </w:pPr>
            <w:r>
              <w:rPr>
                <w:rFonts w:ascii="Arial" w:cs="Arial" w:eastAsia="Arial" w:hAnsi="Arial"/>
                <w:sz w:val="13"/>
                <w:szCs w:val="13"/>
                <w:color w:val="auto"/>
              </w:rPr>
              <w:t>UnitedHealth Group, where he was employed from May 2004 to June 2018. Prior to joining UnitedHealth Group,</w:t>
            </w:r>
          </w:p>
        </w:tc>
      </w:tr>
      <w:tr>
        <w:trPr>
          <w:trHeight w:val="142"/>
        </w:trPr>
        <w:tc>
          <w:tcPr>
            <w:tcW w:w="240" w:type="dxa"/>
            <w:vAlign w:val="bottom"/>
            <w:tcBorders>
              <w:left w:val="single" w:sz="8" w:color="F79646"/>
              <w:bottom w:val="single" w:sz="8" w:color="F79646"/>
            </w:tcBorders>
            <w:shd w:val="clear" w:color="auto" w:fill="FCDEC5"/>
          </w:tcPr>
          <w:p>
            <w:pPr>
              <w:spacing w:after="0"/>
              <w:rPr>
                <w:sz w:val="12"/>
                <w:szCs w:val="12"/>
                <w:color w:val="auto"/>
              </w:rPr>
            </w:pPr>
          </w:p>
        </w:tc>
        <w:tc>
          <w:tcPr>
            <w:tcW w:w="580" w:type="dxa"/>
            <w:vAlign w:val="bottom"/>
            <w:tcBorders>
              <w:bottom w:val="single" w:sz="8" w:color="F79646"/>
            </w:tcBorders>
            <w:shd w:val="clear" w:color="auto" w:fill="FCDEC5"/>
          </w:tcPr>
          <w:p>
            <w:pPr>
              <w:spacing w:after="0"/>
              <w:rPr>
                <w:sz w:val="12"/>
                <w:szCs w:val="12"/>
                <w:color w:val="auto"/>
              </w:rPr>
            </w:pPr>
          </w:p>
        </w:tc>
        <w:tc>
          <w:tcPr>
            <w:tcW w:w="120" w:type="dxa"/>
            <w:vAlign w:val="bottom"/>
            <w:tcBorders>
              <w:bottom w:val="single" w:sz="8" w:color="F79646"/>
            </w:tcBorders>
            <w:shd w:val="clear" w:color="auto" w:fill="FCDEC5"/>
          </w:tcPr>
          <w:p>
            <w:pPr>
              <w:spacing w:after="0"/>
              <w:rPr>
                <w:sz w:val="12"/>
                <w:szCs w:val="12"/>
                <w:color w:val="auto"/>
              </w:rPr>
            </w:pPr>
          </w:p>
        </w:tc>
        <w:tc>
          <w:tcPr>
            <w:tcW w:w="20" w:type="dxa"/>
            <w:vAlign w:val="bottom"/>
            <w:tcBorders>
              <w:bottom w:val="single" w:sz="8" w:color="F79646"/>
            </w:tcBorders>
            <w:shd w:val="clear" w:color="auto" w:fill="FCDEC5"/>
          </w:tcPr>
          <w:p>
            <w:pPr>
              <w:spacing w:after="0"/>
              <w:rPr>
                <w:sz w:val="12"/>
                <w:szCs w:val="12"/>
                <w:color w:val="auto"/>
              </w:rPr>
            </w:pPr>
          </w:p>
        </w:tc>
        <w:tc>
          <w:tcPr>
            <w:tcW w:w="600" w:type="dxa"/>
            <w:vAlign w:val="bottom"/>
            <w:tcBorders>
              <w:bottom w:val="single" w:sz="8" w:color="F79646"/>
            </w:tcBorders>
            <w:shd w:val="clear" w:color="auto" w:fill="FCDEC5"/>
          </w:tcPr>
          <w:p>
            <w:pPr>
              <w:spacing w:after="0"/>
              <w:rPr>
                <w:sz w:val="12"/>
                <w:szCs w:val="12"/>
                <w:color w:val="auto"/>
              </w:rPr>
            </w:pPr>
          </w:p>
        </w:tc>
        <w:tc>
          <w:tcPr>
            <w:tcW w:w="7080" w:type="dxa"/>
            <w:vAlign w:val="bottom"/>
            <w:tcBorders>
              <w:bottom w:val="single" w:sz="8" w:color="F79646"/>
              <w:right w:val="single" w:sz="8" w:color="F79646"/>
            </w:tcBorders>
            <w:gridSpan w:val="3"/>
            <w:shd w:val="clear" w:color="auto" w:fill="FCDEC5"/>
          </w:tcPr>
          <w:p>
            <w:pPr>
              <w:ind w:left="120"/>
              <w:spacing w:after="0" w:line="143" w:lineRule="exact"/>
              <w:rPr>
                <w:sz w:val="20"/>
                <w:szCs w:val="20"/>
                <w:color w:val="auto"/>
              </w:rPr>
            </w:pPr>
            <w:r>
              <w:rPr>
                <w:rFonts w:ascii="Arial" w:cs="Arial" w:eastAsia="Arial" w:hAnsi="Arial"/>
                <w:sz w:val="13"/>
                <w:szCs w:val="13"/>
                <w:color w:val="auto"/>
              </w:rPr>
              <w:t>Mr. Meckey was an officer and naval aviator in the United States Navy from May 1992 to August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-3883660</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-3883660</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9019"/>
          </w:cols>
          <w:pgMar w:left="1440" w:top="296" w:right="1440" w:bottom="277"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277" w:gutter="0" w:footer="0" w:header="0"/>
          <w:type w:val="continuous"/>
        </w:sectPr>
      </w:pPr>
    </w:p>
    <w:bookmarkStart w:id="19" w:name="page20"/>
    <w:bookmarkEnd w:id="19"/>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7" w:lineRule="exact"/>
        <w:rPr>
          <w:sz w:val="20"/>
          <w:szCs w:val="20"/>
          <w:color w:val="auto"/>
        </w:rPr>
      </w:pPr>
    </w:p>
    <w:tbl>
      <w:tblPr>
        <w:tblLayout w:type="fixed"/>
        <w:tblInd w:w="210" w:type="dxa"/>
        <w:tblCellMar>
          <w:top w:w="0" w:type="dxa"/>
          <w:left w:w="0" w:type="dxa"/>
          <w:bottom w:w="0" w:type="dxa"/>
          <w:right w:w="0" w:type="dxa"/>
        </w:tblCellMar>
      </w:tblPr>
      <w:tr>
        <w:trPr>
          <w:trHeight w:val="154"/>
        </w:trPr>
        <w:tc>
          <w:tcPr>
            <w:tcW w:w="240" w:type="dxa"/>
            <w:vAlign w:val="bottom"/>
            <w:tcBorders>
              <w:left w:val="single" w:sz="8" w:color="F79646"/>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ind w:left="100"/>
              <w:spacing w:after="0"/>
              <w:rPr>
                <w:sz w:val="20"/>
                <w:szCs w:val="20"/>
                <w:color w:val="auto"/>
              </w:rPr>
            </w:pPr>
            <w:r>
              <w:rPr>
                <w:rFonts w:ascii="Arial" w:cs="Arial" w:eastAsia="Arial" w:hAnsi="Arial"/>
                <w:sz w:val="13"/>
                <w:szCs w:val="13"/>
                <w:color w:val="FFFFFE"/>
              </w:rPr>
              <w:t>Name</w:t>
            </w:r>
          </w:p>
        </w:tc>
        <w:tc>
          <w:tcPr>
            <w:tcW w:w="120" w:type="dxa"/>
            <w:vAlign w:val="bottom"/>
            <w:tcBorders>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ind w:left="60"/>
              <w:spacing w:after="0"/>
              <w:rPr>
                <w:sz w:val="20"/>
                <w:szCs w:val="20"/>
                <w:color w:val="auto"/>
              </w:rPr>
            </w:pPr>
            <w:r>
              <w:rPr>
                <w:rFonts w:ascii="Arial" w:cs="Arial" w:eastAsia="Arial" w:hAnsi="Arial"/>
                <w:sz w:val="13"/>
                <w:szCs w:val="13"/>
                <w:color w:val="FFFFFE"/>
              </w:rPr>
              <w:t>Position</w:t>
            </w:r>
          </w:p>
        </w:tc>
        <w:tc>
          <w:tcPr>
            <w:tcW w:w="120" w:type="dxa"/>
            <w:vAlign w:val="bottom"/>
            <w:tcBorders>
              <w:bottom w:val="single" w:sz="8" w:color="F79646"/>
            </w:tcBorders>
            <w:shd w:val="clear" w:color="auto" w:fill="F79646"/>
          </w:tcPr>
          <w:p>
            <w:pPr>
              <w:spacing w:after="0"/>
              <w:rPr>
                <w:sz w:val="13"/>
                <w:szCs w:val="13"/>
                <w:color w:val="auto"/>
              </w:rPr>
            </w:pPr>
          </w:p>
        </w:tc>
        <w:tc>
          <w:tcPr>
            <w:tcW w:w="6800" w:type="dxa"/>
            <w:vAlign w:val="bottom"/>
            <w:tcBorders>
              <w:bottom w:val="single" w:sz="8" w:color="auto"/>
            </w:tcBorders>
            <w:shd w:val="clear" w:color="auto" w:fill="F79646"/>
          </w:tcPr>
          <w:p>
            <w:pPr>
              <w:ind w:left="2720"/>
              <w:spacing w:after="0"/>
              <w:rPr>
                <w:sz w:val="20"/>
                <w:szCs w:val="20"/>
                <w:color w:val="auto"/>
              </w:rPr>
            </w:pPr>
            <w:r>
              <w:rPr>
                <w:rFonts w:ascii="Arial" w:cs="Arial" w:eastAsia="Arial" w:hAnsi="Arial"/>
                <w:sz w:val="13"/>
                <w:szCs w:val="13"/>
                <w:color w:val="FFFFFE"/>
              </w:rPr>
              <w:t>Biographical Information</w:t>
            </w:r>
          </w:p>
        </w:tc>
        <w:tc>
          <w:tcPr>
            <w:tcW w:w="24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20"/>
        </w:trPr>
        <w:tc>
          <w:tcPr>
            <w:tcW w:w="240" w:type="dxa"/>
            <w:vAlign w:val="bottom"/>
            <w:tcBorders>
              <w:left w:val="single" w:sz="8" w:color="F79646"/>
            </w:tcBorders>
          </w:tcPr>
          <w:p>
            <w:pPr>
              <w:spacing w:after="0"/>
              <w:rPr>
                <w:sz w:val="10"/>
                <w:szCs w:val="10"/>
                <w:color w:val="auto"/>
              </w:rPr>
            </w:pPr>
          </w:p>
        </w:tc>
        <w:tc>
          <w:tcPr>
            <w:tcW w:w="560" w:type="dxa"/>
            <w:vAlign w:val="bottom"/>
          </w:tcPr>
          <w:p>
            <w:pPr>
              <w:spacing w:after="0" w:line="121" w:lineRule="exact"/>
              <w:rPr>
                <w:sz w:val="20"/>
                <w:szCs w:val="20"/>
                <w:color w:val="auto"/>
              </w:rPr>
            </w:pPr>
            <w:r>
              <w:rPr>
                <w:rFonts w:ascii="Arial" w:cs="Arial" w:eastAsia="Arial" w:hAnsi="Arial"/>
                <w:sz w:val="13"/>
                <w:szCs w:val="13"/>
                <w:b w:val="1"/>
                <w:bCs w:val="1"/>
                <w:color w:val="auto"/>
              </w:rPr>
              <w:t>Nalin</w:t>
            </w:r>
          </w:p>
        </w:tc>
        <w:tc>
          <w:tcPr>
            <w:tcW w:w="68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5"/>
              </w:rPr>
              <w:t>Executive</w:t>
            </w:r>
          </w:p>
        </w:tc>
        <w:tc>
          <w:tcPr>
            <w:tcW w:w="7160" w:type="dxa"/>
            <w:vAlign w:val="bottom"/>
            <w:tcBorders>
              <w:right w:val="single" w:sz="8" w:color="F79646"/>
            </w:tcBorders>
            <w:gridSpan w:val="3"/>
          </w:tcPr>
          <w:p>
            <w:pPr>
              <w:ind w:left="120"/>
              <w:spacing w:after="0" w:line="121" w:lineRule="exact"/>
              <w:rPr>
                <w:sz w:val="20"/>
                <w:szCs w:val="20"/>
                <w:color w:val="auto"/>
              </w:rPr>
            </w:pPr>
            <w:r>
              <w:rPr>
                <w:rFonts w:ascii="Arial" w:cs="Arial" w:eastAsia="Arial" w:hAnsi="Arial"/>
                <w:sz w:val="13"/>
                <w:szCs w:val="13"/>
                <w:color w:val="auto"/>
                <w:w w:val="99"/>
              </w:rPr>
              <w:t>Mr. Miglani has served as our Executive Vice President, Chief Human Resource Officer since December 2014. Mr. Miglani</w:t>
            </w:r>
          </w:p>
        </w:tc>
      </w:tr>
      <w:tr>
        <w:trPr>
          <w:trHeight w:val="144"/>
        </w:trPr>
        <w:tc>
          <w:tcPr>
            <w:tcW w:w="80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b w:val="1"/>
                <w:bCs w:val="1"/>
                <w:color w:val="auto"/>
              </w:rPr>
              <w:t>Miglani</w:t>
            </w:r>
          </w:p>
        </w:tc>
        <w:tc>
          <w:tcPr>
            <w:tcW w:w="6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Vice</w:t>
            </w:r>
          </w:p>
        </w:tc>
        <w:tc>
          <w:tcPr>
            <w:tcW w:w="716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w w:val="99"/>
              </w:rPr>
              <w:t>is responsible for the global human resources function at the Company. Prior to joining the Company, he was the Chief HR</w:t>
            </w:r>
          </w:p>
        </w:tc>
      </w:tr>
      <w:tr>
        <w:trPr>
          <w:trHeight w:val="160"/>
        </w:trPr>
        <w:tc>
          <w:tcPr>
            <w:tcW w:w="800" w:type="dxa"/>
            <w:vAlign w:val="bottom"/>
            <w:tcBorders>
              <w:left w:val="single" w:sz="8" w:color="F79646"/>
            </w:tcBorders>
            <w:gridSpan w:val="2"/>
          </w:tcPr>
          <w:p>
            <w:pPr>
              <w:ind w:left="220"/>
              <w:spacing w:after="0"/>
              <w:rPr>
                <w:sz w:val="20"/>
                <w:szCs w:val="20"/>
                <w:color w:val="auto"/>
              </w:rPr>
            </w:pPr>
            <w:r>
              <w:rPr>
                <w:rFonts w:ascii="Arial" w:cs="Arial" w:eastAsia="Arial" w:hAnsi="Arial"/>
                <w:sz w:val="13"/>
                <w:szCs w:val="13"/>
                <w:b w:val="1"/>
                <w:bCs w:val="1"/>
                <w:color w:val="auto"/>
              </w:rPr>
              <w:t>(age 58)</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w w:val="98"/>
              </w:rPr>
              <w:t>President</w:t>
            </w:r>
          </w:p>
        </w:tc>
        <w:tc>
          <w:tcPr>
            <w:tcW w:w="7160" w:type="dxa"/>
            <w:vAlign w:val="bottom"/>
            <w:tcBorders>
              <w:right w:val="single" w:sz="8" w:color="F79646"/>
            </w:tcBorders>
            <w:gridSpan w:val="3"/>
          </w:tcPr>
          <w:p>
            <w:pPr>
              <w:ind w:left="120"/>
              <w:spacing w:after="0"/>
              <w:rPr>
                <w:sz w:val="20"/>
                <w:szCs w:val="20"/>
                <w:color w:val="auto"/>
              </w:rPr>
            </w:pPr>
            <w:r>
              <w:rPr>
                <w:rFonts w:ascii="Arial" w:cs="Arial" w:eastAsia="Arial" w:hAnsi="Arial"/>
                <w:sz w:val="13"/>
                <w:szCs w:val="13"/>
                <w:color w:val="auto"/>
              </w:rPr>
              <w:t>and Corporate Development Officer for Nutreco, based in Amsterdam, Netherlands, from March 2013 to November 2014.</w:t>
            </w:r>
          </w:p>
        </w:tc>
      </w:tr>
      <w:tr>
        <w:trPr>
          <w:trHeight w:val="144"/>
        </w:trPr>
        <w:tc>
          <w:tcPr>
            <w:tcW w:w="240" w:type="dxa"/>
            <w:vAlign w:val="bottom"/>
            <w:tcBorders>
              <w:left w:val="single" w:sz="8" w:color="F79646"/>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ind w:left="120"/>
              <w:spacing w:after="0" w:line="144" w:lineRule="exact"/>
              <w:rPr>
                <w:sz w:val="20"/>
                <w:szCs w:val="20"/>
                <w:color w:val="auto"/>
              </w:rPr>
            </w:pPr>
            <w:r>
              <w:rPr>
                <w:rFonts w:ascii="Arial" w:cs="Arial" w:eastAsia="Arial" w:hAnsi="Arial"/>
                <w:sz w:val="13"/>
                <w:szCs w:val="13"/>
                <w:color w:val="auto"/>
                <w:w w:val="96"/>
              </w:rPr>
              <w:t>and Chief</w:t>
            </w:r>
          </w:p>
        </w:tc>
        <w:tc>
          <w:tcPr>
            <w:tcW w:w="716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Mr. Miglani also served as the Chief HR and Communications Officer for Tata Global Beverages Company, London, UK,</w:t>
            </w:r>
          </w:p>
        </w:tc>
      </w:tr>
      <w:tr>
        <w:trPr>
          <w:trHeight w:val="144"/>
        </w:trPr>
        <w:tc>
          <w:tcPr>
            <w:tcW w:w="240" w:type="dxa"/>
            <w:vAlign w:val="bottom"/>
            <w:tcBorders>
              <w:left w:val="single" w:sz="8" w:color="F79646"/>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Human</w:t>
            </w:r>
          </w:p>
        </w:tc>
        <w:tc>
          <w:tcPr>
            <w:tcW w:w="716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w w:val="99"/>
              </w:rPr>
              <w:t>from June 2008 to February 2013. In addition, Mr. Miglani held various global and regional HR leadership roles around the</w:t>
            </w:r>
          </w:p>
        </w:tc>
      </w:tr>
      <w:tr>
        <w:trPr>
          <w:trHeight w:val="144"/>
        </w:trPr>
        <w:tc>
          <w:tcPr>
            <w:tcW w:w="240" w:type="dxa"/>
            <w:vAlign w:val="bottom"/>
            <w:tcBorders>
              <w:left w:val="single" w:sz="8" w:color="F79646"/>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ind w:left="120"/>
              <w:spacing w:after="0" w:line="144" w:lineRule="exact"/>
              <w:rPr>
                <w:sz w:val="20"/>
                <w:szCs w:val="20"/>
                <w:color w:val="auto"/>
              </w:rPr>
            </w:pPr>
            <w:r>
              <w:rPr>
                <w:rFonts w:ascii="Arial" w:cs="Arial" w:eastAsia="Arial" w:hAnsi="Arial"/>
                <w:sz w:val="13"/>
                <w:szCs w:val="13"/>
                <w:color w:val="auto"/>
                <w:w w:val="96"/>
              </w:rPr>
              <w:t>Resource</w:t>
            </w:r>
          </w:p>
        </w:tc>
        <w:tc>
          <w:tcPr>
            <w:tcW w:w="716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world during his career at The Coca-Cola Company and British American Tobacco.</w:t>
            </w:r>
          </w:p>
        </w:tc>
      </w:tr>
      <w:tr>
        <w:trPr>
          <w:trHeight w:val="142"/>
        </w:trPr>
        <w:tc>
          <w:tcPr>
            <w:tcW w:w="240" w:type="dxa"/>
            <w:vAlign w:val="bottom"/>
            <w:tcBorders>
              <w:left w:val="single" w:sz="8" w:color="F79646"/>
              <w:bottom w:val="single" w:sz="8" w:color="F79646"/>
            </w:tcBorders>
          </w:tcPr>
          <w:p>
            <w:pPr>
              <w:spacing w:after="0"/>
              <w:rPr>
                <w:sz w:val="12"/>
                <w:szCs w:val="12"/>
                <w:color w:val="auto"/>
              </w:rPr>
            </w:pPr>
          </w:p>
        </w:tc>
        <w:tc>
          <w:tcPr>
            <w:tcW w:w="560" w:type="dxa"/>
            <w:vAlign w:val="bottom"/>
            <w:tcBorders>
              <w:bottom w:val="single" w:sz="8" w:color="F79646"/>
            </w:tcBorders>
          </w:tcPr>
          <w:p>
            <w:pPr>
              <w:spacing w:after="0"/>
              <w:rPr>
                <w:sz w:val="12"/>
                <w:szCs w:val="12"/>
                <w:color w:val="auto"/>
              </w:rPr>
            </w:pPr>
          </w:p>
        </w:tc>
        <w:tc>
          <w:tcPr>
            <w:tcW w:w="680" w:type="dxa"/>
            <w:vAlign w:val="bottom"/>
            <w:tcBorders>
              <w:bottom w:val="single" w:sz="8" w:color="F79646"/>
            </w:tcBorders>
            <w:gridSpan w:val="2"/>
          </w:tcPr>
          <w:p>
            <w:pPr>
              <w:ind w:left="120"/>
              <w:spacing w:after="0" w:line="143" w:lineRule="exact"/>
              <w:rPr>
                <w:sz w:val="20"/>
                <w:szCs w:val="20"/>
                <w:color w:val="auto"/>
              </w:rPr>
            </w:pPr>
            <w:r>
              <w:rPr>
                <w:rFonts w:ascii="Arial" w:cs="Arial" w:eastAsia="Arial" w:hAnsi="Arial"/>
                <w:sz w:val="13"/>
                <w:szCs w:val="13"/>
                <w:color w:val="auto"/>
              </w:rPr>
              <w:t>Officer</w:t>
            </w:r>
          </w:p>
        </w:tc>
        <w:tc>
          <w:tcPr>
            <w:tcW w:w="120" w:type="dxa"/>
            <w:vAlign w:val="bottom"/>
            <w:tcBorders>
              <w:bottom w:val="single" w:sz="8" w:color="F79646"/>
            </w:tcBorders>
          </w:tcPr>
          <w:p>
            <w:pPr>
              <w:spacing w:after="0"/>
              <w:rPr>
                <w:sz w:val="12"/>
                <w:szCs w:val="12"/>
                <w:color w:val="auto"/>
              </w:rPr>
            </w:pPr>
          </w:p>
        </w:tc>
        <w:tc>
          <w:tcPr>
            <w:tcW w:w="6800" w:type="dxa"/>
            <w:vAlign w:val="bottom"/>
            <w:tcBorders>
              <w:bottom w:val="single" w:sz="8" w:color="F79646"/>
            </w:tcBorders>
          </w:tcPr>
          <w:p>
            <w:pPr>
              <w:spacing w:after="0"/>
              <w:rPr>
                <w:sz w:val="12"/>
                <w:szCs w:val="12"/>
                <w:color w:val="auto"/>
              </w:rPr>
            </w:pPr>
          </w:p>
        </w:tc>
        <w:tc>
          <w:tcPr>
            <w:tcW w:w="240" w:type="dxa"/>
            <w:vAlign w:val="bottom"/>
            <w:tcBorders>
              <w:bottom w:val="single" w:sz="8" w:color="F79646"/>
              <w:right w:val="single" w:sz="8" w:color="F79646"/>
            </w:tcBorders>
          </w:tcPr>
          <w:p>
            <w:pPr>
              <w:spacing w:after="0"/>
              <w:rPr>
                <w:sz w:val="12"/>
                <w:szCs w:val="12"/>
                <w:color w:val="auto"/>
              </w:rPr>
            </w:pPr>
          </w:p>
        </w:tc>
      </w:tr>
      <w:tr>
        <w:trPr>
          <w:trHeight w:val="120"/>
        </w:trPr>
        <w:tc>
          <w:tcPr>
            <w:tcW w:w="800" w:type="dxa"/>
            <w:vAlign w:val="bottom"/>
            <w:tcBorders>
              <w:left w:val="single" w:sz="8" w:color="F79646"/>
            </w:tcBorders>
            <w:gridSpan w:val="2"/>
            <w:shd w:val="clear" w:color="auto" w:fill="FCDEC5"/>
          </w:tcPr>
          <w:p>
            <w:pPr>
              <w:ind w:left="220"/>
              <w:spacing w:after="0" w:line="121" w:lineRule="exact"/>
              <w:rPr>
                <w:sz w:val="20"/>
                <w:szCs w:val="20"/>
                <w:color w:val="auto"/>
              </w:rPr>
            </w:pPr>
            <w:r>
              <w:rPr>
                <w:rFonts w:ascii="Arial" w:cs="Arial" w:eastAsia="Arial" w:hAnsi="Arial"/>
                <w:sz w:val="13"/>
                <w:szCs w:val="13"/>
                <w:b w:val="1"/>
                <w:bCs w:val="1"/>
                <w:color w:val="auto"/>
              </w:rPr>
              <w:t>Nagaraja</w:t>
            </w:r>
          </w:p>
        </w:tc>
        <w:tc>
          <w:tcPr>
            <w:tcW w:w="680" w:type="dxa"/>
            <w:vAlign w:val="bottom"/>
            <w:gridSpan w:val="2"/>
            <w:shd w:val="clear" w:color="auto" w:fill="FCDEC5"/>
          </w:tcPr>
          <w:p>
            <w:pPr>
              <w:ind w:left="120"/>
              <w:spacing w:after="0" w:line="121" w:lineRule="exact"/>
              <w:rPr>
                <w:sz w:val="20"/>
                <w:szCs w:val="20"/>
                <w:color w:val="auto"/>
              </w:rPr>
            </w:pPr>
            <w:r>
              <w:rPr>
                <w:rFonts w:ascii="Arial" w:cs="Arial" w:eastAsia="Arial" w:hAnsi="Arial"/>
                <w:sz w:val="13"/>
                <w:szCs w:val="13"/>
                <w:color w:val="auto"/>
                <w:w w:val="95"/>
              </w:rPr>
              <w:t>Executive</w:t>
            </w:r>
          </w:p>
        </w:tc>
        <w:tc>
          <w:tcPr>
            <w:tcW w:w="7160" w:type="dxa"/>
            <w:vAlign w:val="bottom"/>
            <w:tcBorders>
              <w:right w:val="single" w:sz="8" w:color="F79646"/>
            </w:tcBorders>
            <w:gridSpan w:val="3"/>
            <w:shd w:val="clear" w:color="auto" w:fill="FCDEC5"/>
          </w:tcPr>
          <w:p>
            <w:pPr>
              <w:ind w:left="120"/>
              <w:spacing w:after="0" w:line="121" w:lineRule="exact"/>
              <w:rPr>
                <w:sz w:val="20"/>
                <w:szCs w:val="20"/>
                <w:color w:val="auto"/>
              </w:rPr>
            </w:pPr>
            <w:r>
              <w:rPr>
                <w:rFonts w:ascii="Arial" w:cs="Arial" w:eastAsia="Arial" w:hAnsi="Arial"/>
                <w:sz w:val="13"/>
                <w:szCs w:val="13"/>
                <w:color w:val="auto"/>
                <w:w w:val="99"/>
              </w:rPr>
              <w:t>Mr. Srivatsan joined the Company as Executive Vice President and Chief Growth Officer in December 2016. Mr. Srivatsan</w:t>
            </w:r>
          </w:p>
        </w:tc>
      </w:tr>
      <w:tr>
        <w:trPr>
          <w:trHeight w:val="144"/>
        </w:trPr>
        <w:tc>
          <w:tcPr>
            <w:tcW w:w="800" w:type="dxa"/>
            <w:vAlign w:val="bottom"/>
            <w:tcBorders>
              <w:left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b w:val="1"/>
                <w:bCs w:val="1"/>
                <w:color w:val="auto"/>
                <w:w w:val="95"/>
              </w:rPr>
              <w:t>Srivatsan</w:t>
            </w:r>
          </w:p>
        </w:tc>
        <w:tc>
          <w:tcPr>
            <w:tcW w:w="680" w:type="dxa"/>
            <w:vAlign w:val="bottom"/>
            <w:gridSpan w:val="2"/>
            <w:shd w:val="clear" w:color="auto" w:fill="FCDEC5"/>
          </w:tcPr>
          <w:p>
            <w:pPr>
              <w:ind w:left="120"/>
              <w:spacing w:after="0" w:line="144" w:lineRule="exact"/>
              <w:rPr>
                <w:sz w:val="20"/>
                <w:szCs w:val="20"/>
                <w:color w:val="auto"/>
              </w:rPr>
            </w:pPr>
            <w:r>
              <w:rPr>
                <w:rFonts w:ascii="Arial" w:cs="Arial" w:eastAsia="Arial" w:hAnsi="Arial"/>
                <w:sz w:val="13"/>
                <w:szCs w:val="13"/>
                <w:color w:val="auto"/>
              </w:rPr>
              <w:t>Vice</w:t>
            </w:r>
          </w:p>
        </w:tc>
        <w:tc>
          <w:tcPr>
            <w:tcW w:w="716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is responsible for overseeing our sales and marketing, consulting, and strategy functions. Previously, he worked at</w:t>
            </w:r>
          </w:p>
        </w:tc>
      </w:tr>
      <w:tr>
        <w:trPr>
          <w:trHeight w:val="160"/>
        </w:trPr>
        <w:tc>
          <w:tcPr>
            <w:tcW w:w="80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3"/>
                <w:szCs w:val="13"/>
                <w:b w:val="1"/>
                <w:bCs w:val="1"/>
                <w:color w:val="auto"/>
              </w:rPr>
              <w:t>(age 52)</w:t>
            </w:r>
          </w:p>
        </w:tc>
        <w:tc>
          <w:tcPr>
            <w:tcW w:w="680" w:type="dxa"/>
            <w:vAlign w:val="bottom"/>
            <w:gridSpan w:val="2"/>
            <w:shd w:val="clear" w:color="auto" w:fill="FCDEC5"/>
          </w:tcPr>
          <w:p>
            <w:pPr>
              <w:ind w:left="120"/>
              <w:spacing w:after="0"/>
              <w:rPr>
                <w:sz w:val="20"/>
                <w:szCs w:val="20"/>
                <w:color w:val="auto"/>
              </w:rPr>
            </w:pPr>
            <w:r>
              <w:rPr>
                <w:rFonts w:ascii="Arial" w:cs="Arial" w:eastAsia="Arial" w:hAnsi="Arial"/>
                <w:sz w:val="13"/>
                <w:szCs w:val="13"/>
                <w:color w:val="auto"/>
                <w:w w:val="98"/>
              </w:rPr>
              <w:t>President</w:t>
            </w:r>
          </w:p>
        </w:tc>
        <w:tc>
          <w:tcPr>
            <w:tcW w:w="7160" w:type="dxa"/>
            <w:vAlign w:val="bottom"/>
            <w:tcBorders>
              <w:right w:val="single" w:sz="8" w:color="F79646"/>
            </w:tcBorders>
            <w:gridSpan w:val="3"/>
            <w:shd w:val="clear" w:color="auto" w:fill="FCDEC5"/>
          </w:tcPr>
          <w:p>
            <w:pPr>
              <w:ind w:left="120"/>
              <w:spacing w:after="0"/>
              <w:rPr>
                <w:sz w:val="20"/>
                <w:szCs w:val="20"/>
                <w:color w:val="auto"/>
              </w:rPr>
            </w:pPr>
            <w:r>
              <w:rPr>
                <w:rFonts w:ascii="Arial" w:cs="Arial" w:eastAsia="Arial" w:hAnsi="Arial"/>
                <w:sz w:val="13"/>
                <w:szCs w:val="13"/>
                <w:color w:val="auto"/>
              </w:rPr>
              <w:t>Cognizant Technology Services beginning in 2002, where he served as Senior Vice President and Venture Partner,</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60" w:type="dxa"/>
            <w:vAlign w:val="bottom"/>
            <w:shd w:val="clear" w:color="auto" w:fill="FCDEC5"/>
          </w:tcPr>
          <w:p>
            <w:pPr>
              <w:spacing w:after="0"/>
              <w:rPr>
                <w:sz w:val="12"/>
                <w:szCs w:val="12"/>
                <w:color w:val="auto"/>
              </w:rPr>
            </w:pPr>
          </w:p>
        </w:tc>
        <w:tc>
          <w:tcPr>
            <w:tcW w:w="680" w:type="dxa"/>
            <w:vAlign w:val="bottom"/>
            <w:gridSpan w:val="2"/>
            <w:shd w:val="clear" w:color="auto" w:fill="FCDEC5"/>
          </w:tcPr>
          <w:p>
            <w:pPr>
              <w:ind w:left="120"/>
              <w:spacing w:after="0" w:line="144" w:lineRule="exact"/>
              <w:rPr>
                <w:sz w:val="20"/>
                <w:szCs w:val="20"/>
                <w:color w:val="auto"/>
              </w:rPr>
            </w:pPr>
            <w:r>
              <w:rPr>
                <w:rFonts w:ascii="Arial" w:cs="Arial" w:eastAsia="Arial" w:hAnsi="Arial"/>
                <w:sz w:val="13"/>
                <w:szCs w:val="13"/>
                <w:color w:val="auto"/>
                <w:w w:val="96"/>
              </w:rPr>
              <w:t>and Chief</w:t>
            </w:r>
          </w:p>
        </w:tc>
        <w:tc>
          <w:tcPr>
            <w:tcW w:w="716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working with emerging businesses and ventures in the healthcare and life science industry. Mr. Srivatsan was Senior Vice</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60" w:type="dxa"/>
            <w:vAlign w:val="bottom"/>
            <w:shd w:val="clear" w:color="auto" w:fill="FCDEC5"/>
          </w:tcPr>
          <w:p>
            <w:pPr>
              <w:spacing w:after="0"/>
              <w:rPr>
                <w:sz w:val="12"/>
                <w:szCs w:val="12"/>
                <w:color w:val="auto"/>
              </w:rPr>
            </w:pPr>
          </w:p>
        </w:tc>
        <w:tc>
          <w:tcPr>
            <w:tcW w:w="680" w:type="dxa"/>
            <w:vAlign w:val="bottom"/>
            <w:gridSpan w:val="2"/>
            <w:shd w:val="clear" w:color="auto" w:fill="FCDEC5"/>
          </w:tcPr>
          <w:p>
            <w:pPr>
              <w:ind w:left="120"/>
              <w:spacing w:after="0" w:line="144" w:lineRule="exact"/>
              <w:rPr>
                <w:sz w:val="20"/>
                <w:szCs w:val="20"/>
                <w:color w:val="auto"/>
              </w:rPr>
            </w:pPr>
            <w:r>
              <w:rPr>
                <w:rFonts w:ascii="Arial" w:cs="Arial" w:eastAsia="Arial" w:hAnsi="Arial"/>
                <w:sz w:val="13"/>
                <w:szCs w:val="13"/>
                <w:color w:val="auto"/>
              </w:rPr>
              <w:t>Growth</w:t>
            </w:r>
          </w:p>
        </w:tc>
        <w:tc>
          <w:tcPr>
            <w:tcW w:w="716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President of Client Solutions at Silverline Technologies from 2001 to 2002, Chief technology Officer and Executive Vice</w:t>
            </w:r>
          </w:p>
        </w:tc>
      </w:tr>
      <w:tr>
        <w:trPr>
          <w:trHeight w:val="144"/>
        </w:trPr>
        <w:tc>
          <w:tcPr>
            <w:tcW w:w="240" w:type="dxa"/>
            <w:vAlign w:val="bottom"/>
            <w:tcBorders>
              <w:left w:val="single" w:sz="8" w:color="F79646"/>
            </w:tcBorders>
            <w:shd w:val="clear" w:color="auto" w:fill="FCDEC5"/>
          </w:tcPr>
          <w:p>
            <w:pPr>
              <w:spacing w:after="0"/>
              <w:rPr>
                <w:sz w:val="12"/>
                <w:szCs w:val="12"/>
                <w:color w:val="auto"/>
              </w:rPr>
            </w:pPr>
          </w:p>
        </w:tc>
        <w:tc>
          <w:tcPr>
            <w:tcW w:w="560" w:type="dxa"/>
            <w:vAlign w:val="bottom"/>
            <w:shd w:val="clear" w:color="auto" w:fill="FCDEC5"/>
          </w:tcPr>
          <w:p>
            <w:pPr>
              <w:spacing w:after="0"/>
              <w:rPr>
                <w:sz w:val="12"/>
                <w:szCs w:val="12"/>
                <w:color w:val="auto"/>
              </w:rPr>
            </w:pPr>
          </w:p>
        </w:tc>
        <w:tc>
          <w:tcPr>
            <w:tcW w:w="680" w:type="dxa"/>
            <w:vAlign w:val="bottom"/>
            <w:gridSpan w:val="2"/>
            <w:shd w:val="clear" w:color="auto" w:fill="FCDEC5"/>
          </w:tcPr>
          <w:p>
            <w:pPr>
              <w:ind w:left="120"/>
              <w:spacing w:after="0" w:line="144" w:lineRule="exact"/>
              <w:rPr>
                <w:sz w:val="20"/>
                <w:szCs w:val="20"/>
                <w:color w:val="auto"/>
              </w:rPr>
            </w:pPr>
            <w:r>
              <w:rPr>
                <w:rFonts w:ascii="Arial" w:cs="Arial" w:eastAsia="Arial" w:hAnsi="Arial"/>
                <w:sz w:val="13"/>
                <w:szCs w:val="13"/>
                <w:color w:val="auto"/>
              </w:rPr>
              <w:t>Officer</w:t>
            </w:r>
          </w:p>
        </w:tc>
        <w:tc>
          <w:tcPr>
            <w:tcW w:w="716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President of Global Delivery at SeraNova from 1998 to 2001, and a Director at SEI Information Technology from 1992 to</w:t>
            </w:r>
          </w:p>
        </w:tc>
      </w:tr>
      <w:tr>
        <w:trPr>
          <w:trHeight w:val="142"/>
        </w:trPr>
        <w:tc>
          <w:tcPr>
            <w:tcW w:w="240" w:type="dxa"/>
            <w:vAlign w:val="bottom"/>
            <w:tcBorders>
              <w:left w:val="single" w:sz="8" w:color="F79646"/>
              <w:bottom w:val="single" w:sz="8" w:color="F79646"/>
            </w:tcBorders>
            <w:shd w:val="clear" w:color="auto" w:fill="FCDEC5"/>
          </w:tcPr>
          <w:p>
            <w:pPr>
              <w:spacing w:after="0"/>
              <w:rPr>
                <w:sz w:val="12"/>
                <w:szCs w:val="12"/>
                <w:color w:val="auto"/>
              </w:rPr>
            </w:pPr>
          </w:p>
        </w:tc>
        <w:tc>
          <w:tcPr>
            <w:tcW w:w="560" w:type="dxa"/>
            <w:vAlign w:val="bottom"/>
            <w:tcBorders>
              <w:bottom w:val="single" w:sz="8" w:color="F79646"/>
            </w:tcBorders>
            <w:shd w:val="clear" w:color="auto" w:fill="FCDEC5"/>
          </w:tcPr>
          <w:p>
            <w:pPr>
              <w:spacing w:after="0"/>
              <w:rPr>
                <w:sz w:val="12"/>
                <w:szCs w:val="12"/>
                <w:color w:val="auto"/>
              </w:rPr>
            </w:pPr>
          </w:p>
        </w:tc>
        <w:tc>
          <w:tcPr>
            <w:tcW w:w="120" w:type="dxa"/>
            <w:vAlign w:val="bottom"/>
            <w:tcBorders>
              <w:bottom w:val="single" w:sz="8" w:color="F79646"/>
            </w:tcBorders>
            <w:shd w:val="clear" w:color="auto" w:fill="FCDEC5"/>
          </w:tcPr>
          <w:p>
            <w:pPr>
              <w:spacing w:after="0"/>
              <w:rPr>
                <w:sz w:val="12"/>
                <w:szCs w:val="12"/>
                <w:color w:val="auto"/>
              </w:rPr>
            </w:pPr>
          </w:p>
        </w:tc>
        <w:tc>
          <w:tcPr>
            <w:tcW w:w="560" w:type="dxa"/>
            <w:vAlign w:val="bottom"/>
            <w:tcBorders>
              <w:bottom w:val="single" w:sz="8" w:color="F79646"/>
            </w:tcBorders>
            <w:shd w:val="clear" w:color="auto" w:fill="FCDEC5"/>
          </w:tcPr>
          <w:p>
            <w:pPr>
              <w:spacing w:after="0"/>
              <w:rPr>
                <w:sz w:val="12"/>
                <w:szCs w:val="12"/>
                <w:color w:val="auto"/>
              </w:rPr>
            </w:pPr>
          </w:p>
        </w:tc>
        <w:tc>
          <w:tcPr>
            <w:tcW w:w="6920" w:type="dxa"/>
            <w:vAlign w:val="bottom"/>
            <w:tcBorders>
              <w:bottom w:val="single" w:sz="8" w:color="F79646"/>
            </w:tcBorders>
            <w:gridSpan w:val="2"/>
            <w:shd w:val="clear" w:color="auto" w:fill="FCDEC5"/>
          </w:tcPr>
          <w:p>
            <w:pPr>
              <w:ind w:left="120"/>
              <w:spacing w:after="0" w:line="143" w:lineRule="exact"/>
              <w:rPr>
                <w:sz w:val="20"/>
                <w:szCs w:val="20"/>
                <w:color w:val="auto"/>
              </w:rPr>
            </w:pPr>
            <w:r>
              <w:rPr>
                <w:rFonts w:ascii="Arial" w:cs="Arial" w:eastAsia="Arial" w:hAnsi="Arial"/>
                <w:sz w:val="13"/>
                <w:szCs w:val="13"/>
                <w:color w:val="auto"/>
              </w:rPr>
              <w:t>1998.</w:t>
            </w:r>
          </w:p>
        </w:tc>
        <w:tc>
          <w:tcPr>
            <w:tcW w:w="240" w:type="dxa"/>
            <w:vAlign w:val="bottom"/>
            <w:tcBorders>
              <w:bottom w:val="single" w:sz="8" w:color="F79646"/>
              <w:right w:val="single" w:sz="8" w:color="F79646"/>
            </w:tcBorders>
            <w:shd w:val="clear" w:color="auto" w:fill="FCDEC5"/>
          </w:tcPr>
          <w:p>
            <w:pPr>
              <w:spacing w:after="0"/>
              <w:rPr>
                <w:sz w:val="12"/>
                <w:szCs w:val="12"/>
                <w:color w:val="auto"/>
              </w:rPr>
            </w:pPr>
          </w:p>
        </w:tc>
      </w:tr>
    </w:tbl>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EXECUTIVE COMPENSATION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F79646"/>
        </w:rPr>
        <w:t>Compensation Discussion and Analysis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Named Executive Officers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As determined in accordance with SEC rules, our "named executive officers" for 2018 are:</w:t>
      </w:r>
    </w:p>
    <w:p>
      <w:pPr>
        <w:spacing w:after="0" w:line="149" w:lineRule="exact"/>
        <w:rPr>
          <w:sz w:val="20"/>
          <w:szCs w:val="20"/>
          <w:color w:val="auto"/>
        </w:rPr>
      </w:pPr>
    </w:p>
    <w:p>
      <w:pPr>
        <w:ind w:left="960" w:hanging="381"/>
        <w:spacing w:after="0"/>
        <w:tabs>
          <w:tab w:leader="none" w:pos="960" w:val="left"/>
        </w:tabs>
        <w:numPr>
          <w:ilvl w:val="0"/>
          <w:numId w:val="50"/>
        </w:numPr>
        <w:rPr>
          <w:rFonts w:ascii="Arial" w:cs="Arial" w:eastAsia="Arial" w:hAnsi="Arial"/>
          <w:sz w:val="13"/>
          <w:szCs w:val="13"/>
          <w:color w:val="F79646"/>
        </w:rPr>
      </w:pPr>
      <w:r>
        <w:rPr>
          <w:rFonts w:ascii="Arial" w:cs="Arial" w:eastAsia="Arial" w:hAnsi="Arial"/>
          <w:sz w:val="13"/>
          <w:szCs w:val="13"/>
          <w:color w:val="auto"/>
        </w:rPr>
        <w:t>Rohit Kapoor, our Vice Chairman and CEO;</w:t>
      </w:r>
    </w:p>
    <w:p>
      <w:pPr>
        <w:spacing w:after="0" w:line="148" w:lineRule="exact"/>
        <w:rPr>
          <w:rFonts w:ascii="Arial" w:cs="Arial" w:eastAsia="Arial" w:hAnsi="Arial"/>
          <w:sz w:val="13"/>
          <w:szCs w:val="13"/>
          <w:color w:val="F79646"/>
        </w:rPr>
      </w:pPr>
    </w:p>
    <w:p>
      <w:pPr>
        <w:ind w:left="960" w:hanging="381"/>
        <w:spacing w:after="0"/>
        <w:tabs>
          <w:tab w:leader="none" w:pos="960" w:val="left"/>
        </w:tabs>
        <w:numPr>
          <w:ilvl w:val="0"/>
          <w:numId w:val="50"/>
        </w:numPr>
        <w:rPr>
          <w:rFonts w:ascii="Arial" w:cs="Arial" w:eastAsia="Arial" w:hAnsi="Arial"/>
          <w:sz w:val="13"/>
          <w:szCs w:val="13"/>
          <w:color w:val="F79646"/>
        </w:rPr>
      </w:pPr>
      <w:r>
        <w:rPr>
          <w:rFonts w:ascii="Arial" w:cs="Arial" w:eastAsia="Arial" w:hAnsi="Arial"/>
          <w:sz w:val="13"/>
          <w:szCs w:val="13"/>
          <w:color w:val="auto"/>
        </w:rPr>
        <w:t>Vishal Chhibbar, our Executive Vice President and CFO;</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50"/>
        </w:numPr>
        <w:rPr>
          <w:rFonts w:ascii="Arial" w:cs="Arial" w:eastAsia="Arial" w:hAnsi="Arial"/>
          <w:sz w:val="13"/>
          <w:szCs w:val="13"/>
          <w:color w:val="F79646"/>
        </w:rPr>
      </w:pPr>
      <w:r>
        <w:rPr>
          <w:rFonts w:ascii="Arial" w:cs="Arial" w:eastAsia="Arial" w:hAnsi="Arial"/>
          <w:sz w:val="13"/>
          <w:szCs w:val="13"/>
          <w:color w:val="auto"/>
        </w:rPr>
        <w:t>Pavan Bagai, our President and Chief Operating Officer;</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50"/>
        </w:numPr>
        <w:rPr>
          <w:rFonts w:ascii="Arial" w:cs="Arial" w:eastAsia="Arial" w:hAnsi="Arial"/>
          <w:sz w:val="13"/>
          <w:szCs w:val="13"/>
          <w:color w:val="F79646"/>
        </w:rPr>
      </w:pPr>
      <w:r>
        <w:rPr>
          <w:rFonts w:ascii="Arial" w:cs="Arial" w:eastAsia="Arial" w:hAnsi="Arial"/>
          <w:sz w:val="13"/>
          <w:szCs w:val="13"/>
          <w:color w:val="auto"/>
        </w:rPr>
        <w:t>Nagaraja Srivatsan, our Executive Vice President and Chief Growth Officer; and</w:t>
      </w:r>
    </w:p>
    <w:p>
      <w:pPr>
        <w:spacing w:after="0" w:line="148" w:lineRule="exact"/>
        <w:rPr>
          <w:rFonts w:ascii="Arial" w:cs="Arial" w:eastAsia="Arial" w:hAnsi="Arial"/>
          <w:sz w:val="13"/>
          <w:szCs w:val="13"/>
          <w:color w:val="F79646"/>
        </w:rPr>
      </w:pPr>
    </w:p>
    <w:p>
      <w:pPr>
        <w:ind w:left="960" w:hanging="381"/>
        <w:spacing w:after="0"/>
        <w:tabs>
          <w:tab w:leader="none" w:pos="960" w:val="left"/>
        </w:tabs>
        <w:numPr>
          <w:ilvl w:val="0"/>
          <w:numId w:val="50"/>
        </w:numPr>
        <w:rPr>
          <w:rFonts w:ascii="Arial" w:cs="Arial" w:eastAsia="Arial" w:hAnsi="Arial"/>
          <w:sz w:val="13"/>
          <w:szCs w:val="13"/>
          <w:color w:val="F79646"/>
        </w:rPr>
      </w:pPr>
      <w:r>
        <w:rPr>
          <w:rFonts w:ascii="Arial" w:cs="Arial" w:eastAsia="Arial" w:hAnsi="Arial"/>
          <w:sz w:val="13"/>
          <w:szCs w:val="13"/>
          <w:color w:val="auto"/>
        </w:rPr>
        <w:t>Nalin Miglani, our Executive Vice President and Chief Human Resources Officer.</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Executive Summary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2018 Financial Highlights</w:t>
      </w:r>
    </w:p>
    <w:p>
      <w:pPr>
        <w:spacing w:after="0" w:line="165" w:lineRule="exact"/>
        <w:rPr>
          <w:sz w:val="20"/>
          <w:szCs w:val="20"/>
          <w:color w:val="auto"/>
        </w:rPr>
      </w:pPr>
    </w:p>
    <w:p>
      <w:pPr>
        <w:jc w:val="both"/>
        <w:ind w:left="200" w:right="199"/>
        <w:spacing w:after="0" w:line="288" w:lineRule="auto"/>
        <w:rPr>
          <w:sz w:val="20"/>
          <w:szCs w:val="20"/>
          <w:color w:val="auto"/>
        </w:rPr>
      </w:pPr>
      <w:r>
        <w:rPr>
          <w:rFonts w:ascii="Arial" w:cs="Arial" w:eastAsia="Arial" w:hAnsi="Arial"/>
          <w:sz w:val="11"/>
          <w:szCs w:val="11"/>
          <w:color w:val="auto"/>
        </w:rPr>
        <w:t>We improved our annual revenues from $762.3 million in fiscal year 2017 to $883.1 million in fiscal year 2018 (an increase of over 15%), completed one acquisition and closed a strategic $150 million convertible notes investment from The Orogen Group. In addition, we increased our global footprint with the opening of three delivery centers, won 50 new clients, received numerous awards and industry recognitions and launched a global version of our analytics-driven subrogation platform Subrosource™ to derive additional recoveries, which has been deployed across Europe, UK, Europe and Asia.</w:t>
      </w:r>
    </w:p>
    <w:p>
      <w:pPr>
        <w:spacing w:after="0" w:line="124"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Our Compensation Committee paid bonuses as a result of our achievement of 97.7% of our revenue target and 88.2% of our adjusted profits before tax ("Adjusted PBT") target, and based on achievement of individual and other performance measures as described below.</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Total Stockholder Return</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93980</wp:posOffset>
            </wp:positionV>
            <wp:extent cx="4180840" cy="1173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80840"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40" w:hanging="391"/>
        <w:spacing w:after="0"/>
        <w:tabs>
          <w:tab w:leader="none" w:pos="17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Cumulative growth rate as of December 31, 2018.</w:t>
      </w:r>
    </w:p>
    <w:p>
      <w:pPr>
        <w:spacing w:after="0" w:line="139" w:lineRule="exact"/>
        <w:rPr>
          <w:rFonts w:ascii="Arial" w:cs="Arial" w:eastAsia="Arial" w:hAnsi="Arial"/>
          <w:sz w:val="13"/>
          <w:szCs w:val="13"/>
          <w:color w:val="auto"/>
        </w:rPr>
      </w:pPr>
    </w:p>
    <w:p>
      <w:pPr>
        <w:ind w:left="1740" w:right="199" w:hanging="391"/>
        <w:spacing w:after="0" w:line="235" w:lineRule="auto"/>
        <w:tabs>
          <w:tab w:leader="none" w:pos="17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Peer group TSR data excludes Convergys Corporation, which was acquired in October 2018, and DST Systems, which was acquired in April 2018.</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0" w:name="page21"/>
    <w:bookmarkEnd w:id="20"/>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Acquisitions, Finance and Equity Transactions</w:t>
      </w:r>
    </w:p>
    <w:p>
      <w:pPr>
        <w:spacing w:after="0" w:line="165" w:lineRule="exact"/>
        <w:rPr>
          <w:sz w:val="20"/>
          <w:szCs w:val="20"/>
          <w:color w:val="auto"/>
        </w:rPr>
      </w:pPr>
    </w:p>
    <w:p>
      <w:pPr>
        <w:jc w:val="both"/>
        <w:ind w:left="960" w:right="179" w:hanging="381"/>
        <w:spacing w:after="0" w:line="234" w:lineRule="auto"/>
        <w:tabs>
          <w:tab w:leader="none" w:pos="960" w:val="left"/>
        </w:tabs>
        <w:numPr>
          <w:ilvl w:val="0"/>
          <w:numId w:val="52"/>
        </w:numPr>
        <w:rPr>
          <w:rFonts w:ascii="Arial" w:cs="Arial" w:eastAsia="Arial" w:hAnsi="Arial"/>
          <w:sz w:val="13"/>
          <w:szCs w:val="13"/>
          <w:color w:val="F79646"/>
        </w:rPr>
      </w:pPr>
      <w:r>
        <w:rPr>
          <w:rFonts w:ascii="Arial" w:cs="Arial" w:eastAsia="Arial" w:hAnsi="Arial"/>
          <w:sz w:val="13"/>
          <w:szCs w:val="13"/>
          <w:color w:val="auto"/>
        </w:rPr>
        <w:t>We completed the acquisition of SCIOinspire Holdings, Inc. ("SCIO"), a leading health analytics solution and services company that specializes in identifying opportunities and prescribing actions to drive operational performance and address the healthcare waste epidemic while improving care quality.</w:t>
      </w:r>
    </w:p>
    <w:p>
      <w:pPr>
        <w:spacing w:after="0" w:line="149" w:lineRule="exact"/>
        <w:rPr>
          <w:rFonts w:ascii="Arial" w:cs="Arial" w:eastAsia="Arial" w:hAnsi="Arial"/>
          <w:sz w:val="13"/>
          <w:szCs w:val="13"/>
          <w:color w:val="F79646"/>
        </w:rPr>
      </w:pPr>
    </w:p>
    <w:p>
      <w:pPr>
        <w:ind w:left="960" w:right="199" w:hanging="381"/>
        <w:spacing w:after="0" w:line="235" w:lineRule="auto"/>
        <w:tabs>
          <w:tab w:leader="none" w:pos="960" w:val="left"/>
        </w:tabs>
        <w:numPr>
          <w:ilvl w:val="0"/>
          <w:numId w:val="52"/>
        </w:numPr>
        <w:rPr>
          <w:rFonts w:ascii="Arial" w:cs="Arial" w:eastAsia="Arial" w:hAnsi="Arial"/>
          <w:sz w:val="13"/>
          <w:szCs w:val="13"/>
          <w:color w:val="F79646"/>
        </w:rPr>
      </w:pPr>
      <w:r>
        <w:rPr>
          <w:rFonts w:ascii="Arial" w:cs="Arial" w:eastAsia="Arial" w:hAnsi="Arial"/>
          <w:sz w:val="13"/>
          <w:szCs w:val="13"/>
          <w:color w:val="auto"/>
        </w:rPr>
        <w:t>We entered into an investment agreement with Orogen Echo LLC, an affiliate of The Orogen Group LLC, relating to the issuance by the Company to Orogen Echo LLC of $150 million aggregate principal amount of 3.50% Convertible Senior Notes due October 1, 2024.</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Awards and Industry Recognition</w:t>
      </w:r>
    </w:p>
    <w:p>
      <w:pPr>
        <w:spacing w:after="0" w:line="165" w:lineRule="exact"/>
        <w:rPr>
          <w:sz w:val="20"/>
          <w:szCs w:val="20"/>
          <w:color w:val="auto"/>
        </w:rPr>
      </w:pPr>
    </w:p>
    <w:p>
      <w:pPr>
        <w:ind w:left="960" w:hanging="381"/>
        <w:spacing w:after="0"/>
        <w:tabs>
          <w:tab w:leader="none" w:pos="960" w:val="left"/>
        </w:tabs>
        <w:numPr>
          <w:ilvl w:val="0"/>
          <w:numId w:val="53"/>
        </w:numPr>
        <w:rPr>
          <w:rFonts w:ascii="Arial" w:cs="Arial" w:eastAsia="Arial" w:hAnsi="Arial"/>
          <w:sz w:val="13"/>
          <w:szCs w:val="13"/>
          <w:color w:val="F79646"/>
        </w:rPr>
      </w:pPr>
      <w:r>
        <w:rPr>
          <w:rFonts w:ascii="Arial" w:cs="Arial" w:eastAsia="Arial" w:hAnsi="Arial"/>
          <w:sz w:val="13"/>
          <w:szCs w:val="13"/>
          <w:color w:val="auto"/>
        </w:rPr>
        <w:t>Our people are our primary assets, and they continue to be recognized across the industry.</w:t>
      </w:r>
    </w:p>
    <w:p>
      <w:pPr>
        <w:spacing w:after="0" w:line="139" w:lineRule="exact"/>
        <w:rPr>
          <w:rFonts w:ascii="Arial" w:cs="Arial" w:eastAsia="Arial" w:hAnsi="Arial"/>
          <w:sz w:val="13"/>
          <w:szCs w:val="13"/>
          <w:color w:val="F79646"/>
        </w:rPr>
      </w:pPr>
    </w:p>
    <w:p>
      <w:pPr>
        <w:ind w:left="960" w:right="179" w:hanging="381"/>
        <w:spacing w:after="0" w:line="235" w:lineRule="auto"/>
        <w:tabs>
          <w:tab w:leader="none" w:pos="960" w:val="left"/>
        </w:tabs>
        <w:numPr>
          <w:ilvl w:val="0"/>
          <w:numId w:val="53"/>
        </w:numPr>
        <w:rPr>
          <w:rFonts w:ascii="Arial" w:cs="Arial" w:eastAsia="Arial" w:hAnsi="Arial"/>
          <w:sz w:val="13"/>
          <w:szCs w:val="13"/>
          <w:color w:val="F79646"/>
        </w:rPr>
      </w:pPr>
      <w:r>
        <w:rPr>
          <w:rFonts w:ascii="Arial" w:cs="Arial" w:eastAsia="Arial" w:hAnsi="Arial"/>
          <w:sz w:val="13"/>
          <w:szCs w:val="13"/>
          <w:color w:val="auto"/>
        </w:rPr>
        <w:t>As in prior years, we continued to receive numerous industry recognitions and awards, including the DSCI 2017 award for "Best Privacy Practices in the IT/ITeS/BPM industry, pointing to our commitment to innovation and excellence.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Clients and Operations</w:t>
      </w:r>
    </w:p>
    <w:p>
      <w:pPr>
        <w:spacing w:after="0" w:line="174" w:lineRule="exact"/>
        <w:rPr>
          <w:sz w:val="20"/>
          <w:szCs w:val="20"/>
          <w:color w:val="auto"/>
        </w:rPr>
      </w:pPr>
    </w:p>
    <w:p>
      <w:pPr>
        <w:ind w:left="960" w:hanging="381"/>
        <w:spacing w:after="0"/>
        <w:tabs>
          <w:tab w:leader="none" w:pos="960" w:val="left"/>
        </w:tabs>
        <w:numPr>
          <w:ilvl w:val="0"/>
          <w:numId w:val="54"/>
        </w:numPr>
        <w:rPr>
          <w:rFonts w:ascii="Arial" w:cs="Arial" w:eastAsia="Arial" w:hAnsi="Arial"/>
          <w:sz w:val="13"/>
          <w:szCs w:val="13"/>
          <w:color w:val="F79646"/>
        </w:rPr>
      </w:pPr>
      <w:r>
        <w:rPr>
          <w:rFonts w:ascii="Arial" w:cs="Arial" w:eastAsia="Arial" w:hAnsi="Arial"/>
          <w:sz w:val="13"/>
          <w:szCs w:val="13"/>
          <w:color w:val="auto"/>
        </w:rPr>
        <w:t>In 2018 we won 50 new clients compared to the 42 new clients we won in 2017.</w:t>
      </w:r>
    </w:p>
    <w:p>
      <w:pPr>
        <w:spacing w:after="0" w:line="139" w:lineRule="exact"/>
        <w:rPr>
          <w:rFonts w:ascii="Arial" w:cs="Arial" w:eastAsia="Arial" w:hAnsi="Arial"/>
          <w:sz w:val="13"/>
          <w:szCs w:val="13"/>
          <w:color w:val="F79646"/>
        </w:rPr>
      </w:pPr>
    </w:p>
    <w:p>
      <w:pPr>
        <w:ind w:left="960" w:right="199" w:hanging="381"/>
        <w:spacing w:after="0" w:line="235" w:lineRule="auto"/>
        <w:tabs>
          <w:tab w:leader="none" w:pos="960" w:val="left"/>
        </w:tabs>
        <w:numPr>
          <w:ilvl w:val="0"/>
          <w:numId w:val="54"/>
        </w:numPr>
        <w:rPr>
          <w:rFonts w:ascii="Arial" w:cs="Arial" w:eastAsia="Arial" w:hAnsi="Arial"/>
          <w:sz w:val="13"/>
          <w:szCs w:val="13"/>
          <w:color w:val="F79646"/>
        </w:rPr>
      </w:pPr>
      <w:r>
        <w:rPr>
          <w:rFonts w:ascii="Arial" w:cs="Arial" w:eastAsia="Arial" w:hAnsi="Arial"/>
          <w:sz w:val="13"/>
          <w:szCs w:val="13"/>
          <w:color w:val="auto"/>
        </w:rPr>
        <w:t>We consolidated our London offices to support our growing UK and European business and opened new delivery centers in Chennai, India and in West Hartford, CT and Lee's Summit, MO.</w:t>
      </w:r>
    </w:p>
    <w:p>
      <w:pPr>
        <w:spacing w:after="0" w:line="140" w:lineRule="exact"/>
        <w:rPr>
          <w:rFonts w:ascii="Arial" w:cs="Arial" w:eastAsia="Arial" w:hAnsi="Arial"/>
          <w:sz w:val="13"/>
          <w:szCs w:val="13"/>
          <w:color w:val="F79646"/>
        </w:rPr>
      </w:pPr>
    </w:p>
    <w:p>
      <w:pPr>
        <w:ind w:left="960" w:right="179" w:hanging="381"/>
        <w:spacing w:after="0" w:line="235" w:lineRule="auto"/>
        <w:tabs>
          <w:tab w:leader="none" w:pos="960" w:val="left"/>
        </w:tabs>
        <w:numPr>
          <w:ilvl w:val="0"/>
          <w:numId w:val="54"/>
        </w:numPr>
        <w:rPr>
          <w:rFonts w:ascii="Arial" w:cs="Arial" w:eastAsia="Arial" w:hAnsi="Arial"/>
          <w:sz w:val="13"/>
          <w:szCs w:val="13"/>
          <w:color w:val="F79646"/>
        </w:rPr>
      </w:pPr>
      <w:r>
        <w:rPr>
          <w:rFonts w:ascii="Arial" w:cs="Arial" w:eastAsia="Arial" w:hAnsi="Arial"/>
          <w:sz w:val="13"/>
          <w:szCs w:val="13"/>
          <w:color w:val="auto"/>
        </w:rPr>
        <w:t>We announced the global rollout of a digital Know Your Customer (KYC) solution in collaboration with HSBC that delivers faster turnaround times, more accurate due diligence and significant cost efficiencies.</w:t>
      </w:r>
    </w:p>
    <w:p>
      <w:pPr>
        <w:spacing w:after="0" w:line="150" w:lineRule="exact"/>
        <w:rPr>
          <w:rFonts w:ascii="Arial" w:cs="Arial" w:eastAsia="Arial" w:hAnsi="Arial"/>
          <w:sz w:val="13"/>
          <w:szCs w:val="13"/>
          <w:color w:val="F79646"/>
        </w:rPr>
      </w:pPr>
    </w:p>
    <w:p>
      <w:pPr>
        <w:ind w:left="960" w:right="199" w:hanging="381"/>
        <w:spacing w:after="0" w:line="235" w:lineRule="auto"/>
        <w:tabs>
          <w:tab w:leader="none" w:pos="960" w:val="left"/>
        </w:tabs>
        <w:numPr>
          <w:ilvl w:val="0"/>
          <w:numId w:val="54"/>
        </w:numPr>
        <w:rPr>
          <w:rFonts w:ascii="Arial" w:cs="Arial" w:eastAsia="Arial" w:hAnsi="Arial"/>
          <w:sz w:val="13"/>
          <w:szCs w:val="13"/>
          <w:color w:val="F79646"/>
        </w:rPr>
      </w:pPr>
      <w:r>
        <w:rPr>
          <w:rFonts w:ascii="Arial" w:cs="Arial" w:eastAsia="Arial" w:hAnsi="Arial"/>
          <w:sz w:val="13"/>
          <w:szCs w:val="13"/>
          <w:color w:val="auto"/>
        </w:rPr>
        <w:t>We announced a partnership with TransUnion to create a seamless technology solution for lenders to comply with the new Current Expected Credit Loss Accounting rule.</w:t>
      </w:r>
    </w:p>
    <w:p>
      <w:pPr>
        <w:spacing w:after="0" w:line="140" w:lineRule="exact"/>
        <w:rPr>
          <w:rFonts w:ascii="Arial" w:cs="Arial" w:eastAsia="Arial" w:hAnsi="Arial"/>
          <w:sz w:val="13"/>
          <w:szCs w:val="13"/>
          <w:color w:val="F79646"/>
        </w:rPr>
      </w:pPr>
    </w:p>
    <w:p>
      <w:pPr>
        <w:ind w:left="960" w:right="179" w:hanging="381"/>
        <w:spacing w:after="0" w:line="235" w:lineRule="auto"/>
        <w:tabs>
          <w:tab w:leader="none" w:pos="960" w:val="left"/>
        </w:tabs>
        <w:numPr>
          <w:ilvl w:val="0"/>
          <w:numId w:val="54"/>
        </w:numPr>
        <w:rPr>
          <w:rFonts w:ascii="Arial" w:cs="Arial" w:eastAsia="Arial" w:hAnsi="Arial"/>
          <w:sz w:val="13"/>
          <w:szCs w:val="13"/>
          <w:color w:val="F79646"/>
        </w:rPr>
      </w:pPr>
      <w:r>
        <w:rPr>
          <w:rFonts w:ascii="Arial" w:cs="Arial" w:eastAsia="Arial" w:hAnsi="Arial"/>
          <w:sz w:val="13"/>
          <w:szCs w:val="13"/>
          <w:color w:val="auto"/>
        </w:rPr>
        <w:t>We launched a global version of our analytics-driven subrogation platform Subrosource™ to derive additional recoveries, which has been deployed across Europe, UK, Europe and Asia.</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Summary of Key Compensation Considerations &amp; Decisions in 2018</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following highlights the Compensation Committee's key considerations and compensation decisions in 2018 and with respect to performance for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FFFFFE"/>
        </w:rPr>
        <w:t>Considerations and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-91440</wp:posOffset>
            </wp:positionV>
            <wp:extent cx="5482590" cy="11125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82590" cy="1112520"/>
                    </a:xfrm>
                    <a:prstGeom prst="rect">
                      <a:avLst/>
                    </a:prstGeom>
                    <a:noFill/>
                  </pic:spPr>
                </pic:pic>
              </a:graphicData>
            </a:graphic>
          </wp:anchor>
        </w:drawing>
      </w:r>
    </w:p>
    <w:p>
      <w:pPr>
        <w:spacing w:after="0" w:line="135" w:lineRule="exact"/>
        <w:rPr>
          <w:sz w:val="20"/>
          <w:szCs w:val="20"/>
          <w:color w:val="auto"/>
        </w:rPr>
      </w:pPr>
    </w:p>
    <w:p>
      <w:pPr>
        <w:ind w:left="600" w:right="779" w:hanging="230"/>
        <w:spacing w:after="0" w:line="235" w:lineRule="auto"/>
        <w:tabs>
          <w:tab w:leader="none" w:pos="600" w:val="left"/>
        </w:tabs>
        <w:numPr>
          <w:ilvl w:val="0"/>
          <w:numId w:val="55"/>
        </w:numPr>
        <w:rPr>
          <w:rFonts w:ascii="Arial" w:cs="Arial" w:eastAsia="Arial" w:hAnsi="Arial"/>
          <w:sz w:val="13"/>
          <w:szCs w:val="13"/>
          <w:color w:val="F79646"/>
        </w:rPr>
      </w:pPr>
      <w:r>
        <w:rPr>
          <w:rFonts w:ascii="Arial" w:cs="Arial" w:eastAsia="Arial" w:hAnsi="Arial"/>
          <w:sz w:val="13"/>
          <w:szCs w:val="13"/>
          <w:u w:val="single" w:color="auto"/>
          <w:color w:val="auto"/>
        </w:rPr>
        <w:t>Say on Pay Approval</w:t>
      </w:r>
      <w:r>
        <w:rPr>
          <w:rFonts w:ascii="Arial" w:cs="Arial" w:eastAsia="Arial" w:hAnsi="Arial"/>
          <w:sz w:val="13"/>
          <w:szCs w:val="13"/>
          <w:color w:val="auto"/>
        </w:rPr>
        <w:t>: 95% of our stockholders approved, on a non-binding basis (excluding broker non-votes), of our compensation of our named executive officers.</w:t>
      </w:r>
    </w:p>
    <w:p>
      <w:pPr>
        <w:spacing w:after="0" w:line="140" w:lineRule="exact"/>
        <w:rPr>
          <w:rFonts w:ascii="Arial" w:cs="Arial" w:eastAsia="Arial" w:hAnsi="Arial"/>
          <w:sz w:val="13"/>
          <w:szCs w:val="13"/>
          <w:color w:val="F79646"/>
        </w:rPr>
      </w:pPr>
    </w:p>
    <w:p>
      <w:pPr>
        <w:ind w:left="600" w:hanging="230"/>
        <w:spacing w:after="0"/>
        <w:tabs>
          <w:tab w:leader="none" w:pos="600" w:val="left"/>
        </w:tabs>
        <w:numPr>
          <w:ilvl w:val="0"/>
          <w:numId w:val="55"/>
        </w:numPr>
        <w:rPr>
          <w:rFonts w:ascii="Arial" w:cs="Arial" w:eastAsia="Arial" w:hAnsi="Arial"/>
          <w:sz w:val="13"/>
          <w:szCs w:val="13"/>
          <w:color w:val="F79646"/>
        </w:rPr>
      </w:pPr>
      <w:r>
        <w:rPr>
          <w:rFonts w:ascii="Arial" w:cs="Arial" w:eastAsia="Arial" w:hAnsi="Arial"/>
          <w:sz w:val="13"/>
          <w:szCs w:val="13"/>
          <w:u w:val="single" w:color="auto"/>
          <w:color w:val="auto"/>
        </w:rPr>
        <w:t>Base Salaries</w:t>
      </w:r>
      <w:r>
        <w:rPr>
          <w:rFonts w:ascii="Arial" w:cs="Arial" w:eastAsia="Arial" w:hAnsi="Arial"/>
          <w:sz w:val="13"/>
          <w:szCs w:val="13"/>
          <w:color w:val="auto"/>
        </w:rPr>
        <w:t>: We provided appropriate increases to base salaries in 2018 as described below (in 2017, we held base salaries constant).</w:t>
      </w:r>
    </w:p>
    <w:p>
      <w:pPr>
        <w:spacing w:after="0" w:line="139" w:lineRule="exact"/>
        <w:rPr>
          <w:rFonts w:ascii="Arial" w:cs="Arial" w:eastAsia="Arial" w:hAnsi="Arial"/>
          <w:sz w:val="13"/>
          <w:szCs w:val="13"/>
          <w:color w:val="F79646"/>
        </w:rPr>
      </w:pPr>
    </w:p>
    <w:p>
      <w:pPr>
        <w:ind w:left="600" w:right="879" w:hanging="230"/>
        <w:spacing w:after="0" w:line="235" w:lineRule="auto"/>
        <w:tabs>
          <w:tab w:leader="none" w:pos="600" w:val="left"/>
        </w:tabs>
        <w:numPr>
          <w:ilvl w:val="0"/>
          <w:numId w:val="55"/>
        </w:numPr>
        <w:rPr>
          <w:rFonts w:ascii="Arial" w:cs="Arial" w:eastAsia="Arial" w:hAnsi="Arial"/>
          <w:sz w:val="13"/>
          <w:szCs w:val="13"/>
          <w:color w:val="F79646"/>
        </w:rPr>
      </w:pPr>
      <w:r>
        <w:rPr>
          <w:rFonts w:ascii="Arial" w:cs="Arial" w:eastAsia="Arial" w:hAnsi="Arial"/>
          <w:sz w:val="13"/>
          <w:szCs w:val="13"/>
          <w:u w:val="single" w:color="auto"/>
          <w:color w:val="auto"/>
        </w:rPr>
        <w:t>Annual Bonuses</w:t>
      </w:r>
      <w:r>
        <w:rPr>
          <w:rFonts w:ascii="Arial" w:cs="Arial" w:eastAsia="Arial" w:hAnsi="Arial"/>
          <w:sz w:val="13"/>
          <w:szCs w:val="13"/>
          <w:color w:val="auto"/>
        </w:rPr>
        <w:t>: We based our annual bonuses on achievement of company goals (Adjusted PBT &amp; revenue), business unit goals (total revenues &amp; business operating income) and personal performance goals.</w:t>
      </w:r>
    </w:p>
    <w:p>
      <w:pPr>
        <w:spacing w:after="0" w:line="140" w:lineRule="exact"/>
        <w:rPr>
          <w:rFonts w:ascii="Arial" w:cs="Arial" w:eastAsia="Arial" w:hAnsi="Arial"/>
          <w:sz w:val="13"/>
          <w:szCs w:val="13"/>
          <w:color w:val="F79646"/>
        </w:rPr>
      </w:pPr>
    </w:p>
    <w:p>
      <w:pPr>
        <w:ind w:left="600" w:right="439" w:hanging="230"/>
        <w:spacing w:after="0" w:line="235" w:lineRule="auto"/>
        <w:tabs>
          <w:tab w:leader="none" w:pos="600" w:val="left"/>
        </w:tabs>
        <w:numPr>
          <w:ilvl w:val="0"/>
          <w:numId w:val="55"/>
        </w:numPr>
        <w:rPr>
          <w:rFonts w:ascii="Arial" w:cs="Arial" w:eastAsia="Arial" w:hAnsi="Arial"/>
          <w:sz w:val="13"/>
          <w:szCs w:val="13"/>
          <w:color w:val="F79646"/>
        </w:rPr>
      </w:pPr>
      <w:r>
        <w:rPr>
          <w:rFonts w:ascii="Arial" w:cs="Arial" w:eastAsia="Arial" w:hAnsi="Arial"/>
          <w:sz w:val="13"/>
          <w:szCs w:val="13"/>
          <w:u w:val="single" w:color="auto"/>
          <w:color w:val="auto"/>
        </w:rPr>
        <w:t>Equity Incentives</w:t>
      </w:r>
      <w:r>
        <w:rPr>
          <w:rFonts w:ascii="Arial" w:cs="Arial" w:eastAsia="Arial" w:hAnsi="Arial"/>
          <w:sz w:val="13"/>
          <w:szCs w:val="13"/>
          <w:color w:val="auto"/>
        </w:rPr>
        <w:t>: We continued to grant a mix of time-based and performance-based restricted stock units (revenue- &amp; TSR-linked performance goals).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Key Corporate Governance Features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2018, which were adopted to drive performance and to align our executives' interests with those of our stockholders.</w:t>
      </w:r>
    </w:p>
    <w:p>
      <w:pPr>
        <w:spacing w:after="0" w:line="322" w:lineRule="exact"/>
        <w:rPr>
          <w:sz w:val="20"/>
          <w:szCs w:val="20"/>
          <w:color w:val="auto"/>
        </w:rPr>
      </w:pPr>
    </w:p>
    <w:tbl>
      <w:tblPr>
        <w:tblLayout w:type="fixed"/>
        <w:tblInd w:w="210" w:type="dxa"/>
        <w:tblCellMar>
          <w:top w:w="0" w:type="dxa"/>
          <w:left w:w="0" w:type="dxa"/>
          <w:bottom w:w="0" w:type="dxa"/>
          <w:right w:w="0" w:type="dxa"/>
        </w:tblCellMar>
      </w:tblPr>
      <w:tr>
        <w:trPr>
          <w:trHeight w:val="154"/>
        </w:trPr>
        <w:tc>
          <w:tcPr>
            <w:tcW w:w="460" w:type="dxa"/>
            <w:vAlign w:val="bottom"/>
            <w:tcBorders>
              <w:left w:val="single" w:sz="8" w:color="F79646"/>
            </w:tcBorders>
            <w:shd w:val="clear" w:color="auto" w:fill="F79646"/>
          </w:tcPr>
          <w:p>
            <w:pPr>
              <w:spacing w:after="0"/>
              <w:rPr>
                <w:sz w:val="13"/>
                <w:szCs w:val="13"/>
                <w:color w:val="auto"/>
              </w:rPr>
            </w:pPr>
          </w:p>
        </w:tc>
        <w:tc>
          <w:tcPr>
            <w:tcW w:w="1120" w:type="dxa"/>
            <w:vAlign w:val="bottom"/>
            <w:shd w:val="clear" w:color="auto" w:fill="F79646"/>
          </w:tcPr>
          <w:p>
            <w:pPr>
              <w:spacing w:after="0"/>
              <w:rPr>
                <w:sz w:val="13"/>
                <w:szCs w:val="13"/>
                <w:color w:val="auto"/>
              </w:rPr>
            </w:pPr>
          </w:p>
        </w:tc>
        <w:tc>
          <w:tcPr>
            <w:tcW w:w="7060" w:type="dxa"/>
            <w:vAlign w:val="bottom"/>
            <w:tcBorders>
              <w:right w:val="single" w:sz="8" w:color="F79646"/>
            </w:tcBorders>
            <w:shd w:val="clear" w:color="auto" w:fill="F79646"/>
          </w:tcPr>
          <w:p>
            <w:pPr>
              <w:ind w:left="2380"/>
              <w:spacing w:after="0"/>
              <w:rPr>
                <w:sz w:val="20"/>
                <w:szCs w:val="20"/>
                <w:color w:val="auto"/>
              </w:rPr>
            </w:pPr>
            <w:r>
              <w:rPr>
                <w:rFonts w:ascii="Arial" w:cs="Arial" w:eastAsia="Arial" w:hAnsi="Arial"/>
                <w:sz w:val="13"/>
                <w:szCs w:val="13"/>
                <w:b w:val="1"/>
                <w:bCs w:val="1"/>
                <w:color w:val="FFFFFE"/>
              </w:rPr>
              <w:t>What We Do</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shd w:val="clear" w:color="auto" w:fill="FCDEC5"/>
          </w:tcPr>
          <w:p>
            <w:pPr>
              <w:ind w:left="140"/>
              <w:spacing w:after="0" w:line="147" w:lineRule="exact"/>
              <w:rPr>
                <w:sz w:val="20"/>
                <w:szCs w:val="20"/>
                <w:color w:val="auto"/>
              </w:rPr>
            </w:pPr>
            <w:r>
              <w:rPr>
                <w:rFonts w:ascii="Arial" w:cs="Arial" w:eastAsia="Arial" w:hAnsi="Arial"/>
                <w:sz w:val="13"/>
                <w:szCs w:val="13"/>
                <w:color w:val="auto"/>
              </w:rPr>
              <w:t>Align Our</w:t>
            </w:r>
          </w:p>
        </w:tc>
        <w:tc>
          <w:tcPr>
            <w:tcW w:w="70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Link a significant portion of each NEO's total compensation to the achievement of specific performance goals, as</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Executive Pay</w:t>
            </w:r>
          </w:p>
        </w:tc>
        <w:tc>
          <w:tcPr>
            <w:tcW w:w="70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described below.</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with</w:t>
            </w:r>
          </w:p>
        </w:tc>
        <w:tc>
          <w:tcPr>
            <w:tcW w:w="7060" w:type="dxa"/>
            <w:vAlign w:val="bottom"/>
            <w:tcBorders>
              <w:right w:val="single" w:sz="8" w:color="F79646"/>
            </w:tcBorders>
            <w:shd w:val="clear" w:color="auto" w:fill="FCDEC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Performance</w:t>
            </w:r>
          </w:p>
        </w:tc>
        <w:tc>
          <w:tcPr>
            <w:tcW w:w="70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Variable compensation is "at-risk" and rewards performance and contributions to both short- and long-term financial</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spacing w:after="0"/>
              <w:rPr>
                <w:sz w:val="12"/>
                <w:szCs w:val="12"/>
                <w:color w:val="auto"/>
              </w:rPr>
            </w:pPr>
          </w:p>
        </w:tc>
        <w:tc>
          <w:tcPr>
            <w:tcW w:w="7060" w:type="dxa"/>
            <w:vAlign w:val="bottom"/>
            <w:tcBorders>
              <w:right w:val="single" w:sz="8" w:color="F79646"/>
            </w:tcBorders>
            <w:shd w:val="clear" w:color="auto" w:fill="FCDEC5"/>
          </w:tcPr>
          <w:p>
            <w:pPr>
              <w:ind w:left="80"/>
              <w:spacing w:after="0" w:line="143"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140"/>
              <w:spacing w:after="0" w:line="147" w:lineRule="exact"/>
              <w:rPr>
                <w:sz w:val="20"/>
                <w:szCs w:val="20"/>
                <w:color w:val="auto"/>
              </w:rPr>
            </w:pPr>
            <w:r>
              <w:rPr>
                <w:rFonts w:ascii="Arial" w:cs="Arial" w:eastAsia="Arial" w:hAnsi="Arial"/>
                <w:sz w:val="13"/>
                <w:szCs w:val="13"/>
                <w:color w:val="auto"/>
              </w:rPr>
              <w:t>Use Appropriate</w:t>
            </w:r>
          </w:p>
        </w:tc>
        <w:tc>
          <w:tcPr>
            <w:tcW w:w="7060" w:type="dxa"/>
            <w:vAlign w:val="bottom"/>
            <w:tcBorders>
              <w:right w:val="single" w:sz="8" w:color="F79646"/>
            </w:tcBorders>
          </w:tcPr>
          <w:p>
            <w:pPr>
              <w:ind w:left="80"/>
              <w:spacing w:after="0" w:line="147" w:lineRule="exact"/>
              <w:rPr>
                <w:sz w:val="20"/>
                <w:szCs w:val="20"/>
                <w:color w:val="auto"/>
              </w:rPr>
            </w:pPr>
            <w:r>
              <w:rPr>
                <w:rFonts w:ascii="Arial" w:cs="Arial" w:eastAsia="Arial" w:hAnsi="Arial"/>
                <w:sz w:val="13"/>
                <w:szCs w:val="13"/>
                <w:color w:val="auto"/>
              </w:rPr>
              <w:t>Established a peer group to help us review market practices and design a competitive compensation program. The</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Peer Groups</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criteria for peer group selection include similar market capitalization, scope of operations, potential mobility of talent and</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When</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industry alignment.</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Establishing</w:t>
            </w:r>
          </w:p>
        </w:tc>
        <w:tc>
          <w:tcPr>
            <w:tcW w:w="706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Compensation</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Set compensation of our executive officers at levels that we believe are appropriate relative to the compensation paid to</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tcPr>
          <w:p>
            <w:pPr>
              <w:spacing w:after="0"/>
              <w:rPr>
                <w:sz w:val="12"/>
                <w:szCs w:val="12"/>
                <w:color w:val="auto"/>
              </w:rPr>
            </w:pPr>
          </w:p>
        </w:tc>
        <w:tc>
          <w:tcPr>
            <w:tcW w:w="1120" w:type="dxa"/>
            <w:vAlign w:val="bottom"/>
          </w:tcPr>
          <w:p>
            <w:pPr>
              <w:spacing w:after="0"/>
              <w:rPr>
                <w:sz w:val="12"/>
                <w:szCs w:val="12"/>
                <w:color w:val="auto"/>
              </w:rPr>
            </w:pPr>
          </w:p>
        </w:tc>
        <w:tc>
          <w:tcPr>
            <w:tcW w:w="7060" w:type="dxa"/>
            <w:vAlign w:val="bottom"/>
            <w:tcBorders>
              <w:right w:val="single" w:sz="8" w:color="F79646"/>
            </w:tcBorders>
          </w:tcPr>
          <w:p>
            <w:pPr>
              <w:ind w:left="80"/>
              <w:spacing w:after="0" w:line="143" w:lineRule="exact"/>
              <w:rPr>
                <w:sz w:val="20"/>
                <w:szCs w:val="20"/>
                <w:color w:val="auto"/>
              </w:rPr>
            </w:pPr>
            <w:r>
              <w:rPr>
                <w:rFonts w:ascii="Arial" w:cs="Arial" w:eastAsia="Arial" w:hAnsi="Arial"/>
                <w:sz w:val="13"/>
                <w:szCs w:val="13"/>
                <w:color w:val="auto"/>
              </w:rPr>
              <w:t>similarly situated officers of our peers, giving consideration to market and other factors.</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shd w:val="clear" w:color="auto" w:fill="FCDEC5"/>
          </w:tcPr>
          <w:p>
            <w:pPr>
              <w:ind w:left="140"/>
              <w:spacing w:after="0" w:line="147" w:lineRule="exact"/>
              <w:rPr>
                <w:sz w:val="20"/>
                <w:szCs w:val="20"/>
                <w:color w:val="auto"/>
              </w:rPr>
            </w:pPr>
            <w:r>
              <w:rPr>
                <w:rFonts w:ascii="Arial" w:cs="Arial" w:eastAsia="Arial" w:hAnsi="Arial"/>
                <w:sz w:val="13"/>
                <w:szCs w:val="13"/>
                <w:color w:val="auto"/>
              </w:rPr>
              <w:t>Ensure Equity</w:t>
            </w:r>
          </w:p>
        </w:tc>
        <w:tc>
          <w:tcPr>
            <w:tcW w:w="70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Design equity incentives to encourage our executives to maintain a long-term view of stockholder value creation, to</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Compensation</w:t>
            </w:r>
          </w:p>
        </w:tc>
        <w:tc>
          <w:tcPr>
            <w:tcW w:w="70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encourage retention &amp; to ensure a significant portion of the award is performance-based.</w:t>
            </w:r>
          </w:p>
        </w:tc>
        <w:tc>
          <w:tcPr>
            <w:tcW w:w="0" w:type="dxa"/>
            <w:vAlign w:val="bottom"/>
          </w:tcPr>
          <w:p>
            <w:pPr>
              <w:spacing w:after="0"/>
              <w:rPr>
                <w:sz w:val="1"/>
                <w:szCs w:val="1"/>
                <w:color w:val="auto"/>
              </w:rPr>
            </w:pPr>
          </w:p>
        </w:tc>
      </w:tr>
      <w:tr>
        <w:trPr>
          <w:trHeight w:val="149"/>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rPr>
                <w:sz w:val="20"/>
                <w:szCs w:val="20"/>
                <w:color w:val="auto"/>
              </w:rPr>
            </w:pPr>
            <w:r>
              <w:rPr>
                <w:rFonts w:ascii="Arial" w:cs="Arial" w:eastAsia="Arial" w:hAnsi="Arial"/>
                <w:sz w:val="13"/>
                <w:szCs w:val="13"/>
                <w:color w:val="auto"/>
              </w:rPr>
              <w:t>Best Practices</w:t>
            </w:r>
          </w:p>
        </w:tc>
        <w:tc>
          <w:tcPr>
            <w:tcW w:w="7060" w:type="dxa"/>
            <w:vAlign w:val="bottom"/>
            <w:tcBorders>
              <w:right w:val="single" w:sz="8" w:color="F79646"/>
            </w:tcBorders>
            <w:vMerge w:val="restart"/>
            <w:shd w:val="clear" w:color="auto" w:fill="FCDEC5"/>
          </w:tcPr>
          <w:p>
            <w:pPr>
              <w:ind w:left="80"/>
              <w:spacing w:after="0"/>
              <w:rPr>
                <w:sz w:val="20"/>
                <w:szCs w:val="20"/>
                <w:color w:val="auto"/>
              </w:rPr>
            </w:pPr>
            <w:r>
              <w:rPr>
                <w:rFonts w:ascii="Arial" w:cs="Arial" w:eastAsia="Arial" w:hAnsi="Arial"/>
                <w:sz w:val="13"/>
                <w:szCs w:val="13"/>
                <w:color w:val="auto"/>
              </w:rPr>
              <w:t>Hold dividends accrued under our equity awards, if any, until the recipient vests in the underlying shares or units.</w:t>
            </w:r>
          </w:p>
        </w:tc>
        <w:tc>
          <w:tcPr>
            <w:tcW w:w="0" w:type="dxa"/>
            <w:vAlign w:val="bottom"/>
          </w:tcPr>
          <w:p>
            <w:pPr>
              <w:spacing w:after="0"/>
              <w:rPr>
                <w:sz w:val="1"/>
                <w:szCs w:val="1"/>
                <w:color w:val="auto"/>
              </w:rPr>
            </w:pPr>
          </w:p>
        </w:tc>
      </w:tr>
      <w:tr>
        <w:trPr>
          <w:trHeight w:val="137"/>
        </w:trPr>
        <w:tc>
          <w:tcPr>
            <w:tcW w:w="460" w:type="dxa"/>
            <w:vAlign w:val="bottom"/>
            <w:tcBorders>
              <w:left w:val="single" w:sz="8" w:color="F79646"/>
            </w:tcBorders>
            <w:shd w:val="clear" w:color="auto" w:fill="FCDEC5"/>
          </w:tcPr>
          <w:p>
            <w:pPr>
              <w:spacing w:after="0"/>
              <w:rPr>
                <w:sz w:val="11"/>
                <w:szCs w:val="11"/>
                <w:color w:val="auto"/>
              </w:rPr>
            </w:pPr>
          </w:p>
        </w:tc>
        <w:tc>
          <w:tcPr>
            <w:tcW w:w="1120" w:type="dxa"/>
            <w:vAlign w:val="bottom"/>
            <w:shd w:val="clear" w:color="auto" w:fill="FCDEC5"/>
          </w:tcPr>
          <w:p>
            <w:pPr>
              <w:spacing w:after="0"/>
              <w:rPr>
                <w:sz w:val="11"/>
                <w:szCs w:val="11"/>
                <w:color w:val="auto"/>
              </w:rPr>
            </w:pPr>
          </w:p>
        </w:tc>
        <w:tc>
          <w:tcPr>
            <w:tcW w:w="7060" w:type="dxa"/>
            <w:vAlign w:val="bottom"/>
            <w:tcBorders>
              <w:right w:val="single" w:sz="8" w:color="F79646"/>
            </w:tcBorders>
            <w:vMerge w:val="continue"/>
            <w:shd w:val="clear" w:color="auto" w:fill="FCDEC5"/>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140"/>
              <w:spacing w:after="0" w:line="147" w:lineRule="exact"/>
              <w:rPr>
                <w:sz w:val="20"/>
                <w:szCs w:val="20"/>
                <w:color w:val="auto"/>
              </w:rPr>
            </w:pPr>
            <w:r>
              <w:rPr>
                <w:rFonts w:ascii="Arial" w:cs="Arial" w:eastAsia="Arial" w:hAnsi="Arial"/>
                <w:sz w:val="13"/>
                <w:szCs w:val="13"/>
                <w:color w:val="auto"/>
              </w:rPr>
              <w:t>Maintain an</w:t>
            </w:r>
          </w:p>
        </w:tc>
        <w:tc>
          <w:tcPr>
            <w:tcW w:w="7060" w:type="dxa"/>
            <w:vAlign w:val="bottom"/>
            <w:tcBorders>
              <w:right w:val="single" w:sz="8" w:color="F79646"/>
            </w:tcBorders>
          </w:tcPr>
          <w:p>
            <w:pPr>
              <w:ind w:left="80"/>
              <w:spacing w:after="0" w:line="147" w:lineRule="exact"/>
              <w:rPr>
                <w:sz w:val="20"/>
                <w:szCs w:val="20"/>
                <w:color w:val="auto"/>
              </w:rPr>
            </w:pPr>
            <w:r>
              <w:rPr>
                <w:rFonts w:ascii="Arial" w:cs="Arial" w:eastAsia="Arial" w:hAnsi="Arial"/>
                <w:sz w:val="13"/>
                <w:szCs w:val="13"/>
                <w:color w:val="auto"/>
              </w:rPr>
              <w:t>Compensation decisions for our NEOs are approved by a Compensation Committee composed of non-employee</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Independent</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independent directors.</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Compensation</w:t>
            </w:r>
          </w:p>
        </w:tc>
        <w:tc>
          <w:tcPr>
            <w:tcW w:w="706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Committee</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Compensation  Committee  is  advised  by  an  independent  consultant  who  reports  directly  to  the  Compensation</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tcPr>
          <w:p>
            <w:pPr>
              <w:spacing w:after="0"/>
              <w:rPr>
                <w:sz w:val="12"/>
                <w:szCs w:val="12"/>
                <w:color w:val="auto"/>
              </w:rPr>
            </w:pPr>
          </w:p>
        </w:tc>
        <w:tc>
          <w:tcPr>
            <w:tcW w:w="1120" w:type="dxa"/>
            <w:vAlign w:val="bottom"/>
          </w:tcPr>
          <w:p>
            <w:pPr>
              <w:spacing w:after="0"/>
              <w:rPr>
                <w:sz w:val="12"/>
                <w:szCs w:val="12"/>
                <w:color w:val="auto"/>
              </w:rPr>
            </w:pPr>
          </w:p>
        </w:tc>
        <w:tc>
          <w:tcPr>
            <w:tcW w:w="7060" w:type="dxa"/>
            <w:vAlign w:val="bottom"/>
            <w:tcBorders>
              <w:right w:val="single" w:sz="8" w:color="F79646"/>
            </w:tcBorders>
          </w:tcPr>
          <w:p>
            <w:pPr>
              <w:ind w:left="80"/>
              <w:spacing w:after="0" w:line="143" w:lineRule="exact"/>
              <w:rPr>
                <w:sz w:val="20"/>
                <w:szCs w:val="20"/>
                <w:color w:val="auto"/>
              </w:rPr>
            </w:pPr>
            <w:r>
              <w:rPr>
                <w:rFonts w:ascii="Arial" w:cs="Arial" w:eastAsia="Arial" w:hAnsi="Arial"/>
                <w:sz w:val="13"/>
                <w:szCs w:val="13"/>
                <w:color w:val="auto"/>
              </w:rPr>
              <w:t>Committee &amp; provides no other services to the Company or management.</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shd w:val="clear" w:color="auto" w:fill="FCDEC5"/>
          </w:tcPr>
          <w:p>
            <w:pPr>
              <w:ind w:left="140"/>
              <w:spacing w:after="0" w:line="147" w:lineRule="exact"/>
              <w:rPr>
                <w:sz w:val="20"/>
                <w:szCs w:val="20"/>
                <w:color w:val="auto"/>
              </w:rPr>
            </w:pPr>
            <w:r>
              <w:rPr>
                <w:rFonts w:ascii="Arial" w:cs="Arial" w:eastAsia="Arial" w:hAnsi="Arial"/>
                <w:sz w:val="13"/>
                <w:szCs w:val="13"/>
                <w:color w:val="auto"/>
              </w:rPr>
              <w:t>Mitigate Risks</w:t>
            </w:r>
          </w:p>
        </w:tc>
        <w:tc>
          <w:tcPr>
            <w:tcW w:w="70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Mix and design of our compensation programs serves to mitigate operational, financial, legal, regulatory, strategic &amp;</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spacing w:after="0"/>
              <w:rPr>
                <w:sz w:val="12"/>
                <w:szCs w:val="12"/>
                <w:color w:val="auto"/>
              </w:rPr>
            </w:pPr>
          </w:p>
        </w:tc>
        <w:tc>
          <w:tcPr>
            <w:tcW w:w="7060" w:type="dxa"/>
            <w:vAlign w:val="bottom"/>
            <w:tcBorders>
              <w:right w:val="single" w:sz="8" w:color="F79646"/>
            </w:tcBorders>
            <w:shd w:val="clear" w:color="auto" w:fill="FCDEC5"/>
          </w:tcPr>
          <w:p>
            <w:pPr>
              <w:ind w:left="80"/>
              <w:spacing w:after="0" w:line="143" w:lineRule="exact"/>
              <w:rPr>
                <w:sz w:val="20"/>
                <w:szCs w:val="20"/>
                <w:color w:val="auto"/>
              </w:rPr>
            </w:pPr>
            <w:r>
              <w:rPr>
                <w:rFonts w:ascii="Arial" w:cs="Arial" w:eastAsia="Arial" w:hAnsi="Arial"/>
                <w:sz w:val="13"/>
                <w:szCs w:val="13"/>
                <w:color w:val="auto"/>
              </w:rPr>
              <w:t>reputational risks.</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140"/>
              <w:spacing w:after="0" w:line="147" w:lineRule="exact"/>
              <w:rPr>
                <w:sz w:val="20"/>
                <w:szCs w:val="20"/>
                <w:color w:val="auto"/>
              </w:rPr>
            </w:pPr>
            <w:r>
              <w:rPr>
                <w:rFonts w:ascii="Arial" w:cs="Arial" w:eastAsia="Arial" w:hAnsi="Arial"/>
                <w:sz w:val="13"/>
                <w:szCs w:val="13"/>
                <w:color w:val="auto"/>
              </w:rPr>
              <w:t>Maintain a</w:t>
            </w:r>
          </w:p>
        </w:tc>
        <w:tc>
          <w:tcPr>
            <w:tcW w:w="7060" w:type="dxa"/>
            <w:vAlign w:val="bottom"/>
            <w:tcBorders>
              <w:right w:val="single" w:sz="8" w:color="F79646"/>
            </w:tcBorders>
          </w:tcPr>
          <w:p>
            <w:pPr>
              <w:ind w:left="80"/>
              <w:spacing w:after="0" w:line="147" w:lineRule="exact"/>
              <w:rPr>
                <w:sz w:val="20"/>
                <w:szCs w:val="20"/>
                <w:color w:val="auto"/>
              </w:rPr>
            </w:pPr>
            <w:r>
              <w:rPr>
                <w:rFonts w:ascii="Arial" w:cs="Arial" w:eastAsia="Arial" w:hAnsi="Arial"/>
                <w:sz w:val="13"/>
                <w:szCs w:val="13"/>
                <w:color w:val="auto"/>
              </w:rPr>
              <w:t>Maintain a compensation recovery policy that allows the Company to recover compensation (including both cash and/or</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ind w:left="140"/>
              <w:spacing w:after="0" w:line="144" w:lineRule="exact"/>
              <w:rPr>
                <w:sz w:val="20"/>
                <w:szCs w:val="20"/>
                <w:color w:val="auto"/>
              </w:rPr>
            </w:pPr>
            <w:r>
              <w:rPr>
                <w:rFonts w:ascii="Arial" w:cs="Arial" w:eastAsia="Arial" w:hAnsi="Arial"/>
                <w:sz w:val="13"/>
                <w:szCs w:val="13"/>
                <w:color w:val="auto"/>
              </w:rPr>
              <w:t>Clawback Policy</w:t>
            </w: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equity awards) previously paid to one or more officers in the event of a financial restatement caused by noncompliance</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1120" w:type="dxa"/>
            <w:vAlign w:val="bottom"/>
          </w:tcPr>
          <w:p>
            <w:pPr>
              <w:spacing w:after="0"/>
              <w:rPr>
                <w:sz w:val="12"/>
                <w:szCs w:val="12"/>
                <w:color w:val="auto"/>
              </w:rPr>
            </w:pPr>
          </w:p>
        </w:tc>
        <w:tc>
          <w:tcPr>
            <w:tcW w:w="70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with reporting requirements that impacts the applicable performance metric if, in the opinion of our Board or</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tcPr>
          <w:p>
            <w:pPr>
              <w:spacing w:after="0"/>
              <w:rPr>
                <w:sz w:val="12"/>
                <w:szCs w:val="12"/>
                <w:color w:val="auto"/>
              </w:rPr>
            </w:pPr>
          </w:p>
        </w:tc>
        <w:tc>
          <w:tcPr>
            <w:tcW w:w="1120" w:type="dxa"/>
            <w:vAlign w:val="bottom"/>
          </w:tcPr>
          <w:p>
            <w:pPr>
              <w:spacing w:after="0"/>
              <w:rPr>
                <w:sz w:val="12"/>
                <w:szCs w:val="12"/>
                <w:color w:val="auto"/>
              </w:rPr>
            </w:pPr>
          </w:p>
        </w:tc>
        <w:tc>
          <w:tcPr>
            <w:tcW w:w="7060" w:type="dxa"/>
            <w:vAlign w:val="bottom"/>
            <w:tcBorders>
              <w:right w:val="single" w:sz="8" w:color="F79646"/>
            </w:tcBorders>
          </w:tcPr>
          <w:p>
            <w:pPr>
              <w:ind w:left="80"/>
              <w:spacing w:after="0" w:line="143" w:lineRule="exact"/>
              <w:rPr>
                <w:sz w:val="20"/>
                <w:szCs w:val="20"/>
                <w:color w:val="auto"/>
              </w:rPr>
            </w:pPr>
            <w:r>
              <w:rPr>
                <w:rFonts w:ascii="Arial" w:cs="Arial" w:eastAsia="Arial" w:hAnsi="Arial"/>
                <w:sz w:val="13"/>
                <w:szCs w:val="13"/>
                <w:color w:val="auto"/>
              </w:rPr>
              <w:t>Compensation Committee, the identified executive's misconduct was a material factor causing the restatement.</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shd w:val="clear" w:color="auto" w:fill="FCDEC5"/>
          </w:tcPr>
          <w:p>
            <w:pPr>
              <w:ind w:left="140"/>
              <w:spacing w:after="0" w:line="147" w:lineRule="exact"/>
              <w:rPr>
                <w:sz w:val="20"/>
                <w:szCs w:val="20"/>
                <w:color w:val="auto"/>
              </w:rPr>
            </w:pPr>
            <w:r>
              <w:rPr>
                <w:rFonts w:ascii="Arial" w:cs="Arial" w:eastAsia="Arial" w:hAnsi="Arial"/>
                <w:sz w:val="13"/>
                <w:szCs w:val="13"/>
                <w:color w:val="auto"/>
              </w:rPr>
              <w:t>Maintain a</w:t>
            </w:r>
          </w:p>
        </w:tc>
        <w:tc>
          <w:tcPr>
            <w:tcW w:w="70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Maintain a stock ownership policy that requires our CEO to maintain stock ownership equal to at least six times his base</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Robust Stock</w:t>
            </w:r>
          </w:p>
        </w:tc>
        <w:tc>
          <w:tcPr>
            <w:tcW w:w="70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salary and that requires the other members of our executive committee to maintain stock ownership of at least two times</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line="144" w:lineRule="exact"/>
              <w:rPr>
                <w:sz w:val="20"/>
                <w:szCs w:val="20"/>
                <w:color w:val="auto"/>
              </w:rPr>
            </w:pPr>
            <w:r>
              <w:rPr>
                <w:rFonts w:ascii="Arial" w:cs="Arial" w:eastAsia="Arial" w:hAnsi="Arial"/>
                <w:sz w:val="13"/>
                <w:szCs w:val="13"/>
                <w:color w:val="auto"/>
              </w:rPr>
              <w:t>Ownership</w:t>
            </w:r>
          </w:p>
        </w:tc>
        <w:tc>
          <w:tcPr>
            <w:tcW w:w="70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w w:val="99"/>
              </w:rPr>
              <w:t>their respective base salaries. Covered executives have five years from Dec. 2014 (or, if later, their hire date) to attain the</w:t>
            </w:r>
          </w:p>
        </w:tc>
        <w:tc>
          <w:tcPr>
            <w:tcW w:w="0" w:type="dxa"/>
            <w:vAlign w:val="bottom"/>
          </w:tcPr>
          <w:p>
            <w:pPr>
              <w:spacing w:after="0"/>
              <w:rPr>
                <w:sz w:val="1"/>
                <w:szCs w:val="1"/>
                <w:color w:val="auto"/>
              </w:rPr>
            </w:pPr>
          </w:p>
        </w:tc>
      </w:tr>
      <w:tr>
        <w:trPr>
          <w:trHeight w:val="149"/>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ind w:left="140"/>
              <w:spacing w:after="0"/>
              <w:rPr>
                <w:sz w:val="20"/>
                <w:szCs w:val="20"/>
                <w:color w:val="auto"/>
              </w:rPr>
            </w:pPr>
            <w:r>
              <w:rPr>
                <w:rFonts w:ascii="Arial" w:cs="Arial" w:eastAsia="Arial" w:hAnsi="Arial"/>
                <w:sz w:val="13"/>
                <w:szCs w:val="13"/>
                <w:color w:val="auto"/>
              </w:rPr>
              <w:t>Policy</w:t>
            </w:r>
          </w:p>
        </w:tc>
        <w:tc>
          <w:tcPr>
            <w:tcW w:w="7060" w:type="dxa"/>
            <w:vAlign w:val="bottom"/>
            <w:tcBorders>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required stock ownership levels.</w:t>
            </w:r>
          </w:p>
        </w:tc>
        <w:tc>
          <w:tcPr>
            <w:tcW w:w="0" w:type="dxa"/>
            <w:vAlign w:val="bottom"/>
          </w:tcPr>
          <w:p>
            <w:pPr>
              <w:spacing w:after="0"/>
              <w:rPr>
                <w:sz w:val="1"/>
                <w:szCs w:val="1"/>
                <w:color w:val="auto"/>
              </w:rPr>
            </w:pPr>
          </w:p>
        </w:tc>
      </w:tr>
      <w:tr>
        <w:trPr>
          <w:trHeight w:val="284"/>
        </w:trPr>
        <w:tc>
          <w:tcPr>
            <w:tcW w:w="460" w:type="dxa"/>
            <w:vAlign w:val="bottom"/>
            <w:tcBorders>
              <w:left w:val="single" w:sz="8" w:color="F79646"/>
            </w:tcBorders>
            <w:shd w:val="clear" w:color="auto" w:fill="FCDEC5"/>
          </w:tcPr>
          <w:p>
            <w:pPr>
              <w:spacing w:after="0"/>
              <w:rPr>
                <w:sz w:val="24"/>
                <w:szCs w:val="24"/>
                <w:color w:val="auto"/>
              </w:rPr>
            </w:pPr>
          </w:p>
        </w:tc>
        <w:tc>
          <w:tcPr>
            <w:tcW w:w="1120" w:type="dxa"/>
            <w:vAlign w:val="bottom"/>
            <w:shd w:val="clear" w:color="auto" w:fill="FCDEC5"/>
          </w:tcPr>
          <w:p>
            <w:pPr>
              <w:spacing w:after="0"/>
              <w:rPr>
                <w:sz w:val="24"/>
                <w:szCs w:val="24"/>
                <w:color w:val="auto"/>
              </w:rPr>
            </w:pPr>
          </w:p>
        </w:tc>
        <w:tc>
          <w:tcPr>
            <w:tcW w:w="7060" w:type="dxa"/>
            <w:vAlign w:val="bottom"/>
            <w:tcBorders>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We maintain a similar stock ownership policy for our non-employee directors that requires directors to maintain stock</w:t>
            </w:r>
          </w:p>
        </w:tc>
        <w:tc>
          <w:tcPr>
            <w:tcW w:w="0" w:type="dxa"/>
            <w:vAlign w:val="bottom"/>
          </w:tcPr>
          <w:p>
            <w:pPr>
              <w:spacing w:after="0"/>
              <w:rPr>
                <w:sz w:val="1"/>
                <w:szCs w:val="1"/>
                <w:color w:val="auto"/>
              </w:rPr>
            </w:pPr>
          </w:p>
        </w:tc>
      </w:tr>
      <w:tr>
        <w:trPr>
          <w:trHeight w:val="149"/>
        </w:trPr>
        <w:tc>
          <w:tcPr>
            <w:tcW w:w="460" w:type="dxa"/>
            <w:vAlign w:val="bottom"/>
            <w:tcBorders>
              <w:left w:val="single" w:sz="8" w:color="F79646"/>
            </w:tcBorders>
            <w:shd w:val="clear" w:color="auto" w:fill="FCDEC5"/>
          </w:tcPr>
          <w:p>
            <w:pPr>
              <w:spacing w:after="0"/>
              <w:rPr>
                <w:sz w:val="12"/>
                <w:szCs w:val="12"/>
                <w:color w:val="auto"/>
              </w:rPr>
            </w:pPr>
          </w:p>
        </w:tc>
        <w:tc>
          <w:tcPr>
            <w:tcW w:w="1120" w:type="dxa"/>
            <w:vAlign w:val="bottom"/>
            <w:shd w:val="clear" w:color="auto" w:fill="FCDEC5"/>
          </w:tcPr>
          <w:p>
            <w:pPr>
              <w:spacing w:after="0"/>
              <w:rPr>
                <w:sz w:val="12"/>
                <w:szCs w:val="12"/>
                <w:color w:val="auto"/>
              </w:rPr>
            </w:pPr>
          </w:p>
        </w:tc>
        <w:tc>
          <w:tcPr>
            <w:tcW w:w="7060" w:type="dxa"/>
            <w:vAlign w:val="bottom"/>
            <w:tcBorders>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ownership of at least five times their respective annual retainers.</w:t>
            </w:r>
          </w:p>
        </w:tc>
        <w:tc>
          <w:tcPr>
            <w:tcW w:w="0" w:type="dxa"/>
            <w:vAlign w:val="bottom"/>
          </w:tcPr>
          <w:p>
            <w:pPr>
              <w:spacing w:after="0"/>
              <w:rPr>
                <w:sz w:val="1"/>
                <w:szCs w:val="1"/>
                <w:color w:val="auto"/>
              </w:rPr>
            </w:pPr>
          </w:p>
        </w:tc>
      </w:tr>
      <w:tr>
        <w:trPr>
          <w:trHeight w:val="291"/>
        </w:trPr>
        <w:tc>
          <w:tcPr>
            <w:tcW w:w="460" w:type="dxa"/>
            <w:vAlign w:val="bottom"/>
            <w:tcBorders>
              <w:left w:val="single" w:sz="8" w:color="F79646"/>
              <w:bottom w:val="single" w:sz="8" w:color="F79646"/>
            </w:tcBorders>
            <w:shd w:val="clear" w:color="auto" w:fill="FCDEC5"/>
          </w:tcPr>
          <w:p>
            <w:pPr>
              <w:spacing w:after="0"/>
              <w:rPr>
                <w:sz w:val="24"/>
                <w:szCs w:val="24"/>
                <w:color w:val="auto"/>
              </w:rPr>
            </w:pPr>
          </w:p>
        </w:tc>
        <w:tc>
          <w:tcPr>
            <w:tcW w:w="1120" w:type="dxa"/>
            <w:vAlign w:val="bottom"/>
            <w:tcBorders>
              <w:bottom w:val="single" w:sz="8" w:color="F79646"/>
            </w:tcBorders>
            <w:shd w:val="clear" w:color="auto" w:fill="FCDEC5"/>
          </w:tcPr>
          <w:p>
            <w:pPr>
              <w:spacing w:after="0"/>
              <w:rPr>
                <w:sz w:val="24"/>
                <w:szCs w:val="24"/>
                <w:color w:val="auto"/>
              </w:rPr>
            </w:pPr>
          </w:p>
        </w:tc>
        <w:tc>
          <w:tcPr>
            <w:tcW w:w="7060" w:type="dxa"/>
            <w:vAlign w:val="bottom"/>
            <w:tcBorders>
              <w:bottom w:val="single" w:sz="8" w:color="F79646"/>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As of December 31, 2018, all covered executives and directors were in compliance with the stock ownership policy.</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9019"/>
          </w:cols>
          <w:pgMar w:left="1440" w:top="295" w:right="1440" w:bottom="681" w:gutter="0" w:footer="0" w:header="0"/>
        </w:sectPr>
      </w:pPr>
    </w:p>
    <w:p>
      <w:pPr>
        <w:jc w:val="center"/>
        <w:spacing w:after="0"/>
        <w:rPr>
          <w:sz w:val="20"/>
          <w:szCs w:val="20"/>
          <w:color w:val="auto"/>
        </w:rPr>
      </w:pPr>
      <w:r>
        <w:rPr>
          <w:rFonts w:ascii="Arial" w:cs="Arial" w:eastAsia="Arial" w:hAnsi="Arial"/>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681" w:gutter="0" w:footer="0" w:header="0"/>
          <w:type w:val="continuous"/>
        </w:sectPr>
      </w:pPr>
    </w:p>
    <w:bookmarkStart w:id="21" w:name="page22"/>
    <w:bookmarkEnd w:id="21"/>
    <w:tbl>
      <w:tblPr>
        <w:tblLayout w:type="fixed"/>
        <w:tblInd w:w="210" w:type="dxa"/>
        <w:tblCellMar>
          <w:top w:w="0" w:type="dxa"/>
          <w:left w:w="0" w:type="dxa"/>
          <w:bottom w:w="0" w:type="dxa"/>
          <w:right w:w="0" w:type="dxa"/>
        </w:tblCellMar>
      </w:tblPr>
      <w:tr>
        <w:trPr>
          <w:trHeight w:val="149"/>
        </w:trPr>
        <w:tc>
          <w:tcPr>
            <w:tcW w:w="1380" w:type="dxa"/>
            <w:vAlign w:val="bottom"/>
            <w:gridSpan w:val="3"/>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Table of Contents</w:t>
              </w:r>
            </w:hyperlink>
          </w:p>
        </w:tc>
        <w:tc>
          <w:tcPr>
            <w:tcW w:w="7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4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0" w:type="dxa"/>
            <w:vAlign w:val="bottom"/>
            <w:tcBorders>
              <w:left w:val="single" w:sz="8" w:color="F79646"/>
            </w:tcBorders>
            <w:shd w:val="clear" w:color="auto" w:fill="F79646"/>
          </w:tcPr>
          <w:p>
            <w:pPr>
              <w:spacing w:after="0"/>
              <w:rPr>
                <w:sz w:val="13"/>
                <w:szCs w:val="13"/>
                <w:color w:val="auto"/>
              </w:rPr>
            </w:pPr>
          </w:p>
        </w:tc>
        <w:tc>
          <w:tcPr>
            <w:tcW w:w="500" w:type="dxa"/>
            <w:vAlign w:val="bottom"/>
            <w:shd w:val="clear" w:color="auto" w:fill="F79646"/>
          </w:tcPr>
          <w:p>
            <w:pPr>
              <w:spacing w:after="0"/>
              <w:rPr>
                <w:sz w:val="13"/>
                <w:szCs w:val="13"/>
                <w:color w:val="auto"/>
              </w:rPr>
            </w:pPr>
          </w:p>
        </w:tc>
        <w:tc>
          <w:tcPr>
            <w:tcW w:w="420" w:type="dxa"/>
            <w:vAlign w:val="bottom"/>
            <w:shd w:val="clear" w:color="auto" w:fill="F79646"/>
          </w:tcPr>
          <w:p>
            <w:pPr>
              <w:spacing w:after="0"/>
              <w:rPr>
                <w:sz w:val="13"/>
                <w:szCs w:val="13"/>
                <w:color w:val="auto"/>
              </w:rPr>
            </w:pPr>
          </w:p>
        </w:tc>
        <w:tc>
          <w:tcPr>
            <w:tcW w:w="7260" w:type="dxa"/>
            <w:vAlign w:val="bottom"/>
            <w:tcBorders>
              <w:right w:val="single" w:sz="8" w:color="F79646"/>
            </w:tcBorders>
            <w:shd w:val="clear" w:color="auto" w:fill="F79646"/>
          </w:tcPr>
          <w:p>
            <w:pPr>
              <w:ind w:left="2400"/>
              <w:spacing w:after="0"/>
              <w:rPr>
                <w:sz w:val="20"/>
                <w:szCs w:val="20"/>
                <w:color w:val="auto"/>
              </w:rPr>
            </w:pPr>
            <w:r>
              <w:rPr>
                <w:rFonts w:ascii="Arial" w:cs="Arial" w:eastAsia="Arial" w:hAnsi="Arial"/>
                <w:sz w:val="13"/>
                <w:szCs w:val="13"/>
                <w:b w:val="1"/>
                <w:bCs w:val="1"/>
                <w:color w:val="FFFFFE"/>
              </w:rPr>
              <w:t>What We Don't Do</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gridSpan w:val="2"/>
            <w:shd w:val="clear" w:color="auto" w:fill="FCDEC5"/>
          </w:tcPr>
          <w:p>
            <w:pPr>
              <w:ind w:left="140"/>
              <w:spacing w:after="0" w:line="147" w:lineRule="exact"/>
              <w:rPr>
                <w:sz w:val="20"/>
                <w:szCs w:val="20"/>
                <w:color w:val="auto"/>
              </w:rPr>
            </w:pPr>
            <w:r>
              <w:rPr>
                <w:rFonts w:ascii="Arial" w:cs="Arial" w:eastAsia="Arial" w:hAnsi="Arial"/>
                <w:sz w:val="13"/>
                <w:szCs w:val="13"/>
                <w:color w:val="auto"/>
              </w:rPr>
              <w:t>No Option</w:t>
            </w:r>
          </w:p>
        </w:tc>
        <w:tc>
          <w:tcPr>
            <w:tcW w:w="72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We prohibit option repricing without stockholder approval.</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shd w:val="clear" w:color="auto" w:fill="FCDEC5"/>
          </w:tcPr>
          <w:p>
            <w:pPr>
              <w:spacing w:after="0"/>
              <w:rPr>
                <w:sz w:val="12"/>
                <w:szCs w:val="12"/>
                <w:color w:val="auto"/>
              </w:rPr>
            </w:pPr>
          </w:p>
        </w:tc>
        <w:tc>
          <w:tcPr>
            <w:tcW w:w="920" w:type="dxa"/>
            <w:vAlign w:val="bottom"/>
            <w:gridSpan w:val="2"/>
            <w:shd w:val="clear" w:color="auto" w:fill="FCDEC5"/>
          </w:tcPr>
          <w:p>
            <w:pPr>
              <w:ind w:left="140"/>
              <w:spacing w:after="0" w:line="143" w:lineRule="exact"/>
              <w:rPr>
                <w:sz w:val="20"/>
                <w:szCs w:val="20"/>
                <w:color w:val="auto"/>
              </w:rPr>
            </w:pPr>
            <w:r>
              <w:rPr>
                <w:rFonts w:ascii="Arial" w:cs="Arial" w:eastAsia="Arial" w:hAnsi="Arial"/>
                <w:sz w:val="13"/>
                <w:szCs w:val="13"/>
                <w:color w:val="auto"/>
              </w:rPr>
              <w:t>Repricing</w:t>
            </w:r>
          </w:p>
        </w:tc>
        <w:tc>
          <w:tcPr>
            <w:tcW w:w="7260" w:type="dxa"/>
            <w:vAlign w:val="bottom"/>
            <w:tcBorders>
              <w:right w:val="single" w:sz="8" w:color="F79646"/>
            </w:tcBorders>
            <w:shd w:val="clear" w:color="auto" w:fill="FCDEC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No</w:t>
            </w:r>
          </w:p>
        </w:tc>
        <w:tc>
          <w:tcPr>
            <w:tcW w:w="7260" w:type="dxa"/>
            <w:vAlign w:val="bottom"/>
            <w:tcBorders>
              <w:right w:val="single" w:sz="8" w:color="F79646"/>
            </w:tcBorders>
          </w:tcPr>
          <w:p>
            <w:pPr>
              <w:ind w:left="80"/>
              <w:spacing w:after="0" w:line="147" w:lineRule="exact"/>
              <w:rPr>
                <w:sz w:val="20"/>
                <w:szCs w:val="20"/>
                <w:color w:val="auto"/>
              </w:rPr>
            </w:pPr>
            <w:r>
              <w:rPr>
                <w:rFonts w:ascii="Arial" w:cs="Arial" w:eastAsia="Arial" w:hAnsi="Arial"/>
                <w:sz w:val="13"/>
                <w:szCs w:val="13"/>
                <w:color w:val="auto"/>
              </w:rPr>
              <w:t>We do not have excessive overhang or dilution from equity grants.</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92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Excessive</w:t>
            </w:r>
          </w:p>
        </w:tc>
        <w:tc>
          <w:tcPr>
            <w:tcW w:w="726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92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Overhang or</w:t>
            </w:r>
          </w:p>
        </w:tc>
        <w:tc>
          <w:tcPr>
            <w:tcW w:w="726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tcPr>
          <w:p>
            <w:pPr>
              <w:spacing w:after="0"/>
              <w:rPr>
                <w:sz w:val="12"/>
                <w:szCs w:val="12"/>
                <w:color w:val="auto"/>
              </w:rPr>
            </w:pPr>
          </w:p>
        </w:tc>
        <w:tc>
          <w:tcPr>
            <w:tcW w:w="920" w:type="dxa"/>
            <w:vAlign w:val="bottom"/>
            <w:gridSpan w:val="2"/>
          </w:tcPr>
          <w:p>
            <w:pPr>
              <w:ind w:left="140"/>
              <w:spacing w:after="0" w:line="143" w:lineRule="exact"/>
              <w:rPr>
                <w:sz w:val="20"/>
                <w:szCs w:val="20"/>
                <w:color w:val="auto"/>
              </w:rPr>
            </w:pPr>
            <w:r>
              <w:rPr>
                <w:rFonts w:ascii="Arial" w:cs="Arial" w:eastAsia="Arial" w:hAnsi="Arial"/>
                <w:sz w:val="13"/>
                <w:szCs w:val="13"/>
                <w:color w:val="auto"/>
              </w:rPr>
              <w:t>Dilution</w:t>
            </w:r>
          </w:p>
        </w:tc>
        <w:tc>
          <w:tcPr>
            <w:tcW w:w="726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gridSpan w:val="2"/>
            <w:shd w:val="clear" w:color="auto" w:fill="FCDEC5"/>
          </w:tcPr>
          <w:p>
            <w:pPr>
              <w:ind w:left="140"/>
              <w:spacing w:after="0" w:line="147" w:lineRule="exact"/>
              <w:rPr>
                <w:sz w:val="20"/>
                <w:szCs w:val="20"/>
                <w:color w:val="auto"/>
              </w:rPr>
            </w:pPr>
            <w:r>
              <w:rPr>
                <w:rFonts w:ascii="Arial" w:cs="Arial" w:eastAsia="Arial" w:hAnsi="Arial"/>
                <w:sz w:val="13"/>
                <w:szCs w:val="13"/>
                <w:color w:val="auto"/>
              </w:rPr>
              <w:t>No</w:t>
            </w:r>
          </w:p>
        </w:tc>
        <w:tc>
          <w:tcPr>
            <w:tcW w:w="72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w w:val="99"/>
              </w:rPr>
              <w:t>We provide our named executive officers with only limited perquisites and personal benefits that serve an important business</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920" w:type="dxa"/>
            <w:vAlign w:val="bottom"/>
            <w:gridSpan w:val="2"/>
            <w:shd w:val="clear" w:color="auto" w:fill="FCDEC5"/>
          </w:tcPr>
          <w:p>
            <w:pPr>
              <w:ind w:left="140"/>
              <w:spacing w:after="0" w:line="144" w:lineRule="exact"/>
              <w:rPr>
                <w:sz w:val="20"/>
                <w:szCs w:val="20"/>
                <w:color w:val="auto"/>
              </w:rPr>
            </w:pPr>
            <w:r>
              <w:rPr>
                <w:rFonts w:ascii="Arial" w:cs="Arial" w:eastAsia="Arial" w:hAnsi="Arial"/>
                <w:sz w:val="13"/>
                <w:szCs w:val="13"/>
                <w:color w:val="auto"/>
              </w:rPr>
              <w:t>Excessive</w:t>
            </w:r>
          </w:p>
        </w:tc>
        <w:tc>
          <w:tcPr>
            <w:tcW w:w="72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purpose in addition to the regular benefits offered to all employees.</w:t>
            </w:r>
          </w:p>
        </w:tc>
        <w:tc>
          <w:tcPr>
            <w:tcW w:w="0" w:type="dxa"/>
            <w:vAlign w:val="bottom"/>
          </w:tcPr>
          <w:p>
            <w:pPr>
              <w:spacing w:after="0"/>
              <w:rPr>
                <w:sz w:val="1"/>
                <w:szCs w:val="1"/>
                <w:color w:val="auto"/>
              </w:rPr>
            </w:pPr>
          </w:p>
        </w:tc>
      </w:tr>
      <w:tr>
        <w:trPr>
          <w:trHeight w:val="149"/>
        </w:trPr>
        <w:tc>
          <w:tcPr>
            <w:tcW w:w="460" w:type="dxa"/>
            <w:vAlign w:val="bottom"/>
            <w:tcBorders>
              <w:left w:val="single" w:sz="8" w:color="F79646"/>
            </w:tcBorders>
            <w:shd w:val="clear" w:color="auto" w:fill="FCDEC5"/>
          </w:tcPr>
          <w:p>
            <w:pPr>
              <w:spacing w:after="0"/>
              <w:rPr>
                <w:sz w:val="12"/>
                <w:szCs w:val="12"/>
                <w:color w:val="auto"/>
              </w:rPr>
            </w:pPr>
          </w:p>
        </w:tc>
        <w:tc>
          <w:tcPr>
            <w:tcW w:w="920" w:type="dxa"/>
            <w:vAlign w:val="bottom"/>
            <w:gridSpan w:val="2"/>
            <w:shd w:val="clear" w:color="auto" w:fill="FCDEC5"/>
          </w:tcPr>
          <w:p>
            <w:pPr>
              <w:ind w:left="140"/>
              <w:spacing w:after="0"/>
              <w:rPr>
                <w:sz w:val="20"/>
                <w:szCs w:val="20"/>
                <w:color w:val="auto"/>
              </w:rPr>
            </w:pPr>
            <w:r>
              <w:rPr>
                <w:rFonts w:ascii="Arial" w:cs="Arial" w:eastAsia="Arial" w:hAnsi="Arial"/>
                <w:sz w:val="13"/>
                <w:szCs w:val="13"/>
                <w:color w:val="auto"/>
              </w:rPr>
              <w:t>Perquisites</w:t>
            </w:r>
          </w:p>
        </w:tc>
        <w:tc>
          <w:tcPr>
            <w:tcW w:w="7260" w:type="dxa"/>
            <w:vAlign w:val="bottom"/>
            <w:tcBorders>
              <w:right w:val="single" w:sz="8" w:color="F79646"/>
            </w:tcBorders>
            <w:vMerge w:val="restart"/>
            <w:shd w:val="clear" w:color="auto" w:fill="FCDEC5"/>
          </w:tcPr>
          <w:p>
            <w:pPr>
              <w:ind w:left="80"/>
              <w:spacing w:after="0"/>
              <w:rPr>
                <w:sz w:val="20"/>
                <w:szCs w:val="20"/>
                <w:color w:val="auto"/>
              </w:rPr>
            </w:pPr>
            <w:r>
              <w:rPr>
                <w:rFonts w:ascii="Arial" w:cs="Arial" w:eastAsia="Arial" w:hAnsi="Arial"/>
                <w:sz w:val="13"/>
                <w:szCs w:val="13"/>
                <w:color w:val="auto"/>
              </w:rPr>
              <w:t>We consider the perquisites and personal benefits that we offer to our executives in India to be customary benefits which</w:t>
            </w:r>
          </w:p>
        </w:tc>
        <w:tc>
          <w:tcPr>
            <w:tcW w:w="0" w:type="dxa"/>
            <w:vAlign w:val="bottom"/>
          </w:tcPr>
          <w:p>
            <w:pPr>
              <w:spacing w:after="0"/>
              <w:rPr>
                <w:sz w:val="1"/>
                <w:szCs w:val="1"/>
                <w:color w:val="auto"/>
              </w:rPr>
            </w:pPr>
          </w:p>
        </w:tc>
      </w:tr>
      <w:tr>
        <w:trPr>
          <w:trHeight w:val="140"/>
        </w:trPr>
        <w:tc>
          <w:tcPr>
            <w:tcW w:w="460" w:type="dxa"/>
            <w:vAlign w:val="bottom"/>
            <w:tcBorders>
              <w:left w:val="single" w:sz="8" w:color="F79646"/>
            </w:tcBorders>
            <w:shd w:val="clear" w:color="auto" w:fill="FCDEC5"/>
          </w:tcPr>
          <w:p>
            <w:pPr>
              <w:spacing w:after="0"/>
              <w:rPr>
                <w:sz w:val="12"/>
                <w:szCs w:val="12"/>
                <w:color w:val="auto"/>
              </w:rPr>
            </w:pPr>
          </w:p>
        </w:tc>
        <w:tc>
          <w:tcPr>
            <w:tcW w:w="500" w:type="dxa"/>
            <w:vAlign w:val="bottom"/>
            <w:shd w:val="clear" w:color="auto" w:fill="FCDEC5"/>
          </w:tcPr>
          <w:p>
            <w:pPr>
              <w:spacing w:after="0"/>
              <w:rPr>
                <w:sz w:val="12"/>
                <w:szCs w:val="12"/>
                <w:color w:val="auto"/>
              </w:rPr>
            </w:pPr>
          </w:p>
        </w:tc>
        <w:tc>
          <w:tcPr>
            <w:tcW w:w="420" w:type="dxa"/>
            <w:vAlign w:val="bottom"/>
            <w:shd w:val="clear" w:color="auto" w:fill="FCDEC5"/>
          </w:tcPr>
          <w:p>
            <w:pPr>
              <w:spacing w:after="0"/>
              <w:rPr>
                <w:sz w:val="12"/>
                <w:szCs w:val="12"/>
                <w:color w:val="auto"/>
              </w:rPr>
            </w:pPr>
          </w:p>
        </w:tc>
        <w:tc>
          <w:tcPr>
            <w:tcW w:w="7260" w:type="dxa"/>
            <w:vAlign w:val="bottom"/>
            <w:tcBorders>
              <w:right w:val="single" w:sz="8" w:color="F79646"/>
            </w:tcBorders>
            <w:vMerge w:val="continue"/>
            <w:shd w:val="clear" w:color="auto" w:fill="FCDEC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shd w:val="clear" w:color="auto" w:fill="FCDEC5"/>
          </w:tcPr>
          <w:p>
            <w:pPr>
              <w:spacing w:after="0"/>
              <w:rPr>
                <w:sz w:val="12"/>
                <w:szCs w:val="12"/>
                <w:color w:val="auto"/>
              </w:rPr>
            </w:pPr>
          </w:p>
        </w:tc>
        <w:tc>
          <w:tcPr>
            <w:tcW w:w="500" w:type="dxa"/>
            <w:vAlign w:val="bottom"/>
            <w:shd w:val="clear" w:color="auto" w:fill="FCDEC5"/>
          </w:tcPr>
          <w:p>
            <w:pPr>
              <w:spacing w:after="0"/>
              <w:rPr>
                <w:sz w:val="12"/>
                <w:szCs w:val="12"/>
                <w:color w:val="auto"/>
              </w:rPr>
            </w:pPr>
          </w:p>
        </w:tc>
        <w:tc>
          <w:tcPr>
            <w:tcW w:w="420" w:type="dxa"/>
            <w:vAlign w:val="bottom"/>
            <w:shd w:val="clear" w:color="auto" w:fill="FCDEC5"/>
          </w:tcPr>
          <w:p>
            <w:pPr>
              <w:spacing w:after="0"/>
              <w:rPr>
                <w:sz w:val="12"/>
                <w:szCs w:val="12"/>
                <w:color w:val="auto"/>
              </w:rPr>
            </w:pPr>
          </w:p>
        </w:tc>
        <w:tc>
          <w:tcPr>
            <w:tcW w:w="7260" w:type="dxa"/>
            <w:vAlign w:val="bottom"/>
            <w:tcBorders>
              <w:right w:val="single" w:sz="8" w:color="F79646"/>
            </w:tcBorders>
            <w:shd w:val="clear" w:color="auto" w:fill="FCDEC5"/>
          </w:tcPr>
          <w:p>
            <w:pPr>
              <w:ind w:left="80"/>
              <w:spacing w:after="0" w:line="143" w:lineRule="exact"/>
              <w:rPr>
                <w:sz w:val="20"/>
                <w:szCs w:val="20"/>
                <w:color w:val="auto"/>
              </w:rPr>
            </w:pPr>
            <w:r>
              <w:rPr>
                <w:rFonts w:ascii="Arial" w:cs="Arial" w:eastAsia="Arial" w:hAnsi="Arial"/>
                <w:sz w:val="13"/>
                <w:szCs w:val="13"/>
                <w:color w:val="auto"/>
              </w:rPr>
              <w:t>allow us to remain competitive for top talent.</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No Tax</w:t>
            </w:r>
          </w:p>
        </w:tc>
        <w:tc>
          <w:tcPr>
            <w:tcW w:w="7260" w:type="dxa"/>
            <w:vAlign w:val="bottom"/>
            <w:tcBorders>
              <w:right w:val="single" w:sz="8" w:color="F79646"/>
            </w:tcBorders>
          </w:tcPr>
          <w:p>
            <w:pPr>
              <w:ind w:left="80"/>
              <w:spacing w:after="0" w:line="147" w:lineRule="exact"/>
              <w:rPr>
                <w:sz w:val="20"/>
                <w:szCs w:val="20"/>
                <w:color w:val="auto"/>
              </w:rPr>
            </w:pPr>
            <w:r>
              <w:rPr>
                <w:rFonts w:ascii="Arial" w:cs="Arial" w:eastAsia="Arial" w:hAnsi="Arial"/>
                <w:sz w:val="13"/>
                <w:szCs w:val="13"/>
                <w:color w:val="auto"/>
                <w:w w:val="99"/>
              </w:rPr>
              <w:t>We do not provide "gross-ups" to any of our named executive officers, including gross-ups for any excise taxes imposed with</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tcPr>
          <w:p>
            <w:pPr>
              <w:spacing w:after="0"/>
              <w:rPr>
                <w:sz w:val="12"/>
                <w:szCs w:val="12"/>
                <w:color w:val="auto"/>
              </w:rPr>
            </w:pPr>
          </w:p>
        </w:tc>
        <w:tc>
          <w:tcPr>
            <w:tcW w:w="92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Gross-Ups</w:t>
            </w:r>
          </w:p>
        </w:tc>
        <w:tc>
          <w:tcPr>
            <w:tcW w:w="726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respect to Section 280G (change-in-control payments) or Section 409A (nonqualified deferred compensation) of the U.S.</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60" w:type="dxa"/>
            <w:vAlign w:val="bottom"/>
            <w:tcBorders>
              <w:right w:val="single" w:sz="8" w:color="F79646"/>
            </w:tcBorders>
          </w:tcPr>
          <w:p>
            <w:pPr>
              <w:ind w:left="80"/>
              <w:spacing w:after="0" w:line="143" w:lineRule="exact"/>
              <w:rPr>
                <w:sz w:val="20"/>
                <w:szCs w:val="20"/>
                <w:color w:val="auto"/>
              </w:rPr>
            </w:pPr>
            <w:r>
              <w:rPr>
                <w:rFonts w:ascii="Arial" w:cs="Arial" w:eastAsia="Arial" w:hAnsi="Arial"/>
                <w:sz w:val="13"/>
                <w:szCs w:val="13"/>
                <w:color w:val="auto"/>
              </w:rPr>
              <w:t>Internal Revenue Code of 1986, as amended (which we refer to as the "Code").</w:t>
            </w:r>
          </w:p>
        </w:tc>
        <w:tc>
          <w:tcPr>
            <w:tcW w:w="0" w:type="dxa"/>
            <w:vAlign w:val="bottom"/>
          </w:tcPr>
          <w:p>
            <w:pPr>
              <w:spacing w:after="0"/>
              <w:rPr>
                <w:sz w:val="1"/>
                <w:szCs w:val="1"/>
                <w:color w:val="auto"/>
              </w:rPr>
            </w:pPr>
          </w:p>
        </w:tc>
      </w:tr>
      <w:tr>
        <w:trPr>
          <w:trHeight w:val="147"/>
        </w:trPr>
        <w:tc>
          <w:tcPr>
            <w:tcW w:w="460" w:type="dxa"/>
            <w:vAlign w:val="bottom"/>
            <w:tcBorders>
              <w:left w:val="single" w:sz="8" w:color="F79646"/>
            </w:tcBorders>
            <w:shd w:val="clear" w:color="auto" w:fill="FCDEC5"/>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gridSpan w:val="2"/>
            <w:shd w:val="clear" w:color="auto" w:fill="FCDEC5"/>
          </w:tcPr>
          <w:p>
            <w:pPr>
              <w:ind w:left="140"/>
              <w:spacing w:after="0" w:line="147" w:lineRule="exact"/>
              <w:rPr>
                <w:sz w:val="20"/>
                <w:szCs w:val="20"/>
                <w:color w:val="auto"/>
              </w:rPr>
            </w:pPr>
            <w:r>
              <w:rPr>
                <w:rFonts w:ascii="Arial" w:cs="Arial" w:eastAsia="Arial" w:hAnsi="Arial"/>
                <w:sz w:val="13"/>
                <w:szCs w:val="13"/>
                <w:color w:val="auto"/>
              </w:rPr>
              <w:t>No Hedging</w:t>
            </w:r>
          </w:p>
        </w:tc>
        <w:tc>
          <w:tcPr>
            <w:tcW w:w="7260" w:type="dxa"/>
            <w:vAlign w:val="bottom"/>
            <w:tcBorders>
              <w:right w:val="single" w:sz="8" w:color="F79646"/>
            </w:tcBorders>
            <w:shd w:val="clear" w:color="auto" w:fill="FCDEC5"/>
          </w:tcPr>
          <w:p>
            <w:pPr>
              <w:ind w:left="80"/>
              <w:spacing w:after="0" w:line="147" w:lineRule="exact"/>
              <w:rPr>
                <w:sz w:val="20"/>
                <w:szCs w:val="20"/>
                <w:color w:val="auto"/>
              </w:rPr>
            </w:pPr>
            <w:r>
              <w:rPr>
                <w:rFonts w:ascii="Arial" w:cs="Arial" w:eastAsia="Arial" w:hAnsi="Arial"/>
                <w:sz w:val="13"/>
                <w:szCs w:val="13"/>
                <w:color w:val="auto"/>
              </w:rPr>
              <w:t>We maintain a policy that prohibits our officers and directors subject to the requirements of Section 16 of the Exchange Act,</w:t>
            </w:r>
          </w:p>
        </w:tc>
        <w:tc>
          <w:tcPr>
            <w:tcW w:w="0" w:type="dxa"/>
            <w:vAlign w:val="bottom"/>
          </w:tcPr>
          <w:p>
            <w:pPr>
              <w:spacing w:after="0"/>
              <w:rPr>
                <w:sz w:val="1"/>
                <w:szCs w:val="1"/>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920" w:type="dxa"/>
            <w:vAlign w:val="bottom"/>
            <w:gridSpan w:val="2"/>
            <w:shd w:val="clear" w:color="auto" w:fill="FCDEC5"/>
          </w:tcPr>
          <w:p>
            <w:pPr>
              <w:ind w:left="140"/>
              <w:spacing w:after="0" w:line="144" w:lineRule="exact"/>
              <w:rPr>
                <w:sz w:val="20"/>
                <w:szCs w:val="20"/>
                <w:color w:val="auto"/>
              </w:rPr>
            </w:pPr>
            <w:r>
              <w:rPr>
                <w:rFonts w:ascii="Arial" w:cs="Arial" w:eastAsia="Arial" w:hAnsi="Arial"/>
                <w:sz w:val="13"/>
                <w:szCs w:val="13"/>
                <w:color w:val="auto"/>
              </w:rPr>
              <w:t>or Pledging</w:t>
            </w:r>
          </w:p>
        </w:tc>
        <w:tc>
          <w:tcPr>
            <w:tcW w:w="7260" w:type="dxa"/>
            <w:vAlign w:val="bottom"/>
            <w:tcBorders>
              <w:right w:val="single" w:sz="8" w:color="F79646"/>
            </w:tcBorders>
            <w:shd w:val="clear" w:color="auto" w:fill="FCDEC5"/>
          </w:tcPr>
          <w:p>
            <w:pPr>
              <w:ind w:left="80"/>
              <w:spacing w:after="0" w:line="144" w:lineRule="exact"/>
              <w:rPr>
                <w:sz w:val="20"/>
                <w:szCs w:val="20"/>
                <w:color w:val="auto"/>
              </w:rPr>
            </w:pPr>
            <w:r>
              <w:rPr>
                <w:rFonts w:ascii="Arial" w:cs="Arial" w:eastAsia="Arial" w:hAnsi="Arial"/>
                <w:sz w:val="13"/>
                <w:szCs w:val="13"/>
                <w:color w:val="auto"/>
              </w:rPr>
              <w:t>which includes our executive officers, from engaging in any hedging transactions with respect to Company stock directly or</w:t>
            </w:r>
          </w:p>
        </w:tc>
        <w:tc>
          <w:tcPr>
            <w:tcW w:w="0" w:type="dxa"/>
            <w:vAlign w:val="bottom"/>
          </w:tcPr>
          <w:p>
            <w:pPr>
              <w:spacing w:after="0"/>
              <w:rPr>
                <w:sz w:val="1"/>
                <w:szCs w:val="1"/>
                <w:color w:val="auto"/>
              </w:rPr>
            </w:pPr>
          </w:p>
        </w:tc>
      </w:tr>
      <w:tr>
        <w:trPr>
          <w:trHeight w:val="149"/>
        </w:trPr>
        <w:tc>
          <w:tcPr>
            <w:tcW w:w="460" w:type="dxa"/>
            <w:vAlign w:val="bottom"/>
            <w:tcBorders>
              <w:left w:val="single" w:sz="8" w:color="F79646"/>
            </w:tcBorders>
            <w:shd w:val="clear" w:color="auto" w:fill="FCDEC5"/>
          </w:tcPr>
          <w:p>
            <w:pPr>
              <w:spacing w:after="0"/>
              <w:rPr>
                <w:sz w:val="12"/>
                <w:szCs w:val="12"/>
                <w:color w:val="auto"/>
              </w:rPr>
            </w:pPr>
          </w:p>
        </w:tc>
        <w:tc>
          <w:tcPr>
            <w:tcW w:w="500" w:type="dxa"/>
            <w:vAlign w:val="bottom"/>
            <w:shd w:val="clear" w:color="auto" w:fill="FCDEC5"/>
          </w:tcPr>
          <w:p>
            <w:pPr>
              <w:spacing w:after="0"/>
              <w:rPr>
                <w:sz w:val="12"/>
                <w:szCs w:val="12"/>
                <w:color w:val="auto"/>
              </w:rPr>
            </w:pPr>
          </w:p>
        </w:tc>
        <w:tc>
          <w:tcPr>
            <w:tcW w:w="420" w:type="dxa"/>
            <w:vAlign w:val="bottom"/>
            <w:shd w:val="clear" w:color="auto" w:fill="FCDEC5"/>
          </w:tcPr>
          <w:p>
            <w:pPr>
              <w:spacing w:after="0"/>
              <w:rPr>
                <w:sz w:val="12"/>
                <w:szCs w:val="12"/>
                <w:color w:val="auto"/>
              </w:rPr>
            </w:pPr>
          </w:p>
        </w:tc>
        <w:tc>
          <w:tcPr>
            <w:tcW w:w="7260" w:type="dxa"/>
            <w:vAlign w:val="bottom"/>
            <w:tcBorders>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indirectly owned by any of them.</w:t>
            </w:r>
          </w:p>
        </w:tc>
        <w:tc>
          <w:tcPr>
            <w:tcW w:w="0" w:type="dxa"/>
            <w:vAlign w:val="bottom"/>
          </w:tcPr>
          <w:p>
            <w:pPr>
              <w:spacing w:after="0"/>
              <w:rPr>
                <w:sz w:val="1"/>
                <w:szCs w:val="1"/>
                <w:color w:val="auto"/>
              </w:rPr>
            </w:pPr>
          </w:p>
        </w:tc>
      </w:tr>
      <w:tr>
        <w:trPr>
          <w:trHeight w:val="284"/>
        </w:trPr>
        <w:tc>
          <w:tcPr>
            <w:tcW w:w="460" w:type="dxa"/>
            <w:vAlign w:val="bottom"/>
            <w:tcBorders>
              <w:left w:val="single" w:sz="8" w:color="F79646"/>
            </w:tcBorders>
            <w:shd w:val="clear" w:color="auto" w:fill="FCDEC5"/>
          </w:tcPr>
          <w:p>
            <w:pPr>
              <w:spacing w:after="0"/>
              <w:rPr>
                <w:sz w:val="24"/>
                <w:szCs w:val="24"/>
                <w:color w:val="auto"/>
              </w:rPr>
            </w:pPr>
          </w:p>
        </w:tc>
        <w:tc>
          <w:tcPr>
            <w:tcW w:w="500" w:type="dxa"/>
            <w:vAlign w:val="bottom"/>
            <w:shd w:val="clear" w:color="auto" w:fill="FCDEC5"/>
          </w:tcPr>
          <w:p>
            <w:pPr>
              <w:spacing w:after="0"/>
              <w:rPr>
                <w:sz w:val="24"/>
                <w:szCs w:val="24"/>
                <w:color w:val="auto"/>
              </w:rPr>
            </w:pPr>
          </w:p>
        </w:tc>
        <w:tc>
          <w:tcPr>
            <w:tcW w:w="420" w:type="dxa"/>
            <w:vAlign w:val="bottom"/>
            <w:shd w:val="clear" w:color="auto" w:fill="FCDEC5"/>
          </w:tcPr>
          <w:p>
            <w:pPr>
              <w:spacing w:after="0"/>
              <w:rPr>
                <w:sz w:val="24"/>
                <w:szCs w:val="24"/>
                <w:color w:val="auto"/>
              </w:rPr>
            </w:pPr>
          </w:p>
        </w:tc>
        <w:tc>
          <w:tcPr>
            <w:tcW w:w="7260" w:type="dxa"/>
            <w:vAlign w:val="bottom"/>
            <w:tcBorders>
              <w:right w:val="single" w:sz="8" w:color="F79646"/>
            </w:tcBorders>
            <w:shd w:val="clear" w:color="auto" w:fill="FCDEC5"/>
          </w:tcPr>
          <w:p>
            <w:pPr>
              <w:ind w:left="80"/>
              <w:spacing w:after="0"/>
              <w:rPr>
                <w:sz w:val="20"/>
                <w:szCs w:val="20"/>
                <w:color w:val="auto"/>
              </w:rPr>
            </w:pPr>
            <w:r>
              <w:rPr>
                <w:rFonts w:ascii="Arial" w:cs="Arial" w:eastAsia="Arial" w:hAnsi="Arial"/>
                <w:sz w:val="13"/>
                <w:szCs w:val="13"/>
                <w:color w:val="auto"/>
              </w:rPr>
              <w:t>In addition, under this policy, Reporting Persons are only permitted to pledge shares of our stock that exceed those required</w:t>
            </w:r>
          </w:p>
        </w:tc>
        <w:tc>
          <w:tcPr>
            <w:tcW w:w="0" w:type="dxa"/>
            <w:vAlign w:val="bottom"/>
          </w:tcPr>
          <w:p>
            <w:pPr>
              <w:spacing w:after="0"/>
              <w:rPr>
                <w:sz w:val="1"/>
                <w:szCs w:val="1"/>
                <w:color w:val="auto"/>
              </w:rPr>
            </w:pPr>
          </w:p>
        </w:tc>
      </w:tr>
      <w:tr>
        <w:trPr>
          <w:trHeight w:val="142"/>
        </w:trPr>
        <w:tc>
          <w:tcPr>
            <w:tcW w:w="460" w:type="dxa"/>
            <w:vAlign w:val="bottom"/>
            <w:tcBorders>
              <w:left w:val="single" w:sz="8" w:color="F79646"/>
              <w:bottom w:val="single" w:sz="8" w:color="F79646"/>
            </w:tcBorders>
            <w:shd w:val="clear" w:color="auto" w:fill="FCDEC5"/>
          </w:tcPr>
          <w:p>
            <w:pPr>
              <w:spacing w:after="0"/>
              <w:rPr>
                <w:sz w:val="12"/>
                <w:szCs w:val="12"/>
                <w:color w:val="auto"/>
              </w:rPr>
            </w:pPr>
          </w:p>
        </w:tc>
        <w:tc>
          <w:tcPr>
            <w:tcW w:w="500" w:type="dxa"/>
            <w:vAlign w:val="bottom"/>
            <w:tcBorders>
              <w:bottom w:val="single" w:sz="8" w:color="F79646"/>
            </w:tcBorders>
            <w:shd w:val="clear" w:color="auto" w:fill="FCDEC5"/>
          </w:tcPr>
          <w:p>
            <w:pPr>
              <w:spacing w:after="0"/>
              <w:rPr>
                <w:sz w:val="12"/>
                <w:szCs w:val="12"/>
                <w:color w:val="auto"/>
              </w:rPr>
            </w:pPr>
          </w:p>
        </w:tc>
        <w:tc>
          <w:tcPr>
            <w:tcW w:w="420" w:type="dxa"/>
            <w:vAlign w:val="bottom"/>
            <w:tcBorders>
              <w:bottom w:val="single" w:sz="8" w:color="F79646"/>
            </w:tcBorders>
            <w:shd w:val="clear" w:color="auto" w:fill="FCDEC5"/>
          </w:tcPr>
          <w:p>
            <w:pPr>
              <w:spacing w:after="0"/>
              <w:rPr>
                <w:sz w:val="12"/>
                <w:szCs w:val="12"/>
                <w:color w:val="auto"/>
              </w:rPr>
            </w:pPr>
          </w:p>
        </w:tc>
        <w:tc>
          <w:tcPr>
            <w:tcW w:w="7260" w:type="dxa"/>
            <w:vAlign w:val="bottom"/>
            <w:tcBorders>
              <w:bottom w:val="single" w:sz="8" w:color="F79646"/>
              <w:right w:val="single" w:sz="8" w:color="F79646"/>
            </w:tcBorders>
            <w:shd w:val="clear" w:color="auto" w:fill="FCDEC5"/>
          </w:tcPr>
          <w:p>
            <w:pPr>
              <w:ind w:left="80"/>
              <w:spacing w:after="0" w:line="143" w:lineRule="exact"/>
              <w:rPr>
                <w:sz w:val="20"/>
                <w:szCs w:val="20"/>
                <w:color w:val="auto"/>
              </w:rPr>
            </w:pPr>
            <w:r>
              <w:rPr>
                <w:rFonts w:ascii="Arial" w:cs="Arial" w:eastAsia="Arial" w:hAnsi="Arial"/>
                <w:sz w:val="13"/>
                <w:szCs w:val="13"/>
                <w:color w:val="auto"/>
              </w:rPr>
              <w:t>to be owned under our Stock Ownership Policy described above.</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Overview of Compensation Policies and Philosophies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Our Compensation Committee bases its executive compensation programs on the following objectives, which guide us in establishing all of our compensation programs:</w:t>
      </w:r>
    </w:p>
    <w:p>
      <w:pPr>
        <w:spacing w:after="0" w:line="150" w:lineRule="exact"/>
        <w:rPr>
          <w:sz w:val="20"/>
          <w:szCs w:val="20"/>
          <w:color w:val="auto"/>
        </w:rPr>
      </w:pPr>
    </w:p>
    <w:p>
      <w:pPr>
        <w:jc w:val="both"/>
        <w:ind w:left="940" w:right="3259" w:hanging="368"/>
        <w:spacing w:after="0" w:line="231" w:lineRule="auto"/>
        <w:tabs>
          <w:tab w:leader="none" w:pos="940" w:val="left"/>
        </w:tabs>
        <w:numPr>
          <w:ilvl w:val="0"/>
          <w:numId w:val="56"/>
        </w:numPr>
        <w:rPr>
          <w:rFonts w:ascii="Arial" w:cs="Arial" w:eastAsia="Arial" w:hAnsi="Arial"/>
          <w:sz w:val="13"/>
          <w:szCs w:val="13"/>
          <w:color w:val="F79646"/>
        </w:rPr>
      </w:pPr>
      <w:r>
        <w:rPr>
          <w:rFonts w:ascii="Arial" w:cs="Arial" w:eastAsia="Arial" w:hAnsi="Arial"/>
          <w:sz w:val="13"/>
          <w:szCs w:val="13"/>
          <w:color w:val="auto"/>
        </w:rPr>
        <w:t>Compensation should be based on the level of job responsibility, individual performance and our performance. As employees progress to 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w:t>
      </w:r>
    </w:p>
    <w:p>
      <w:pPr>
        <w:spacing w:after="0" w:line="2" w:lineRule="exact"/>
        <w:rPr>
          <w:rFonts w:ascii="Arial" w:cs="Arial" w:eastAsia="Arial" w:hAnsi="Arial"/>
          <w:sz w:val="13"/>
          <w:szCs w:val="13"/>
          <w:color w:val="F79646"/>
        </w:rPr>
      </w:pPr>
    </w:p>
    <w:p>
      <w:pPr>
        <w:jc w:val="both"/>
        <w:ind w:left="940" w:right="199"/>
        <w:spacing w:after="0" w:line="233" w:lineRule="auto"/>
        <w:rPr>
          <w:rFonts w:ascii="Arial" w:cs="Arial" w:eastAsia="Arial" w:hAnsi="Arial"/>
          <w:sz w:val="13"/>
          <w:szCs w:val="13"/>
          <w:color w:val="F79646"/>
        </w:rPr>
      </w:pPr>
      <w:r>
        <w:rPr>
          <w:rFonts w:ascii="Arial" w:cs="Arial" w:eastAsia="Arial" w:hAnsi="Arial"/>
          <w:sz w:val="13"/>
          <w:szCs w:val="13"/>
          <w:color w:val="auto"/>
        </w:rPr>
        <w:t>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51" w:lineRule="exact"/>
        <w:rPr>
          <w:rFonts w:ascii="Arial" w:cs="Arial" w:eastAsia="Arial" w:hAnsi="Arial"/>
          <w:sz w:val="13"/>
          <w:szCs w:val="13"/>
          <w:color w:val="F79646"/>
        </w:rPr>
      </w:pPr>
    </w:p>
    <w:p>
      <w:pPr>
        <w:ind w:left="940" w:right="199" w:hanging="368"/>
        <w:spacing w:after="0" w:line="235" w:lineRule="auto"/>
        <w:tabs>
          <w:tab w:leader="none" w:pos="940" w:val="left"/>
        </w:tabs>
        <w:numPr>
          <w:ilvl w:val="0"/>
          <w:numId w:val="56"/>
        </w:numPr>
        <w:rPr>
          <w:rFonts w:ascii="Arial" w:cs="Arial" w:eastAsia="Arial" w:hAnsi="Arial"/>
          <w:sz w:val="13"/>
          <w:szCs w:val="13"/>
          <w:color w:val="F79646"/>
        </w:rPr>
      </w:pPr>
      <w:r>
        <w:rPr>
          <w:rFonts w:ascii="Arial" w:cs="Arial" w:eastAsia="Arial" w:hAnsi="Arial"/>
          <w:sz w:val="13"/>
          <w:szCs w:val="13"/>
          <w:color w:val="auto"/>
        </w:rPr>
        <w:t>Compensation should balance long-term focus that is linked to stockholder value as well as short-term financial objectives. Consistent with this philosophy, equity-based compensation should be higher for persons with higher levels of responsibility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-1078865</wp:posOffset>
            </wp:positionV>
            <wp:extent cx="1870710" cy="299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0710" cy="299720"/>
                    </a:xfrm>
                    <a:prstGeom prst="rect">
                      <a:avLst/>
                    </a:prstGeom>
                    <a:noFill/>
                  </pic:spPr>
                </pic:pic>
              </a:graphicData>
            </a:graphic>
          </wp:anchor>
        </w:drawing>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940" w:right="3259"/>
        <w:spacing w:after="0" w:line="233" w:lineRule="auto"/>
        <w:rPr>
          <w:sz w:val="20"/>
          <w:szCs w:val="20"/>
          <w:color w:val="auto"/>
        </w:rPr>
      </w:pPr>
      <w:r>
        <w:rPr>
          <w:rFonts w:ascii="Arial" w:cs="Arial" w:eastAsia="Arial" w:hAnsi="Arial"/>
          <w:sz w:val="13"/>
          <w:szCs w:val="13"/>
          <w:color w:val="auto"/>
        </w:rPr>
        <w:t>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-339090</wp:posOffset>
            </wp:positionV>
            <wp:extent cx="1870710" cy="299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70710" cy="299720"/>
                    </a:xfrm>
                    <a:prstGeom prst="rect">
                      <a:avLst/>
                    </a:prstGeom>
                    <a:noFill/>
                  </pic:spPr>
                </pic:pic>
              </a:graphicData>
            </a:graphic>
          </wp:anchor>
        </w:drawing>
      </w:r>
    </w:p>
    <w:p>
      <w:pPr>
        <w:spacing w:after="0" w:line="131" w:lineRule="exact"/>
        <w:rPr>
          <w:sz w:val="20"/>
          <w:szCs w:val="20"/>
          <w:color w:val="auto"/>
        </w:rPr>
      </w:pPr>
    </w:p>
    <w:p>
      <w:pPr>
        <w:ind w:left="940" w:right="199" w:hanging="368"/>
        <w:spacing w:after="0" w:line="235" w:lineRule="auto"/>
        <w:tabs>
          <w:tab w:leader="none" w:pos="940" w:val="left"/>
        </w:tabs>
        <w:numPr>
          <w:ilvl w:val="0"/>
          <w:numId w:val="57"/>
        </w:numPr>
        <w:rPr>
          <w:rFonts w:ascii="Arial" w:cs="Arial" w:eastAsia="Arial" w:hAnsi="Arial"/>
          <w:sz w:val="13"/>
          <w:szCs w:val="13"/>
          <w:color w:val="F79646"/>
        </w:rPr>
      </w:pPr>
      <w:r>
        <w:rPr>
          <w:rFonts w:ascii="Arial" w:cs="Arial" w:eastAsia="Arial" w:hAnsi="Arial"/>
          <w:sz w:val="13"/>
          <w:szCs w:val="13"/>
          <w:color w:val="auto"/>
        </w:rPr>
        <w:t>Compensation should reflect the value of the job in the marketplace. We compete for talent globally. In order to attract and retain a highly skilled workforce, we must remain competitive with the pay of other employers who compete with us for talent in the relevant markets.</w:t>
      </w:r>
    </w:p>
    <w:p>
      <w:pPr>
        <w:spacing w:after="0" w:line="144" w:lineRule="exact"/>
        <w:rPr>
          <w:rFonts w:ascii="Arial" w:cs="Arial" w:eastAsia="Arial" w:hAnsi="Arial"/>
          <w:sz w:val="13"/>
          <w:szCs w:val="13"/>
          <w:color w:val="F79646"/>
        </w:rPr>
      </w:pPr>
    </w:p>
    <w:p>
      <w:pPr>
        <w:ind w:left="940" w:hanging="368"/>
        <w:spacing w:after="0"/>
        <w:tabs>
          <w:tab w:leader="none" w:pos="940" w:val="left"/>
        </w:tabs>
        <w:numPr>
          <w:ilvl w:val="0"/>
          <w:numId w:val="57"/>
        </w:numPr>
        <w:rPr>
          <w:rFonts w:ascii="Arial" w:cs="Arial" w:eastAsia="Arial" w:hAnsi="Arial"/>
          <w:sz w:val="13"/>
          <w:szCs w:val="13"/>
          <w:color w:val="F79646"/>
        </w:rPr>
      </w:pPr>
      <w:r>
        <w:rPr>
          <w:rFonts w:ascii="Arial" w:cs="Arial" w:eastAsia="Arial" w:hAnsi="Arial"/>
          <w:sz w:val="13"/>
          <w:szCs w:val="13"/>
          <w:color w:val="auto"/>
        </w:rPr>
        <w:t>Compensation programs should be easy to understand. We believe that all aspects of executive compensation should be clearly,</w:t>
      </w:r>
    </w:p>
    <w:p>
      <w:pPr>
        <w:jc w:val="center"/>
        <w:ind w:right="-20"/>
        <w:spacing w:after="0" w:line="231" w:lineRule="auto"/>
        <w:rPr>
          <w:sz w:val="20"/>
          <w:szCs w:val="20"/>
          <w:color w:val="auto"/>
        </w:rPr>
      </w:pPr>
      <w:r>
        <w:rPr>
          <w:rFonts w:ascii="Arial" w:cs="Arial" w:eastAsia="Arial" w:hAnsi="Arial"/>
          <w:sz w:val="13"/>
          <w:szCs w:val="13"/>
          <w:color w:val="auto"/>
        </w:rPr>
        <w:t>comprehensibly and promptly disclosed to employees in order to effectively motivate them. Employees need to easily understand</w:t>
      </w:r>
    </w:p>
    <w:p>
      <w:pPr>
        <w:jc w:val="both"/>
        <w:ind w:left="4000" w:right="179"/>
        <w:spacing w:after="0" w:line="233" w:lineRule="auto"/>
        <w:rPr>
          <w:sz w:val="20"/>
          <w:szCs w:val="20"/>
          <w:color w:val="auto"/>
        </w:rPr>
      </w:pPr>
      <w:r>
        <w:rPr>
          <w:rFonts w:ascii="Arial" w:cs="Arial" w:eastAsia="Arial" w:hAnsi="Arial"/>
          <w:sz w:val="13"/>
          <w:szCs w:val="13"/>
          <w:color w:val="auto"/>
        </w:rPr>
        <w:t>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-382270</wp:posOffset>
            </wp:positionV>
            <wp:extent cx="1870710" cy="293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70710" cy="293370"/>
                    </a:xfrm>
                    <a:prstGeom prst="rect">
                      <a:avLst/>
                    </a:prstGeom>
                    <a:noFill/>
                  </pic:spPr>
                </pic:pic>
              </a:graphicData>
            </a:graphic>
          </wp:anchor>
        </w:drawing>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Our Compensation Committee's Processes</w:t>
      </w:r>
    </w:p>
    <w:p>
      <w:pPr>
        <w:spacing w:after="0" w:line="165"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Our Compensation Committee has established a number of processes to assist it in ensuring that our executive compensation programs are achieving their objectives. Among those are the following:</w:t>
      </w:r>
    </w:p>
    <w:p>
      <w:pPr>
        <w:spacing w:after="0" w:line="134" w:lineRule="exact"/>
        <w:rPr>
          <w:sz w:val="20"/>
          <w:szCs w:val="20"/>
          <w:color w:val="auto"/>
        </w:rPr>
      </w:pPr>
    </w:p>
    <w:p>
      <w:pPr>
        <w:jc w:val="both"/>
        <w:ind w:left="960" w:right="179" w:hanging="381"/>
        <w:spacing w:after="0" w:line="235" w:lineRule="auto"/>
        <w:tabs>
          <w:tab w:leader="none" w:pos="960" w:val="left"/>
        </w:tabs>
        <w:numPr>
          <w:ilvl w:val="0"/>
          <w:numId w:val="58"/>
        </w:numPr>
        <w:rPr>
          <w:rFonts w:ascii="Arial" w:cs="Arial" w:eastAsia="Arial" w:hAnsi="Arial"/>
          <w:sz w:val="13"/>
          <w:szCs w:val="13"/>
          <w:color w:val="F79646"/>
        </w:rPr>
      </w:pPr>
      <w:r>
        <w:rPr>
          <w:rFonts w:ascii="Arial" w:cs="Arial" w:eastAsia="Arial" w:hAnsi="Arial"/>
          <w:sz w:val="13"/>
          <w:szCs w:val="13"/>
          <w:b w:val="1"/>
          <w:bCs w:val="1"/>
          <w:color w:val="auto"/>
        </w:rPr>
        <w:t xml:space="preserve">Assessment of Company Performance. </w:t>
      </w:r>
      <w:r>
        <w:rPr>
          <w:rFonts w:ascii="Arial" w:cs="Arial" w:eastAsia="Arial" w:hAnsi="Arial"/>
          <w:sz w:val="13"/>
          <w:szCs w:val="13"/>
          <w:color w:val="auto"/>
        </w:rPr>
        <w:t>Our Compensation Committee uses financial performance measures to determine a significant</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end of the prior year or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296" w:lineRule="exact"/>
        <w:rPr>
          <w:rFonts w:ascii="Arial" w:cs="Arial" w:eastAsia="Arial" w:hAnsi="Arial"/>
          <w:sz w:val="13"/>
          <w:szCs w:val="13"/>
          <w:color w:val="F79646"/>
        </w:rPr>
      </w:pPr>
    </w:p>
    <w:p>
      <w:pPr>
        <w:ind w:left="1740" w:right="179" w:hanging="385"/>
        <w:spacing w:after="0" w:line="234" w:lineRule="auto"/>
        <w:rPr>
          <w:rFonts w:ascii="Arial" w:cs="Arial" w:eastAsia="Arial" w:hAnsi="Arial"/>
          <w:sz w:val="13"/>
          <w:szCs w:val="13"/>
          <w:color w:val="F79646"/>
        </w:rPr>
      </w:pPr>
      <w:r>
        <w:rPr>
          <w:rFonts w:ascii="Arial" w:cs="Arial" w:eastAsia="Arial" w:hAnsi="Arial"/>
          <w:sz w:val="13"/>
          <w:szCs w:val="13"/>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287" w:lineRule="exact"/>
        <w:rPr>
          <w:rFonts w:ascii="Arial" w:cs="Arial" w:eastAsia="Arial" w:hAnsi="Arial"/>
          <w:sz w:val="13"/>
          <w:szCs w:val="13"/>
          <w:color w:val="F79646"/>
        </w:rPr>
      </w:pPr>
    </w:p>
    <w:p>
      <w:pPr>
        <w:ind w:left="960" w:right="199" w:hanging="381"/>
        <w:spacing w:after="0" w:line="257" w:lineRule="auto"/>
        <w:tabs>
          <w:tab w:leader="none" w:pos="960" w:val="left"/>
        </w:tabs>
        <w:numPr>
          <w:ilvl w:val="0"/>
          <w:numId w:val="58"/>
        </w:numPr>
        <w:rPr>
          <w:rFonts w:ascii="Arial" w:cs="Arial" w:eastAsia="Arial" w:hAnsi="Arial"/>
          <w:sz w:val="13"/>
          <w:szCs w:val="13"/>
          <w:color w:val="F79646"/>
        </w:rPr>
      </w:pPr>
      <w:r>
        <w:rPr>
          <w:rFonts w:ascii="Arial" w:cs="Arial" w:eastAsia="Arial" w:hAnsi="Arial"/>
          <w:sz w:val="13"/>
          <w:szCs w:val="13"/>
          <w:b w:val="1"/>
          <w:bCs w:val="1"/>
          <w:color w:val="auto"/>
        </w:rPr>
        <w:t xml:space="preserve">Assessment of Individual Performance. </w:t>
      </w:r>
      <w:r>
        <w:rPr>
          <w:rFonts w:ascii="Arial" w:cs="Arial" w:eastAsia="Arial" w:hAnsi="Arial"/>
          <w:sz w:val="13"/>
          <w:szCs w:val="13"/>
          <w:color w:val="auto"/>
        </w:rPr>
        <w:t>Individual performance has a strong impact on the compensation of our employees, including our</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officers. The evaluation of an individual's performance determines a portion of the payouts for each of our named</w:t>
      </w:r>
    </w:p>
    <w:p>
      <w:pPr>
        <w:sectPr>
          <w:pgSz w:w="11900" w:h="16838" w:orient="portrait"/>
          <w:cols w:equalWidth="0" w:num="1">
            <w:col w:w="9019"/>
          </w:cols>
          <w:pgMar w:left="1440" w:top="269"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22" w:name="page23"/>
    <w:bookmarkEnd w:id="22"/>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executive officers made under our incentive bonus program and also influences any changes in base salary.</w:t>
      </w:r>
    </w:p>
    <w:p>
      <w:pPr>
        <w:spacing w:after="0" w:line="149" w:lineRule="exact"/>
        <w:rPr>
          <w:sz w:val="20"/>
          <w:szCs w:val="20"/>
          <w:color w:val="auto"/>
        </w:rPr>
      </w:pPr>
    </w:p>
    <w:p>
      <w:pPr>
        <w:ind w:left="1740" w:right="179" w:hanging="385"/>
        <w:spacing w:after="0" w:line="232" w:lineRule="auto"/>
        <w:rPr>
          <w:sz w:val="20"/>
          <w:szCs w:val="20"/>
          <w:color w:val="auto"/>
        </w:rPr>
      </w:pPr>
      <w:r>
        <w:rPr>
          <w:rFonts w:ascii="Arial" w:cs="Arial" w:eastAsia="Arial" w:hAnsi="Arial"/>
          <w:sz w:val="13"/>
          <w:szCs w:val="13"/>
          <w:color w:val="F79646"/>
        </w:rPr>
        <w:t>–</w:t>
      </w:r>
      <w:r>
        <w:rPr>
          <w:rFonts w:ascii="Arial" w:cs="Arial" w:eastAsia="Arial" w:hAnsi="Arial"/>
          <w:sz w:val="13"/>
          <w:szCs w:val="13"/>
          <w:color w:val="auto"/>
        </w:rPr>
        <w:t>For Messrs. Chhibbar, Bagai, Srivatsan and Miglani,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43" w:lineRule="exact"/>
        <w:rPr>
          <w:sz w:val="20"/>
          <w:szCs w:val="20"/>
          <w:color w:val="auto"/>
        </w:rPr>
      </w:pPr>
    </w:p>
    <w:p>
      <w:pPr>
        <w:ind w:left="1740" w:right="179" w:hanging="385"/>
        <w:spacing w:after="0" w:line="233" w:lineRule="auto"/>
        <w:rPr>
          <w:sz w:val="20"/>
          <w:szCs w:val="20"/>
          <w:color w:val="auto"/>
        </w:rPr>
      </w:pPr>
      <w:r>
        <w:rPr>
          <w:rFonts w:ascii="Arial" w:cs="Arial" w:eastAsia="Arial" w:hAnsi="Arial"/>
          <w:sz w:val="13"/>
          <w:szCs w:val="13"/>
          <w:color w:val="F79646"/>
        </w:rPr>
        <w:t>–</w:t>
      </w:r>
      <w:r>
        <w:rPr>
          <w:rFonts w:ascii="Arial" w:cs="Arial" w:eastAsia="Arial" w:hAnsi="Arial"/>
          <w:sz w:val="13"/>
          <w:szCs w:val="13"/>
          <w:color w:val="auto"/>
        </w:rPr>
        <w:t>For Mr. Kapoor, our board of directors receives a self-evaluation prepared by Mr. Kapoor and provides feedback to our Chairman. Our Chairman then discusses the consolidated feedback from the board of directors with our Compensation Committee. Our board of directors and Compensation Committee evaluates the self-evaluation and feedback as well as Mr. Kapoor's performance, leadership accomplishments and overall competence and evaluates the achievement of established objectives.</w:t>
      </w:r>
    </w:p>
    <w:p>
      <w:pPr>
        <w:spacing w:after="0" w:line="288" w:lineRule="exact"/>
        <w:rPr>
          <w:sz w:val="20"/>
          <w:szCs w:val="20"/>
          <w:color w:val="auto"/>
        </w:rPr>
      </w:pPr>
    </w:p>
    <w:p>
      <w:pPr>
        <w:jc w:val="both"/>
        <w:ind w:left="960" w:right="199" w:hanging="381"/>
        <w:spacing w:after="0" w:line="238" w:lineRule="auto"/>
        <w:tabs>
          <w:tab w:leader="none" w:pos="960" w:val="left"/>
        </w:tabs>
        <w:numPr>
          <w:ilvl w:val="0"/>
          <w:numId w:val="59"/>
        </w:numPr>
        <w:rPr>
          <w:rFonts w:ascii="Arial" w:cs="Arial" w:eastAsia="Arial" w:hAnsi="Arial"/>
          <w:sz w:val="13"/>
          <w:szCs w:val="13"/>
          <w:color w:val="F79646"/>
        </w:rPr>
      </w:pPr>
      <w:r>
        <w:rPr>
          <w:rFonts w:ascii="Arial" w:cs="Arial" w:eastAsia="Arial" w:hAnsi="Arial"/>
          <w:sz w:val="13"/>
          <w:szCs w:val="13"/>
          <w:b w:val="1"/>
          <w:bCs w:val="1"/>
          <w:color w:val="auto"/>
        </w:rPr>
        <w:t xml:space="preserve">Review of Peer Company Market Data. </w:t>
      </w:r>
      <w:r>
        <w:rPr>
          <w:rFonts w:ascii="Arial" w:cs="Arial" w:eastAsia="Arial" w:hAnsi="Arial"/>
          <w:sz w:val="13"/>
          <w:szCs w:val="13"/>
          <w:color w:val="auto"/>
        </w:rPr>
        <w:t>At the time compensation decisions were made for our U.S.-based and other senior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in 2018,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2018 were as follows:</w:t>
      </w:r>
    </w:p>
    <w:p>
      <w:pPr>
        <w:spacing w:after="0" w:line="148" w:lineRule="exact"/>
        <w:rPr>
          <w:sz w:val="20"/>
          <w:szCs w:val="20"/>
          <w:color w:val="auto"/>
        </w:rPr>
      </w:pPr>
    </w:p>
    <w:tbl>
      <w:tblPr>
        <w:tblLayout w:type="fixed"/>
        <w:tblInd w:w="210" w:type="dxa"/>
        <w:tblCellMar>
          <w:top w:w="0" w:type="dxa"/>
          <w:left w:w="0" w:type="dxa"/>
          <w:bottom w:w="0" w:type="dxa"/>
          <w:right w:w="0" w:type="dxa"/>
        </w:tblCellMar>
      </w:tblPr>
      <w:tr>
        <w:trPr>
          <w:trHeight w:val="154"/>
        </w:trPr>
        <w:tc>
          <w:tcPr>
            <w:tcW w:w="2880" w:type="dxa"/>
            <w:vAlign w:val="bottom"/>
            <w:tcBorders>
              <w:left w:val="single" w:sz="8" w:color="F79646"/>
            </w:tcBorders>
            <w:shd w:val="clear" w:color="auto" w:fill="F79646"/>
          </w:tcPr>
          <w:p>
            <w:pPr>
              <w:spacing w:after="0"/>
              <w:rPr>
                <w:sz w:val="13"/>
                <w:szCs w:val="13"/>
                <w:color w:val="auto"/>
              </w:rPr>
            </w:pPr>
          </w:p>
        </w:tc>
        <w:tc>
          <w:tcPr>
            <w:tcW w:w="5760" w:type="dxa"/>
            <w:vAlign w:val="bottom"/>
            <w:tcBorders>
              <w:right w:val="single" w:sz="8" w:color="F79646"/>
            </w:tcBorders>
            <w:shd w:val="clear" w:color="auto" w:fill="F79646"/>
          </w:tcPr>
          <w:p>
            <w:pPr>
              <w:ind w:left="740"/>
              <w:spacing w:after="0"/>
              <w:rPr>
                <w:sz w:val="20"/>
                <w:szCs w:val="20"/>
                <w:color w:val="auto"/>
              </w:rPr>
            </w:pPr>
            <w:r>
              <w:rPr>
                <w:rFonts w:ascii="Arial" w:cs="Arial" w:eastAsia="Arial" w:hAnsi="Arial"/>
                <w:sz w:val="13"/>
                <w:szCs w:val="13"/>
                <w:b w:val="1"/>
                <w:bCs w:val="1"/>
                <w:color w:val="FFFFFE"/>
              </w:rPr>
              <w:t>Peer Group Companies</w:t>
            </w:r>
          </w:p>
        </w:tc>
      </w:tr>
      <w:tr>
        <w:trPr>
          <w:trHeight w:val="144"/>
        </w:trPr>
        <w:tc>
          <w:tcPr>
            <w:tcW w:w="2880" w:type="dxa"/>
            <w:vAlign w:val="bottom"/>
            <w:tcBorders>
              <w:left w:val="single" w:sz="8" w:color="F79646"/>
            </w:tcBorders>
          </w:tcPr>
          <w:p>
            <w:pPr>
              <w:ind w:left="340"/>
              <w:spacing w:after="0" w:line="144" w:lineRule="exact"/>
              <w:rPr>
                <w:sz w:val="20"/>
                <w:szCs w:val="20"/>
                <w:color w:val="auto"/>
              </w:rPr>
            </w:pPr>
            <w:r>
              <w:rPr>
                <w:rFonts w:ascii="Arial" w:cs="Arial" w:eastAsia="Arial" w:hAnsi="Arial"/>
                <w:sz w:val="13"/>
                <w:szCs w:val="13"/>
                <w:color w:val="auto"/>
              </w:rPr>
              <w:t>Blackbaud</w:t>
            </w:r>
          </w:p>
        </w:tc>
        <w:tc>
          <w:tcPr>
            <w:tcW w:w="5760" w:type="dxa"/>
            <w:vAlign w:val="bottom"/>
            <w:tcBorders>
              <w:right w:val="single" w:sz="8" w:color="F79646"/>
            </w:tcBorders>
          </w:tcPr>
          <w:p>
            <w:pPr>
              <w:ind w:left="1520"/>
              <w:spacing w:after="0" w:line="144" w:lineRule="exact"/>
              <w:rPr>
                <w:sz w:val="20"/>
                <w:szCs w:val="20"/>
                <w:color w:val="auto"/>
              </w:rPr>
            </w:pPr>
            <w:r>
              <w:rPr>
                <w:rFonts w:ascii="Arial" w:cs="Arial" w:eastAsia="Arial" w:hAnsi="Arial"/>
                <w:sz w:val="13"/>
                <w:szCs w:val="13"/>
                <w:color w:val="auto"/>
              </w:rPr>
              <w:t>Genpact Limited</w:t>
            </w:r>
          </w:p>
        </w:tc>
      </w:tr>
      <w:tr>
        <w:trPr>
          <w:trHeight w:val="173"/>
        </w:trPr>
        <w:tc>
          <w:tcPr>
            <w:tcW w:w="2880" w:type="dxa"/>
            <w:vAlign w:val="bottom"/>
            <w:tcBorders>
              <w:left w:val="single" w:sz="8" w:color="F79646"/>
            </w:tcBorders>
            <w:shd w:val="clear" w:color="auto" w:fill="FCDEC5"/>
          </w:tcPr>
          <w:p>
            <w:pPr>
              <w:ind w:left="340"/>
              <w:spacing w:after="0" w:line="173" w:lineRule="exact"/>
              <w:rPr>
                <w:sz w:val="20"/>
                <w:szCs w:val="20"/>
                <w:color w:val="auto"/>
              </w:rPr>
            </w:pPr>
            <w:r>
              <w:rPr>
                <w:rFonts w:ascii="Arial" w:cs="Arial" w:eastAsia="Arial" w:hAnsi="Arial"/>
                <w:sz w:val="13"/>
                <w:szCs w:val="13"/>
                <w:color w:val="auto"/>
              </w:rPr>
              <w:t>Convergys Corporation</w:t>
            </w:r>
            <w:r>
              <w:rPr>
                <w:rFonts w:ascii="Arial" w:cs="Arial" w:eastAsia="Arial" w:hAnsi="Arial"/>
                <w:sz w:val="20"/>
                <w:szCs w:val="20"/>
                <w:color w:val="auto"/>
                <w:vertAlign w:val="superscript"/>
              </w:rPr>
              <w:t>(1)</w:t>
            </w:r>
          </w:p>
        </w:tc>
        <w:tc>
          <w:tcPr>
            <w:tcW w:w="5760" w:type="dxa"/>
            <w:vAlign w:val="bottom"/>
            <w:tcBorders>
              <w:right w:val="single" w:sz="8" w:color="F79646"/>
            </w:tcBorders>
            <w:shd w:val="clear" w:color="auto" w:fill="FCDEC5"/>
          </w:tcPr>
          <w:p>
            <w:pPr>
              <w:ind w:left="1520"/>
              <w:spacing w:after="0"/>
              <w:rPr>
                <w:sz w:val="20"/>
                <w:szCs w:val="20"/>
                <w:color w:val="auto"/>
              </w:rPr>
            </w:pPr>
            <w:r>
              <w:rPr>
                <w:rFonts w:ascii="Arial" w:cs="Arial" w:eastAsia="Arial" w:hAnsi="Arial"/>
                <w:sz w:val="13"/>
                <w:szCs w:val="13"/>
                <w:color w:val="auto"/>
              </w:rPr>
              <w:t>LiveRamp Holdings</w:t>
            </w:r>
          </w:p>
        </w:tc>
      </w:tr>
      <w:tr>
        <w:trPr>
          <w:trHeight w:val="144"/>
        </w:trPr>
        <w:tc>
          <w:tcPr>
            <w:tcW w:w="2880" w:type="dxa"/>
            <w:vAlign w:val="bottom"/>
            <w:tcBorders>
              <w:left w:val="single" w:sz="8" w:color="F79646"/>
            </w:tcBorders>
          </w:tcPr>
          <w:p>
            <w:pPr>
              <w:ind w:left="340"/>
              <w:spacing w:after="0" w:line="144" w:lineRule="exact"/>
              <w:rPr>
                <w:sz w:val="20"/>
                <w:szCs w:val="20"/>
                <w:color w:val="auto"/>
              </w:rPr>
            </w:pPr>
            <w:r>
              <w:rPr>
                <w:rFonts w:ascii="Arial" w:cs="Arial" w:eastAsia="Arial" w:hAnsi="Arial"/>
                <w:sz w:val="13"/>
                <w:szCs w:val="13"/>
                <w:color w:val="auto"/>
              </w:rPr>
              <w:t>CSG Systems International, Inc.</w:t>
            </w:r>
          </w:p>
        </w:tc>
        <w:tc>
          <w:tcPr>
            <w:tcW w:w="5760" w:type="dxa"/>
            <w:vAlign w:val="bottom"/>
            <w:tcBorders>
              <w:right w:val="single" w:sz="8" w:color="F79646"/>
            </w:tcBorders>
          </w:tcPr>
          <w:p>
            <w:pPr>
              <w:ind w:left="1520"/>
              <w:spacing w:after="0" w:line="144" w:lineRule="exact"/>
              <w:rPr>
                <w:sz w:val="20"/>
                <w:szCs w:val="20"/>
                <w:color w:val="auto"/>
              </w:rPr>
            </w:pPr>
            <w:r>
              <w:rPr>
                <w:rFonts w:ascii="Arial" w:cs="Arial" w:eastAsia="Arial" w:hAnsi="Arial"/>
                <w:sz w:val="13"/>
                <w:szCs w:val="13"/>
                <w:color w:val="auto"/>
              </w:rPr>
              <w:t>Sykes Enterprises</w:t>
            </w:r>
          </w:p>
        </w:tc>
      </w:tr>
      <w:tr>
        <w:trPr>
          <w:trHeight w:val="173"/>
        </w:trPr>
        <w:tc>
          <w:tcPr>
            <w:tcW w:w="2880" w:type="dxa"/>
            <w:vAlign w:val="bottom"/>
            <w:tcBorders>
              <w:left w:val="single" w:sz="8" w:color="F79646"/>
            </w:tcBorders>
            <w:shd w:val="clear" w:color="auto" w:fill="FCDEC5"/>
          </w:tcPr>
          <w:p>
            <w:pPr>
              <w:ind w:left="340"/>
              <w:spacing w:after="0" w:line="173" w:lineRule="exact"/>
              <w:rPr>
                <w:sz w:val="20"/>
                <w:szCs w:val="20"/>
                <w:color w:val="auto"/>
              </w:rPr>
            </w:pPr>
            <w:r>
              <w:rPr>
                <w:rFonts w:ascii="Arial" w:cs="Arial" w:eastAsia="Arial" w:hAnsi="Arial"/>
                <w:sz w:val="13"/>
                <w:szCs w:val="13"/>
                <w:color w:val="auto"/>
              </w:rPr>
              <w:t>DST Systems</w:t>
            </w:r>
            <w:r>
              <w:rPr>
                <w:rFonts w:ascii="Arial" w:cs="Arial" w:eastAsia="Arial" w:hAnsi="Arial"/>
                <w:sz w:val="20"/>
                <w:szCs w:val="20"/>
                <w:color w:val="auto"/>
                <w:vertAlign w:val="superscript"/>
              </w:rPr>
              <w:t>(2)</w:t>
            </w:r>
          </w:p>
        </w:tc>
        <w:tc>
          <w:tcPr>
            <w:tcW w:w="5760" w:type="dxa"/>
            <w:vAlign w:val="bottom"/>
            <w:tcBorders>
              <w:right w:val="single" w:sz="8" w:color="F79646"/>
            </w:tcBorders>
            <w:shd w:val="clear" w:color="auto" w:fill="FCDEC5"/>
          </w:tcPr>
          <w:p>
            <w:pPr>
              <w:ind w:left="1520"/>
              <w:spacing w:after="0"/>
              <w:rPr>
                <w:sz w:val="20"/>
                <w:szCs w:val="20"/>
                <w:color w:val="auto"/>
              </w:rPr>
            </w:pPr>
            <w:r>
              <w:rPr>
                <w:rFonts w:ascii="Arial" w:cs="Arial" w:eastAsia="Arial" w:hAnsi="Arial"/>
                <w:sz w:val="13"/>
                <w:szCs w:val="13"/>
                <w:color w:val="auto"/>
              </w:rPr>
              <w:t>Virtusa</w:t>
            </w:r>
          </w:p>
        </w:tc>
      </w:tr>
      <w:tr>
        <w:trPr>
          <w:trHeight w:val="144"/>
        </w:trPr>
        <w:tc>
          <w:tcPr>
            <w:tcW w:w="2880" w:type="dxa"/>
            <w:vAlign w:val="bottom"/>
            <w:tcBorders>
              <w:left w:val="single" w:sz="8" w:color="F79646"/>
              <w:bottom w:val="single" w:sz="8" w:color="F79646"/>
            </w:tcBorders>
          </w:tcPr>
          <w:p>
            <w:pPr>
              <w:ind w:left="340"/>
              <w:spacing w:after="0" w:line="144" w:lineRule="exact"/>
              <w:rPr>
                <w:sz w:val="20"/>
                <w:szCs w:val="20"/>
                <w:color w:val="auto"/>
              </w:rPr>
            </w:pPr>
            <w:r>
              <w:rPr>
                <w:rFonts w:ascii="Arial" w:cs="Arial" w:eastAsia="Arial" w:hAnsi="Arial"/>
                <w:sz w:val="13"/>
                <w:szCs w:val="13"/>
                <w:color w:val="auto"/>
              </w:rPr>
              <w:t>EPAM Systems</w:t>
            </w:r>
          </w:p>
        </w:tc>
        <w:tc>
          <w:tcPr>
            <w:tcW w:w="5760" w:type="dxa"/>
            <w:vAlign w:val="bottom"/>
            <w:tcBorders>
              <w:bottom w:val="single" w:sz="8" w:color="F79646"/>
              <w:right w:val="single" w:sz="8" w:color="F79646"/>
            </w:tcBorders>
          </w:tcPr>
          <w:p>
            <w:pPr>
              <w:ind w:left="1520"/>
              <w:spacing w:after="0" w:line="144" w:lineRule="exact"/>
              <w:rPr>
                <w:sz w:val="20"/>
                <w:szCs w:val="20"/>
                <w:color w:val="auto"/>
              </w:rPr>
            </w:pPr>
            <w:r>
              <w:rPr>
                <w:rFonts w:ascii="Arial" w:cs="Arial" w:eastAsia="Arial" w:hAnsi="Arial"/>
                <w:sz w:val="13"/>
                <w:szCs w:val="13"/>
                <w:color w:val="auto"/>
              </w:rPr>
              <w:t>WNS (Holdings) Limited</w:t>
            </w:r>
          </w:p>
        </w:tc>
      </w:tr>
    </w:tbl>
    <w:p>
      <w:pPr>
        <w:spacing w:after="0" w:line="156" w:lineRule="exact"/>
        <w:rPr>
          <w:sz w:val="20"/>
          <w:szCs w:val="20"/>
          <w:color w:val="auto"/>
        </w:rPr>
      </w:pPr>
    </w:p>
    <w:p>
      <w:pPr>
        <w:ind w:left="580" w:hanging="386"/>
        <w:spacing w:after="0"/>
        <w:tabs>
          <w:tab w:leader="none" w:pos="5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Convergys Corporation was acquired by SYNNEX Corporation in October 2018.</w:t>
      </w:r>
    </w:p>
    <w:p>
      <w:pPr>
        <w:spacing w:after="0" w:line="4" w:lineRule="exact"/>
        <w:rPr>
          <w:rFonts w:ascii="Arial" w:cs="Arial" w:eastAsia="Arial" w:hAnsi="Arial"/>
          <w:sz w:val="13"/>
          <w:szCs w:val="13"/>
          <w:color w:val="auto"/>
        </w:rPr>
      </w:pPr>
    </w:p>
    <w:p>
      <w:pPr>
        <w:ind w:left="580" w:hanging="386"/>
        <w:spacing w:after="0"/>
        <w:tabs>
          <w:tab w:leader="none" w:pos="5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DST Systems was acquired by SS&amp;C Technologies in April 2018.</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compensation data for our peer group is compiled directly by FW Cook, the independent consultant to the Compensation Committee. The peer group compensation data was supplemented by global general industry and industry-specific survey data. The data from the surveys was scaled to our size by FW Cook based on revenues or corresponding revenue ranges as provided by the surveys. Management separately engaged Aon Consulting for the limited purpose of providing a survey of compensation data (the parameters of which were not prepared by Aon Consulting) for individuals in our global general industry holding analogous positions to our executive officers. While the Compensation Committee reviewed and considered the data provided by these surveys, it did not consider or review the compensation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paid to executives at the component companies included within such surveys and did not use this information or any other data as a definitive benchmark to set executive compensation for fiscal year 2018.</w:t>
      </w:r>
    </w:p>
    <w:p>
      <w:pPr>
        <w:spacing w:after="0" w:line="150"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35" w:lineRule="exact"/>
        <w:rPr>
          <w:sz w:val="20"/>
          <w:szCs w:val="20"/>
          <w:color w:val="auto"/>
        </w:rPr>
      </w:pPr>
    </w:p>
    <w:p>
      <w:pPr>
        <w:jc w:val="both"/>
        <w:ind w:left="960" w:right="179" w:hanging="381"/>
        <w:spacing w:after="0" w:line="237" w:lineRule="auto"/>
        <w:tabs>
          <w:tab w:leader="none" w:pos="960" w:val="left"/>
        </w:tabs>
        <w:numPr>
          <w:ilvl w:val="0"/>
          <w:numId w:val="61"/>
        </w:numPr>
        <w:rPr>
          <w:rFonts w:ascii="Arial" w:cs="Arial" w:eastAsia="Arial" w:hAnsi="Arial"/>
          <w:sz w:val="13"/>
          <w:szCs w:val="13"/>
          <w:color w:val="F79646"/>
        </w:rPr>
      </w:pPr>
      <w:r>
        <w:rPr>
          <w:rFonts w:ascii="Arial" w:cs="Arial" w:eastAsia="Arial" w:hAnsi="Arial"/>
          <w:sz w:val="13"/>
          <w:szCs w:val="13"/>
          <w:b w:val="1"/>
          <w:bCs w:val="1"/>
          <w:color w:val="auto"/>
        </w:rPr>
        <w:t xml:space="preserve">Total Compensation Review. </w:t>
      </w:r>
      <w:r>
        <w:rPr>
          <w:rFonts w:ascii="Arial" w:cs="Arial" w:eastAsia="Arial" w:hAnsi="Arial"/>
          <w:sz w:val="13"/>
          <w:szCs w:val="13"/>
          <w:color w:val="auto"/>
        </w:rPr>
        <w:t>Our Compensation Committee reviews compensation information provided by FW Cook and the Aon survey in</w:t>
      </w:r>
      <w:r>
        <w:rPr>
          <w:rFonts w:ascii="Arial" w:cs="Arial" w:eastAsia="Arial" w:hAnsi="Arial"/>
          <w:sz w:val="13"/>
          <w:szCs w:val="13"/>
          <w:b w:val="1"/>
          <w:bCs w:val="1"/>
          <w:color w:val="auto"/>
        </w:rPr>
        <w:t xml:space="preserve"> </w:t>
      </w:r>
      <w:r>
        <w:rPr>
          <w:rFonts w:ascii="Arial" w:cs="Arial" w:eastAsia="Arial" w:hAnsi="Arial"/>
          <w:sz w:val="13"/>
          <w:szCs w:val="13"/>
          <w:color w:val="auto"/>
        </w:rPr>
        <w:t>order to evaluate each executive's base pay, incentive bonus and equity incentives when changes in compensation are considered.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124" w:lineRule="exact"/>
        <w:rPr>
          <w:rFonts w:ascii="Arial" w:cs="Arial" w:eastAsia="Arial" w:hAnsi="Arial"/>
          <w:sz w:val="13"/>
          <w:szCs w:val="13"/>
          <w:color w:val="F79646"/>
        </w:rPr>
      </w:pPr>
    </w:p>
    <w:p>
      <w:pPr>
        <w:jc w:val="both"/>
        <w:ind w:left="960" w:right="179" w:hanging="381"/>
        <w:spacing w:after="0" w:line="235" w:lineRule="auto"/>
        <w:tabs>
          <w:tab w:leader="none" w:pos="960" w:val="left"/>
        </w:tabs>
        <w:numPr>
          <w:ilvl w:val="0"/>
          <w:numId w:val="61"/>
        </w:numPr>
        <w:rPr>
          <w:rFonts w:ascii="Arial" w:cs="Arial" w:eastAsia="Arial" w:hAnsi="Arial"/>
          <w:sz w:val="13"/>
          <w:szCs w:val="13"/>
          <w:color w:val="F79646"/>
        </w:rPr>
      </w:pPr>
      <w:r>
        <w:rPr>
          <w:rFonts w:ascii="Arial" w:cs="Arial" w:eastAsia="Arial" w:hAnsi="Arial"/>
          <w:sz w:val="13"/>
          <w:szCs w:val="13"/>
          <w:b w:val="1"/>
          <w:bCs w:val="1"/>
          <w:color w:val="auto"/>
        </w:rPr>
        <w:t xml:space="preserve">Role of the Compensation Committee's Independent Compensation Consultant. </w:t>
      </w:r>
      <w:r>
        <w:rPr>
          <w:rFonts w:ascii="Arial" w:cs="Arial" w:eastAsia="Arial" w:hAnsi="Arial"/>
          <w:sz w:val="13"/>
          <w:szCs w:val="13"/>
          <w:color w:val="auto"/>
        </w:rPr>
        <w:t>For 2018, the Compensation Committee retained the</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of FW Cook,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FW Cook does not provide other services to us or our executive officers. We have affirmatively determined that no conflict of interest has arisen in connection with the work of FW Cook as compensation consultant for the Compensation Committee.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3" w:name="page24"/>
    <w:bookmarkEnd w:id="23"/>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Components of Executive Compensation for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For 2018, the compensation of executive officers consisted of the following five primary components:</w:t>
      </w:r>
    </w:p>
    <w:p>
      <w:pPr>
        <w:sectPr>
          <w:pgSz w:w="11900" w:h="16838" w:orient="portrait"/>
          <w:cols w:equalWidth="0" w:num="1">
            <w:col w:w="9019"/>
          </w:cols>
          <w:pgMar w:left="1440" w:top="296" w:right="1440" w:bottom="1440" w:gutter="0" w:footer="0" w:header="0"/>
        </w:sectPr>
      </w:pPr>
    </w:p>
    <w:p>
      <w:pPr>
        <w:spacing w:after="0" w:line="16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1620" w:type="dxa"/>
            <w:vAlign w:val="bottom"/>
          </w:tcPr>
          <w:p>
            <w:pPr>
              <w:ind w:left="360"/>
              <w:spacing w:after="0"/>
              <w:rPr>
                <w:sz w:val="20"/>
                <w:szCs w:val="20"/>
                <w:color w:val="auto"/>
              </w:rPr>
            </w:pPr>
            <w:r>
              <w:rPr>
                <w:rFonts w:ascii="Arial" w:cs="Arial" w:eastAsia="Arial" w:hAnsi="Arial"/>
                <w:sz w:val="13"/>
                <w:szCs w:val="13"/>
                <w:b w:val="1"/>
                <w:bCs w:val="1"/>
                <w:color w:val="FFFFFE"/>
              </w:rPr>
              <w:t>Compensation</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440"/>
              <w:spacing w:after="0" w:line="144" w:lineRule="exact"/>
              <w:rPr>
                <w:sz w:val="20"/>
                <w:szCs w:val="20"/>
                <w:color w:val="auto"/>
              </w:rPr>
            </w:pPr>
            <w:r>
              <w:rPr>
                <w:rFonts w:ascii="Arial" w:cs="Arial" w:eastAsia="Arial" w:hAnsi="Arial"/>
                <w:sz w:val="13"/>
                <w:szCs w:val="13"/>
                <w:b w:val="1"/>
                <w:bCs w:val="1"/>
                <w:color w:val="FFFFFE"/>
              </w:rPr>
              <w:t>Component</w:t>
            </w:r>
          </w:p>
        </w:tc>
        <w:tc>
          <w:tcPr>
            <w:tcW w:w="3200" w:type="dxa"/>
            <w:vAlign w:val="bottom"/>
          </w:tcPr>
          <w:p>
            <w:pPr>
              <w:ind w:left="1320"/>
              <w:spacing w:after="0" w:line="144" w:lineRule="exact"/>
              <w:rPr>
                <w:sz w:val="20"/>
                <w:szCs w:val="20"/>
                <w:color w:val="auto"/>
              </w:rPr>
            </w:pPr>
            <w:r>
              <w:rPr>
                <w:rFonts w:ascii="Arial" w:cs="Arial" w:eastAsia="Arial" w:hAnsi="Arial"/>
                <w:sz w:val="13"/>
                <w:szCs w:val="13"/>
                <w:b w:val="1"/>
                <w:bCs w:val="1"/>
                <w:color w:val="FFFFFE"/>
              </w:rPr>
              <w:t>Description</w:t>
            </w:r>
          </w:p>
        </w:tc>
        <w:tc>
          <w:tcPr>
            <w:tcW w:w="0" w:type="dxa"/>
            <w:vAlign w:val="bottom"/>
          </w:tcPr>
          <w:p>
            <w:pPr>
              <w:spacing w:after="0"/>
              <w:rPr>
                <w:sz w:val="1"/>
                <w:szCs w:val="1"/>
                <w:color w:val="auto"/>
              </w:rPr>
            </w:pPr>
          </w:p>
        </w:tc>
      </w:tr>
      <w:tr>
        <w:trPr>
          <w:trHeight w:val="151"/>
        </w:trPr>
        <w:tc>
          <w:tcPr>
            <w:tcW w:w="1620" w:type="dxa"/>
            <w:vAlign w:val="bottom"/>
          </w:tcPr>
          <w:p>
            <w:pPr>
              <w:spacing w:after="0"/>
              <w:rPr>
                <w:sz w:val="20"/>
                <w:szCs w:val="20"/>
                <w:color w:val="auto"/>
              </w:rPr>
            </w:pPr>
            <w:r>
              <w:rPr>
                <w:rFonts w:ascii="Arial" w:cs="Arial" w:eastAsia="Arial" w:hAnsi="Arial"/>
                <w:sz w:val="13"/>
                <w:szCs w:val="13"/>
                <w:b w:val="1"/>
                <w:bCs w:val="1"/>
                <w:color w:val="auto"/>
              </w:rPr>
              <w:t>Base Salary</w:t>
            </w:r>
          </w:p>
        </w:tc>
        <w:tc>
          <w:tcPr>
            <w:tcW w:w="3200" w:type="dxa"/>
            <w:vAlign w:val="bottom"/>
          </w:tcPr>
          <w:p>
            <w:pPr>
              <w:ind w:left="80"/>
              <w:spacing w:after="0"/>
              <w:rPr>
                <w:sz w:val="20"/>
                <w:szCs w:val="20"/>
                <w:color w:val="auto"/>
              </w:rPr>
            </w:pPr>
            <w:r>
              <w:rPr>
                <w:rFonts w:ascii="Arial" w:cs="Arial" w:eastAsia="Arial" w:hAnsi="Arial"/>
                <w:sz w:val="13"/>
                <w:szCs w:val="13"/>
                <w:color w:val="F79646"/>
                <w:w w:val="97"/>
              </w:rPr>
              <w:t xml:space="preserve">&gt;   </w:t>
            </w:r>
            <w:r>
              <w:rPr>
                <w:rFonts w:ascii="Arial" w:cs="Arial" w:eastAsia="Arial" w:hAnsi="Arial"/>
                <w:sz w:val="13"/>
                <w:szCs w:val="13"/>
                <w:color w:val="000000"/>
                <w:w w:val="97"/>
              </w:rPr>
              <w:t>Fixed compensation that is reviewed annually and is</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00" w:type="dxa"/>
            <w:vAlign w:val="bottom"/>
          </w:tcPr>
          <w:p>
            <w:pPr>
              <w:ind w:left="300"/>
              <w:spacing w:after="0" w:line="144" w:lineRule="exact"/>
              <w:rPr>
                <w:sz w:val="20"/>
                <w:szCs w:val="20"/>
                <w:color w:val="auto"/>
              </w:rPr>
            </w:pPr>
            <w:r>
              <w:rPr>
                <w:rFonts w:ascii="Arial" w:cs="Arial" w:eastAsia="Arial" w:hAnsi="Arial"/>
                <w:sz w:val="13"/>
                <w:szCs w:val="13"/>
                <w:color w:val="auto"/>
                <w:w w:val="96"/>
              </w:rPr>
              <w:t>based on performance, experience, responsibilities,</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00" w:type="dxa"/>
            <w:vAlign w:val="bottom"/>
          </w:tcPr>
          <w:p>
            <w:pPr>
              <w:ind w:left="300"/>
              <w:spacing w:after="0"/>
              <w:rPr>
                <w:sz w:val="20"/>
                <w:szCs w:val="20"/>
                <w:color w:val="auto"/>
              </w:rPr>
            </w:pPr>
            <w:r>
              <w:rPr>
                <w:rFonts w:ascii="Arial" w:cs="Arial" w:eastAsia="Arial" w:hAnsi="Arial"/>
                <w:sz w:val="13"/>
                <w:szCs w:val="13"/>
                <w:color w:val="auto"/>
              </w:rPr>
              <w:t>skill set and market value.</w:t>
            </w:r>
          </w:p>
        </w:tc>
        <w:tc>
          <w:tcPr>
            <w:tcW w:w="0" w:type="dxa"/>
            <w:vAlign w:val="bottom"/>
          </w:tcPr>
          <w:p>
            <w:pPr>
              <w:spacing w:after="0"/>
              <w:rPr>
                <w:sz w:val="1"/>
                <w:szCs w:val="1"/>
                <w:color w:val="auto"/>
              </w:rPr>
            </w:pPr>
          </w:p>
        </w:tc>
      </w:tr>
      <w:tr>
        <w:trPr>
          <w:trHeight w:val="419"/>
        </w:trPr>
        <w:tc>
          <w:tcPr>
            <w:tcW w:w="1620" w:type="dxa"/>
            <w:vAlign w:val="bottom"/>
          </w:tcPr>
          <w:p>
            <w:pPr>
              <w:spacing w:after="0"/>
              <w:rPr>
                <w:sz w:val="20"/>
                <w:szCs w:val="20"/>
                <w:color w:val="auto"/>
              </w:rPr>
            </w:pPr>
            <w:r>
              <w:rPr>
                <w:rFonts w:ascii="Arial" w:cs="Arial" w:eastAsia="Arial" w:hAnsi="Arial"/>
                <w:sz w:val="13"/>
                <w:szCs w:val="13"/>
                <w:b w:val="1"/>
                <w:bCs w:val="1"/>
                <w:color w:val="auto"/>
              </w:rPr>
              <w:t>Annual Incentives</w:t>
            </w:r>
          </w:p>
        </w:tc>
        <w:tc>
          <w:tcPr>
            <w:tcW w:w="3200" w:type="dxa"/>
            <w:vAlign w:val="bottom"/>
          </w:tcPr>
          <w:p>
            <w:pPr>
              <w:ind w:left="8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"At-risk" compensation earned based on</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00" w:type="dxa"/>
            <w:vAlign w:val="bottom"/>
          </w:tcPr>
          <w:p>
            <w:pPr>
              <w:ind w:left="300"/>
              <w:spacing w:after="0" w:line="144" w:lineRule="exact"/>
              <w:rPr>
                <w:sz w:val="20"/>
                <w:szCs w:val="20"/>
                <w:color w:val="auto"/>
              </w:rPr>
            </w:pPr>
            <w:r>
              <w:rPr>
                <w:rFonts w:ascii="Arial" w:cs="Arial" w:eastAsia="Arial" w:hAnsi="Arial"/>
                <w:sz w:val="13"/>
                <w:szCs w:val="13"/>
                <w:color w:val="auto"/>
              </w:rPr>
              <w:t>performance measured against pre-established</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00" w:type="dxa"/>
            <w:vAlign w:val="bottom"/>
          </w:tcPr>
          <w:p>
            <w:pPr>
              <w:ind w:left="300"/>
              <w:spacing w:after="0"/>
              <w:rPr>
                <w:sz w:val="20"/>
                <w:szCs w:val="20"/>
                <w:color w:val="auto"/>
              </w:rPr>
            </w:pPr>
            <w:r>
              <w:rPr>
                <w:rFonts w:ascii="Arial" w:cs="Arial" w:eastAsia="Arial" w:hAnsi="Arial"/>
                <w:sz w:val="13"/>
                <w:szCs w:val="13"/>
                <w:color w:val="auto"/>
              </w:rPr>
              <w:t>annual goals.</w:t>
            </w:r>
          </w:p>
        </w:tc>
        <w:tc>
          <w:tcPr>
            <w:tcW w:w="0" w:type="dxa"/>
            <w:vAlign w:val="bottom"/>
          </w:tcPr>
          <w:p>
            <w:pPr>
              <w:spacing w:after="0"/>
              <w:rPr>
                <w:sz w:val="1"/>
                <w:szCs w:val="1"/>
                <w:color w:val="auto"/>
              </w:rPr>
            </w:pPr>
          </w:p>
        </w:tc>
      </w:tr>
      <w:tr>
        <w:trPr>
          <w:trHeight w:val="274"/>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Long-Term Incentives</w:t>
            </w:r>
          </w:p>
        </w:tc>
        <w:tc>
          <w:tcPr>
            <w:tcW w:w="3200" w:type="dxa"/>
            <w:vAlign w:val="bottom"/>
          </w:tcPr>
          <w:p>
            <w:pPr>
              <w:ind w:left="8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Goals are tailored to each executive's position.</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3200" w:type="dxa"/>
            <w:vAlign w:val="bottom"/>
          </w:tcPr>
          <w:p>
            <w:pPr>
              <w:ind w:left="80"/>
              <w:spacing w:after="0" w:line="144" w:lineRule="exact"/>
              <w:rPr>
                <w:sz w:val="20"/>
                <w:szCs w:val="20"/>
                <w:color w:val="auto"/>
              </w:rPr>
            </w:pPr>
            <w:r>
              <w:rPr>
                <w:rFonts w:ascii="Arial" w:cs="Arial" w:eastAsia="Arial" w:hAnsi="Arial"/>
                <w:sz w:val="13"/>
                <w:szCs w:val="13"/>
                <w:color w:val="F79646"/>
                <w:w w:val="97"/>
              </w:rPr>
              <w:t xml:space="preserve">&gt;   </w:t>
            </w:r>
            <w:r>
              <w:rPr>
                <w:rFonts w:ascii="Arial" w:cs="Arial" w:eastAsia="Arial" w:hAnsi="Arial"/>
                <w:sz w:val="13"/>
                <w:szCs w:val="13"/>
                <w:color w:val="000000"/>
                <w:w w:val="97"/>
              </w:rPr>
              <w:t>"At-risk" compensation in the form of restricted stock</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00" w:type="dxa"/>
            <w:vAlign w:val="bottom"/>
          </w:tcPr>
          <w:p>
            <w:pPr>
              <w:ind w:left="300"/>
              <w:spacing w:after="0" w:line="144" w:lineRule="exact"/>
              <w:rPr>
                <w:sz w:val="20"/>
                <w:szCs w:val="20"/>
                <w:color w:val="auto"/>
              </w:rPr>
            </w:pPr>
            <w:r>
              <w:rPr>
                <w:rFonts w:ascii="Arial" w:cs="Arial" w:eastAsia="Arial" w:hAnsi="Arial"/>
                <w:sz w:val="13"/>
                <w:szCs w:val="13"/>
                <w:color w:val="auto"/>
              </w:rPr>
              <w:t>unit awards whose value fluctuates according to</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00" w:type="dxa"/>
            <w:vAlign w:val="bottom"/>
          </w:tcPr>
          <w:p>
            <w:pPr>
              <w:ind w:left="300"/>
              <w:spacing w:after="0"/>
              <w:rPr>
                <w:sz w:val="20"/>
                <w:szCs w:val="20"/>
                <w:color w:val="auto"/>
              </w:rPr>
            </w:pPr>
            <w:r>
              <w:rPr>
                <w:rFonts w:ascii="Arial" w:cs="Arial" w:eastAsia="Arial" w:hAnsi="Arial"/>
                <w:sz w:val="13"/>
                <w:szCs w:val="13"/>
                <w:color w:val="auto"/>
              </w:rPr>
              <w:t>stockholder value.</w:t>
            </w:r>
          </w:p>
        </w:tc>
        <w:tc>
          <w:tcPr>
            <w:tcW w:w="0" w:type="dxa"/>
            <w:vAlign w:val="bottom"/>
          </w:tcPr>
          <w:p>
            <w:pPr>
              <w:spacing w:after="0"/>
              <w:rPr>
                <w:sz w:val="1"/>
                <w:szCs w:val="1"/>
                <w:color w:val="auto"/>
              </w:rPr>
            </w:pPr>
          </w:p>
        </w:tc>
      </w:tr>
      <w:tr>
        <w:trPr>
          <w:trHeight w:val="298"/>
        </w:trPr>
        <w:tc>
          <w:tcPr>
            <w:tcW w:w="1620" w:type="dxa"/>
            <w:vAlign w:val="bottom"/>
          </w:tcPr>
          <w:p>
            <w:pPr>
              <w:spacing w:after="0"/>
              <w:rPr>
                <w:sz w:val="24"/>
                <w:szCs w:val="2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F79646"/>
                <w:w w:val="97"/>
              </w:rPr>
              <w:t xml:space="preserve">&gt;   </w:t>
            </w:r>
            <w:r>
              <w:rPr>
                <w:rFonts w:ascii="Arial" w:cs="Arial" w:eastAsia="Arial" w:hAnsi="Arial"/>
                <w:sz w:val="13"/>
                <w:szCs w:val="13"/>
                <w:color w:val="000000"/>
                <w:w w:val="97"/>
              </w:rPr>
              <w:t>50% of the award vests based on continued service.</w:t>
            </w:r>
          </w:p>
        </w:tc>
        <w:tc>
          <w:tcPr>
            <w:tcW w:w="0" w:type="dxa"/>
            <w:vAlign w:val="bottom"/>
          </w:tcPr>
          <w:p>
            <w:pPr>
              <w:spacing w:after="0"/>
              <w:rPr>
                <w:sz w:val="1"/>
                <w:szCs w:val="1"/>
                <w:color w:val="auto"/>
              </w:rPr>
            </w:pPr>
          </w:p>
        </w:tc>
      </w:tr>
      <w:tr>
        <w:trPr>
          <w:trHeight w:val="274"/>
        </w:trPr>
        <w:tc>
          <w:tcPr>
            <w:tcW w:w="1620" w:type="dxa"/>
            <w:vAlign w:val="bottom"/>
          </w:tcPr>
          <w:p>
            <w:pPr>
              <w:spacing w:after="0"/>
              <w:rPr>
                <w:sz w:val="23"/>
                <w:szCs w:val="2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50% vests based on achievement of revenue and</w:t>
            </w:r>
          </w:p>
        </w:tc>
        <w:tc>
          <w:tcPr>
            <w:tcW w:w="0" w:type="dxa"/>
            <w:vAlign w:val="bottom"/>
          </w:tcPr>
          <w:p>
            <w:pPr>
              <w:spacing w:after="0"/>
              <w:rPr>
                <w:sz w:val="1"/>
                <w:szCs w:val="1"/>
                <w:color w:val="auto"/>
              </w:rPr>
            </w:pPr>
          </w:p>
        </w:tc>
      </w:tr>
      <w:tr>
        <w:trPr>
          <w:trHeight w:val="135"/>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Other Benefits</w:t>
            </w:r>
          </w:p>
        </w:tc>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total stockholder return goals.</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3200" w:type="dxa"/>
            <w:vAlign w:val="bottom"/>
          </w:tcPr>
          <w:p>
            <w:pPr>
              <w:ind w:left="80"/>
              <w:spacing w:after="0" w:line="144" w:lineRule="exact"/>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Broad-based benefits provided to company</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00" w:type="dxa"/>
            <w:vAlign w:val="bottom"/>
          </w:tcPr>
          <w:p>
            <w:pPr>
              <w:ind w:left="300"/>
              <w:spacing w:after="0" w:line="144" w:lineRule="exact"/>
              <w:rPr>
                <w:sz w:val="20"/>
                <w:szCs w:val="20"/>
                <w:color w:val="auto"/>
              </w:rPr>
            </w:pPr>
            <w:r>
              <w:rPr>
                <w:rFonts w:ascii="Arial" w:cs="Arial" w:eastAsia="Arial" w:hAnsi="Arial"/>
                <w:sz w:val="13"/>
                <w:szCs w:val="13"/>
                <w:color w:val="auto"/>
              </w:rPr>
              <w:t>employees (e.g., health and group insurance), a</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00" w:type="dxa"/>
            <w:vAlign w:val="bottom"/>
          </w:tcPr>
          <w:p>
            <w:pPr>
              <w:ind w:left="300"/>
              <w:spacing w:after="0" w:line="144" w:lineRule="exact"/>
              <w:rPr>
                <w:sz w:val="20"/>
                <w:szCs w:val="20"/>
                <w:color w:val="auto"/>
              </w:rPr>
            </w:pPr>
            <w:r>
              <w:rPr>
                <w:rFonts w:ascii="Arial" w:cs="Arial" w:eastAsia="Arial" w:hAnsi="Arial"/>
                <w:sz w:val="13"/>
                <w:szCs w:val="13"/>
                <w:color w:val="auto"/>
                <w:w w:val="97"/>
              </w:rPr>
              <w:t>retirement savings plan and other personal benefits</w:t>
            </w:r>
          </w:p>
        </w:tc>
        <w:tc>
          <w:tcPr>
            <w:tcW w:w="0" w:type="dxa"/>
            <w:vAlign w:val="bottom"/>
          </w:tcPr>
          <w:p>
            <w:pPr>
              <w:spacing w:after="0"/>
              <w:rPr>
                <w:sz w:val="1"/>
                <w:szCs w:val="1"/>
                <w:color w:val="auto"/>
              </w:rPr>
            </w:pPr>
          </w:p>
        </w:tc>
      </w:tr>
      <w:tr>
        <w:trPr>
          <w:trHeight w:val="135"/>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Severance and Change in</w:t>
            </w:r>
          </w:p>
        </w:tc>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where appropriate.</w:t>
            </w:r>
          </w:p>
        </w:tc>
        <w:tc>
          <w:tcPr>
            <w:tcW w:w="0" w:type="dxa"/>
            <w:vAlign w:val="bottom"/>
          </w:tcPr>
          <w:p>
            <w:pPr>
              <w:spacing w:after="0"/>
              <w:rPr>
                <w:sz w:val="1"/>
                <w:szCs w:val="1"/>
                <w:color w:val="auto"/>
              </w:rPr>
            </w:pPr>
          </w:p>
        </w:tc>
      </w:tr>
      <w:tr>
        <w:trPr>
          <w:trHeight w:val="138"/>
        </w:trPr>
        <w:tc>
          <w:tcPr>
            <w:tcW w:w="1620" w:type="dxa"/>
            <w:vAlign w:val="bottom"/>
            <w:vMerge w:val="continue"/>
          </w:tcPr>
          <w:p>
            <w:pPr>
              <w:spacing w:after="0"/>
              <w:rPr>
                <w:sz w:val="12"/>
                <w:szCs w:val="12"/>
                <w:color w:val="auto"/>
              </w:rPr>
            </w:pPr>
          </w:p>
        </w:tc>
        <w:tc>
          <w:tcPr>
            <w:tcW w:w="3200" w:type="dxa"/>
            <w:vAlign w:val="bottom"/>
          </w:tcPr>
          <w:p>
            <w:pPr>
              <w:ind w:left="80"/>
              <w:spacing w:after="0" w:line="138" w:lineRule="exact"/>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Protect executives during potentially tumultuous</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20"/>
                <w:szCs w:val="20"/>
                <w:color w:val="auto"/>
              </w:rPr>
            </w:pPr>
            <w:r>
              <w:rPr>
                <w:rFonts w:ascii="Arial" w:cs="Arial" w:eastAsia="Arial" w:hAnsi="Arial"/>
                <w:sz w:val="13"/>
                <w:szCs w:val="13"/>
                <w:b w:val="1"/>
                <w:bCs w:val="1"/>
                <w:color w:val="auto"/>
              </w:rPr>
              <w:t>Control Protections</w:t>
            </w:r>
          </w:p>
        </w:tc>
        <w:tc>
          <w:tcPr>
            <w:tcW w:w="3200" w:type="dxa"/>
            <w:vAlign w:val="bottom"/>
          </w:tcPr>
          <w:p>
            <w:pPr>
              <w:ind w:left="300"/>
              <w:spacing w:after="0"/>
              <w:rPr>
                <w:sz w:val="20"/>
                <w:szCs w:val="20"/>
                <w:color w:val="auto"/>
              </w:rPr>
            </w:pPr>
            <w:r>
              <w:rPr>
                <w:rFonts w:ascii="Arial" w:cs="Arial" w:eastAsia="Arial" w:hAnsi="Arial"/>
                <w:sz w:val="13"/>
                <w:szCs w:val="13"/>
                <w:color w:val="auto"/>
              </w:rPr>
              <w:t>corporate transaction.</w:t>
            </w:r>
          </w:p>
        </w:tc>
        <w:tc>
          <w:tcPr>
            <w:tcW w:w="0" w:type="dxa"/>
            <w:vAlign w:val="bottom"/>
          </w:tcPr>
          <w:p>
            <w:pPr>
              <w:spacing w:after="0"/>
              <w:rPr>
                <w:sz w:val="1"/>
                <w:szCs w:val="1"/>
                <w:color w:val="auto"/>
              </w:rPr>
            </w:pPr>
          </w:p>
        </w:tc>
      </w:tr>
      <w:tr>
        <w:trPr>
          <w:trHeight w:val="274"/>
        </w:trPr>
        <w:tc>
          <w:tcPr>
            <w:tcW w:w="1620" w:type="dxa"/>
            <w:vAlign w:val="bottom"/>
          </w:tcPr>
          <w:p>
            <w:pPr>
              <w:spacing w:after="0"/>
              <w:rPr>
                <w:sz w:val="23"/>
                <w:szCs w:val="2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Provide reduced post-employment compensation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00" w:type="dxa"/>
            <w:vAlign w:val="bottom"/>
          </w:tcPr>
          <w:p>
            <w:pPr>
              <w:ind w:left="300"/>
              <w:spacing w:after="0"/>
              <w:rPr>
                <w:sz w:val="20"/>
                <w:szCs w:val="20"/>
                <w:color w:val="auto"/>
              </w:rPr>
            </w:pPr>
            <w:r>
              <w:rPr>
                <w:rFonts w:ascii="Arial" w:cs="Arial" w:eastAsia="Arial" w:hAnsi="Arial"/>
                <w:sz w:val="13"/>
                <w:szCs w:val="13"/>
                <w:color w:val="auto"/>
              </w:rPr>
              <w:t>upon other involuntary terminations.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-2638425</wp:posOffset>
            </wp:positionV>
            <wp:extent cx="5482590" cy="27324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82590" cy="2732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286"/>
        <w:spacing w:after="0"/>
        <w:rPr>
          <w:sz w:val="20"/>
          <w:szCs w:val="20"/>
          <w:color w:val="auto"/>
        </w:rPr>
      </w:pPr>
      <w:r>
        <w:rPr>
          <w:rFonts w:ascii="Arial" w:cs="Arial" w:eastAsia="Arial" w:hAnsi="Arial"/>
          <w:sz w:val="13"/>
          <w:szCs w:val="13"/>
          <w:b w:val="1"/>
          <w:bCs w:val="1"/>
          <w:color w:val="FFFFFE"/>
        </w:rPr>
        <w:t>Objectives</w:t>
      </w:r>
    </w:p>
    <w:p>
      <w:pPr>
        <w:spacing w:after="0" w:line="1" w:lineRule="exact"/>
        <w:rPr>
          <w:sz w:val="20"/>
          <w:szCs w:val="20"/>
          <w:color w:val="auto"/>
        </w:rPr>
      </w:pPr>
    </w:p>
    <w:p>
      <w:pPr>
        <w:jc w:val="both"/>
        <w:ind w:left="226" w:right="1019" w:hanging="226"/>
        <w:spacing w:after="0" w:line="317" w:lineRule="auto"/>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Provide a base level of compensation that corresponds to the job function performed.</w:t>
      </w:r>
    </w:p>
    <w:p>
      <w:pPr>
        <w:spacing w:after="0" w:line="99" w:lineRule="exact"/>
        <w:rPr>
          <w:rFonts w:ascii="Arial" w:cs="Arial" w:eastAsia="Arial" w:hAnsi="Arial"/>
          <w:sz w:val="11"/>
          <w:szCs w:val="11"/>
          <w:color w:val="F79646"/>
        </w:rPr>
      </w:pPr>
    </w:p>
    <w:p>
      <w:pPr>
        <w:ind w:left="226" w:right="679" w:hanging="226"/>
        <w:spacing w:after="0" w:line="224" w:lineRule="auto"/>
        <w:tabs>
          <w:tab w:leader="none" w:pos="226" w:val="left"/>
        </w:tabs>
        <w:numPr>
          <w:ilvl w:val="0"/>
          <w:numId w:val="62"/>
        </w:numPr>
        <w:rPr>
          <w:rFonts w:ascii="Arial" w:cs="Arial" w:eastAsia="Arial" w:hAnsi="Arial"/>
          <w:sz w:val="13"/>
          <w:szCs w:val="13"/>
          <w:color w:val="F79646"/>
        </w:rPr>
      </w:pPr>
      <w:r>
        <w:rPr>
          <w:rFonts w:ascii="Arial" w:cs="Arial" w:eastAsia="Arial" w:hAnsi="Arial"/>
          <w:sz w:val="13"/>
          <w:szCs w:val="13"/>
          <w:color w:val="auto"/>
        </w:rPr>
        <w:t>Attract, retain, reward and motivate qualified and experienced executives.</w:t>
      </w:r>
    </w:p>
    <w:p>
      <w:pPr>
        <w:jc w:val="both"/>
        <w:ind w:left="226" w:right="559" w:hanging="226"/>
        <w:spacing w:after="0" w:line="234" w:lineRule="auto"/>
        <w:tabs>
          <w:tab w:leader="none" w:pos="226" w:val="left"/>
        </w:tabs>
        <w:numPr>
          <w:ilvl w:val="0"/>
          <w:numId w:val="62"/>
        </w:numPr>
        <w:rPr>
          <w:rFonts w:ascii="Arial" w:cs="Arial" w:eastAsia="Arial" w:hAnsi="Arial"/>
          <w:sz w:val="13"/>
          <w:szCs w:val="13"/>
          <w:color w:val="F79646"/>
        </w:rPr>
      </w:pPr>
      <w:r>
        <w:rPr>
          <w:rFonts w:ascii="Arial" w:cs="Arial" w:eastAsia="Arial" w:hAnsi="Arial"/>
          <w:sz w:val="13"/>
          <w:szCs w:val="13"/>
          <w:color w:val="auto"/>
        </w:rPr>
        <w:t>Incentivize executives to achieve annual goals that ultimately contribute to long-term company growth and stockholder return.</w:t>
      </w:r>
    </w:p>
    <w:p>
      <w:pPr>
        <w:spacing w:after="0" w:line="275" w:lineRule="exact"/>
        <w:rPr>
          <w:rFonts w:ascii="Arial" w:cs="Arial" w:eastAsia="Arial" w:hAnsi="Arial"/>
          <w:sz w:val="13"/>
          <w:szCs w:val="13"/>
          <w:color w:val="F79646"/>
        </w:rPr>
      </w:pPr>
    </w:p>
    <w:p>
      <w:pPr>
        <w:ind w:left="226" w:hanging="226"/>
        <w:spacing w:after="0"/>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Align executive interests with those of stockholders.</w:t>
      </w:r>
    </w:p>
    <w:p>
      <w:pPr>
        <w:spacing w:after="0" w:line="162" w:lineRule="exact"/>
        <w:rPr>
          <w:rFonts w:ascii="Arial" w:cs="Arial" w:eastAsia="Arial" w:hAnsi="Arial"/>
          <w:sz w:val="11"/>
          <w:szCs w:val="11"/>
          <w:color w:val="F79646"/>
        </w:rPr>
      </w:pPr>
    </w:p>
    <w:p>
      <w:pPr>
        <w:ind w:left="226" w:hanging="226"/>
        <w:spacing w:after="0"/>
        <w:tabs>
          <w:tab w:leader="none" w:pos="226" w:val="left"/>
        </w:tabs>
        <w:numPr>
          <w:ilvl w:val="0"/>
          <w:numId w:val="62"/>
        </w:numPr>
        <w:rPr>
          <w:rFonts w:ascii="Arial" w:cs="Arial" w:eastAsia="Arial" w:hAnsi="Arial"/>
          <w:sz w:val="13"/>
          <w:szCs w:val="13"/>
          <w:color w:val="F79646"/>
        </w:rPr>
      </w:pPr>
      <w:r>
        <w:rPr>
          <w:rFonts w:ascii="Arial" w:cs="Arial" w:eastAsia="Arial" w:hAnsi="Arial"/>
          <w:sz w:val="13"/>
          <w:szCs w:val="13"/>
          <w:color w:val="auto"/>
        </w:rPr>
        <w:t>Reward continuous service with the company.</w:t>
      </w:r>
    </w:p>
    <w:p>
      <w:pPr>
        <w:spacing w:after="0" w:line="139" w:lineRule="exact"/>
        <w:rPr>
          <w:rFonts w:ascii="Arial" w:cs="Arial" w:eastAsia="Arial" w:hAnsi="Arial"/>
          <w:sz w:val="13"/>
          <w:szCs w:val="13"/>
          <w:color w:val="F79646"/>
        </w:rPr>
      </w:pPr>
    </w:p>
    <w:p>
      <w:pPr>
        <w:ind w:left="226" w:right="659" w:hanging="226"/>
        <w:spacing w:after="0" w:line="317" w:lineRule="auto"/>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Incentivize executives to achieve goals that drive company performance over the long-term.</w:t>
      </w:r>
    </w:p>
    <w:p>
      <w:pPr>
        <w:spacing w:after="0" w:line="233" w:lineRule="exact"/>
        <w:rPr>
          <w:rFonts w:ascii="Arial" w:cs="Arial" w:eastAsia="Arial" w:hAnsi="Arial"/>
          <w:sz w:val="11"/>
          <w:szCs w:val="11"/>
          <w:color w:val="F79646"/>
        </w:rPr>
      </w:pPr>
    </w:p>
    <w:p>
      <w:pPr>
        <w:ind w:left="226" w:right="619" w:hanging="226"/>
        <w:spacing w:after="0" w:line="295" w:lineRule="auto"/>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Provide a total compensation package that is competitive with the marketplace and addresses unique needs, especially for overseas executives.</w:t>
      </w:r>
    </w:p>
    <w:p>
      <w:pPr>
        <w:spacing w:after="0" w:line="101" w:lineRule="exact"/>
        <w:rPr>
          <w:rFonts w:ascii="Arial" w:cs="Arial" w:eastAsia="Arial" w:hAnsi="Arial"/>
          <w:sz w:val="11"/>
          <w:szCs w:val="11"/>
          <w:color w:val="F79646"/>
        </w:rPr>
      </w:pPr>
    </w:p>
    <w:p>
      <w:pPr>
        <w:ind w:left="226" w:right="499" w:hanging="226"/>
        <w:spacing w:after="0" w:line="317" w:lineRule="auto"/>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Allow executives to focus on generating stockholder value during a change in control transaction.</w:t>
      </w:r>
    </w:p>
    <w:p>
      <w:pPr>
        <w:spacing w:after="0" w:line="99" w:lineRule="exact"/>
        <w:rPr>
          <w:rFonts w:ascii="Arial" w:cs="Arial" w:eastAsia="Arial" w:hAnsi="Arial"/>
          <w:sz w:val="11"/>
          <w:szCs w:val="11"/>
          <w:color w:val="F79646"/>
        </w:rPr>
      </w:pPr>
    </w:p>
    <w:p>
      <w:pPr>
        <w:ind w:left="226" w:right="559" w:hanging="226"/>
        <w:spacing w:after="0" w:line="295" w:lineRule="auto"/>
        <w:tabs>
          <w:tab w:leader="none" w:pos="226" w:val="left"/>
        </w:tabs>
        <w:numPr>
          <w:ilvl w:val="0"/>
          <w:numId w:val="62"/>
        </w:numPr>
        <w:rPr>
          <w:rFonts w:ascii="Arial" w:cs="Arial" w:eastAsia="Arial" w:hAnsi="Arial"/>
          <w:sz w:val="11"/>
          <w:szCs w:val="11"/>
          <w:color w:val="F79646"/>
        </w:rPr>
      </w:pPr>
      <w:r>
        <w:rPr>
          <w:rFonts w:ascii="Arial" w:cs="Arial" w:eastAsia="Arial" w:hAnsi="Arial"/>
          <w:sz w:val="11"/>
          <w:szCs w:val="11"/>
          <w:color w:val="auto"/>
        </w:rPr>
        <w:t>Provide market-competitive post-employment compensation recognizing executives likely require more time to find subsequent employment.</w:t>
      </w:r>
    </w:p>
    <w:p>
      <w:pPr>
        <w:spacing w:after="0" w:line="130" w:lineRule="exact"/>
        <w:rPr>
          <w:sz w:val="20"/>
          <w:szCs w:val="20"/>
          <w:color w:val="auto"/>
        </w:rPr>
      </w:pPr>
    </w:p>
    <w:p>
      <w:pPr>
        <w:sectPr>
          <w:pgSz w:w="11900" w:h="16838" w:orient="portrait"/>
          <w:cols w:equalWidth="0" w:num="2">
            <w:col w:w="5240" w:space="174"/>
            <w:col w:w="3605"/>
          </w:cols>
          <w:pgMar w:left="1440" w:top="296" w:right="1440"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Compensation Mix</w:t>
      </w:r>
    </w:p>
    <w:p>
      <w:pPr>
        <w:spacing w:after="0" w:line="165"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2018 fiscal year.</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93980</wp:posOffset>
            </wp:positionV>
            <wp:extent cx="3930015" cy="2243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3001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Detailed Review of Compensation Components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Base Salary</w:t>
      </w:r>
    </w:p>
    <w:p>
      <w:pPr>
        <w:spacing w:after="0" w:line="165"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2018, our Compensation Committee considered:</w:t>
      </w:r>
    </w:p>
    <w:p>
      <w:pPr>
        <w:spacing w:after="0" w:line="128" w:lineRule="exact"/>
        <w:rPr>
          <w:sz w:val="20"/>
          <w:szCs w:val="20"/>
          <w:color w:val="auto"/>
        </w:rPr>
      </w:pPr>
    </w:p>
    <w:tbl>
      <w:tblPr>
        <w:tblLayout w:type="fixed"/>
        <w:tblInd w:w="210" w:type="dxa"/>
        <w:tblCellMar>
          <w:top w:w="0" w:type="dxa"/>
          <w:left w:w="0" w:type="dxa"/>
          <w:bottom w:w="0" w:type="dxa"/>
          <w:right w:w="0" w:type="dxa"/>
        </w:tblCellMar>
      </w:tblPr>
      <w:tr>
        <w:trPr>
          <w:trHeight w:val="154"/>
        </w:trPr>
        <w:tc>
          <w:tcPr>
            <w:tcW w:w="2400" w:type="dxa"/>
            <w:vAlign w:val="bottom"/>
            <w:tcBorders>
              <w:top w:val="single" w:sz="8" w:color="F79646"/>
              <w:left w:val="single" w:sz="8" w:color="F79646"/>
            </w:tcBorders>
            <w:shd w:val="clear" w:color="auto" w:fill="FCDEC5"/>
          </w:tcPr>
          <w:p>
            <w:pPr>
              <w:ind w:left="200"/>
              <w:spacing w:after="0"/>
              <w:rPr>
                <w:sz w:val="20"/>
                <w:szCs w:val="20"/>
                <w:color w:val="auto"/>
              </w:rPr>
            </w:pPr>
            <w:r>
              <w:rPr>
                <w:rFonts w:ascii="Arial" w:cs="Arial" w:eastAsia="Arial" w:hAnsi="Arial"/>
                <w:sz w:val="13"/>
                <w:szCs w:val="13"/>
                <w:b w:val="1"/>
                <w:bCs w:val="1"/>
                <w:color w:val="auto"/>
              </w:rPr>
              <w:t>Individual Performance</w:t>
            </w:r>
          </w:p>
        </w:tc>
        <w:tc>
          <w:tcPr>
            <w:tcW w:w="6240" w:type="dxa"/>
            <w:vAlign w:val="bottom"/>
            <w:tcBorders>
              <w:top w:val="single" w:sz="8" w:color="F79646"/>
              <w:right w:val="single" w:sz="8" w:color="F79646"/>
            </w:tcBorders>
            <w:gridSpan w:val="2"/>
            <w:shd w:val="clear" w:color="auto" w:fill="FCDEC5"/>
          </w:tcPr>
          <w:p>
            <w:pPr>
              <w:ind w:left="60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The degree to which the executive met and exceeded expectations.</w:t>
            </w:r>
          </w:p>
        </w:tc>
      </w:tr>
      <w:tr>
        <w:trPr>
          <w:trHeight w:val="144"/>
        </w:trPr>
        <w:tc>
          <w:tcPr>
            <w:tcW w:w="2400" w:type="dxa"/>
            <w:vAlign w:val="bottom"/>
            <w:tcBorders>
              <w:left w:val="single" w:sz="8" w:color="F79646"/>
            </w:tcBorders>
          </w:tcPr>
          <w:p>
            <w:pPr>
              <w:ind w:left="200"/>
              <w:spacing w:after="0" w:line="144" w:lineRule="exact"/>
              <w:rPr>
                <w:sz w:val="20"/>
                <w:szCs w:val="20"/>
                <w:color w:val="auto"/>
              </w:rPr>
            </w:pPr>
            <w:r>
              <w:rPr>
                <w:rFonts w:ascii="Arial" w:cs="Arial" w:eastAsia="Arial" w:hAnsi="Arial"/>
                <w:sz w:val="13"/>
                <w:szCs w:val="13"/>
                <w:b w:val="1"/>
                <w:bCs w:val="1"/>
                <w:color w:val="auto"/>
              </w:rPr>
              <w:t>Market Data</w:t>
            </w:r>
          </w:p>
        </w:tc>
        <w:tc>
          <w:tcPr>
            <w:tcW w:w="760" w:type="dxa"/>
            <w:vAlign w:val="bottom"/>
          </w:tcPr>
          <w:p>
            <w:pPr>
              <w:ind w:left="600"/>
              <w:spacing w:after="0" w:line="144" w:lineRule="exact"/>
              <w:rPr>
                <w:sz w:val="20"/>
                <w:szCs w:val="20"/>
                <w:color w:val="auto"/>
              </w:rPr>
            </w:pPr>
            <w:r>
              <w:rPr>
                <w:rFonts w:ascii="Arial" w:cs="Arial" w:eastAsia="Arial" w:hAnsi="Arial"/>
                <w:sz w:val="13"/>
                <w:szCs w:val="13"/>
                <w:color w:val="F79646"/>
              </w:rPr>
              <w:t>&gt;</w:t>
            </w:r>
          </w:p>
        </w:tc>
        <w:tc>
          <w:tcPr>
            <w:tcW w:w="5480" w:type="dxa"/>
            <w:vAlign w:val="bottom"/>
            <w:tcBorders>
              <w:right w:val="single" w:sz="8" w:color="F79646"/>
            </w:tcBorders>
          </w:tcPr>
          <w:p>
            <w:pPr>
              <w:ind w:left="80"/>
              <w:spacing w:after="0" w:line="144" w:lineRule="exact"/>
              <w:rPr>
                <w:sz w:val="20"/>
                <w:szCs w:val="20"/>
                <w:color w:val="auto"/>
              </w:rPr>
            </w:pPr>
            <w:r>
              <w:rPr>
                <w:rFonts w:ascii="Arial" w:cs="Arial" w:eastAsia="Arial" w:hAnsi="Arial"/>
                <w:sz w:val="13"/>
                <w:szCs w:val="13"/>
                <w:color w:val="auto"/>
              </w:rPr>
              <w:t>Geographical and market data to test reasonableness of compensation.</w:t>
            </w:r>
          </w:p>
        </w:tc>
      </w:tr>
      <w:tr>
        <w:trPr>
          <w:trHeight w:val="137"/>
        </w:trPr>
        <w:tc>
          <w:tcPr>
            <w:tcW w:w="2400" w:type="dxa"/>
            <w:vAlign w:val="bottom"/>
            <w:tcBorders>
              <w:left w:val="single" w:sz="8" w:color="F79646"/>
            </w:tcBorders>
            <w:shd w:val="clear" w:color="auto" w:fill="FCDEC5"/>
          </w:tcPr>
          <w:p>
            <w:pPr>
              <w:ind w:left="200"/>
              <w:spacing w:after="0" w:line="137" w:lineRule="exact"/>
              <w:rPr>
                <w:sz w:val="20"/>
                <w:szCs w:val="20"/>
                <w:color w:val="auto"/>
              </w:rPr>
            </w:pPr>
            <w:r>
              <w:rPr>
                <w:rFonts w:ascii="Arial" w:cs="Arial" w:eastAsia="Arial" w:hAnsi="Arial"/>
                <w:sz w:val="13"/>
                <w:szCs w:val="13"/>
                <w:b w:val="1"/>
                <w:bCs w:val="1"/>
                <w:color w:val="auto"/>
              </w:rPr>
              <w:t>Overall Compensation Mix</w:t>
            </w:r>
          </w:p>
        </w:tc>
        <w:tc>
          <w:tcPr>
            <w:tcW w:w="760" w:type="dxa"/>
            <w:vAlign w:val="bottom"/>
            <w:shd w:val="clear" w:color="auto" w:fill="FCDEC5"/>
          </w:tcPr>
          <w:p>
            <w:pPr>
              <w:ind w:left="600"/>
              <w:spacing w:after="0" w:line="137" w:lineRule="exact"/>
              <w:rPr>
                <w:sz w:val="20"/>
                <w:szCs w:val="20"/>
                <w:color w:val="auto"/>
              </w:rPr>
            </w:pPr>
            <w:r>
              <w:rPr>
                <w:rFonts w:ascii="Arial" w:cs="Arial" w:eastAsia="Arial" w:hAnsi="Arial"/>
                <w:sz w:val="13"/>
                <w:szCs w:val="13"/>
                <w:color w:val="F79646"/>
              </w:rPr>
              <w:t>&gt;</w:t>
            </w:r>
          </w:p>
        </w:tc>
        <w:tc>
          <w:tcPr>
            <w:tcW w:w="5480" w:type="dxa"/>
            <w:vAlign w:val="bottom"/>
            <w:tcBorders>
              <w:right w:val="single" w:sz="8" w:color="F79646"/>
            </w:tcBorders>
            <w:shd w:val="clear" w:color="auto" w:fill="FCDEC5"/>
          </w:tcPr>
          <w:p>
            <w:pPr>
              <w:ind w:left="80"/>
              <w:spacing w:after="0" w:line="137" w:lineRule="exact"/>
              <w:rPr>
                <w:sz w:val="20"/>
                <w:szCs w:val="20"/>
                <w:color w:val="auto"/>
              </w:rPr>
            </w:pPr>
            <w:r>
              <w:rPr>
                <w:rFonts w:ascii="Arial" w:cs="Arial" w:eastAsia="Arial" w:hAnsi="Arial"/>
                <w:sz w:val="13"/>
                <w:szCs w:val="13"/>
                <w:color w:val="auto"/>
              </w:rPr>
              <w:t>Senior employees should have a greater portion of their compensation tied to increasing</w:t>
            </w:r>
          </w:p>
        </w:tc>
      </w:tr>
      <w:tr>
        <w:trPr>
          <w:trHeight w:val="142"/>
        </w:trPr>
        <w:tc>
          <w:tcPr>
            <w:tcW w:w="2400" w:type="dxa"/>
            <w:vAlign w:val="bottom"/>
            <w:tcBorders>
              <w:left w:val="single" w:sz="8" w:color="F79646"/>
              <w:bottom w:val="single" w:sz="8" w:color="F79646"/>
            </w:tcBorders>
            <w:shd w:val="clear" w:color="auto" w:fill="FCDEC5"/>
          </w:tcPr>
          <w:p>
            <w:pPr>
              <w:spacing w:after="0"/>
              <w:rPr>
                <w:sz w:val="12"/>
                <w:szCs w:val="12"/>
                <w:color w:val="auto"/>
              </w:rPr>
            </w:pPr>
          </w:p>
        </w:tc>
        <w:tc>
          <w:tcPr>
            <w:tcW w:w="760" w:type="dxa"/>
            <w:vAlign w:val="bottom"/>
            <w:tcBorders>
              <w:bottom w:val="single" w:sz="8" w:color="F79646"/>
            </w:tcBorders>
            <w:shd w:val="clear" w:color="auto" w:fill="FCDEC5"/>
          </w:tcPr>
          <w:p>
            <w:pPr>
              <w:spacing w:after="0"/>
              <w:rPr>
                <w:sz w:val="12"/>
                <w:szCs w:val="12"/>
                <w:color w:val="auto"/>
              </w:rPr>
            </w:pPr>
          </w:p>
        </w:tc>
        <w:tc>
          <w:tcPr>
            <w:tcW w:w="5480" w:type="dxa"/>
            <w:vAlign w:val="bottom"/>
            <w:tcBorders>
              <w:bottom w:val="single" w:sz="8" w:color="F79646"/>
              <w:right w:val="single" w:sz="8" w:color="F79646"/>
            </w:tcBorders>
            <w:shd w:val="clear" w:color="auto" w:fill="FCDEC5"/>
          </w:tcPr>
          <w:p>
            <w:pPr>
              <w:ind w:left="80"/>
              <w:spacing w:after="0" w:line="143" w:lineRule="exact"/>
              <w:rPr>
                <w:sz w:val="20"/>
                <w:szCs w:val="20"/>
                <w:color w:val="auto"/>
              </w:rPr>
            </w:pPr>
            <w:r>
              <w:rPr>
                <w:rFonts w:ascii="Arial" w:cs="Arial" w:eastAsia="Arial" w:hAnsi="Arial"/>
                <w:sz w:val="13"/>
                <w:szCs w:val="13"/>
                <w:color w:val="auto"/>
              </w:rPr>
              <w:t>stockholder value.</w:t>
            </w:r>
          </w:p>
        </w:tc>
      </w:tr>
    </w:tbl>
    <w:p>
      <w:pPr>
        <w:spacing w:after="0" w:line="156" w:lineRule="exact"/>
        <w:rPr>
          <w:sz w:val="20"/>
          <w:szCs w:val="20"/>
          <w:color w:val="auto"/>
        </w:rPr>
      </w:pPr>
    </w:p>
    <w:p>
      <w:pPr>
        <w:sectPr>
          <w:pgSz w:w="11900" w:h="16838" w:orient="portrait"/>
          <w:cols w:equalWidth="0" w:num="1">
            <w:col w:w="9019"/>
          </w:cols>
          <w:pgMar w:left="1440" w:top="296"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24" w:name="page25"/>
    <w:bookmarkEnd w:id="24"/>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84" w:lineRule="auto"/>
        <w:rPr>
          <w:sz w:val="20"/>
          <w:szCs w:val="20"/>
          <w:color w:val="auto"/>
        </w:rPr>
      </w:pPr>
      <w:r>
        <w:rPr>
          <w:rFonts w:ascii="Arial" w:cs="Arial" w:eastAsia="Arial" w:hAnsi="Arial"/>
          <w:sz w:val="11"/>
          <w:szCs w:val="11"/>
          <w:color w:val="auto"/>
        </w:rPr>
        <w:t>Upon completing its review and as shown in the table below, and considering base salaries were held constant for 2017, the Compensation Committee determined that it was appropriate to increase the base salary for each of our named executive officers in recognition of their individual contributions and the Company's performance. The fixed compensation paid to Mr. Bagai is paid in Indian Rupees but we have included the percentage increase with respect to his fixed compensation in U.S. dollars. Further, this amount covers not only base salary for Mr. Bagai, but also amounts available as a travel allowance, an automobile allowance, a housing allowance, a medical allowance and a cash supplementary allowance, consistent with compensation practices in India.</w:t>
      </w:r>
    </w:p>
    <w:p>
      <w:pPr>
        <w:spacing w:after="0" w:line="116" w:lineRule="exact"/>
        <w:rPr>
          <w:sz w:val="20"/>
          <w:szCs w:val="20"/>
          <w:color w:val="auto"/>
        </w:rPr>
      </w:pPr>
    </w:p>
    <w:tbl>
      <w:tblPr>
        <w:tblLayout w:type="fixed"/>
        <w:tblInd w:w="1070" w:type="dxa"/>
        <w:tblCellMar>
          <w:top w:w="0" w:type="dxa"/>
          <w:left w:w="0" w:type="dxa"/>
          <w:bottom w:w="0" w:type="dxa"/>
          <w:right w:w="0" w:type="dxa"/>
        </w:tblCellMar>
      </w:tblPr>
      <w:tr>
        <w:trPr>
          <w:trHeight w:val="149"/>
        </w:trPr>
        <w:tc>
          <w:tcPr>
            <w:tcW w:w="260" w:type="dxa"/>
            <w:vAlign w:val="bottom"/>
            <w:tcBorders>
              <w:left w:val="single" w:sz="8" w:color="F79646"/>
            </w:tcBorders>
            <w:shd w:val="clear" w:color="auto" w:fill="F79646"/>
          </w:tcPr>
          <w:p>
            <w:pPr>
              <w:spacing w:after="0"/>
              <w:rPr>
                <w:sz w:val="13"/>
                <w:szCs w:val="13"/>
                <w:color w:val="auto"/>
              </w:rPr>
            </w:pPr>
          </w:p>
        </w:tc>
        <w:tc>
          <w:tcPr>
            <w:tcW w:w="208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1500" w:type="dxa"/>
            <w:vAlign w:val="bottom"/>
            <w:gridSpan w:val="2"/>
            <w:shd w:val="clear" w:color="auto" w:fill="F79646"/>
          </w:tcPr>
          <w:p>
            <w:pPr>
              <w:jc w:val="center"/>
              <w:ind w:right="300"/>
              <w:spacing w:after="0"/>
              <w:rPr>
                <w:sz w:val="20"/>
                <w:szCs w:val="20"/>
                <w:color w:val="auto"/>
              </w:rPr>
            </w:pPr>
            <w:r>
              <w:rPr>
                <w:rFonts w:ascii="Arial" w:cs="Arial" w:eastAsia="Arial" w:hAnsi="Arial"/>
                <w:sz w:val="13"/>
                <w:szCs w:val="13"/>
                <w:b w:val="1"/>
                <w:bCs w:val="1"/>
                <w:color w:val="FFFFFE"/>
                <w:w w:val="95"/>
              </w:rPr>
              <w:t>2017 Base Salary /</w:t>
            </w:r>
          </w:p>
        </w:tc>
        <w:tc>
          <w:tcPr>
            <w:tcW w:w="6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1560" w:type="dxa"/>
            <w:vAlign w:val="bottom"/>
            <w:gridSpan w:val="2"/>
            <w:shd w:val="clear" w:color="auto" w:fill="F79646"/>
          </w:tcPr>
          <w:p>
            <w:pPr>
              <w:jc w:val="center"/>
              <w:ind w:right="380"/>
              <w:spacing w:after="0"/>
              <w:rPr>
                <w:sz w:val="20"/>
                <w:szCs w:val="20"/>
                <w:color w:val="auto"/>
              </w:rPr>
            </w:pPr>
            <w:r>
              <w:rPr>
                <w:rFonts w:ascii="Arial" w:cs="Arial" w:eastAsia="Arial" w:hAnsi="Arial"/>
                <w:sz w:val="13"/>
                <w:szCs w:val="13"/>
                <w:b w:val="1"/>
                <w:bCs w:val="1"/>
                <w:color w:val="FFFFFE"/>
                <w:w w:val="96"/>
              </w:rPr>
              <w:t>2018 Base Salary /</w:t>
            </w:r>
          </w:p>
        </w:tc>
        <w:tc>
          <w:tcPr>
            <w:tcW w:w="900" w:type="dxa"/>
            <w:vAlign w:val="bottom"/>
            <w:shd w:val="clear" w:color="auto" w:fill="F79646"/>
          </w:tcPr>
          <w:p>
            <w:pPr>
              <w:spacing w:after="0"/>
              <w:rPr>
                <w:sz w:val="13"/>
                <w:szCs w:val="13"/>
                <w:color w:val="auto"/>
              </w:rPr>
            </w:pPr>
          </w:p>
        </w:tc>
        <w:tc>
          <w:tcPr>
            <w:tcW w:w="200" w:type="dxa"/>
            <w:vAlign w:val="bottom"/>
            <w:tcBorders>
              <w:right w:val="single" w:sz="8" w:color="F79646"/>
            </w:tcBorders>
            <w:shd w:val="clear" w:color="auto" w:fill="F79646"/>
          </w:tcPr>
          <w:p>
            <w:pPr>
              <w:spacing w:after="0"/>
              <w:rPr>
                <w:sz w:val="13"/>
                <w:szCs w:val="13"/>
                <w:color w:val="auto"/>
              </w:rPr>
            </w:pPr>
          </w:p>
        </w:tc>
      </w:tr>
      <w:tr>
        <w:trPr>
          <w:trHeight w:val="144"/>
        </w:trPr>
        <w:tc>
          <w:tcPr>
            <w:tcW w:w="260" w:type="dxa"/>
            <w:vAlign w:val="bottom"/>
            <w:tcBorders>
              <w:left w:val="single" w:sz="8" w:color="F79646"/>
            </w:tcBorders>
            <w:shd w:val="clear" w:color="auto" w:fill="F79646"/>
          </w:tcPr>
          <w:p>
            <w:pPr>
              <w:spacing w:after="0"/>
              <w:rPr>
                <w:sz w:val="12"/>
                <w:szCs w:val="12"/>
                <w:color w:val="auto"/>
              </w:rPr>
            </w:pPr>
          </w:p>
        </w:tc>
        <w:tc>
          <w:tcPr>
            <w:tcW w:w="20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1500" w:type="dxa"/>
            <w:vAlign w:val="bottom"/>
            <w:gridSpan w:val="2"/>
            <w:shd w:val="clear" w:color="auto" w:fill="F79646"/>
          </w:tcPr>
          <w:p>
            <w:pPr>
              <w:jc w:val="center"/>
              <w:ind w:right="300"/>
              <w:spacing w:after="0" w:line="144" w:lineRule="exact"/>
              <w:rPr>
                <w:sz w:val="20"/>
                <w:szCs w:val="20"/>
                <w:color w:val="auto"/>
              </w:rPr>
            </w:pPr>
            <w:r>
              <w:rPr>
                <w:rFonts w:ascii="Arial" w:cs="Arial" w:eastAsia="Arial" w:hAnsi="Arial"/>
                <w:sz w:val="13"/>
                <w:szCs w:val="13"/>
                <w:b w:val="1"/>
                <w:bCs w:val="1"/>
                <w:color w:val="FFFFFE"/>
                <w:w w:val="97"/>
              </w:rPr>
              <w:t>Annual Fixed</w:t>
            </w:r>
          </w:p>
        </w:tc>
        <w:tc>
          <w:tcPr>
            <w:tcW w:w="6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560" w:type="dxa"/>
            <w:vAlign w:val="bottom"/>
            <w:gridSpan w:val="2"/>
            <w:shd w:val="clear" w:color="auto" w:fill="F79646"/>
          </w:tcPr>
          <w:p>
            <w:pPr>
              <w:jc w:val="center"/>
              <w:ind w:right="380"/>
              <w:spacing w:after="0" w:line="144" w:lineRule="exact"/>
              <w:rPr>
                <w:sz w:val="20"/>
                <w:szCs w:val="20"/>
                <w:color w:val="auto"/>
              </w:rPr>
            </w:pPr>
            <w:r>
              <w:rPr>
                <w:rFonts w:ascii="Arial" w:cs="Arial" w:eastAsia="Arial" w:hAnsi="Arial"/>
                <w:sz w:val="13"/>
                <w:szCs w:val="13"/>
                <w:b w:val="1"/>
                <w:bCs w:val="1"/>
                <w:color w:val="FFFFFE"/>
                <w:w w:val="95"/>
              </w:rPr>
              <w:t>Annual Fixed</w:t>
            </w:r>
          </w:p>
        </w:tc>
        <w:tc>
          <w:tcPr>
            <w:tcW w:w="900" w:type="dxa"/>
            <w:vAlign w:val="bottom"/>
            <w:shd w:val="clear" w:color="auto" w:fill="F79646"/>
          </w:tcPr>
          <w:p>
            <w:pPr>
              <w:spacing w:after="0"/>
              <w:rPr>
                <w:sz w:val="12"/>
                <w:szCs w:val="12"/>
                <w:color w:val="auto"/>
              </w:rPr>
            </w:pPr>
          </w:p>
        </w:tc>
        <w:tc>
          <w:tcPr>
            <w:tcW w:w="200" w:type="dxa"/>
            <w:vAlign w:val="bottom"/>
            <w:tcBorders>
              <w:right w:val="single" w:sz="8" w:color="F79646"/>
            </w:tcBorders>
            <w:shd w:val="clear" w:color="auto" w:fill="F79646"/>
          </w:tcPr>
          <w:p>
            <w:pPr>
              <w:spacing w:after="0"/>
              <w:rPr>
                <w:sz w:val="12"/>
                <w:szCs w:val="12"/>
                <w:color w:val="auto"/>
              </w:rPr>
            </w:pPr>
          </w:p>
        </w:tc>
      </w:tr>
      <w:tr>
        <w:trPr>
          <w:trHeight w:val="144"/>
        </w:trPr>
        <w:tc>
          <w:tcPr>
            <w:tcW w:w="260" w:type="dxa"/>
            <w:vAlign w:val="bottom"/>
            <w:tcBorders>
              <w:left w:val="single" w:sz="8" w:color="F79646"/>
            </w:tcBorders>
            <w:shd w:val="clear" w:color="auto" w:fill="F79646"/>
          </w:tcPr>
          <w:p>
            <w:pPr>
              <w:spacing w:after="0"/>
              <w:rPr>
                <w:sz w:val="12"/>
                <w:szCs w:val="12"/>
                <w:color w:val="auto"/>
              </w:rPr>
            </w:pPr>
          </w:p>
        </w:tc>
        <w:tc>
          <w:tcPr>
            <w:tcW w:w="20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1500" w:type="dxa"/>
            <w:vAlign w:val="bottom"/>
            <w:gridSpan w:val="2"/>
            <w:shd w:val="clear" w:color="auto" w:fill="F79646"/>
          </w:tcPr>
          <w:p>
            <w:pPr>
              <w:jc w:val="center"/>
              <w:ind w:right="300"/>
              <w:spacing w:after="0" w:line="144" w:lineRule="exact"/>
              <w:rPr>
                <w:sz w:val="20"/>
                <w:szCs w:val="20"/>
                <w:color w:val="auto"/>
              </w:rPr>
            </w:pPr>
            <w:r>
              <w:rPr>
                <w:rFonts w:ascii="Arial" w:cs="Arial" w:eastAsia="Arial" w:hAnsi="Arial"/>
                <w:sz w:val="13"/>
                <w:szCs w:val="13"/>
                <w:b w:val="1"/>
                <w:bCs w:val="1"/>
                <w:color w:val="FFFFFE"/>
                <w:w w:val="97"/>
              </w:rPr>
              <w:t>Compensation</w:t>
            </w:r>
          </w:p>
        </w:tc>
        <w:tc>
          <w:tcPr>
            <w:tcW w:w="6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560" w:type="dxa"/>
            <w:vAlign w:val="bottom"/>
            <w:gridSpan w:val="2"/>
            <w:shd w:val="clear" w:color="auto" w:fill="F79646"/>
          </w:tcPr>
          <w:p>
            <w:pPr>
              <w:jc w:val="center"/>
              <w:ind w:right="380"/>
              <w:spacing w:after="0" w:line="144" w:lineRule="exact"/>
              <w:rPr>
                <w:sz w:val="20"/>
                <w:szCs w:val="20"/>
                <w:color w:val="auto"/>
              </w:rPr>
            </w:pPr>
            <w:r>
              <w:rPr>
                <w:rFonts w:ascii="Arial" w:cs="Arial" w:eastAsia="Arial" w:hAnsi="Arial"/>
                <w:sz w:val="13"/>
                <w:szCs w:val="13"/>
                <w:b w:val="1"/>
                <w:bCs w:val="1"/>
                <w:color w:val="FFFFFE"/>
                <w:w w:val="95"/>
              </w:rPr>
              <w:t>Compensation</w:t>
            </w:r>
          </w:p>
        </w:tc>
        <w:tc>
          <w:tcPr>
            <w:tcW w:w="900" w:type="dxa"/>
            <w:vAlign w:val="bottom"/>
            <w:shd w:val="clear" w:color="auto" w:fill="F79646"/>
          </w:tcPr>
          <w:p>
            <w:pPr>
              <w:spacing w:after="0"/>
              <w:rPr>
                <w:sz w:val="12"/>
                <w:szCs w:val="12"/>
                <w:color w:val="auto"/>
              </w:rPr>
            </w:pPr>
          </w:p>
        </w:tc>
        <w:tc>
          <w:tcPr>
            <w:tcW w:w="200" w:type="dxa"/>
            <w:vAlign w:val="bottom"/>
            <w:tcBorders>
              <w:right w:val="single" w:sz="8" w:color="F79646"/>
            </w:tcBorders>
            <w:shd w:val="clear" w:color="auto" w:fill="F79646"/>
          </w:tcPr>
          <w:p>
            <w:pPr>
              <w:spacing w:after="0"/>
              <w:rPr>
                <w:sz w:val="12"/>
                <w:szCs w:val="12"/>
                <w:color w:val="auto"/>
              </w:rPr>
            </w:pPr>
          </w:p>
        </w:tc>
      </w:tr>
      <w:tr>
        <w:trPr>
          <w:trHeight w:val="164"/>
        </w:trPr>
        <w:tc>
          <w:tcPr>
            <w:tcW w:w="260" w:type="dxa"/>
            <w:vAlign w:val="bottom"/>
            <w:tcBorders>
              <w:left w:val="single" w:sz="8" w:color="F79646"/>
            </w:tcBorders>
            <w:shd w:val="clear" w:color="auto" w:fill="F79646"/>
          </w:tcPr>
          <w:p>
            <w:pPr>
              <w:spacing w:after="0"/>
              <w:rPr>
                <w:sz w:val="14"/>
                <w:szCs w:val="14"/>
                <w:color w:val="auto"/>
              </w:rPr>
            </w:pPr>
          </w:p>
        </w:tc>
        <w:tc>
          <w:tcPr>
            <w:tcW w:w="208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500" w:type="dxa"/>
            <w:vAlign w:val="bottom"/>
            <w:gridSpan w:val="2"/>
            <w:shd w:val="clear" w:color="auto" w:fill="F79646"/>
          </w:tcPr>
          <w:p>
            <w:pPr>
              <w:jc w:val="center"/>
              <w:ind w:right="300"/>
              <w:spacing w:after="0"/>
              <w:rPr>
                <w:sz w:val="20"/>
                <w:szCs w:val="20"/>
                <w:color w:val="auto"/>
              </w:rPr>
            </w:pPr>
            <w:r>
              <w:rPr>
                <w:rFonts w:ascii="Arial" w:cs="Arial" w:eastAsia="Arial" w:hAnsi="Arial"/>
                <w:sz w:val="13"/>
                <w:szCs w:val="13"/>
                <w:b w:val="1"/>
                <w:bCs w:val="1"/>
                <w:color w:val="FFFFFE"/>
                <w:w w:val="97"/>
              </w:rPr>
              <w:t>(Effective April 1,</w:t>
            </w:r>
          </w:p>
        </w:tc>
        <w:tc>
          <w:tcPr>
            <w:tcW w:w="6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560" w:type="dxa"/>
            <w:vAlign w:val="bottom"/>
            <w:gridSpan w:val="2"/>
            <w:shd w:val="clear" w:color="auto" w:fill="F79646"/>
          </w:tcPr>
          <w:p>
            <w:pPr>
              <w:jc w:val="center"/>
              <w:ind w:right="380"/>
              <w:spacing w:after="0"/>
              <w:rPr>
                <w:sz w:val="20"/>
                <w:szCs w:val="20"/>
                <w:color w:val="auto"/>
              </w:rPr>
            </w:pPr>
            <w:r>
              <w:rPr>
                <w:rFonts w:ascii="Arial" w:cs="Arial" w:eastAsia="Arial" w:hAnsi="Arial"/>
                <w:sz w:val="13"/>
                <w:szCs w:val="13"/>
                <w:b w:val="1"/>
                <w:bCs w:val="1"/>
                <w:color w:val="FFFFFE"/>
                <w:w w:val="96"/>
              </w:rPr>
              <w:t>(Effective April 1,</w:t>
            </w:r>
          </w:p>
        </w:tc>
        <w:tc>
          <w:tcPr>
            <w:tcW w:w="1100" w:type="dxa"/>
            <w:vAlign w:val="bottom"/>
            <w:tcBorders>
              <w:right w:val="single" w:sz="8" w:color="F79646"/>
            </w:tcBorders>
            <w:gridSpan w:val="2"/>
            <w:shd w:val="clear" w:color="auto" w:fill="F79646"/>
          </w:tcPr>
          <w:p>
            <w:pPr>
              <w:jc w:val="right"/>
              <w:ind w:right="300"/>
              <w:spacing w:after="0"/>
              <w:rPr>
                <w:sz w:val="20"/>
                <w:szCs w:val="20"/>
                <w:color w:val="auto"/>
              </w:rPr>
            </w:pPr>
            <w:r>
              <w:rPr>
                <w:rFonts w:ascii="Arial" w:cs="Arial" w:eastAsia="Arial" w:hAnsi="Arial"/>
                <w:sz w:val="13"/>
                <w:szCs w:val="13"/>
                <w:b w:val="1"/>
                <w:bCs w:val="1"/>
                <w:color w:val="FFFFFE"/>
              </w:rPr>
              <w:t>% Increase /</w:t>
            </w:r>
          </w:p>
        </w:tc>
      </w:tr>
      <w:tr>
        <w:trPr>
          <w:trHeight w:val="166"/>
        </w:trPr>
        <w:tc>
          <w:tcPr>
            <w:tcW w:w="260" w:type="dxa"/>
            <w:vAlign w:val="bottom"/>
            <w:tcBorders>
              <w:left w:val="single" w:sz="8" w:color="F79646"/>
              <w:bottom w:val="single" w:sz="8" w:color="F79646"/>
            </w:tcBorders>
            <w:shd w:val="clear" w:color="auto" w:fill="F79646"/>
          </w:tcPr>
          <w:p>
            <w:pPr>
              <w:spacing w:after="0"/>
              <w:rPr>
                <w:sz w:val="14"/>
                <w:szCs w:val="14"/>
                <w:color w:val="auto"/>
              </w:rPr>
            </w:pPr>
          </w:p>
        </w:tc>
        <w:tc>
          <w:tcPr>
            <w:tcW w:w="2080" w:type="dxa"/>
            <w:vAlign w:val="bottom"/>
            <w:tcBorders>
              <w:bottom w:val="single" w:sz="8" w:color="auto"/>
            </w:tcBorders>
            <w:shd w:val="clear" w:color="auto" w:fill="F79646"/>
          </w:tcPr>
          <w:p>
            <w:pPr>
              <w:ind w:left="860"/>
              <w:spacing w:after="0"/>
              <w:rPr>
                <w:sz w:val="20"/>
                <w:szCs w:val="20"/>
                <w:color w:val="auto"/>
              </w:rPr>
            </w:pPr>
            <w:r>
              <w:rPr>
                <w:rFonts w:ascii="Arial" w:cs="Arial" w:eastAsia="Arial" w:hAnsi="Arial"/>
                <w:sz w:val="13"/>
                <w:szCs w:val="13"/>
                <w:b w:val="1"/>
                <w:bCs w:val="1"/>
                <w:color w:val="FFFFFE"/>
              </w:rPr>
              <w:t>Name</w:t>
            </w:r>
          </w:p>
        </w:tc>
        <w:tc>
          <w:tcPr>
            <w:tcW w:w="120" w:type="dxa"/>
            <w:vAlign w:val="bottom"/>
            <w:tcBorders>
              <w:bottom w:val="single" w:sz="8" w:color="F79646"/>
            </w:tcBorders>
            <w:shd w:val="clear" w:color="auto" w:fill="F79646"/>
          </w:tcPr>
          <w:p>
            <w:pPr>
              <w:spacing w:after="0"/>
              <w:rPr>
                <w:sz w:val="14"/>
                <w:szCs w:val="14"/>
                <w:color w:val="auto"/>
              </w:rPr>
            </w:pPr>
          </w:p>
        </w:tc>
        <w:tc>
          <w:tcPr>
            <w:tcW w:w="100" w:type="dxa"/>
            <w:vAlign w:val="bottom"/>
            <w:tcBorders>
              <w:bottom w:val="single" w:sz="8" w:color="auto"/>
            </w:tcBorders>
            <w:shd w:val="clear" w:color="auto" w:fill="F79646"/>
          </w:tcPr>
          <w:p>
            <w:pPr>
              <w:spacing w:after="0"/>
              <w:rPr>
                <w:sz w:val="14"/>
                <w:szCs w:val="14"/>
                <w:color w:val="auto"/>
              </w:rPr>
            </w:pPr>
          </w:p>
        </w:tc>
        <w:tc>
          <w:tcPr>
            <w:tcW w:w="1300" w:type="dxa"/>
            <w:vAlign w:val="bottom"/>
            <w:tcBorders>
              <w:bottom w:val="single" w:sz="8" w:color="auto"/>
            </w:tcBorders>
            <w:shd w:val="clear" w:color="auto" w:fill="F79646"/>
          </w:tcPr>
          <w:p>
            <w:pPr>
              <w:ind w:left="420"/>
              <w:spacing w:after="0"/>
              <w:rPr>
                <w:sz w:val="20"/>
                <w:szCs w:val="20"/>
                <w:color w:val="auto"/>
              </w:rPr>
            </w:pPr>
            <w:r>
              <w:rPr>
                <w:rFonts w:ascii="Arial" w:cs="Arial" w:eastAsia="Arial" w:hAnsi="Arial"/>
                <w:sz w:val="13"/>
                <w:szCs w:val="13"/>
                <w:b w:val="1"/>
                <w:bCs w:val="1"/>
                <w:color w:val="FFFFFE"/>
              </w:rPr>
              <w:t>2017)</w:t>
            </w:r>
          </w:p>
        </w:tc>
        <w:tc>
          <w:tcPr>
            <w:tcW w:w="200" w:type="dxa"/>
            <w:vAlign w:val="bottom"/>
            <w:tcBorders>
              <w:bottom w:val="single" w:sz="8" w:color="F79646"/>
            </w:tcBorders>
            <w:shd w:val="clear" w:color="auto" w:fill="F79646"/>
          </w:tcPr>
          <w:p>
            <w:pPr>
              <w:spacing w:after="0"/>
              <w:rPr>
                <w:sz w:val="14"/>
                <w:szCs w:val="14"/>
                <w:color w:val="auto"/>
              </w:rPr>
            </w:pPr>
          </w:p>
        </w:tc>
        <w:tc>
          <w:tcPr>
            <w:tcW w:w="60" w:type="dxa"/>
            <w:vAlign w:val="bottom"/>
            <w:tcBorders>
              <w:bottom w:val="single" w:sz="8" w:color="F79646"/>
            </w:tcBorders>
            <w:shd w:val="clear" w:color="auto" w:fill="F79646"/>
          </w:tcPr>
          <w:p>
            <w:pPr>
              <w:spacing w:after="0"/>
              <w:rPr>
                <w:sz w:val="14"/>
                <w:szCs w:val="14"/>
                <w:color w:val="auto"/>
              </w:rPr>
            </w:pPr>
          </w:p>
        </w:tc>
        <w:tc>
          <w:tcPr>
            <w:tcW w:w="120" w:type="dxa"/>
            <w:vAlign w:val="bottom"/>
            <w:tcBorders>
              <w:bottom w:val="single" w:sz="8" w:color="auto"/>
            </w:tcBorders>
            <w:shd w:val="clear" w:color="auto" w:fill="F79646"/>
          </w:tcPr>
          <w:p>
            <w:pPr>
              <w:spacing w:after="0"/>
              <w:rPr>
                <w:sz w:val="14"/>
                <w:szCs w:val="14"/>
                <w:color w:val="auto"/>
              </w:rPr>
            </w:pPr>
          </w:p>
        </w:tc>
        <w:tc>
          <w:tcPr>
            <w:tcW w:w="1300" w:type="dxa"/>
            <w:vAlign w:val="bottom"/>
            <w:tcBorders>
              <w:bottom w:val="single" w:sz="8" w:color="auto"/>
            </w:tcBorders>
            <w:shd w:val="clear" w:color="auto" w:fill="F79646"/>
          </w:tcPr>
          <w:p>
            <w:pPr>
              <w:ind w:left="400"/>
              <w:spacing w:after="0"/>
              <w:rPr>
                <w:sz w:val="20"/>
                <w:szCs w:val="20"/>
                <w:color w:val="auto"/>
              </w:rPr>
            </w:pPr>
            <w:r>
              <w:rPr>
                <w:rFonts w:ascii="Arial" w:cs="Arial" w:eastAsia="Arial" w:hAnsi="Arial"/>
                <w:sz w:val="13"/>
                <w:szCs w:val="13"/>
                <w:b w:val="1"/>
                <w:bCs w:val="1"/>
                <w:color w:val="FFFFFE"/>
              </w:rPr>
              <w:t>2018)</w:t>
            </w:r>
          </w:p>
        </w:tc>
        <w:tc>
          <w:tcPr>
            <w:tcW w:w="260" w:type="dxa"/>
            <w:vAlign w:val="bottom"/>
            <w:tcBorders>
              <w:bottom w:val="single" w:sz="8" w:color="F79646"/>
            </w:tcBorders>
            <w:shd w:val="clear" w:color="auto" w:fill="F79646"/>
          </w:tcPr>
          <w:p>
            <w:pPr>
              <w:spacing w:after="0"/>
              <w:rPr>
                <w:sz w:val="14"/>
                <w:szCs w:val="14"/>
                <w:color w:val="auto"/>
              </w:rPr>
            </w:pPr>
          </w:p>
        </w:tc>
        <w:tc>
          <w:tcPr>
            <w:tcW w:w="900" w:type="dxa"/>
            <w:vAlign w:val="bottom"/>
            <w:tcBorders>
              <w:bottom w:val="single" w:sz="8" w:color="auto"/>
            </w:tcBorders>
            <w:shd w:val="clear" w:color="auto" w:fill="F79646"/>
          </w:tcPr>
          <w:p>
            <w:pPr>
              <w:jc w:val="right"/>
              <w:ind w:right="137"/>
              <w:spacing w:after="0"/>
              <w:rPr>
                <w:sz w:val="20"/>
                <w:szCs w:val="20"/>
                <w:color w:val="auto"/>
              </w:rPr>
            </w:pPr>
            <w:r>
              <w:rPr>
                <w:rFonts w:ascii="Arial" w:cs="Arial" w:eastAsia="Arial" w:hAnsi="Arial"/>
                <w:sz w:val="13"/>
                <w:szCs w:val="13"/>
                <w:b w:val="1"/>
                <w:bCs w:val="1"/>
                <w:color w:val="FFFFFE"/>
              </w:rPr>
              <w:t>Decrease</w:t>
            </w:r>
          </w:p>
        </w:tc>
        <w:tc>
          <w:tcPr>
            <w:tcW w:w="200" w:type="dxa"/>
            <w:vAlign w:val="bottom"/>
            <w:tcBorders>
              <w:bottom w:val="single" w:sz="8" w:color="F79646"/>
              <w:right w:val="single" w:sz="8" w:color="F79646"/>
            </w:tcBorders>
            <w:shd w:val="clear" w:color="auto" w:fill="F79646"/>
          </w:tcPr>
          <w:p>
            <w:pPr>
              <w:spacing w:after="0"/>
              <w:rPr>
                <w:sz w:val="14"/>
                <w:szCs w:val="14"/>
                <w:color w:val="auto"/>
              </w:rPr>
            </w:pPr>
          </w:p>
        </w:tc>
      </w:tr>
      <w:tr>
        <w:trPr>
          <w:trHeight w:val="135"/>
        </w:trPr>
        <w:tc>
          <w:tcPr>
            <w:tcW w:w="2340" w:type="dxa"/>
            <w:vAlign w:val="bottom"/>
            <w:tcBorders>
              <w:left w:val="single" w:sz="8" w:color="F79646"/>
            </w:tcBorders>
            <w:gridSpan w:val="2"/>
          </w:tcPr>
          <w:p>
            <w:pPr>
              <w:ind w:left="260"/>
              <w:spacing w:after="0" w:line="136" w:lineRule="exact"/>
              <w:rPr>
                <w:sz w:val="20"/>
                <w:szCs w:val="20"/>
                <w:color w:val="auto"/>
              </w:rPr>
            </w:pPr>
            <w:r>
              <w:rPr>
                <w:rFonts w:ascii="Arial" w:cs="Arial" w:eastAsia="Arial" w:hAnsi="Arial"/>
                <w:sz w:val="13"/>
                <w:szCs w:val="13"/>
                <w:b w:val="1"/>
                <w:bCs w:val="1"/>
                <w:color w:val="auto"/>
              </w:rPr>
              <w:t>Rohit Kapoor</w:t>
            </w:r>
          </w:p>
        </w:tc>
        <w:tc>
          <w:tcPr>
            <w:tcW w:w="2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w:t>
            </w:r>
          </w:p>
        </w:tc>
        <w:tc>
          <w:tcPr>
            <w:tcW w:w="1300" w:type="dxa"/>
            <w:vAlign w:val="bottom"/>
          </w:tcPr>
          <w:p>
            <w:pPr>
              <w:ind w:left="860"/>
              <w:spacing w:after="0" w:line="136" w:lineRule="exact"/>
              <w:rPr>
                <w:sz w:val="20"/>
                <w:szCs w:val="20"/>
                <w:color w:val="auto"/>
              </w:rPr>
            </w:pPr>
            <w:r>
              <w:rPr>
                <w:rFonts w:ascii="Arial" w:cs="Arial" w:eastAsia="Arial" w:hAnsi="Arial"/>
                <w:sz w:val="13"/>
                <w:szCs w:val="13"/>
                <w:color w:val="auto"/>
                <w:w w:val="89"/>
              </w:rPr>
              <w:t>620,000</w:t>
            </w:r>
          </w:p>
        </w:tc>
        <w:tc>
          <w:tcPr>
            <w:tcW w:w="200" w:type="dxa"/>
            <w:vAlign w:val="bottom"/>
          </w:tcPr>
          <w:p>
            <w:pPr>
              <w:spacing w:after="0"/>
              <w:rPr>
                <w:sz w:val="11"/>
                <w:szCs w:val="11"/>
                <w:color w:val="auto"/>
              </w:rPr>
            </w:pPr>
          </w:p>
        </w:tc>
        <w:tc>
          <w:tcPr>
            <w:tcW w:w="1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560" w:type="dxa"/>
            <w:vAlign w:val="bottom"/>
            <w:gridSpan w:val="2"/>
          </w:tcPr>
          <w:p>
            <w:pPr>
              <w:ind w:left="840"/>
              <w:spacing w:after="0" w:line="136" w:lineRule="exact"/>
              <w:rPr>
                <w:sz w:val="20"/>
                <w:szCs w:val="20"/>
                <w:color w:val="auto"/>
              </w:rPr>
            </w:pPr>
            <w:r>
              <w:rPr>
                <w:rFonts w:ascii="Arial" w:cs="Arial" w:eastAsia="Arial" w:hAnsi="Arial"/>
                <w:sz w:val="10"/>
                <w:szCs w:val="10"/>
                <w:color w:val="auto"/>
              </w:rPr>
              <w:t>720,000</w:t>
            </w:r>
            <w:r>
              <w:rPr>
                <w:rFonts w:ascii="Arial" w:cs="Arial" w:eastAsia="Arial" w:hAnsi="Arial"/>
                <w:sz w:val="15"/>
                <w:szCs w:val="15"/>
                <w:color w:val="auto"/>
                <w:vertAlign w:val="superscript"/>
              </w:rPr>
              <w:t>(2)</w:t>
            </w:r>
          </w:p>
        </w:tc>
        <w:tc>
          <w:tcPr>
            <w:tcW w:w="1100" w:type="dxa"/>
            <w:vAlign w:val="bottom"/>
            <w:tcBorders>
              <w:right w:val="single" w:sz="8" w:color="F79646"/>
            </w:tcBorders>
            <w:gridSpan w:val="2"/>
          </w:tcPr>
          <w:p>
            <w:pPr>
              <w:jc w:val="right"/>
              <w:ind w:right="100"/>
              <w:spacing w:after="0" w:line="136" w:lineRule="exact"/>
              <w:rPr>
                <w:sz w:val="20"/>
                <w:szCs w:val="20"/>
                <w:color w:val="auto"/>
              </w:rPr>
            </w:pPr>
            <w:r>
              <w:rPr>
                <w:rFonts w:ascii="Arial" w:cs="Arial" w:eastAsia="Arial" w:hAnsi="Arial"/>
                <w:sz w:val="13"/>
                <w:szCs w:val="13"/>
                <w:color w:val="auto"/>
              </w:rPr>
              <w:t>16.13%</w:t>
            </w:r>
          </w:p>
        </w:tc>
      </w:tr>
      <w:tr>
        <w:trPr>
          <w:trHeight w:val="144"/>
        </w:trPr>
        <w:tc>
          <w:tcPr>
            <w:tcW w:w="2340" w:type="dxa"/>
            <w:vAlign w:val="bottom"/>
            <w:tcBorders>
              <w:left w:val="single" w:sz="8" w:color="F79646"/>
            </w:tcBorders>
            <w:gridSpan w:val="2"/>
            <w:shd w:val="clear" w:color="auto" w:fill="FCDEC5"/>
          </w:tcPr>
          <w:p>
            <w:pPr>
              <w:ind w:left="260"/>
              <w:spacing w:after="0" w:line="144" w:lineRule="exact"/>
              <w:rPr>
                <w:sz w:val="20"/>
                <w:szCs w:val="20"/>
                <w:color w:val="auto"/>
              </w:rPr>
            </w:pPr>
            <w:r>
              <w:rPr>
                <w:rFonts w:ascii="Arial" w:cs="Arial" w:eastAsia="Arial" w:hAnsi="Arial"/>
                <w:sz w:val="13"/>
                <w:szCs w:val="13"/>
                <w:b w:val="1"/>
                <w:bCs w:val="1"/>
                <w:color w:val="auto"/>
              </w:rPr>
              <w:t>Vishal Chhibbar</w:t>
            </w:r>
          </w:p>
        </w:tc>
        <w:tc>
          <w:tcPr>
            <w:tcW w:w="120" w:type="dxa"/>
            <w:vAlign w:val="bottom"/>
            <w:shd w:val="clear" w:color="auto" w:fill="FCDEC5"/>
          </w:tcPr>
          <w:p>
            <w:pPr>
              <w:spacing w:after="0"/>
              <w:rPr>
                <w:sz w:val="12"/>
                <w:szCs w:val="12"/>
                <w:color w:val="auto"/>
              </w:rPr>
            </w:pPr>
          </w:p>
        </w:tc>
        <w:tc>
          <w:tcPr>
            <w:tcW w:w="100" w:type="dxa"/>
            <w:vAlign w:val="bottom"/>
            <w:shd w:val="clear" w:color="auto" w:fill="FCDEC5"/>
          </w:tcPr>
          <w:p>
            <w:pPr>
              <w:spacing w:after="0"/>
              <w:rPr>
                <w:sz w:val="12"/>
                <w:szCs w:val="12"/>
                <w:color w:val="auto"/>
              </w:rPr>
            </w:pPr>
          </w:p>
        </w:tc>
        <w:tc>
          <w:tcPr>
            <w:tcW w:w="1300" w:type="dxa"/>
            <w:vAlign w:val="bottom"/>
            <w:shd w:val="clear" w:color="auto" w:fill="FCDEC5"/>
          </w:tcPr>
          <w:p>
            <w:pPr>
              <w:ind w:left="860"/>
              <w:spacing w:after="0" w:line="144" w:lineRule="exact"/>
              <w:rPr>
                <w:sz w:val="20"/>
                <w:szCs w:val="20"/>
                <w:color w:val="auto"/>
              </w:rPr>
            </w:pPr>
            <w:r>
              <w:rPr>
                <w:rFonts w:ascii="Arial" w:cs="Arial" w:eastAsia="Arial" w:hAnsi="Arial"/>
                <w:sz w:val="13"/>
                <w:szCs w:val="13"/>
                <w:color w:val="auto"/>
                <w:w w:val="89"/>
              </w:rPr>
              <w:t>400,000</w:t>
            </w:r>
          </w:p>
        </w:tc>
        <w:tc>
          <w:tcPr>
            <w:tcW w:w="200" w:type="dxa"/>
            <w:vAlign w:val="bottom"/>
            <w:shd w:val="clear" w:color="auto" w:fill="FCDEC5"/>
          </w:tcPr>
          <w:p>
            <w:pPr>
              <w:spacing w:after="0"/>
              <w:rPr>
                <w:sz w:val="12"/>
                <w:szCs w:val="12"/>
                <w:color w:val="auto"/>
              </w:rPr>
            </w:pPr>
          </w:p>
        </w:tc>
        <w:tc>
          <w:tcPr>
            <w:tcW w:w="60" w:type="dxa"/>
            <w:vAlign w:val="bottom"/>
            <w:shd w:val="clear" w:color="auto" w:fill="FCDEC5"/>
          </w:tcPr>
          <w:p>
            <w:pPr>
              <w:spacing w:after="0"/>
              <w:rPr>
                <w:sz w:val="12"/>
                <w:szCs w:val="12"/>
                <w:color w:val="auto"/>
              </w:rPr>
            </w:pPr>
          </w:p>
        </w:tc>
        <w:tc>
          <w:tcPr>
            <w:tcW w:w="120" w:type="dxa"/>
            <w:vAlign w:val="bottom"/>
            <w:shd w:val="clear" w:color="auto" w:fill="FCDEC5"/>
          </w:tcPr>
          <w:p>
            <w:pPr>
              <w:spacing w:after="0"/>
              <w:rPr>
                <w:sz w:val="12"/>
                <w:szCs w:val="12"/>
                <w:color w:val="auto"/>
              </w:rPr>
            </w:pPr>
          </w:p>
        </w:tc>
        <w:tc>
          <w:tcPr>
            <w:tcW w:w="1300" w:type="dxa"/>
            <w:vAlign w:val="bottom"/>
            <w:shd w:val="clear" w:color="auto" w:fill="FCDEC5"/>
          </w:tcPr>
          <w:p>
            <w:pPr>
              <w:ind w:left="840"/>
              <w:spacing w:after="0" w:line="144" w:lineRule="exact"/>
              <w:rPr>
                <w:sz w:val="20"/>
                <w:szCs w:val="20"/>
                <w:color w:val="auto"/>
              </w:rPr>
            </w:pPr>
            <w:r>
              <w:rPr>
                <w:rFonts w:ascii="Arial" w:cs="Arial" w:eastAsia="Arial" w:hAnsi="Arial"/>
                <w:sz w:val="13"/>
                <w:szCs w:val="13"/>
                <w:color w:val="auto"/>
                <w:w w:val="93"/>
              </w:rPr>
              <w:t>450,000</w:t>
            </w:r>
          </w:p>
        </w:tc>
        <w:tc>
          <w:tcPr>
            <w:tcW w:w="260" w:type="dxa"/>
            <w:vAlign w:val="bottom"/>
            <w:shd w:val="clear" w:color="auto" w:fill="FCDEC5"/>
          </w:tcPr>
          <w:p>
            <w:pPr>
              <w:spacing w:after="0"/>
              <w:rPr>
                <w:sz w:val="12"/>
                <w:szCs w:val="12"/>
                <w:color w:val="auto"/>
              </w:rPr>
            </w:pPr>
          </w:p>
        </w:tc>
        <w:tc>
          <w:tcPr>
            <w:tcW w:w="1100" w:type="dxa"/>
            <w:vAlign w:val="bottom"/>
            <w:tcBorders>
              <w:right w:val="single" w:sz="8" w:color="F79646"/>
            </w:tcBorders>
            <w:gridSpan w:val="2"/>
            <w:shd w:val="clear" w:color="auto" w:fill="FCDEC5"/>
          </w:tcPr>
          <w:p>
            <w:pPr>
              <w:jc w:val="right"/>
              <w:ind w:right="100"/>
              <w:spacing w:after="0" w:line="144" w:lineRule="exact"/>
              <w:rPr>
                <w:sz w:val="20"/>
                <w:szCs w:val="20"/>
                <w:color w:val="auto"/>
              </w:rPr>
            </w:pPr>
            <w:r>
              <w:rPr>
                <w:rFonts w:ascii="Arial" w:cs="Arial" w:eastAsia="Arial" w:hAnsi="Arial"/>
                <w:sz w:val="13"/>
                <w:szCs w:val="13"/>
                <w:color w:val="auto"/>
              </w:rPr>
              <w:t>12.50%</w:t>
            </w:r>
          </w:p>
        </w:tc>
      </w:tr>
      <w:tr>
        <w:trPr>
          <w:trHeight w:val="144"/>
        </w:trPr>
        <w:tc>
          <w:tcPr>
            <w:tcW w:w="2340" w:type="dxa"/>
            <w:vAlign w:val="bottom"/>
            <w:tcBorders>
              <w:left w:val="single" w:sz="8" w:color="F79646"/>
            </w:tcBorders>
            <w:gridSpan w:val="2"/>
          </w:tcPr>
          <w:p>
            <w:pPr>
              <w:ind w:left="260"/>
              <w:spacing w:after="0" w:line="144" w:lineRule="exact"/>
              <w:rPr>
                <w:sz w:val="20"/>
                <w:szCs w:val="20"/>
                <w:color w:val="auto"/>
              </w:rPr>
            </w:pPr>
            <w:r>
              <w:rPr>
                <w:rFonts w:ascii="Arial" w:cs="Arial" w:eastAsia="Arial" w:hAnsi="Arial"/>
                <w:sz w:val="13"/>
                <w:szCs w:val="13"/>
                <w:b w:val="1"/>
                <w:bCs w:val="1"/>
                <w:color w:val="auto"/>
              </w:rPr>
              <w:t>Pavan Bagai</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860"/>
              <w:spacing w:after="0" w:line="145" w:lineRule="exact"/>
              <w:rPr>
                <w:sz w:val="20"/>
                <w:szCs w:val="20"/>
                <w:color w:val="auto"/>
              </w:rPr>
            </w:pPr>
            <w:r>
              <w:rPr>
                <w:rFonts w:ascii="Arial" w:cs="Arial" w:eastAsia="Arial" w:hAnsi="Arial"/>
                <w:sz w:val="10"/>
                <w:szCs w:val="10"/>
                <w:color w:val="auto"/>
              </w:rPr>
              <w:t>360,106</w:t>
            </w:r>
            <w:r>
              <w:rPr>
                <w:rFonts w:ascii="Arial" w:cs="Arial" w:eastAsia="Arial" w:hAnsi="Arial"/>
                <w:sz w:val="16"/>
                <w:szCs w:val="16"/>
                <w:color w:val="auto"/>
                <w:vertAlign w:val="superscript"/>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840"/>
              <w:spacing w:after="0" w:line="145" w:lineRule="exact"/>
              <w:rPr>
                <w:sz w:val="20"/>
                <w:szCs w:val="20"/>
                <w:color w:val="auto"/>
              </w:rPr>
            </w:pPr>
            <w:r>
              <w:rPr>
                <w:rFonts w:ascii="Arial" w:cs="Arial" w:eastAsia="Arial" w:hAnsi="Arial"/>
                <w:sz w:val="10"/>
                <w:szCs w:val="10"/>
                <w:color w:val="auto"/>
              </w:rPr>
              <w:t>407,077</w:t>
            </w:r>
            <w:r>
              <w:rPr>
                <w:rFonts w:ascii="Arial" w:cs="Arial" w:eastAsia="Arial" w:hAnsi="Arial"/>
                <w:sz w:val="16"/>
                <w:szCs w:val="16"/>
                <w:color w:val="auto"/>
                <w:vertAlign w:val="superscript"/>
              </w:rPr>
              <w:t>(3)</w:t>
            </w:r>
          </w:p>
        </w:tc>
        <w:tc>
          <w:tcPr>
            <w:tcW w:w="1100" w:type="dxa"/>
            <w:vAlign w:val="bottom"/>
            <w:tcBorders>
              <w:right w:val="single" w:sz="8" w:color="F79646"/>
            </w:tcBorders>
            <w:gridSpan w:val="2"/>
          </w:tcPr>
          <w:p>
            <w:pPr>
              <w:jc w:val="right"/>
              <w:ind w:right="100"/>
              <w:spacing w:after="0" w:line="144" w:lineRule="exact"/>
              <w:rPr>
                <w:sz w:val="20"/>
                <w:szCs w:val="20"/>
                <w:color w:val="auto"/>
              </w:rPr>
            </w:pPr>
            <w:r>
              <w:rPr>
                <w:rFonts w:ascii="Arial" w:cs="Arial" w:eastAsia="Arial" w:hAnsi="Arial"/>
                <w:sz w:val="13"/>
                <w:szCs w:val="13"/>
                <w:color w:val="auto"/>
              </w:rPr>
              <w:t>13.04%</w:t>
            </w:r>
          </w:p>
        </w:tc>
      </w:tr>
      <w:tr>
        <w:trPr>
          <w:trHeight w:val="144"/>
        </w:trPr>
        <w:tc>
          <w:tcPr>
            <w:tcW w:w="2340" w:type="dxa"/>
            <w:vAlign w:val="bottom"/>
            <w:tcBorders>
              <w:left w:val="single" w:sz="8" w:color="F79646"/>
            </w:tcBorders>
            <w:gridSpan w:val="2"/>
            <w:shd w:val="clear" w:color="auto" w:fill="FCDEC5"/>
          </w:tcPr>
          <w:p>
            <w:pPr>
              <w:ind w:left="260"/>
              <w:spacing w:after="0" w:line="144" w:lineRule="exact"/>
              <w:rPr>
                <w:sz w:val="20"/>
                <w:szCs w:val="20"/>
                <w:color w:val="auto"/>
              </w:rPr>
            </w:pPr>
            <w:r>
              <w:rPr>
                <w:rFonts w:ascii="Arial" w:cs="Arial" w:eastAsia="Arial" w:hAnsi="Arial"/>
                <w:sz w:val="13"/>
                <w:szCs w:val="13"/>
                <w:b w:val="1"/>
                <w:bCs w:val="1"/>
                <w:color w:val="auto"/>
              </w:rPr>
              <w:t>Nagaraja Srivatsan</w:t>
            </w:r>
          </w:p>
        </w:tc>
        <w:tc>
          <w:tcPr>
            <w:tcW w:w="120" w:type="dxa"/>
            <w:vAlign w:val="bottom"/>
            <w:shd w:val="clear" w:color="auto" w:fill="FCDEC5"/>
          </w:tcPr>
          <w:p>
            <w:pPr>
              <w:spacing w:after="0"/>
              <w:rPr>
                <w:sz w:val="12"/>
                <w:szCs w:val="12"/>
                <w:color w:val="auto"/>
              </w:rPr>
            </w:pPr>
          </w:p>
        </w:tc>
        <w:tc>
          <w:tcPr>
            <w:tcW w:w="100" w:type="dxa"/>
            <w:vAlign w:val="bottom"/>
            <w:shd w:val="clear" w:color="auto" w:fill="FCDEC5"/>
          </w:tcPr>
          <w:p>
            <w:pPr>
              <w:spacing w:after="0"/>
              <w:rPr>
                <w:sz w:val="12"/>
                <w:szCs w:val="12"/>
                <w:color w:val="auto"/>
              </w:rPr>
            </w:pPr>
          </w:p>
        </w:tc>
        <w:tc>
          <w:tcPr>
            <w:tcW w:w="1300" w:type="dxa"/>
            <w:vAlign w:val="bottom"/>
            <w:shd w:val="clear" w:color="auto" w:fill="FCDEC5"/>
          </w:tcPr>
          <w:p>
            <w:pPr>
              <w:ind w:left="860"/>
              <w:spacing w:after="0" w:line="144" w:lineRule="exact"/>
              <w:rPr>
                <w:sz w:val="20"/>
                <w:szCs w:val="20"/>
                <w:color w:val="auto"/>
              </w:rPr>
            </w:pPr>
            <w:r>
              <w:rPr>
                <w:rFonts w:ascii="Arial" w:cs="Arial" w:eastAsia="Arial" w:hAnsi="Arial"/>
                <w:sz w:val="13"/>
                <w:szCs w:val="13"/>
                <w:color w:val="auto"/>
                <w:w w:val="89"/>
              </w:rPr>
              <w:t>415,000</w:t>
            </w:r>
          </w:p>
        </w:tc>
        <w:tc>
          <w:tcPr>
            <w:tcW w:w="200" w:type="dxa"/>
            <w:vAlign w:val="bottom"/>
            <w:shd w:val="clear" w:color="auto" w:fill="FCDEC5"/>
          </w:tcPr>
          <w:p>
            <w:pPr>
              <w:spacing w:after="0"/>
              <w:rPr>
                <w:sz w:val="12"/>
                <w:szCs w:val="12"/>
                <w:color w:val="auto"/>
              </w:rPr>
            </w:pPr>
          </w:p>
        </w:tc>
        <w:tc>
          <w:tcPr>
            <w:tcW w:w="60" w:type="dxa"/>
            <w:vAlign w:val="bottom"/>
            <w:shd w:val="clear" w:color="auto" w:fill="FCDEC5"/>
          </w:tcPr>
          <w:p>
            <w:pPr>
              <w:spacing w:after="0"/>
              <w:rPr>
                <w:sz w:val="12"/>
                <w:szCs w:val="12"/>
                <w:color w:val="auto"/>
              </w:rPr>
            </w:pPr>
          </w:p>
        </w:tc>
        <w:tc>
          <w:tcPr>
            <w:tcW w:w="120" w:type="dxa"/>
            <w:vAlign w:val="bottom"/>
            <w:shd w:val="clear" w:color="auto" w:fill="FCDEC5"/>
          </w:tcPr>
          <w:p>
            <w:pPr>
              <w:spacing w:after="0"/>
              <w:rPr>
                <w:sz w:val="12"/>
                <w:szCs w:val="12"/>
                <w:color w:val="auto"/>
              </w:rPr>
            </w:pPr>
          </w:p>
        </w:tc>
        <w:tc>
          <w:tcPr>
            <w:tcW w:w="1300" w:type="dxa"/>
            <w:vAlign w:val="bottom"/>
            <w:shd w:val="clear" w:color="auto" w:fill="FCDEC5"/>
          </w:tcPr>
          <w:p>
            <w:pPr>
              <w:ind w:left="840"/>
              <w:spacing w:after="0" w:line="144" w:lineRule="exact"/>
              <w:rPr>
                <w:sz w:val="20"/>
                <w:szCs w:val="20"/>
                <w:color w:val="auto"/>
              </w:rPr>
            </w:pPr>
            <w:r>
              <w:rPr>
                <w:rFonts w:ascii="Arial" w:cs="Arial" w:eastAsia="Arial" w:hAnsi="Arial"/>
                <w:sz w:val="13"/>
                <w:szCs w:val="13"/>
                <w:color w:val="auto"/>
                <w:w w:val="93"/>
              </w:rPr>
              <w:t>450,000</w:t>
            </w:r>
          </w:p>
        </w:tc>
        <w:tc>
          <w:tcPr>
            <w:tcW w:w="260" w:type="dxa"/>
            <w:vAlign w:val="bottom"/>
            <w:shd w:val="clear" w:color="auto" w:fill="FCDEC5"/>
          </w:tcPr>
          <w:p>
            <w:pPr>
              <w:spacing w:after="0"/>
              <w:rPr>
                <w:sz w:val="12"/>
                <w:szCs w:val="12"/>
                <w:color w:val="auto"/>
              </w:rPr>
            </w:pPr>
          </w:p>
        </w:tc>
        <w:tc>
          <w:tcPr>
            <w:tcW w:w="1100" w:type="dxa"/>
            <w:vAlign w:val="bottom"/>
            <w:tcBorders>
              <w:right w:val="single" w:sz="8" w:color="F79646"/>
            </w:tcBorders>
            <w:gridSpan w:val="2"/>
            <w:shd w:val="clear" w:color="auto" w:fill="FCDEC5"/>
          </w:tcPr>
          <w:p>
            <w:pPr>
              <w:jc w:val="right"/>
              <w:ind w:right="100"/>
              <w:spacing w:after="0" w:line="144" w:lineRule="exact"/>
              <w:rPr>
                <w:sz w:val="20"/>
                <w:szCs w:val="20"/>
                <w:color w:val="auto"/>
              </w:rPr>
            </w:pPr>
            <w:r>
              <w:rPr>
                <w:rFonts w:ascii="Arial" w:cs="Arial" w:eastAsia="Arial" w:hAnsi="Arial"/>
                <w:sz w:val="13"/>
                <w:szCs w:val="13"/>
                <w:color w:val="auto"/>
              </w:rPr>
              <w:t>8.43%</w:t>
            </w:r>
          </w:p>
        </w:tc>
      </w:tr>
      <w:tr>
        <w:trPr>
          <w:trHeight w:val="144"/>
        </w:trPr>
        <w:tc>
          <w:tcPr>
            <w:tcW w:w="2340" w:type="dxa"/>
            <w:vAlign w:val="bottom"/>
            <w:tcBorders>
              <w:left w:val="single" w:sz="8" w:color="F79646"/>
              <w:bottom w:val="single" w:sz="8" w:color="F79646"/>
            </w:tcBorders>
            <w:gridSpan w:val="2"/>
          </w:tcPr>
          <w:p>
            <w:pPr>
              <w:ind w:left="260"/>
              <w:spacing w:after="0" w:line="144" w:lineRule="exact"/>
              <w:rPr>
                <w:sz w:val="20"/>
                <w:szCs w:val="20"/>
                <w:color w:val="auto"/>
              </w:rPr>
            </w:pPr>
            <w:r>
              <w:rPr>
                <w:rFonts w:ascii="Arial" w:cs="Arial" w:eastAsia="Arial" w:hAnsi="Arial"/>
                <w:sz w:val="13"/>
                <w:szCs w:val="13"/>
                <w:b w:val="1"/>
                <w:bCs w:val="1"/>
                <w:color w:val="auto"/>
              </w:rPr>
              <w:t>Nalin Miglani</w:t>
            </w:r>
          </w:p>
        </w:tc>
        <w:tc>
          <w:tcPr>
            <w:tcW w:w="120" w:type="dxa"/>
            <w:vAlign w:val="bottom"/>
            <w:tcBorders>
              <w:bottom w:val="single" w:sz="8" w:color="F79646"/>
            </w:tcBorders>
          </w:tcPr>
          <w:p>
            <w:pPr>
              <w:spacing w:after="0"/>
              <w:rPr>
                <w:sz w:val="12"/>
                <w:szCs w:val="12"/>
                <w:color w:val="auto"/>
              </w:rPr>
            </w:pPr>
          </w:p>
        </w:tc>
        <w:tc>
          <w:tcPr>
            <w:tcW w:w="100" w:type="dxa"/>
            <w:vAlign w:val="bottom"/>
            <w:tcBorders>
              <w:bottom w:val="single" w:sz="8" w:color="F79646"/>
            </w:tcBorders>
          </w:tcPr>
          <w:p>
            <w:pPr>
              <w:spacing w:after="0"/>
              <w:rPr>
                <w:sz w:val="12"/>
                <w:szCs w:val="12"/>
                <w:color w:val="auto"/>
              </w:rPr>
            </w:pPr>
          </w:p>
        </w:tc>
        <w:tc>
          <w:tcPr>
            <w:tcW w:w="1300" w:type="dxa"/>
            <w:vAlign w:val="bottom"/>
            <w:tcBorders>
              <w:bottom w:val="single" w:sz="8" w:color="F79646"/>
            </w:tcBorders>
          </w:tcPr>
          <w:p>
            <w:pPr>
              <w:ind w:left="860"/>
              <w:spacing w:after="0" w:line="144" w:lineRule="exact"/>
              <w:rPr>
                <w:sz w:val="20"/>
                <w:szCs w:val="20"/>
                <w:color w:val="auto"/>
              </w:rPr>
            </w:pPr>
            <w:r>
              <w:rPr>
                <w:rFonts w:ascii="Arial" w:cs="Arial" w:eastAsia="Arial" w:hAnsi="Arial"/>
                <w:sz w:val="13"/>
                <w:szCs w:val="13"/>
                <w:color w:val="auto"/>
                <w:w w:val="89"/>
              </w:rPr>
              <w:t>410,000</w:t>
            </w:r>
          </w:p>
        </w:tc>
        <w:tc>
          <w:tcPr>
            <w:tcW w:w="200" w:type="dxa"/>
            <w:vAlign w:val="bottom"/>
            <w:tcBorders>
              <w:bottom w:val="single" w:sz="8" w:color="F79646"/>
            </w:tcBorders>
          </w:tcPr>
          <w:p>
            <w:pPr>
              <w:spacing w:after="0"/>
              <w:rPr>
                <w:sz w:val="12"/>
                <w:szCs w:val="12"/>
                <w:color w:val="auto"/>
              </w:rPr>
            </w:pPr>
          </w:p>
        </w:tc>
        <w:tc>
          <w:tcPr>
            <w:tcW w:w="60" w:type="dxa"/>
            <w:vAlign w:val="bottom"/>
            <w:tcBorders>
              <w:bottom w:val="single" w:sz="8" w:color="F79646"/>
            </w:tcBorders>
          </w:tcPr>
          <w:p>
            <w:pPr>
              <w:spacing w:after="0"/>
              <w:rPr>
                <w:sz w:val="12"/>
                <w:szCs w:val="12"/>
                <w:color w:val="auto"/>
              </w:rPr>
            </w:pPr>
          </w:p>
        </w:tc>
        <w:tc>
          <w:tcPr>
            <w:tcW w:w="120" w:type="dxa"/>
            <w:vAlign w:val="bottom"/>
            <w:tcBorders>
              <w:bottom w:val="single" w:sz="8" w:color="F79646"/>
            </w:tcBorders>
          </w:tcPr>
          <w:p>
            <w:pPr>
              <w:spacing w:after="0"/>
              <w:rPr>
                <w:sz w:val="12"/>
                <w:szCs w:val="12"/>
                <w:color w:val="auto"/>
              </w:rPr>
            </w:pPr>
          </w:p>
        </w:tc>
        <w:tc>
          <w:tcPr>
            <w:tcW w:w="1300" w:type="dxa"/>
            <w:vAlign w:val="bottom"/>
            <w:tcBorders>
              <w:bottom w:val="single" w:sz="8" w:color="F79646"/>
            </w:tcBorders>
          </w:tcPr>
          <w:p>
            <w:pPr>
              <w:ind w:left="840"/>
              <w:spacing w:after="0" w:line="144" w:lineRule="exact"/>
              <w:rPr>
                <w:sz w:val="20"/>
                <w:szCs w:val="20"/>
                <w:color w:val="auto"/>
              </w:rPr>
            </w:pPr>
            <w:r>
              <w:rPr>
                <w:rFonts w:ascii="Arial" w:cs="Arial" w:eastAsia="Arial" w:hAnsi="Arial"/>
                <w:sz w:val="13"/>
                <w:szCs w:val="13"/>
                <w:color w:val="auto"/>
                <w:w w:val="93"/>
              </w:rPr>
              <w:t>450,000</w:t>
            </w:r>
          </w:p>
        </w:tc>
        <w:tc>
          <w:tcPr>
            <w:tcW w:w="260" w:type="dxa"/>
            <w:vAlign w:val="bottom"/>
            <w:tcBorders>
              <w:bottom w:val="single" w:sz="8" w:color="F79646"/>
            </w:tcBorders>
          </w:tcPr>
          <w:p>
            <w:pPr>
              <w:spacing w:after="0"/>
              <w:rPr>
                <w:sz w:val="12"/>
                <w:szCs w:val="12"/>
                <w:color w:val="auto"/>
              </w:rPr>
            </w:pPr>
          </w:p>
        </w:tc>
        <w:tc>
          <w:tcPr>
            <w:tcW w:w="1100" w:type="dxa"/>
            <w:vAlign w:val="bottom"/>
            <w:tcBorders>
              <w:bottom w:val="single" w:sz="8" w:color="F79646"/>
              <w:right w:val="single" w:sz="8" w:color="F79646"/>
            </w:tcBorders>
            <w:gridSpan w:val="2"/>
          </w:tcPr>
          <w:p>
            <w:pPr>
              <w:jc w:val="right"/>
              <w:ind w:right="100"/>
              <w:spacing w:after="0" w:line="144" w:lineRule="exact"/>
              <w:rPr>
                <w:sz w:val="20"/>
                <w:szCs w:val="20"/>
                <w:color w:val="auto"/>
              </w:rPr>
            </w:pPr>
            <w:r>
              <w:rPr>
                <w:rFonts w:ascii="Arial" w:cs="Arial" w:eastAsia="Arial" w:hAnsi="Arial"/>
                <w:sz w:val="13"/>
                <w:szCs w:val="13"/>
                <w:color w:val="auto"/>
              </w:rPr>
              <w:t>9.76%</w:t>
            </w:r>
          </w:p>
        </w:tc>
      </w:tr>
    </w:tbl>
    <w:p>
      <w:pPr>
        <w:spacing w:after="0" w:line="156" w:lineRule="exact"/>
        <w:rPr>
          <w:sz w:val="20"/>
          <w:szCs w:val="20"/>
          <w:color w:val="auto"/>
        </w:rPr>
      </w:pPr>
    </w:p>
    <w:p>
      <w:pPr>
        <w:ind w:left="1440" w:right="199" w:hanging="382"/>
        <w:spacing w:after="0" w:line="235" w:lineRule="auto"/>
        <w:tabs>
          <w:tab w:leader="none" w:pos="1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exchange rate used for the annual fixed compensation conversion from Indian rupees to U.S. dollars for Mr. Bagai was 63.87 INR to 1 USD, which was the exchange rate on December 31, 2017.</w:t>
      </w:r>
    </w:p>
    <w:p>
      <w:pPr>
        <w:ind w:left="1440" w:hanging="382"/>
        <w:spacing w:after="0"/>
        <w:tabs>
          <w:tab w:leader="none" w:pos="1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Mr. Kapoor's base salary increased to $720,000, effective January 1, 2018.</w:t>
      </w:r>
    </w:p>
    <w:p>
      <w:pPr>
        <w:ind w:left="1440" w:right="199" w:hanging="382"/>
        <w:spacing w:after="0" w:line="235" w:lineRule="auto"/>
        <w:tabs>
          <w:tab w:leader="none" w:pos="1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exchange rate used for the annual fixed compensation conversion from Indian rupees to U.S. dollars for Mr. Bagai was 63.87 INR to 1 USD, which was the exchange rate on December 31, 2017.</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Incentive Bonus</w:t>
      </w:r>
    </w:p>
    <w:p>
      <w:pPr>
        <w:spacing w:after="0" w:line="165"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2017 for the year 2018 for bonuses payable in respect of 2018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our assessment of each named executive officer's performance relative to his predetermined individual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Although the Compensation Committee has not historically done so, it has the discretion to adjust an award payout from the amount yielded by the formula at the end of the performance period.</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Our Compensation Committee considered the following when establishing the awards for 2018:</w:t>
      </w:r>
    </w:p>
    <w:p>
      <w:pPr>
        <w:spacing w:after="0" w:line="133" w:lineRule="exact"/>
        <w:rPr>
          <w:sz w:val="20"/>
          <w:szCs w:val="20"/>
          <w:color w:val="auto"/>
        </w:rPr>
      </w:pPr>
    </w:p>
    <w:p>
      <w:pPr>
        <w:jc w:val="both"/>
        <w:ind w:left="960" w:right="179" w:hanging="381"/>
        <w:spacing w:after="0" w:line="238" w:lineRule="auto"/>
        <w:tabs>
          <w:tab w:leader="none" w:pos="960" w:val="left"/>
        </w:tabs>
        <w:numPr>
          <w:ilvl w:val="0"/>
          <w:numId w:val="64"/>
        </w:numPr>
        <w:rPr>
          <w:rFonts w:ascii="Arial" w:cs="Arial" w:eastAsia="Arial" w:hAnsi="Arial"/>
          <w:sz w:val="13"/>
          <w:szCs w:val="13"/>
          <w:color w:val="F79646"/>
        </w:rPr>
      </w:pPr>
      <w:r>
        <w:rPr>
          <w:rFonts w:ascii="Arial" w:cs="Arial" w:eastAsia="Arial" w:hAnsi="Arial"/>
          <w:sz w:val="13"/>
          <w:szCs w:val="13"/>
          <w:b w:val="1"/>
          <w:bCs w:val="1"/>
          <w:color w:val="auto"/>
        </w:rPr>
        <w:t xml:space="preserve">Bonus Targets. </w:t>
      </w:r>
      <w:r>
        <w:rPr>
          <w:rFonts w:ascii="Arial" w:cs="Arial" w:eastAsia="Arial" w:hAnsi="Arial"/>
          <w:sz w:val="13"/>
          <w:szCs w:val="13"/>
          <w:color w:val="auto"/>
        </w:rPr>
        <w:t>Bonus targets were established based on job responsibilities and comparable market data. Our objective was to set bonus</w:t>
      </w:r>
      <w:r>
        <w:rPr>
          <w:rFonts w:ascii="Arial" w:cs="Arial" w:eastAsia="Arial" w:hAnsi="Arial"/>
          <w:sz w:val="13"/>
          <w:szCs w:val="13"/>
          <w:b w:val="1"/>
          <w:bCs w:val="1"/>
          <w:color w:val="auto"/>
        </w:rPr>
        <w:t xml:space="preserve"> </w:t>
      </w:r>
      <w:r>
        <w:rPr>
          <w:rFonts w:ascii="Arial" w:cs="Arial" w:eastAsia="Arial" w:hAnsi="Arial"/>
          <w:sz w:val="13"/>
          <w:szCs w:val="13"/>
          <w:color w:val="auto"/>
        </w:rPr>
        <w:t>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2018, our Compensation Committee established the following bonus targets (expressed as a</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percentage of base salary or annual fixed compensation) as well as maximum bonus targets for each named executive officer.</w:t>
      </w:r>
    </w:p>
    <w:p>
      <w:pPr>
        <w:spacing w:after="0" w:line="147" w:lineRule="exact"/>
        <w:rPr>
          <w:sz w:val="20"/>
          <w:szCs w:val="20"/>
          <w:color w:val="auto"/>
        </w:rPr>
      </w:pPr>
    </w:p>
    <w:tbl>
      <w:tblPr>
        <w:tblLayout w:type="fixed"/>
        <w:tblInd w:w="1070" w:type="dxa"/>
        <w:tblCellMar>
          <w:top w:w="0" w:type="dxa"/>
          <w:left w:w="0" w:type="dxa"/>
          <w:bottom w:w="0" w:type="dxa"/>
          <w:right w:w="0" w:type="dxa"/>
        </w:tblCellMar>
      </w:tblPr>
      <w:tr>
        <w:trPr>
          <w:trHeight w:val="154"/>
        </w:trPr>
        <w:tc>
          <w:tcPr>
            <w:tcW w:w="440" w:type="dxa"/>
            <w:vAlign w:val="bottom"/>
            <w:tcBorders>
              <w:left w:val="single" w:sz="8" w:color="F79646"/>
              <w:bottom w:val="single" w:sz="8" w:color="F79646"/>
            </w:tcBorders>
            <w:shd w:val="clear" w:color="auto" w:fill="F79646"/>
          </w:tcPr>
          <w:p>
            <w:pPr>
              <w:spacing w:after="0"/>
              <w:rPr>
                <w:sz w:val="13"/>
                <w:szCs w:val="13"/>
                <w:color w:val="auto"/>
              </w:rPr>
            </w:pPr>
          </w:p>
        </w:tc>
        <w:tc>
          <w:tcPr>
            <w:tcW w:w="1220" w:type="dxa"/>
            <w:vAlign w:val="bottom"/>
            <w:tcBorders>
              <w:bottom w:val="single" w:sz="8" w:color="auto"/>
            </w:tcBorders>
            <w:shd w:val="clear" w:color="auto" w:fill="F79646"/>
          </w:tcPr>
          <w:p>
            <w:pPr>
              <w:ind w:left="440"/>
              <w:spacing w:after="0"/>
              <w:rPr>
                <w:sz w:val="20"/>
                <w:szCs w:val="20"/>
                <w:color w:val="auto"/>
              </w:rPr>
            </w:pPr>
            <w:r>
              <w:rPr>
                <w:rFonts w:ascii="Arial" w:cs="Arial" w:eastAsia="Arial" w:hAnsi="Arial"/>
                <w:sz w:val="13"/>
                <w:szCs w:val="13"/>
                <w:b w:val="1"/>
                <w:bCs w:val="1"/>
                <w:color w:val="FFFFFE"/>
              </w:rPr>
              <w:t>Name</w:t>
            </w:r>
          </w:p>
        </w:tc>
        <w:tc>
          <w:tcPr>
            <w:tcW w:w="100" w:type="dxa"/>
            <w:vAlign w:val="bottom"/>
            <w:tcBorders>
              <w:bottom w:val="single" w:sz="8" w:color="F79646"/>
            </w:tcBorders>
            <w:shd w:val="clear" w:color="auto" w:fill="F79646"/>
          </w:tcPr>
          <w:p>
            <w:pPr>
              <w:spacing w:after="0"/>
              <w:rPr>
                <w:sz w:val="13"/>
                <w:szCs w:val="13"/>
                <w:color w:val="auto"/>
              </w:rPr>
            </w:pPr>
          </w:p>
        </w:tc>
        <w:tc>
          <w:tcPr>
            <w:tcW w:w="2420" w:type="dxa"/>
            <w:vAlign w:val="bottom"/>
            <w:tcBorders>
              <w:bottom w:val="single" w:sz="8" w:color="auto"/>
            </w:tcBorders>
            <w:shd w:val="clear" w:color="auto" w:fill="F79646"/>
          </w:tcPr>
          <w:p>
            <w:pPr>
              <w:ind w:left="820"/>
              <w:spacing w:after="0"/>
              <w:rPr>
                <w:sz w:val="20"/>
                <w:szCs w:val="20"/>
                <w:color w:val="auto"/>
              </w:rPr>
            </w:pPr>
            <w:r>
              <w:rPr>
                <w:rFonts w:ascii="Arial" w:cs="Arial" w:eastAsia="Arial" w:hAnsi="Arial"/>
                <w:sz w:val="13"/>
                <w:szCs w:val="13"/>
                <w:b w:val="1"/>
                <w:bCs w:val="1"/>
                <w:color w:val="FFFFFE"/>
              </w:rPr>
              <w:t>Bonus Target</w:t>
            </w:r>
          </w:p>
        </w:tc>
        <w:tc>
          <w:tcPr>
            <w:tcW w:w="120" w:type="dxa"/>
            <w:vAlign w:val="bottom"/>
            <w:tcBorders>
              <w:bottom w:val="single" w:sz="8" w:color="F79646"/>
            </w:tcBorders>
            <w:shd w:val="clear" w:color="auto" w:fill="F79646"/>
          </w:tcPr>
          <w:p>
            <w:pPr>
              <w:spacing w:after="0"/>
              <w:rPr>
                <w:sz w:val="13"/>
                <w:szCs w:val="13"/>
                <w:color w:val="auto"/>
              </w:rPr>
            </w:pPr>
          </w:p>
        </w:tc>
        <w:tc>
          <w:tcPr>
            <w:tcW w:w="2420" w:type="dxa"/>
            <w:vAlign w:val="bottom"/>
            <w:tcBorders>
              <w:bottom w:val="single" w:sz="8" w:color="auto"/>
            </w:tcBorders>
            <w:shd w:val="clear" w:color="auto" w:fill="F79646"/>
          </w:tcPr>
          <w:p>
            <w:pPr>
              <w:ind w:left="700"/>
              <w:spacing w:after="0"/>
              <w:rPr>
                <w:sz w:val="20"/>
                <w:szCs w:val="20"/>
                <w:color w:val="auto"/>
              </w:rPr>
            </w:pPr>
            <w:r>
              <w:rPr>
                <w:rFonts w:ascii="Arial" w:cs="Arial" w:eastAsia="Arial" w:hAnsi="Arial"/>
                <w:sz w:val="13"/>
                <w:szCs w:val="13"/>
                <w:b w:val="1"/>
                <w:bCs w:val="1"/>
                <w:color w:val="FFFFFE"/>
              </w:rPr>
              <w:t>Bonus Maximum</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34"/>
        </w:trPr>
        <w:tc>
          <w:tcPr>
            <w:tcW w:w="1660" w:type="dxa"/>
            <w:vAlign w:val="bottom"/>
            <w:tcBorders>
              <w:left w:val="single" w:sz="8" w:color="F79646"/>
            </w:tcBorders>
            <w:gridSpan w:val="2"/>
            <w:shd w:val="clear" w:color="auto" w:fill="FCDEC5"/>
          </w:tcPr>
          <w:p>
            <w:pPr>
              <w:ind w:left="440"/>
              <w:spacing w:after="0" w:line="134" w:lineRule="exact"/>
              <w:rPr>
                <w:sz w:val="20"/>
                <w:szCs w:val="20"/>
                <w:color w:val="auto"/>
              </w:rPr>
            </w:pPr>
            <w:r>
              <w:rPr>
                <w:rFonts w:ascii="Arial" w:cs="Arial" w:eastAsia="Arial" w:hAnsi="Arial"/>
                <w:sz w:val="13"/>
                <w:szCs w:val="13"/>
                <w:color w:val="auto"/>
              </w:rPr>
              <w:t>Rohit Kapoor</w:t>
            </w:r>
          </w:p>
        </w:tc>
        <w:tc>
          <w:tcPr>
            <w:tcW w:w="2520" w:type="dxa"/>
            <w:vAlign w:val="bottom"/>
            <w:gridSpan w:val="2"/>
            <w:shd w:val="clear" w:color="auto" w:fill="FCDEC5"/>
          </w:tcPr>
          <w:p>
            <w:pPr>
              <w:ind w:left="100"/>
              <w:spacing w:after="0" w:line="134" w:lineRule="exact"/>
              <w:rPr>
                <w:sz w:val="20"/>
                <w:szCs w:val="20"/>
                <w:color w:val="auto"/>
              </w:rPr>
            </w:pPr>
            <w:r>
              <w:rPr>
                <w:rFonts w:ascii="Arial" w:cs="Arial" w:eastAsia="Arial" w:hAnsi="Arial"/>
                <w:sz w:val="13"/>
                <w:szCs w:val="13"/>
                <w:color w:val="auto"/>
              </w:rPr>
              <w:t>150% of base salary</w:t>
            </w:r>
          </w:p>
        </w:tc>
        <w:tc>
          <w:tcPr>
            <w:tcW w:w="2740" w:type="dxa"/>
            <w:vAlign w:val="bottom"/>
            <w:tcBorders>
              <w:right w:val="single" w:sz="8" w:color="F79646"/>
            </w:tcBorders>
            <w:gridSpan w:val="3"/>
            <w:shd w:val="clear" w:color="auto" w:fill="FCDEC5"/>
          </w:tcPr>
          <w:p>
            <w:pPr>
              <w:ind w:left="120"/>
              <w:spacing w:after="0" w:line="134" w:lineRule="exact"/>
              <w:rPr>
                <w:sz w:val="20"/>
                <w:szCs w:val="20"/>
                <w:color w:val="auto"/>
              </w:rPr>
            </w:pPr>
            <w:r>
              <w:rPr>
                <w:rFonts w:ascii="Arial" w:cs="Arial" w:eastAsia="Arial" w:hAnsi="Arial"/>
                <w:sz w:val="13"/>
                <w:szCs w:val="13"/>
                <w:color w:val="auto"/>
              </w:rPr>
              <w:t>300% of base salary</w:t>
            </w:r>
          </w:p>
        </w:tc>
      </w:tr>
      <w:tr>
        <w:trPr>
          <w:trHeight w:val="144"/>
        </w:trPr>
        <w:tc>
          <w:tcPr>
            <w:tcW w:w="1660" w:type="dxa"/>
            <w:vAlign w:val="bottom"/>
            <w:tcBorders>
              <w:left w:val="single" w:sz="8" w:color="F79646"/>
            </w:tcBorders>
            <w:gridSpan w:val="2"/>
          </w:tcPr>
          <w:p>
            <w:pPr>
              <w:ind w:left="440"/>
              <w:spacing w:after="0" w:line="144" w:lineRule="exact"/>
              <w:rPr>
                <w:sz w:val="20"/>
                <w:szCs w:val="20"/>
                <w:color w:val="auto"/>
              </w:rPr>
            </w:pPr>
            <w:r>
              <w:rPr>
                <w:rFonts w:ascii="Arial" w:cs="Arial" w:eastAsia="Arial" w:hAnsi="Arial"/>
                <w:sz w:val="13"/>
                <w:szCs w:val="13"/>
                <w:color w:val="auto"/>
              </w:rPr>
              <w:t>Vishal Chhibbar</w:t>
            </w:r>
          </w:p>
        </w:tc>
        <w:tc>
          <w:tcPr>
            <w:tcW w:w="252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75% of base salary</w:t>
            </w:r>
          </w:p>
        </w:tc>
        <w:tc>
          <w:tcPr>
            <w:tcW w:w="274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150% of base salary</w:t>
            </w:r>
          </w:p>
        </w:tc>
      </w:tr>
      <w:tr>
        <w:trPr>
          <w:trHeight w:val="144"/>
        </w:trPr>
        <w:tc>
          <w:tcPr>
            <w:tcW w:w="1660" w:type="dxa"/>
            <w:vAlign w:val="bottom"/>
            <w:tcBorders>
              <w:left w:val="single" w:sz="8" w:color="F79646"/>
            </w:tcBorders>
            <w:gridSpan w:val="2"/>
            <w:shd w:val="clear" w:color="auto" w:fill="FCDEC5"/>
          </w:tcPr>
          <w:p>
            <w:pPr>
              <w:ind w:left="440"/>
              <w:spacing w:after="0" w:line="144" w:lineRule="exact"/>
              <w:rPr>
                <w:sz w:val="20"/>
                <w:szCs w:val="20"/>
                <w:color w:val="auto"/>
              </w:rPr>
            </w:pPr>
            <w:r>
              <w:rPr>
                <w:rFonts w:ascii="Arial" w:cs="Arial" w:eastAsia="Arial" w:hAnsi="Arial"/>
                <w:sz w:val="13"/>
                <w:szCs w:val="13"/>
                <w:color w:val="auto"/>
              </w:rPr>
              <w:t>Pavan Bagai</w:t>
            </w:r>
          </w:p>
        </w:tc>
        <w:tc>
          <w:tcPr>
            <w:tcW w:w="2520" w:type="dxa"/>
            <w:vAlign w:val="bottom"/>
            <w:gridSpan w:val="2"/>
            <w:shd w:val="clear" w:color="auto" w:fill="FCDEC5"/>
          </w:tcPr>
          <w:p>
            <w:pPr>
              <w:ind w:left="100"/>
              <w:spacing w:after="0" w:line="144" w:lineRule="exact"/>
              <w:rPr>
                <w:sz w:val="20"/>
                <w:szCs w:val="20"/>
                <w:color w:val="auto"/>
              </w:rPr>
            </w:pPr>
            <w:r>
              <w:rPr>
                <w:rFonts w:ascii="Arial" w:cs="Arial" w:eastAsia="Arial" w:hAnsi="Arial"/>
                <w:sz w:val="13"/>
                <w:szCs w:val="13"/>
                <w:color w:val="auto"/>
              </w:rPr>
              <w:t>75% of annual fixed compensation</w:t>
            </w:r>
          </w:p>
        </w:tc>
        <w:tc>
          <w:tcPr>
            <w:tcW w:w="2740" w:type="dxa"/>
            <w:vAlign w:val="bottom"/>
            <w:tcBorders>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150% of annual fixed compensation</w:t>
            </w:r>
          </w:p>
        </w:tc>
      </w:tr>
      <w:tr>
        <w:trPr>
          <w:trHeight w:val="144"/>
        </w:trPr>
        <w:tc>
          <w:tcPr>
            <w:tcW w:w="1660" w:type="dxa"/>
            <w:vAlign w:val="bottom"/>
            <w:tcBorders>
              <w:left w:val="single" w:sz="8" w:color="F79646"/>
            </w:tcBorders>
            <w:gridSpan w:val="2"/>
          </w:tcPr>
          <w:p>
            <w:pPr>
              <w:ind w:left="440"/>
              <w:spacing w:after="0" w:line="144" w:lineRule="exact"/>
              <w:rPr>
                <w:sz w:val="20"/>
                <w:szCs w:val="20"/>
                <w:color w:val="auto"/>
              </w:rPr>
            </w:pPr>
            <w:r>
              <w:rPr>
                <w:rFonts w:ascii="Arial" w:cs="Arial" w:eastAsia="Arial" w:hAnsi="Arial"/>
                <w:sz w:val="13"/>
                <w:szCs w:val="13"/>
                <w:color w:val="auto"/>
              </w:rPr>
              <w:t>Nagaraja Srivatsan</w:t>
            </w:r>
          </w:p>
        </w:tc>
        <w:tc>
          <w:tcPr>
            <w:tcW w:w="252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75% of base salary</w:t>
            </w:r>
          </w:p>
        </w:tc>
        <w:tc>
          <w:tcPr>
            <w:tcW w:w="2740" w:type="dxa"/>
            <w:vAlign w:val="bottom"/>
            <w:tcBorders>
              <w:right w:val="single" w:sz="8" w:color="F79646"/>
            </w:tcBorders>
            <w:gridSpan w:val="3"/>
          </w:tcPr>
          <w:p>
            <w:pPr>
              <w:ind w:left="120"/>
              <w:spacing w:after="0" w:line="144" w:lineRule="exact"/>
              <w:rPr>
                <w:sz w:val="20"/>
                <w:szCs w:val="20"/>
                <w:color w:val="auto"/>
              </w:rPr>
            </w:pPr>
            <w:r>
              <w:rPr>
                <w:rFonts w:ascii="Arial" w:cs="Arial" w:eastAsia="Arial" w:hAnsi="Arial"/>
                <w:sz w:val="13"/>
                <w:szCs w:val="13"/>
                <w:color w:val="auto"/>
              </w:rPr>
              <w:t>150% of base salary</w:t>
            </w:r>
          </w:p>
        </w:tc>
      </w:tr>
      <w:tr>
        <w:trPr>
          <w:trHeight w:val="144"/>
        </w:trPr>
        <w:tc>
          <w:tcPr>
            <w:tcW w:w="1660" w:type="dxa"/>
            <w:vAlign w:val="bottom"/>
            <w:tcBorders>
              <w:left w:val="single" w:sz="8" w:color="F79646"/>
              <w:bottom w:val="single" w:sz="8" w:color="F79646"/>
            </w:tcBorders>
            <w:gridSpan w:val="2"/>
            <w:shd w:val="clear" w:color="auto" w:fill="FCDEC5"/>
          </w:tcPr>
          <w:p>
            <w:pPr>
              <w:ind w:left="440"/>
              <w:spacing w:after="0" w:line="144" w:lineRule="exact"/>
              <w:rPr>
                <w:sz w:val="20"/>
                <w:szCs w:val="20"/>
                <w:color w:val="auto"/>
              </w:rPr>
            </w:pPr>
            <w:r>
              <w:rPr>
                <w:rFonts w:ascii="Arial" w:cs="Arial" w:eastAsia="Arial" w:hAnsi="Arial"/>
                <w:sz w:val="13"/>
                <w:szCs w:val="13"/>
                <w:color w:val="auto"/>
              </w:rPr>
              <w:t>Nalin Miglani</w:t>
            </w:r>
          </w:p>
        </w:tc>
        <w:tc>
          <w:tcPr>
            <w:tcW w:w="2520" w:type="dxa"/>
            <w:vAlign w:val="bottom"/>
            <w:tcBorders>
              <w:bottom w:val="single" w:sz="8" w:color="F79646"/>
            </w:tcBorders>
            <w:gridSpan w:val="2"/>
            <w:shd w:val="clear" w:color="auto" w:fill="FCDEC5"/>
          </w:tcPr>
          <w:p>
            <w:pPr>
              <w:ind w:left="100"/>
              <w:spacing w:after="0" w:line="144" w:lineRule="exact"/>
              <w:rPr>
                <w:sz w:val="20"/>
                <w:szCs w:val="20"/>
                <w:color w:val="auto"/>
              </w:rPr>
            </w:pPr>
            <w:r>
              <w:rPr>
                <w:rFonts w:ascii="Arial" w:cs="Arial" w:eastAsia="Arial" w:hAnsi="Arial"/>
                <w:sz w:val="13"/>
                <w:szCs w:val="13"/>
                <w:color w:val="auto"/>
              </w:rPr>
              <w:t>75% of base salary</w:t>
            </w:r>
          </w:p>
        </w:tc>
        <w:tc>
          <w:tcPr>
            <w:tcW w:w="2740" w:type="dxa"/>
            <w:vAlign w:val="bottom"/>
            <w:tcBorders>
              <w:bottom w:val="single" w:sz="8" w:color="F79646"/>
              <w:right w:val="single" w:sz="8" w:color="F79646"/>
            </w:tcBorders>
            <w:gridSpan w:val="3"/>
            <w:shd w:val="clear" w:color="auto" w:fill="FCDEC5"/>
          </w:tcPr>
          <w:p>
            <w:pPr>
              <w:ind w:left="120"/>
              <w:spacing w:after="0" w:line="144" w:lineRule="exact"/>
              <w:rPr>
                <w:sz w:val="20"/>
                <w:szCs w:val="20"/>
                <w:color w:val="auto"/>
              </w:rPr>
            </w:pPr>
            <w:r>
              <w:rPr>
                <w:rFonts w:ascii="Arial" w:cs="Arial" w:eastAsia="Arial" w:hAnsi="Arial"/>
                <w:sz w:val="13"/>
                <w:szCs w:val="13"/>
                <w:color w:val="auto"/>
              </w:rPr>
              <w:t>150% of base salary</w:t>
            </w:r>
          </w:p>
        </w:tc>
      </w:tr>
    </w:tbl>
    <w:p>
      <w:pPr>
        <w:spacing w:after="0" w:line="150" w:lineRule="exact"/>
        <w:rPr>
          <w:sz w:val="20"/>
          <w:szCs w:val="20"/>
          <w:color w:val="auto"/>
        </w:rPr>
      </w:pPr>
    </w:p>
    <w:p>
      <w:pPr>
        <w:ind w:left="960" w:right="199" w:hanging="381"/>
        <w:spacing w:after="0" w:line="257" w:lineRule="auto"/>
        <w:tabs>
          <w:tab w:leader="none" w:pos="960" w:val="left"/>
        </w:tabs>
        <w:numPr>
          <w:ilvl w:val="0"/>
          <w:numId w:val="65"/>
        </w:numPr>
        <w:rPr>
          <w:rFonts w:ascii="Arial" w:cs="Arial" w:eastAsia="Arial" w:hAnsi="Arial"/>
          <w:sz w:val="13"/>
          <w:szCs w:val="13"/>
          <w:color w:val="F79646"/>
        </w:rPr>
      </w:pPr>
      <w:r>
        <w:rPr>
          <w:rFonts w:ascii="Arial" w:cs="Arial" w:eastAsia="Arial" w:hAnsi="Arial"/>
          <w:sz w:val="13"/>
          <w:szCs w:val="13"/>
          <w:b w:val="1"/>
          <w:bCs w:val="1"/>
          <w:color w:val="auto"/>
        </w:rPr>
        <w:t xml:space="preserve">Performance Measures. </w:t>
      </w:r>
      <w:r>
        <w:rPr>
          <w:rFonts w:ascii="Arial" w:cs="Arial" w:eastAsia="Arial" w:hAnsi="Arial"/>
          <w:sz w:val="13"/>
          <w:szCs w:val="13"/>
          <w:color w:val="auto"/>
        </w:rPr>
        <w:t>Our executives were eligible to earn annual bonuses based on their achievement of company-wide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metrics, business line or other company performance metrics and individual performance, as described in the tables below.</w:t>
      </w:r>
    </w:p>
    <w:p>
      <w:pPr>
        <w:spacing w:after="0" w:line="127" w:lineRule="exact"/>
        <w:rPr>
          <w:sz w:val="20"/>
          <w:szCs w:val="20"/>
          <w:color w:val="auto"/>
        </w:rPr>
      </w:pPr>
    </w:p>
    <w:tbl>
      <w:tblPr>
        <w:tblLayout w:type="fixed"/>
        <w:tblInd w:w="1070" w:type="dxa"/>
        <w:tblCellMar>
          <w:top w:w="0" w:type="dxa"/>
          <w:left w:w="0" w:type="dxa"/>
          <w:bottom w:w="0" w:type="dxa"/>
          <w:right w:w="0" w:type="dxa"/>
        </w:tblCellMar>
      </w:tblPr>
      <w:tr>
        <w:trPr>
          <w:trHeight w:val="149"/>
        </w:trPr>
        <w:tc>
          <w:tcPr>
            <w:tcW w:w="340" w:type="dxa"/>
            <w:vAlign w:val="bottom"/>
            <w:tcBorders>
              <w:left w:val="single" w:sz="8" w:color="F79646"/>
            </w:tcBorders>
            <w:shd w:val="clear" w:color="auto" w:fill="F79646"/>
          </w:tcPr>
          <w:p>
            <w:pPr>
              <w:spacing w:after="0"/>
              <w:rPr>
                <w:sz w:val="12"/>
                <w:szCs w:val="12"/>
                <w:color w:val="auto"/>
              </w:rPr>
            </w:pPr>
          </w:p>
        </w:tc>
        <w:tc>
          <w:tcPr>
            <w:tcW w:w="280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96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82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700" w:type="dxa"/>
            <w:vAlign w:val="bottom"/>
            <w:tcBorders>
              <w:right w:val="single" w:sz="8" w:color="F79646"/>
            </w:tcBorders>
            <w:gridSpan w:val="2"/>
            <w:shd w:val="clear" w:color="auto" w:fill="F79646"/>
          </w:tcPr>
          <w:p>
            <w:pPr>
              <w:jc w:val="right"/>
              <w:ind w:right="260"/>
              <w:spacing w:after="0"/>
              <w:rPr>
                <w:sz w:val="20"/>
                <w:szCs w:val="20"/>
                <w:color w:val="auto"/>
              </w:rPr>
            </w:pPr>
            <w:r>
              <w:rPr>
                <w:rFonts w:ascii="Arial" w:cs="Arial" w:eastAsia="Arial" w:hAnsi="Arial"/>
                <w:sz w:val="13"/>
                <w:szCs w:val="13"/>
                <w:b w:val="1"/>
                <w:bCs w:val="1"/>
                <w:color w:val="FFFFFE"/>
                <w:w w:val="99"/>
              </w:rPr>
              <w:t>Business Line or Other</w:t>
            </w:r>
          </w:p>
        </w:tc>
      </w:tr>
      <w:tr>
        <w:trPr>
          <w:trHeight w:val="148"/>
        </w:trPr>
        <w:tc>
          <w:tcPr>
            <w:tcW w:w="340" w:type="dxa"/>
            <w:vAlign w:val="bottom"/>
            <w:tcBorders>
              <w:left w:val="single" w:sz="8" w:color="F79646"/>
            </w:tcBorders>
            <w:shd w:val="clear" w:color="auto" w:fill="F79646"/>
          </w:tcPr>
          <w:p>
            <w:pPr>
              <w:spacing w:after="0"/>
              <w:rPr>
                <w:sz w:val="12"/>
                <w:szCs w:val="12"/>
                <w:color w:val="auto"/>
              </w:rPr>
            </w:pPr>
          </w:p>
        </w:tc>
        <w:tc>
          <w:tcPr>
            <w:tcW w:w="280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060" w:type="dxa"/>
            <w:vAlign w:val="bottom"/>
            <w:gridSpan w:val="2"/>
            <w:shd w:val="clear" w:color="auto" w:fill="F79646"/>
          </w:tcPr>
          <w:p>
            <w:pPr>
              <w:ind w:left="20"/>
              <w:spacing w:after="0" w:line="148" w:lineRule="exact"/>
              <w:rPr>
                <w:sz w:val="20"/>
                <w:szCs w:val="20"/>
                <w:color w:val="auto"/>
              </w:rPr>
            </w:pPr>
            <w:r>
              <w:rPr>
                <w:rFonts w:ascii="Arial" w:cs="Arial" w:eastAsia="Arial" w:hAnsi="Arial"/>
                <w:sz w:val="13"/>
                <w:szCs w:val="13"/>
                <w:b w:val="1"/>
                <w:bCs w:val="1"/>
                <w:color w:val="FFFFFE"/>
              </w:rPr>
              <w:t>Company-Wide</w:t>
            </w:r>
          </w:p>
        </w:tc>
        <w:tc>
          <w:tcPr>
            <w:tcW w:w="940" w:type="dxa"/>
            <w:vAlign w:val="bottom"/>
            <w:gridSpan w:val="2"/>
            <w:shd w:val="clear" w:color="auto" w:fill="F79646"/>
          </w:tcPr>
          <w:p>
            <w:pPr>
              <w:jc w:val="right"/>
              <w:ind w:right="240"/>
              <w:spacing w:after="0" w:line="148" w:lineRule="exact"/>
              <w:rPr>
                <w:sz w:val="20"/>
                <w:szCs w:val="20"/>
                <w:color w:val="auto"/>
              </w:rPr>
            </w:pPr>
            <w:r>
              <w:rPr>
                <w:rFonts w:ascii="Arial" w:cs="Arial" w:eastAsia="Arial" w:hAnsi="Arial"/>
                <w:sz w:val="13"/>
                <w:szCs w:val="13"/>
                <w:b w:val="1"/>
                <w:bCs w:val="1"/>
                <w:color w:val="FFFFFE"/>
              </w:rPr>
              <w:t>Individual</w:t>
            </w:r>
          </w:p>
        </w:tc>
        <w:tc>
          <w:tcPr>
            <w:tcW w:w="1700" w:type="dxa"/>
            <w:vAlign w:val="bottom"/>
            <w:tcBorders>
              <w:right w:val="single" w:sz="8" w:color="F79646"/>
            </w:tcBorders>
            <w:gridSpan w:val="2"/>
            <w:shd w:val="clear" w:color="auto" w:fill="F79646"/>
          </w:tcPr>
          <w:p>
            <w:pPr>
              <w:jc w:val="right"/>
              <w:ind w:right="660"/>
              <w:spacing w:after="0" w:line="148" w:lineRule="exact"/>
              <w:rPr>
                <w:sz w:val="20"/>
                <w:szCs w:val="20"/>
                <w:color w:val="auto"/>
              </w:rPr>
            </w:pPr>
            <w:r>
              <w:rPr>
                <w:rFonts w:ascii="Arial" w:cs="Arial" w:eastAsia="Arial" w:hAnsi="Arial"/>
                <w:sz w:val="13"/>
                <w:szCs w:val="13"/>
                <w:b w:val="1"/>
                <w:bCs w:val="1"/>
                <w:color w:val="FFFFFE"/>
              </w:rPr>
              <w:t>Company</w:t>
            </w:r>
          </w:p>
        </w:tc>
      </w:tr>
      <w:tr>
        <w:trPr>
          <w:trHeight w:val="193"/>
        </w:trPr>
        <w:tc>
          <w:tcPr>
            <w:tcW w:w="340" w:type="dxa"/>
            <w:vAlign w:val="bottom"/>
            <w:tcBorders>
              <w:left w:val="single" w:sz="8" w:color="F79646"/>
              <w:bottom w:val="single" w:sz="8" w:color="F79646"/>
            </w:tcBorders>
            <w:shd w:val="clear" w:color="auto" w:fill="F79646"/>
          </w:tcPr>
          <w:p>
            <w:pPr>
              <w:spacing w:after="0"/>
              <w:rPr>
                <w:sz w:val="16"/>
                <w:szCs w:val="16"/>
                <w:color w:val="auto"/>
              </w:rPr>
            </w:pPr>
          </w:p>
        </w:tc>
        <w:tc>
          <w:tcPr>
            <w:tcW w:w="2800" w:type="dxa"/>
            <w:vAlign w:val="bottom"/>
            <w:tcBorders>
              <w:bottom w:val="single" w:sz="8" w:color="auto"/>
            </w:tcBorders>
            <w:shd w:val="clear" w:color="auto" w:fill="F79646"/>
          </w:tcPr>
          <w:p>
            <w:pPr>
              <w:ind w:left="1200"/>
              <w:spacing w:after="0"/>
              <w:rPr>
                <w:sz w:val="20"/>
                <w:szCs w:val="20"/>
                <w:color w:val="auto"/>
              </w:rPr>
            </w:pPr>
            <w:r>
              <w:rPr>
                <w:rFonts w:ascii="Arial" w:cs="Arial" w:eastAsia="Arial" w:hAnsi="Arial"/>
                <w:sz w:val="13"/>
                <w:szCs w:val="13"/>
                <w:b w:val="1"/>
                <w:bCs w:val="1"/>
                <w:color w:val="FFFFFE"/>
              </w:rPr>
              <w:t>Name</w:t>
            </w:r>
          </w:p>
        </w:tc>
        <w:tc>
          <w:tcPr>
            <w:tcW w:w="120" w:type="dxa"/>
            <w:vAlign w:val="bottom"/>
            <w:tcBorders>
              <w:bottom w:val="single" w:sz="8" w:color="F79646"/>
            </w:tcBorders>
            <w:shd w:val="clear" w:color="auto" w:fill="F79646"/>
          </w:tcPr>
          <w:p>
            <w:pPr>
              <w:spacing w:after="0"/>
              <w:rPr>
                <w:sz w:val="16"/>
                <w:szCs w:val="16"/>
                <w:color w:val="auto"/>
              </w:rPr>
            </w:pPr>
          </w:p>
        </w:tc>
        <w:tc>
          <w:tcPr>
            <w:tcW w:w="960" w:type="dxa"/>
            <w:vAlign w:val="bottom"/>
            <w:tcBorders>
              <w:bottom w:val="single" w:sz="8" w:color="auto"/>
            </w:tcBorders>
            <w:shd w:val="clear" w:color="auto" w:fill="F79646"/>
          </w:tcPr>
          <w:p>
            <w:pPr>
              <w:ind w:left="20"/>
              <w:spacing w:after="0" w:line="193" w:lineRule="exact"/>
              <w:rPr>
                <w:sz w:val="20"/>
                <w:szCs w:val="20"/>
                <w:color w:val="auto"/>
              </w:rPr>
            </w:pPr>
            <w:r>
              <w:rPr>
                <w:rFonts w:ascii="Arial" w:cs="Arial" w:eastAsia="Arial" w:hAnsi="Arial"/>
                <w:sz w:val="13"/>
                <w:szCs w:val="13"/>
                <w:b w:val="1"/>
                <w:bCs w:val="1"/>
                <w:color w:val="FFFFFE"/>
                <w:w w:val="96"/>
              </w:rPr>
              <w:t>Performance</w:t>
            </w:r>
            <w:r>
              <w:rPr>
                <w:rFonts w:ascii="Arial" w:cs="Arial" w:eastAsia="Arial" w:hAnsi="Arial"/>
                <w:sz w:val="20"/>
                <w:szCs w:val="20"/>
                <w:b w:val="1"/>
                <w:bCs w:val="1"/>
                <w:color w:val="FFFFFE"/>
                <w:w w:val="96"/>
                <w:vertAlign w:val="superscript"/>
              </w:rPr>
              <w:t>(1)</w:t>
            </w:r>
          </w:p>
        </w:tc>
        <w:tc>
          <w:tcPr>
            <w:tcW w:w="100" w:type="dxa"/>
            <w:vAlign w:val="bottom"/>
            <w:tcBorders>
              <w:bottom w:val="single" w:sz="8" w:color="F79646"/>
            </w:tcBorders>
            <w:shd w:val="clear" w:color="auto" w:fill="F79646"/>
          </w:tcPr>
          <w:p>
            <w:pPr>
              <w:spacing w:after="0"/>
              <w:rPr>
                <w:sz w:val="16"/>
                <w:szCs w:val="16"/>
                <w:color w:val="auto"/>
              </w:rPr>
            </w:pPr>
          </w:p>
        </w:tc>
        <w:tc>
          <w:tcPr>
            <w:tcW w:w="820" w:type="dxa"/>
            <w:vAlign w:val="bottom"/>
            <w:tcBorders>
              <w:bottom w:val="single" w:sz="8" w:color="auto"/>
            </w:tcBorders>
            <w:shd w:val="clear" w:color="auto" w:fill="F79646"/>
          </w:tcPr>
          <w:p>
            <w:pPr>
              <w:jc w:val="right"/>
              <w:spacing w:after="0"/>
              <w:rPr>
                <w:sz w:val="20"/>
                <w:szCs w:val="20"/>
                <w:color w:val="auto"/>
              </w:rPr>
            </w:pPr>
            <w:r>
              <w:rPr>
                <w:rFonts w:ascii="Arial" w:cs="Arial" w:eastAsia="Arial" w:hAnsi="Arial"/>
                <w:sz w:val="13"/>
                <w:szCs w:val="13"/>
                <w:b w:val="1"/>
                <w:bCs w:val="1"/>
                <w:color w:val="FFFFFE"/>
                <w:w w:val="95"/>
              </w:rPr>
              <w:t>Performance</w:t>
            </w:r>
          </w:p>
        </w:tc>
        <w:tc>
          <w:tcPr>
            <w:tcW w:w="120" w:type="dxa"/>
            <w:vAlign w:val="bottom"/>
            <w:tcBorders>
              <w:bottom w:val="single" w:sz="8" w:color="F79646"/>
            </w:tcBorders>
            <w:shd w:val="clear" w:color="auto" w:fill="F79646"/>
          </w:tcPr>
          <w:p>
            <w:pPr>
              <w:spacing w:after="0"/>
              <w:rPr>
                <w:sz w:val="16"/>
                <w:szCs w:val="16"/>
                <w:color w:val="auto"/>
              </w:rPr>
            </w:pPr>
          </w:p>
        </w:tc>
        <w:tc>
          <w:tcPr>
            <w:tcW w:w="1500" w:type="dxa"/>
            <w:vAlign w:val="bottom"/>
            <w:tcBorders>
              <w:bottom w:val="single" w:sz="8" w:color="auto"/>
            </w:tcBorders>
            <w:shd w:val="clear" w:color="auto" w:fill="F79646"/>
          </w:tcPr>
          <w:p>
            <w:pPr>
              <w:jc w:val="right"/>
              <w:ind w:right="257"/>
              <w:spacing w:after="0" w:line="193" w:lineRule="exact"/>
              <w:rPr>
                <w:sz w:val="20"/>
                <w:szCs w:val="20"/>
                <w:color w:val="auto"/>
              </w:rPr>
            </w:pPr>
            <w:r>
              <w:rPr>
                <w:rFonts w:ascii="Arial" w:cs="Arial" w:eastAsia="Arial" w:hAnsi="Arial"/>
                <w:sz w:val="13"/>
                <w:szCs w:val="13"/>
                <w:b w:val="1"/>
                <w:bCs w:val="1"/>
                <w:color w:val="FFFFFE"/>
              </w:rPr>
              <w:t>Performance</w:t>
            </w:r>
            <w:r>
              <w:rPr>
                <w:rFonts w:ascii="Arial" w:cs="Arial" w:eastAsia="Arial" w:hAnsi="Arial"/>
                <w:sz w:val="20"/>
                <w:szCs w:val="20"/>
                <w:b w:val="1"/>
                <w:bCs w:val="1"/>
                <w:color w:val="FFFFFE"/>
                <w:vertAlign w:val="superscript"/>
              </w:rPr>
              <w:t>(2)</w:t>
            </w:r>
          </w:p>
        </w:tc>
        <w:tc>
          <w:tcPr>
            <w:tcW w:w="200" w:type="dxa"/>
            <w:vAlign w:val="bottom"/>
            <w:tcBorders>
              <w:bottom w:val="single" w:sz="8" w:color="F79646"/>
              <w:right w:val="single" w:sz="8" w:color="F79646"/>
            </w:tcBorders>
            <w:shd w:val="clear" w:color="auto" w:fill="F79646"/>
          </w:tcPr>
          <w:p>
            <w:pPr>
              <w:spacing w:after="0"/>
              <w:rPr>
                <w:sz w:val="16"/>
                <w:szCs w:val="16"/>
                <w:color w:val="auto"/>
              </w:rPr>
            </w:pPr>
          </w:p>
        </w:tc>
      </w:tr>
      <w:tr>
        <w:trPr>
          <w:trHeight w:val="134"/>
        </w:trPr>
        <w:tc>
          <w:tcPr>
            <w:tcW w:w="3140" w:type="dxa"/>
            <w:vAlign w:val="bottom"/>
            <w:tcBorders>
              <w:left w:val="single" w:sz="8" w:color="F79646"/>
            </w:tcBorders>
            <w:gridSpan w:val="2"/>
            <w:shd w:val="clear" w:color="auto" w:fill="FCDEC5"/>
          </w:tcPr>
          <w:p>
            <w:pPr>
              <w:ind w:left="340"/>
              <w:spacing w:after="0" w:line="134" w:lineRule="exact"/>
              <w:rPr>
                <w:sz w:val="20"/>
                <w:szCs w:val="20"/>
                <w:color w:val="auto"/>
              </w:rPr>
            </w:pPr>
            <w:r>
              <w:rPr>
                <w:rFonts w:ascii="Arial" w:cs="Arial" w:eastAsia="Arial" w:hAnsi="Arial"/>
                <w:sz w:val="13"/>
                <w:szCs w:val="13"/>
                <w:color w:val="auto"/>
              </w:rPr>
              <w:t>Rohit Kapoor</w:t>
            </w:r>
          </w:p>
        </w:tc>
        <w:tc>
          <w:tcPr>
            <w:tcW w:w="1180" w:type="dxa"/>
            <w:vAlign w:val="bottom"/>
            <w:gridSpan w:val="3"/>
            <w:shd w:val="clear" w:color="auto" w:fill="FCDEC5"/>
          </w:tcPr>
          <w:p>
            <w:pPr>
              <w:jc w:val="right"/>
              <w:spacing w:after="0" w:line="134" w:lineRule="exact"/>
              <w:rPr>
                <w:sz w:val="20"/>
                <w:szCs w:val="20"/>
                <w:color w:val="auto"/>
              </w:rPr>
            </w:pPr>
            <w:r>
              <w:rPr>
                <w:rFonts w:ascii="Arial" w:cs="Arial" w:eastAsia="Arial" w:hAnsi="Arial"/>
                <w:sz w:val="13"/>
                <w:szCs w:val="13"/>
                <w:color w:val="auto"/>
              </w:rPr>
              <w:t>65%</w:t>
            </w:r>
          </w:p>
        </w:tc>
        <w:tc>
          <w:tcPr>
            <w:tcW w:w="940" w:type="dxa"/>
            <w:vAlign w:val="bottom"/>
            <w:gridSpan w:val="2"/>
            <w:shd w:val="clear" w:color="auto" w:fill="FCDEC5"/>
          </w:tcPr>
          <w:p>
            <w:pPr>
              <w:jc w:val="right"/>
              <w:ind w:right="20"/>
              <w:spacing w:after="0" w:line="134" w:lineRule="exact"/>
              <w:rPr>
                <w:sz w:val="20"/>
                <w:szCs w:val="20"/>
                <w:color w:val="auto"/>
              </w:rPr>
            </w:pPr>
            <w:r>
              <w:rPr>
                <w:rFonts w:ascii="Arial" w:cs="Arial" w:eastAsia="Arial" w:hAnsi="Arial"/>
                <w:sz w:val="13"/>
                <w:szCs w:val="13"/>
                <w:color w:val="auto"/>
              </w:rPr>
              <w:t>15%</w:t>
            </w:r>
          </w:p>
        </w:tc>
        <w:tc>
          <w:tcPr>
            <w:tcW w:w="1700" w:type="dxa"/>
            <w:vAlign w:val="bottom"/>
            <w:tcBorders>
              <w:right w:val="single" w:sz="8" w:color="F79646"/>
            </w:tcBorders>
            <w:gridSpan w:val="2"/>
            <w:shd w:val="clear" w:color="auto" w:fill="FCDEC5"/>
          </w:tcPr>
          <w:p>
            <w:pPr>
              <w:jc w:val="right"/>
              <w:ind w:right="80"/>
              <w:spacing w:after="0" w:line="134" w:lineRule="exact"/>
              <w:rPr>
                <w:sz w:val="20"/>
                <w:szCs w:val="20"/>
                <w:color w:val="auto"/>
              </w:rPr>
            </w:pPr>
            <w:r>
              <w:rPr>
                <w:rFonts w:ascii="Arial" w:cs="Arial" w:eastAsia="Arial" w:hAnsi="Arial"/>
                <w:sz w:val="13"/>
                <w:szCs w:val="13"/>
                <w:color w:val="auto"/>
              </w:rPr>
              <w:t>20%</w:t>
            </w:r>
          </w:p>
        </w:tc>
      </w:tr>
      <w:tr>
        <w:trPr>
          <w:trHeight w:val="144"/>
        </w:trPr>
        <w:tc>
          <w:tcPr>
            <w:tcW w:w="3140" w:type="dxa"/>
            <w:vAlign w:val="bottom"/>
            <w:tcBorders>
              <w:left w:val="single" w:sz="8" w:color="F79646"/>
            </w:tcBorders>
            <w:gridSpan w:val="2"/>
          </w:tcPr>
          <w:p>
            <w:pPr>
              <w:ind w:left="340"/>
              <w:spacing w:after="0" w:line="144" w:lineRule="exact"/>
              <w:rPr>
                <w:sz w:val="20"/>
                <w:szCs w:val="20"/>
                <w:color w:val="auto"/>
              </w:rPr>
            </w:pPr>
            <w:r>
              <w:rPr>
                <w:rFonts w:ascii="Arial" w:cs="Arial" w:eastAsia="Arial" w:hAnsi="Arial"/>
                <w:sz w:val="13"/>
                <w:szCs w:val="13"/>
                <w:color w:val="auto"/>
              </w:rPr>
              <w:t>Vishal Chhibbar</w:t>
            </w:r>
          </w:p>
        </w:tc>
        <w:tc>
          <w:tcPr>
            <w:tcW w:w="11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60%</w:t>
            </w:r>
          </w:p>
        </w:tc>
        <w:tc>
          <w:tcPr>
            <w:tcW w:w="9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20%</w:t>
            </w:r>
          </w:p>
        </w:tc>
        <w:tc>
          <w:tcPr>
            <w:tcW w:w="1700" w:type="dxa"/>
            <w:vAlign w:val="bottom"/>
            <w:tcBorders>
              <w:right w:val="single" w:sz="8" w:color="F79646"/>
            </w:tcBorders>
            <w:gridSpan w:val="2"/>
          </w:tcPr>
          <w:p>
            <w:pPr>
              <w:jc w:val="right"/>
              <w:ind w:right="80"/>
              <w:spacing w:after="0" w:line="144" w:lineRule="exact"/>
              <w:rPr>
                <w:sz w:val="20"/>
                <w:szCs w:val="20"/>
                <w:color w:val="auto"/>
              </w:rPr>
            </w:pPr>
            <w:r>
              <w:rPr>
                <w:rFonts w:ascii="Arial" w:cs="Arial" w:eastAsia="Arial" w:hAnsi="Arial"/>
                <w:sz w:val="13"/>
                <w:szCs w:val="13"/>
                <w:color w:val="auto"/>
              </w:rPr>
              <w:t>20%</w:t>
            </w:r>
          </w:p>
        </w:tc>
      </w:tr>
      <w:tr>
        <w:trPr>
          <w:trHeight w:val="144"/>
        </w:trPr>
        <w:tc>
          <w:tcPr>
            <w:tcW w:w="3140" w:type="dxa"/>
            <w:vAlign w:val="bottom"/>
            <w:tcBorders>
              <w:left w:val="single" w:sz="8" w:color="F79646"/>
            </w:tcBorders>
            <w:gridSpan w:val="2"/>
            <w:shd w:val="clear" w:color="auto" w:fill="FCDEC5"/>
          </w:tcPr>
          <w:p>
            <w:pPr>
              <w:ind w:left="340"/>
              <w:spacing w:after="0" w:line="144" w:lineRule="exact"/>
              <w:rPr>
                <w:sz w:val="20"/>
                <w:szCs w:val="20"/>
                <w:color w:val="auto"/>
              </w:rPr>
            </w:pPr>
            <w:r>
              <w:rPr>
                <w:rFonts w:ascii="Arial" w:cs="Arial" w:eastAsia="Arial" w:hAnsi="Arial"/>
                <w:sz w:val="13"/>
                <w:szCs w:val="13"/>
                <w:color w:val="auto"/>
              </w:rPr>
              <w:t>Pavan Bagai</w:t>
            </w:r>
          </w:p>
        </w:tc>
        <w:tc>
          <w:tcPr>
            <w:tcW w:w="1180" w:type="dxa"/>
            <w:vAlign w:val="bottom"/>
            <w:gridSpan w:val="3"/>
            <w:shd w:val="clear" w:color="auto" w:fill="FCDEC5"/>
          </w:tcPr>
          <w:p>
            <w:pPr>
              <w:jc w:val="right"/>
              <w:spacing w:after="0" w:line="144" w:lineRule="exact"/>
              <w:rPr>
                <w:sz w:val="20"/>
                <w:szCs w:val="20"/>
                <w:color w:val="auto"/>
              </w:rPr>
            </w:pPr>
            <w:r>
              <w:rPr>
                <w:rFonts w:ascii="Arial" w:cs="Arial" w:eastAsia="Arial" w:hAnsi="Arial"/>
                <w:sz w:val="13"/>
                <w:szCs w:val="13"/>
                <w:color w:val="auto"/>
              </w:rPr>
              <w:t>65%</w:t>
            </w:r>
          </w:p>
        </w:tc>
        <w:tc>
          <w:tcPr>
            <w:tcW w:w="940" w:type="dxa"/>
            <w:vAlign w:val="bottom"/>
            <w:gridSpan w:val="2"/>
            <w:shd w:val="clear" w:color="auto" w:fill="FCDEC5"/>
          </w:tcPr>
          <w:p>
            <w:pPr>
              <w:jc w:val="right"/>
              <w:ind w:right="20"/>
              <w:spacing w:after="0" w:line="144" w:lineRule="exact"/>
              <w:rPr>
                <w:sz w:val="20"/>
                <w:szCs w:val="20"/>
                <w:color w:val="auto"/>
              </w:rPr>
            </w:pPr>
            <w:r>
              <w:rPr>
                <w:rFonts w:ascii="Arial" w:cs="Arial" w:eastAsia="Arial" w:hAnsi="Arial"/>
                <w:sz w:val="13"/>
                <w:szCs w:val="13"/>
                <w:color w:val="auto"/>
              </w:rPr>
              <w:t>15%</w:t>
            </w:r>
          </w:p>
        </w:tc>
        <w:tc>
          <w:tcPr>
            <w:tcW w:w="1700" w:type="dxa"/>
            <w:vAlign w:val="bottom"/>
            <w:tcBorders>
              <w:right w:val="single" w:sz="8" w:color="F79646"/>
            </w:tcBorders>
            <w:gridSpan w:val="2"/>
            <w:shd w:val="clear" w:color="auto" w:fill="FCDEC5"/>
          </w:tcPr>
          <w:p>
            <w:pPr>
              <w:jc w:val="right"/>
              <w:ind w:right="80"/>
              <w:spacing w:after="0" w:line="144" w:lineRule="exact"/>
              <w:rPr>
                <w:sz w:val="20"/>
                <w:szCs w:val="20"/>
                <w:color w:val="auto"/>
              </w:rPr>
            </w:pPr>
            <w:r>
              <w:rPr>
                <w:rFonts w:ascii="Arial" w:cs="Arial" w:eastAsia="Arial" w:hAnsi="Arial"/>
                <w:sz w:val="13"/>
                <w:szCs w:val="13"/>
                <w:color w:val="auto"/>
              </w:rPr>
              <w:t>20%</w:t>
            </w:r>
          </w:p>
        </w:tc>
      </w:tr>
      <w:tr>
        <w:trPr>
          <w:trHeight w:val="144"/>
        </w:trPr>
        <w:tc>
          <w:tcPr>
            <w:tcW w:w="3140" w:type="dxa"/>
            <w:vAlign w:val="bottom"/>
            <w:tcBorders>
              <w:left w:val="single" w:sz="8" w:color="F79646"/>
            </w:tcBorders>
            <w:gridSpan w:val="2"/>
          </w:tcPr>
          <w:p>
            <w:pPr>
              <w:ind w:left="340"/>
              <w:spacing w:after="0" w:line="144" w:lineRule="exact"/>
              <w:rPr>
                <w:sz w:val="20"/>
                <w:szCs w:val="20"/>
                <w:color w:val="auto"/>
              </w:rPr>
            </w:pPr>
            <w:r>
              <w:rPr>
                <w:rFonts w:ascii="Arial" w:cs="Arial" w:eastAsia="Arial" w:hAnsi="Arial"/>
                <w:sz w:val="13"/>
                <w:szCs w:val="13"/>
                <w:color w:val="auto"/>
              </w:rPr>
              <w:t>Nagaraja Srivatsan</w:t>
            </w:r>
          </w:p>
        </w:tc>
        <w:tc>
          <w:tcPr>
            <w:tcW w:w="118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60%</w:t>
            </w:r>
          </w:p>
        </w:tc>
        <w:tc>
          <w:tcPr>
            <w:tcW w:w="9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20%</w:t>
            </w:r>
          </w:p>
        </w:tc>
        <w:tc>
          <w:tcPr>
            <w:tcW w:w="1700" w:type="dxa"/>
            <w:vAlign w:val="bottom"/>
            <w:tcBorders>
              <w:right w:val="single" w:sz="8" w:color="F79646"/>
            </w:tcBorders>
            <w:gridSpan w:val="2"/>
          </w:tcPr>
          <w:p>
            <w:pPr>
              <w:jc w:val="right"/>
              <w:ind w:right="80"/>
              <w:spacing w:after="0" w:line="144" w:lineRule="exact"/>
              <w:rPr>
                <w:sz w:val="20"/>
                <w:szCs w:val="20"/>
                <w:color w:val="auto"/>
              </w:rPr>
            </w:pPr>
            <w:r>
              <w:rPr>
                <w:rFonts w:ascii="Arial" w:cs="Arial" w:eastAsia="Arial" w:hAnsi="Arial"/>
                <w:sz w:val="13"/>
                <w:szCs w:val="13"/>
                <w:color w:val="auto"/>
              </w:rPr>
              <w:t>20%</w:t>
            </w:r>
          </w:p>
        </w:tc>
      </w:tr>
      <w:tr>
        <w:trPr>
          <w:trHeight w:val="144"/>
        </w:trPr>
        <w:tc>
          <w:tcPr>
            <w:tcW w:w="3140" w:type="dxa"/>
            <w:vAlign w:val="bottom"/>
            <w:tcBorders>
              <w:left w:val="single" w:sz="8" w:color="F79646"/>
              <w:bottom w:val="single" w:sz="8" w:color="F79646"/>
            </w:tcBorders>
            <w:gridSpan w:val="2"/>
            <w:shd w:val="clear" w:color="auto" w:fill="FCDEC5"/>
          </w:tcPr>
          <w:p>
            <w:pPr>
              <w:ind w:left="340"/>
              <w:spacing w:after="0" w:line="144" w:lineRule="exact"/>
              <w:rPr>
                <w:sz w:val="20"/>
                <w:szCs w:val="20"/>
                <w:color w:val="auto"/>
              </w:rPr>
            </w:pPr>
            <w:r>
              <w:rPr>
                <w:rFonts w:ascii="Arial" w:cs="Arial" w:eastAsia="Arial" w:hAnsi="Arial"/>
                <w:sz w:val="13"/>
                <w:szCs w:val="13"/>
                <w:color w:val="auto"/>
              </w:rPr>
              <w:t>Nalin Miglani</w:t>
            </w:r>
          </w:p>
        </w:tc>
        <w:tc>
          <w:tcPr>
            <w:tcW w:w="1180" w:type="dxa"/>
            <w:vAlign w:val="bottom"/>
            <w:tcBorders>
              <w:bottom w:val="single" w:sz="8" w:color="F79646"/>
            </w:tcBorders>
            <w:gridSpan w:val="3"/>
            <w:shd w:val="clear" w:color="auto" w:fill="FCDEC5"/>
          </w:tcPr>
          <w:p>
            <w:pPr>
              <w:jc w:val="right"/>
              <w:spacing w:after="0" w:line="144" w:lineRule="exact"/>
              <w:rPr>
                <w:sz w:val="20"/>
                <w:szCs w:val="20"/>
                <w:color w:val="auto"/>
              </w:rPr>
            </w:pPr>
            <w:r>
              <w:rPr>
                <w:rFonts w:ascii="Arial" w:cs="Arial" w:eastAsia="Arial" w:hAnsi="Arial"/>
                <w:sz w:val="13"/>
                <w:szCs w:val="13"/>
                <w:color w:val="auto"/>
              </w:rPr>
              <w:t>60%</w:t>
            </w:r>
          </w:p>
        </w:tc>
        <w:tc>
          <w:tcPr>
            <w:tcW w:w="940" w:type="dxa"/>
            <w:vAlign w:val="bottom"/>
            <w:tcBorders>
              <w:bottom w:val="single" w:sz="8" w:color="F79646"/>
            </w:tcBorders>
            <w:gridSpan w:val="2"/>
            <w:shd w:val="clear" w:color="auto" w:fill="FCDEC5"/>
          </w:tcPr>
          <w:p>
            <w:pPr>
              <w:jc w:val="right"/>
              <w:ind w:right="20"/>
              <w:spacing w:after="0" w:line="144" w:lineRule="exact"/>
              <w:rPr>
                <w:sz w:val="20"/>
                <w:szCs w:val="20"/>
                <w:color w:val="auto"/>
              </w:rPr>
            </w:pPr>
            <w:r>
              <w:rPr>
                <w:rFonts w:ascii="Arial" w:cs="Arial" w:eastAsia="Arial" w:hAnsi="Arial"/>
                <w:sz w:val="13"/>
                <w:szCs w:val="13"/>
                <w:color w:val="auto"/>
              </w:rPr>
              <w:t>20%</w:t>
            </w:r>
          </w:p>
        </w:tc>
        <w:tc>
          <w:tcPr>
            <w:tcW w:w="1700" w:type="dxa"/>
            <w:vAlign w:val="bottom"/>
            <w:tcBorders>
              <w:bottom w:val="single" w:sz="8" w:color="F79646"/>
              <w:right w:val="single" w:sz="8" w:color="F79646"/>
            </w:tcBorders>
            <w:gridSpan w:val="2"/>
            <w:shd w:val="clear" w:color="auto" w:fill="FCDEC5"/>
          </w:tcPr>
          <w:p>
            <w:pPr>
              <w:jc w:val="right"/>
              <w:ind w:right="80"/>
              <w:spacing w:after="0" w:line="144" w:lineRule="exact"/>
              <w:rPr>
                <w:sz w:val="20"/>
                <w:szCs w:val="20"/>
                <w:color w:val="auto"/>
              </w:rPr>
            </w:pPr>
            <w:r>
              <w:rPr>
                <w:rFonts w:ascii="Arial" w:cs="Arial" w:eastAsia="Arial" w:hAnsi="Arial"/>
                <w:sz w:val="13"/>
                <w:szCs w:val="13"/>
                <w:color w:val="auto"/>
              </w:rPr>
              <w:t>20%</w:t>
            </w:r>
          </w:p>
        </w:tc>
      </w:tr>
    </w:tbl>
    <w:p>
      <w:pPr>
        <w:spacing w:after="0" w:line="156" w:lineRule="exact"/>
        <w:rPr>
          <w:sz w:val="20"/>
          <w:szCs w:val="20"/>
          <w:color w:val="auto"/>
        </w:rPr>
      </w:pPr>
    </w:p>
    <w:p>
      <w:pPr>
        <w:ind w:left="1440" w:right="199" w:hanging="382"/>
        <w:spacing w:after="0" w:line="231" w:lineRule="auto"/>
        <w:tabs>
          <w:tab w:leader="none" w:pos="14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50% on the Company's Adjusted PBT goal and 50% on the Company's revenue goal, for all employees whose incentive bonus is linked to Company-wide financial performance, including our named executive officers.</w:t>
      </w:r>
    </w:p>
    <w:p>
      <w:pPr>
        <w:ind w:left="1440" w:right="199" w:hanging="382"/>
        <w:spacing w:after="0" w:line="235" w:lineRule="auto"/>
        <w:tabs>
          <w:tab w:leader="none" w:pos="14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total revenue and business operating income for specific business units. Business operating income is a component for measuring business unit performance that is computed as the business unit's gross margin less direct operating expenses.</w:t>
      </w:r>
    </w:p>
    <w:p>
      <w:pPr>
        <w:spacing w:after="0" w:line="150"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In 2018, the Compensation Committee continued to set the business line and other Company performance goals as well as the individual performance goals described above for all named executive officers to ensure the executives were properly focused on both the Company's Adjusted PBT and revenue goals, aggregate of business units' performance on revenue and Adjusted PBT goals and other areas of performance that are unique to their positions within the organization. We decided to move away from basing our annual bonus in part on Adjusted EPS and, instead, to base it in part on Adjusted PBT targets because of the uncertain effect of proposed U.S. tax reforms on the Company and the Adjusted EPS calculation. Adjusted PBT, by its nature, is a measure that is unaffected by the then-current year's taxation. The Compensation Committee believes achievement of these performance metrics will drive our business and, in turn, lead to increased stockholder value.</w:t>
      </w:r>
    </w:p>
    <w:p>
      <w:pPr>
        <w:spacing w:after="0" w:line="147" w:lineRule="exact"/>
        <w:rPr>
          <w:sz w:val="20"/>
          <w:szCs w:val="20"/>
          <w:color w:val="auto"/>
        </w:rPr>
      </w:pPr>
    </w:p>
    <w:p>
      <w:pPr>
        <w:ind w:left="960" w:right="179" w:hanging="381"/>
        <w:spacing w:after="0" w:line="257" w:lineRule="auto"/>
        <w:tabs>
          <w:tab w:leader="none" w:pos="960" w:val="left"/>
        </w:tabs>
        <w:numPr>
          <w:ilvl w:val="0"/>
          <w:numId w:val="67"/>
        </w:numPr>
        <w:rPr>
          <w:rFonts w:ascii="Arial" w:cs="Arial" w:eastAsia="Arial" w:hAnsi="Arial"/>
          <w:sz w:val="13"/>
          <w:szCs w:val="13"/>
          <w:color w:val="F79646"/>
        </w:rPr>
      </w:pPr>
      <w:r>
        <w:rPr>
          <w:rFonts w:ascii="Arial" w:cs="Arial" w:eastAsia="Arial" w:hAnsi="Arial"/>
          <w:sz w:val="13"/>
          <w:szCs w:val="13"/>
          <w:b w:val="1"/>
          <w:bCs w:val="1"/>
          <w:color w:val="auto"/>
        </w:rPr>
        <w:t xml:space="preserve">Determination of Financial Performance Achievement. </w:t>
      </w:r>
      <w:r>
        <w:rPr>
          <w:rFonts w:ascii="Arial" w:cs="Arial" w:eastAsia="Arial" w:hAnsi="Arial"/>
          <w:sz w:val="13"/>
          <w:szCs w:val="13"/>
          <w:color w:val="auto"/>
        </w:rPr>
        <w:t>In 2018, the portion of incentive bonus payments that were subject to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measures could have</w:t>
      </w:r>
    </w:p>
    <w:p>
      <w:pPr>
        <w:sectPr>
          <w:pgSz w:w="11900" w:h="16838" w:orient="portrait"/>
          <w:cols w:equalWidth="0" w:num="1">
            <w:col w:w="9019"/>
          </w:cols>
          <w:pgMar w:left="1440" w:top="295"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25" w:name="page26"/>
    <w:bookmarkEnd w:id="25"/>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ranged from zero to 200% of target depending on the achievement of performance goals, as follows:</w:t>
      </w:r>
    </w:p>
    <w:p>
      <w:pPr>
        <w:spacing w:after="0" w:line="147" w:lineRule="exact"/>
        <w:rPr>
          <w:sz w:val="20"/>
          <w:szCs w:val="20"/>
          <w:color w:val="auto"/>
        </w:rPr>
      </w:pPr>
    </w:p>
    <w:tbl>
      <w:tblPr>
        <w:tblLayout w:type="fixed"/>
        <w:tblInd w:w="210" w:type="dxa"/>
        <w:tblCellMar>
          <w:top w:w="0" w:type="dxa"/>
          <w:left w:w="0" w:type="dxa"/>
          <w:bottom w:w="0" w:type="dxa"/>
          <w:right w:w="0" w:type="dxa"/>
        </w:tblCellMar>
      </w:tblPr>
      <w:tr>
        <w:trPr>
          <w:trHeight w:val="288"/>
        </w:trPr>
        <w:tc>
          <w:tcPr>
            <w:tcW w:w="180" w:type="dxa"/>
            <w:vAlign w:val="bottom"/>
            <w:tcBorders>
              <w:left w:val="single" w:sz="8" w:color="F79646"/>
              <w:bottom w:val="single" w:sz="8" w:color="F79646"/>
            </w:tcBorders>
            <w:shd w:val="clear" w:color="auto" w:fill="F79646"/>
          </w:tcPr>
          <w:p>
            <w:pPr>
              <w:spacing w:after="0"/>
              <w:rPr>
                <w:sz w:val="24"/>
                <w:szCs w:val="24"/>
                <w:color w:val="auto"/>
              </w:rPr>
            </w:pPr>
          </w:p>
        </w:tc>
        <w:tc>
          <w:tcPr>
            <w:tcW w:w="4060" w:type="dxa"/>
            <w:vAlign w:val="bottom"/>
            <w:tcBorders>
              <w:bottom w:val="single" w:sz="8" w:color="auto"/>
            </w:tcBorders>
            <w:gridSpan w:val="2"/>
            <w:shd w:val="clear" w:color="auto" w:fill="F79646"/>
          </w:tcPr>
          <w:p>
            <w:pPr>
              <w:ind w:left="1400"/>
              <w:spacing w:after="0"/>
              <w:rPr>
                <w:sz w:val="20"/>
                <w:szCs w:val="20"/>
                <w:color w:val="auto"/>
              </w:rPr>
            </w:pPr>
            <w:r>
              <w:rPr>
                <w:rFonts w:ascii="Arial" w:cs="Arial" w:eastAsia="Arial" w:hAnsi="Arial"/>
                <w:sz w:val="13"/>
                <w:szCs w:val="13"/>
                <w:b w:val="1"/>
                <w:bCs w:val="1"/>
                <w:color w:val="FFFFFE"/>
              </w:rPr>
              <w:t>Adjusted PBT Goals</w:t>
            </w:r>
          </w:p>
        </w:tc>
        <w:tc>
          <w:tcPr>
            <w:tcW w:w="120" w:type="dxa"/>
            <w:vAlign w:val="bottom"/>
            <w:tcBorders>
              <w:bottom w:val="single" w:sz="8" w:color="F79646"/>
            </w:tcBorders>
            <w:shd w:val="clear" w:color="auto" w:fill="F79646"/>
          </w:tcPr>
          <w:p>
            <w:pPr>
              <w:spacing w:after="0"/>
              <w:rPr>
                <w:sz w:val="24"/>
                <w:szCs w:val="24"/>
                <w:color w:val="auto"/>
              </w:rPr>
            </w:pPr>
          </w:p>
        </w:tc>
        <w:tc>
          <w:tcPr>
            <w:tcW w:w="4080" w:type="dxa"/>
            <w:vAlign w:val="bottom"/>
            <w:tcBorders>
              <w:bottom w:val="single" w:sz="8" w:color="auto"/>
            </w:tcBorders>
            <w:gridSpan w:val="2"/>
            <w:shd w:val="clear" w:color="auto" w:fill="F79646"/>
          </w:tcPr>
          <w:p>
            <w:pPr>
              <w:ind w:left="1560"/>
              <w:spacing w:after="0"/>
              <w:rPr>
                <w:sz w:val="20"/>
                <w:szCs w:val="20"/>
                <w:color w:val="auto"/>
              </w:rPr>
            </w:pPr>
            <w:r>
              <w:rPr>
                <w:rFonts w:ascii="Arial" w:cs="Arial" w:eastAsia="Arial" w:hAnsi="Arial"/>
                <w:sz w:val="13"/>
                <w:szCs w:val="13"/>
                <w:b w:val="1"/>
                <w:bCs w:val="1"/>
                <w:color w:val="FFFFFE"/>
              </w:rPr>
              <w:t>Revenue Goals</w:t>
            </w:r>
          </w:p>
        </w:tc>
        <w:tc>
          <w:tcPr>
            <w:tcW w:w="200" w:type="dxa"/>
            <w:vAlign w:val="bottom"/>
            <w:tcBorders>
              <w:bottom w:val="single" w:sz="8" w:color="F79646"/>
              <w:right w:val="single" w:sz="8" w:color="F79646"/>
            </w:tcBorders>
            <w:shd w:val="clear" w:color="auto" w:fill="F79646"/>
          </w:tcPr>
          <w:p>
            <w:pPr>
              <w:spacing w:after="0"/>
              <w:rPr>
                <w:sz w:val="24"/>
                <w:szCs w:val="24"/>
                <w:color w:val="auto"/>
              </w:rPr>
            </w:pPr>
          </w:p>
        </w:tc>
      </w:tr>
      <w:tr>
        <w:trPr>
          <w:trHeight w:val="98"/>
        </w:trPr>
        <w:tc>
          <w:tcPr>
            <w:tcW w:w="180" w:type="dxa"/>
            <w:vAlign w:val="bottom"/>
            <w:tcBorders>
              <w:left w:val="single" w:sz="8" w:color="F79646"/>
            </w:tcBorders>
            <w:shd w:val="clear" w:color="auto" w:fill="FCDEC5"/>
          </w:tcPr>
          <w:p>
            <w:pPr>
              <w:spacing w:after="0"/>
              <w:rPr>
                <w:sz w:val="8"/>
                <w:szCs w:val="8"/>
                <w:color w:val="auto"/>
              </w:rPr>
            </w:pPr>
          </w:p>
        </w:tc>
        <w:tc>
          <w:tcPr>
            <w:tcW w:w="1920" w:type="dxa"/>
            <w:vAlign w:val="bottom"/>
            <w:shd w:val="clear" w:color="auto" w:fill="FCDEC5"/>
          </w:tcPr>
          <w:p>
            <w:pPr>
              <w:jc w:val="center"/>
              <w:spacing w:after="0" w:line="98" w:lineRule="exact"/>
              <w:rPr>
                <w:sz w:val="20"/>
                <w:szCs w:val="20"/>
                <w:color w:val="auto"/>
              </w:rPr>
            </w:pPr>
            <w:r>
              <w:rPr>
                <w:rFonts w:ascii="Arial" w:cs="Arial" w:eastAsia="Arial" w:hAnsi="Arial"/>
                <w:sz w:val="10"/>
                <w:szCs w:val="10"/>
                <w:b w:val="1"/>
                <w:bCs w:val="1"/>
                <w:color w:val="auto"/>
              </w:rPr>
              <w:t>% of Adjusted PBT Achieved</w:t>
            </w:r>
          </w:p>
        </w:tc>
        <w:tc>
          <w:tcPr>
            <w:tcW w:w="2140" w:type="dxa"/>
            <w:vAlign w:val="bottom"/>
            <w:shd w:val="clear" w:color="auto" w:fill="FCDEC5"/>
          </w:tcPr>
          <w:p>
            <w:pPr>
              <w:jc w:val="center"/>
              <w:ind w:left="109"/>
              <w:spacing w:after="0" w:line="98" w:lineRule="exact"/>
              <w:rPr>
                <w:sz w:val="20"/>
                <w:szCs w:val="20"/>
                <w:color w:val="auto"/>
              </w:rPr>
            </w:pPr>
            <w:r>
              <w:rPr>
                <w:rFonts w:ascii="Arial" w:cs="Arial" w:eastAsia="Arial" w:hAnsi="Arial"/>
                <w:sz w:val="10"/>
                <w:szCs w:val="10"/>
                <w:b w:val="1"/>
                <w:bCs w:val="1"/>
                <w:color w:val="auto"/>
              </w:rPr>
              <w:t>% of Target Portion</w:t>
            </w:r>
          </w:p>
        </w:tc>
        <w:tc>
          <w:tcPr>
            <w:tcW w:w="120" w:type="dxa"/>
            <w:vAlign w:val="bottom"/>
            <w:shd w:val="clear" w:color="auto" w:fill="FCDEC5"/>
          </w:tcPr>
          <w:p>
            <w:pPr>
              <w:spacing w:after="0"/>
              <w:rPr>
                <w:sz w:val="8"/>
                <w:szCs w:val="8"/>
                <w:color w:val="auto"/>
              </w:rPr>
            </w:pPr>
          </w:p>
        </w:tc>
        <w:tc>
          <w:tcPr>
            <w:tcW w:w="1900" w:type="dxa"/>
            <w:vAlign w:val="bottom"/>
            <w:shd w:val="clear" w:color="auto" w:fill="FCDEC5"/>
          </w:tcPr>
          <w:p>
            <w:pPr>
              <w:jc w:val="center"/>
              <w:ind w:left="27"/>
              <w:spacing w:after="0" w:line="98" w:lineRule="exact"/>
              <w:rPr>
                <w:sz w:val="20"/>
                <w:szCs w:val="20"/>
                <w:color w:val="auto"/>
              </w:rPr>
            </w:pPr>
            <w:r>
              <w:rPr>
                <w:rFonts w:ascii="Arial" w:cs="Arial" w:eastAsia="Arial" w:hAnsi="Arial"/>
                <w:sz w:val="10"/>
                <w:szCs w:val="10"/>
                <w:b w:val="1"/>
                <w:bCs w:val="1"/>
                <w:color w:val="auto"/>
              </w:rPr>
              <w:t>% of Revenues Achieved</w:t>
            </w:r>
          </w:p>
        </w:tc>
        <w:tc>
          <w:tcPr>
            <w:tcW w:w="2380" w:type="dxa"/>
            <w:vAlign w:val="bottom"/>
            <w:tcBorders>
              <w:right w:val="single" w:sz="8" w:color="F79646"/>
            </w:tcBorders>
            <w:gridSpan w:val="2"/>
            <w:shd w:val="clear" w:color="auto" w:fill="FCDEC5"/>
          </w:tcPr>
          <w:p>
            <w:pPr>
              <w:jc w:val="center"/>
              <w:spacing w:after="0" w:line="98" w:lineRule="exact"/>
              <w:rPr>
                <w:sz w:val="20"/>
                <w:szCs w:val="20"/>
                <w:color w:val="auto"/>
              </w:rPr>
            </w:pPr>
            <w:r>
              <w:rPr>
                <w:rFonts w:ascii="Arial" w:cs="Arial" w:eastAsia="Arial" w:hAnsi="Arial"/>
                <w:sz w:val="10"/>
                <w:szCs w:val="10"/>
                <w:b w:val="1"/>
                <w:bCs w:val="1"/>
                <w:color w:val="auto"/>
              </w:rPr>
              <w:t>% of Target Portion</w:t>
            </w:r>
          </w:p>
        </w:tc>
      </w:tr>
      <w:tr>
        <w:trPr>
          <w:trHeight w:val="124"/>
        </w:trPr>
        <w:tc>
          <w:tcPr>
            <w:tcW w:w="180" w:type="dxa"/>
            <w:vAlign w:val="bottom"/>
            <w:tcBorders>
              <w:left w:val="single" w:sz="8" w:color="F79646"/>
            </w:tcBorders>
            <w:shd w:val="clear" w:color="auto" w:fill="FCDEC5"/>
          </w:tcPr>
          <w:p>
            <w:pPr>
              <w:spacing w:after="0"/>
              <w:rPr>
                <w:sz w:val="10"/>
                <w:szCs w:val="10"/>
                <w:color w:val="auto"/>
              </w:rPr>
            </w:pPr>
          </w:p>
        </w:tc>
        <w:tc>
          <w:tcPr>
            <w:tcW w:w="1920" w:type="dxa"/>
            <w:vAlign w:val="bottom"/>
            <w:shd w:val="clear" w:color="auto" w:fill="FCDEC5"/>
          </w:tcPr>
          <w:p>
            <w:pPr>
              <w:jc w:val="center"/>
              <w:spacing w:after="0"/>
              <w:rPr>
                <w:sz w:val="20"/>
                <w:szCs w:val="20"/>
                <w:color w:val="auto"/>
              </w:rPr>
            </w:pPr>
            <w:r>
              <w:rPr>
                <w:rFonts w:ascii="Arial" w:cs="Arial" w:eastAsia="Arial" w:hAnsi="Arial"/>
                <w:sz w:val="10"/>
                <w:szCs w:val="10"/>
                <w:b w:val="1"/>
                <w:bCs w:val="1"/>
                <w:color w:val="auto"/>
              </w:rPr>
              <w:t>Compared to Target Goal</w:t>
            </w:r>
          </w:p>
        </w:tc>
        <w:tc>
          <w:tcPr>
            <w:tcW w:w="2140" w:type="dxa"/>
            <w:vAlign w:val="bottom"/>
            <w:shd w:val="clear" w:color="auto" w:fill="FCDEC5"/>
          </w:tcPr>
          <w:p>
            <w:pPr>
              <w:jc w:val="center"/>
              <w:ind w:left="109"/>
              <w:spacing w:after="0"/>
              <w:rPr>
                <w:sz w:val="20"/>
                <w:szCs w:val="20"/>
                <w:color w:val="auto"/>
              </w:rPr>
            </w:pPr>
            <w:r>
              <w:rPr>
                <w:rFonts w:ascii="Arial" w:cs="Arial" w:eastAsia="Arial" w:hAnsi="Arial"/>
                <w:sz w:val="10"/>
                <w:szCs w:val="10"/>
                <w:b w:val="1"/>
                <w:bCs w:val="1"/>
                <w:color w:val="auto"/>
              </w:rPr>
              <w:t>Funded</w:t>
            </w:r>
          </w:p>
        </w:tc>
        <w:tc>
          <w:tcPr>
            <w:tcW w:w="120" w:type="dxa"/>
            <w:vAlign w:val="bottom"/>
            <w:shd w:val="clear" w:color="auto" w:fill="FCDEC5"/>
          </w:tcPr>
          <w:p>
            <w:pPr>
              <w:spacing w:after="0"/>
              <w:rPr>
                <w:sz w:val="10"/>
                <w:szCs w:val="10"/>
                <w:color w:val="auto"/>
              </w:rPr>
            </w:pPr>
          </w:p>
        </w:tc>
        <w:tc>
          <w:tcPr>
            <w:tcW w:w="1900" w:type="dxa"/>
            <w:vAlign w:val="bottom"/>
            <w:shd w:val="clear" w:color="auto" w:fill="FCDEC5"/>
          </w:tcPr>
          <w:p>
            <w:pPr>
              <w:jc w:val="center"/>
              <w:ind w:left="27"/>
              <w:spacing w:after="0"/>
              <w:rPr>
                <w:sz w:val="20"/>
                <w:szCs w:val="20"/>
                <w:color w:val="auto"/>
              </w:rPr>
            </w:pPr>
            <w:r>
              <w:rPr>
                <w:rFonts w:ascii="Arial" w:cs="Arial" w:eastAsia="Arial" w:hAnsi="Arial"/>
                <w:sz w:val="10"/>
                <w:szCs w:val="10"/>
                <w:b w:val="1"/>
                <w:bCs w:val="1"/>
                <w:color w:val="auto"/>
              </w:rPr>
              <w:t>Compared to Target Goal</w:t>
            </w:r>
          </w:p>
        </w:tc>
        <w:tc>
          <w:tcPr>
            <w:tcW w:w="2380" w:type="dxa"/>
            <w:vAlign w:val="bottom"/>
            <w:tcBorders>
              <w:right w:val="single" w:sz="8" w:color="F79646"/>
            </w:tcBorders>
            <w:gridSpan w:val="2"/>
            <w:shd w:val="clear" w:color="auto" w:fill="FCDEC5"/>
          </w:tcPr>
          <w:p>
            <w:pPr>
              <w:jc w:val="center"/>
              <w:spacing w:after="0"/>
              <w:rPr>
                <w:sz w:val="20"/>
                <w:szCs w:val="20"/>
                <w:color w:val="auto"/>
              </w:rPr>
            </w:pPr>
            <w:r>
              <w:rPr>
                <w:rFonts w:ascii="Arial" w:cs="Arial" w:eastAsia="Arial" w:hAnsi="Arial"/>
                <w:sz w:val="10"/>
                <w:szCs w:val="10"/>
                <w:b w:val="1"/>
                <w:bCs w:val="1"/>
                <w:color w:val="auto"/>
              </w:rPr>
              <w:t>Funded</w:t>
            </w:r>
          </w:p>
        </w:tc>
      </w:tr>
      <w:tr>
        <w:trPr>
          <w:trHeight w:val="116"/>
        </w:trPr>
        <w:tc>
          <w:tcPr>
            <w:tcW w:w="180" w:type="dxa"/>
            <w:vAlign w:val="bottom"/>
            <w:tcBorders>
              <w:left w:val="single" w:sz="8" w:color="F79646"/>
            </w:tcBorders>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color w:val="auto"/>
              </w:rPr>
              <w:t>Less than 90%</w:t>
            </w:r>
          </w:p>
        </w:tc>
        <w:tc>
          <w:tcPr>
            <w:tcW w:w="2140" w:type="dxa"/>
            <w:vAlign w:val="bottom"/>
          </w:tcPr>
          <w:p>
            <w:pPr>
              <w:jc w:val="center"/>
              <w:ind w:left="109"/>
              <w:spacing w:after="0"/>
              <w:rPr>
                <w:sz w:val="20"/>
                <w:szCs w:val="20"/>
                <w:color w:val="auto"/>
              </w:rPr>
            </w:pPr>
            <w:r>
              <w:rPr>
                <w:rFonts w:ascii="Arial" w:cs="Arial" w:eastAsia="Arial" w:hAnsi="Arial"/>
                <w:sz w:val="10"/>
                <w:szCs w:val="10"/>
                <w:color w:val="auto"/>
                <w:w w:val="96"/>
              </w:rPr>
              <w:t>0%</w:t>
            </w:r>
          </w:p>
        </w:tc>
        <w:tc>
          <w:tcPr>
            <w:tcW w:w="120" w:type="dxa"/>
            <w:vAlign w:val="bottom"/>
          </w:tcPr>
          <w:p>
            <w:pPr>
              <w:spacing w:after="0"/>
              <w:rPr>
                <w:sz w:val="10"/>
                <w:szCs w:val="10"/>
                <w:color w:val="auto"/>
              </w:rPr>
            </w:pPr>
          </w:p>
        </w:tc>
        <w:tc>
          <w:tcPr>
            <w:tcW w:w="1900" w:type="dxa"/>
            <w:vAlign w:val="bottom"/>
          </w:tcPr>
          <w:p>
            <w:pPr>
              <w:jc w:val="center"/>
              <w:ind w:left="7"/>
              <w:spacing w:after="0"/>
              <w:rPr>
                <w:sz w:val="20"/>
                <w:szCs w:val="20"/>
                <w:color w:val="auto"/>
              </w:rPr>
            </w:pPr>
            <w:r>
              <w:rPr>
                <w:rFonts w:ascii="Arial" w:cs="Arial" w:eastAsia="Arial" w:hAnsi="Arial"/>
                <w:sz w:val="10"/>
                <w:szCs w:val="10"/>
                <w:color w:val="auto"/>
              </w:rPr>
              <w:t>Less than 90%</w:t>
            </w:r>
          </w:p>
        </w:tc>
        <w:tc>
          <w:tcPr>
            <w:tcW w:w="2180" w:type="dxa"/>
            <w:vAlign w:val="bottom"/>
          </w:tcPr>
          <w:p>
            <w:pPr>
              <w:jc w:val="center"/>
              <w:ind w:left="149"/>
              <w:spacing w:after="0"/>
              <w:rPr>
                <w:sz w:val="20"/>
                <w:szCs w:val="20"/>
                <w:color w:val="auto"/>
              </w:rPr>
            </w:pPr>
            <w:r>
              <w:rPr>
                <w:rFonts w:ascii="Arial" w:cs="Arial" w:eastAsia="Arial" w:hAnsi="Arial"/>
                <w:sz w:val="10"/>
                <w:szCs w:val="10"/>
                <w:color w:val="auto"/>
                <w:w w:val="96"/>
              </w:rPr>
              <w:t>0%</w:t>
            </w:r>
          </w:p>
        </w:tc>
        <w:tc>
          <w:tcPr>
            <w:tcW w:w="200" w:type="dxa"/>
            <w:vAlign w:val="bottom"/>
            <w:tcBorders>
              <w:right w:val="single" w:sz="8" w:color="F79646"/>
            </w:tcBorders>
          </w:tcPr>
          <w:p>
            <w:pPr>
              <w:spacing w:after="0"/>
              <w:rPr>
                <w:sz w:val="10"/>
                <w:szCs w:val="10"/>
                <w:color w:val="auto"/>
              </w:rPr>
            </w:pPr>
          </w:p>
        </w:tc>
      </w:tr>
      <w:tr>
        <w:trPr>
          <w:trHeight w:val="126"/>
        </w:trPr>
        <w:tc>
          <w:tcPr>
            <w:tcW w:w="180" w:type="dxa"/>
            <w:vAlign w:val="bottom"/>
            <w:tcBorders>
              <w:left w:val="single" w:sz="8" w:color="F79646"/>
            </w:tcBorders>
            <w:shd w:val="clear" w:color="auto" w:fill="FCDEC5"/>
          </w:tcPr>
          <w:p>
            <w:pPr>
              <w:spacing w:after="0"/>
              <w:rPr>
                <w:sz w:val="10"/>
                <w:szCs w:val="10"/>
                <w:color w:val="auto"/>
              </w:rPr>
            </w:pPr>
          </w:p>
        </w:tc>
        <w:tc>
          <w:tcPr>
            <w:tcW w:w="1920" w:type="dxa"/>
            <w:vAlign w:val="bottom"/>
            <w:shd w:val="clear" w:color="auto" w:fill="FCDEC5"/>
          </w:tcPr>
          <w:p>
            <w:pPr>
              <w:jc w:val="center"/>
              <w:spacing w:after="0"/>
              <w:rPr>
                <w:sz w:val="20"/>
                <w:szCs w:val="20"/>
                <w:color w:val="auto"/>
              </w:rPr>
            </w:pPr>
            <w:r>
              <w:rPr>
                <w:rFonts w:ascii="Arial" w:cs="Arial" w:eastAsia="Arial" w:hAnsi="Arial"/>
                <w:sz w:val="10"/>
                <w:szCs w:val="10"/>
                <w:color w:val="auto"/>
                <w:w w:val="99"/>
              </w:rPr>
              <w:t>At 90%</w:t>
            </w:r>
          </w:p>
        </w:tc>
        <w:tc>
          <w:tcPr>
            <w:tcW w:w="2140" w:type="dxa"/>
            <w:vAlign w:val="bottom"/>
            <w:shd w:val="clear" w:color="auto" w:fill="FCDEC5"/>
          </w:tcPr>
          <w:p>
            <w:pPr>
              <w:jc w:val="center"/>
              <w:ind w:left="109"/>
              <w:spacing w:after="0"/>
              <w:rPr>
                <w:sz w:val="20"/>
                <w:szCs w:val="20"/>
                <w:color w:val="auto"/>
              </w:rPr>
            </w:pPr>
            <w:r>
              <w:rPr>
                <w:rFonts w:ascii="Arial" w:cs="Arial" w:eastAsia="Arial" w:hAnsi="Arial"/>
                <w:sz w:val="10"/>
                <w:szCs w:val="10"/>
                <w:color w:val="auto"/>
              </w:rPr>
              <w:t>25%</w:t>
            </w:r>
          </w:p>
        </w:tc>
        <w:tc>
          <w:tcPr>
            <w:tcW w:w="120" w:type="dxa"/>
            <w:vAlign w:val="bottom"/>
            <w:shd w:val="clear" w:color="auto" w:fill="FCDEC5"/>
          </w:tcPr>
          <w:p>
            <w:pPr>
              <w:spacing w:after="0"/>
              <w:rPr>
                <w:sz w:val="10"/>
                <w:szCs w:val="10"/>
                <w:color w:val="auto"/>
              </w:rPr>
            </w:pPr>
          </w:p>
        </w:tc>
        <w:tc>
          <w:tcPr>
            <w:tcW w:w="1900" w:type="dxa"/>
            <w:vAlign w:val="bottom"/>
            <w:shd w:val="clear" w:color="auto" w:fill="FCDEC5"/>
          </w:tcPr>
          <w:p>
            <w:pPr>
              <w:jc w:val="center"/>
              <w:ind w:left="27"/>
              <w:spacing w:after="0"/>
              <w:rPr>
                <w:sz w:val="20"/>
                <w:szCs w:val="20"/>
                <w:color w:val="auto"/>
              </w:rPr>
            </w:pPr>
            <w:r>
              <w:rPr>
                <w:rFonts w:ascii="Arial" w:cs="Arial" w:eastAsia="Arial" w:hAnsi="Arial"/>
                <w:sz w:val="10"/>
                <w:szCs w:val="10"/>
                <w:color w:val="auto"/>
              </w:rPr>
              <w:t>At 90%</w:t>
            </w:r>
          </w:p>
        </w:tc>
        <w:tc>
          <w:tcPr>
            <w:tcW w:w="2180" w:type="dxa"/>
            <w:vAlign w:val="bottom"/>
            <w:shd w:val="clear" w:color="auto" w:fill="FCDEC5"/>
          </w:tcPr>
          <w:p>
            <w:pPr>
              <w:jc w:val="center"/>
              <w:ind w:left="149"/>
              <w:spacing w:after="0"/>
              <w:rPr>
                <w:sz w:val="20"/>
                <w:szCs w:val="20"/>
                <w:color w:val="auto"/>
              </w:rPr>
            </w:pPr>
            <w:r>
              <w:rPr>
                <w:rFonts w:ascii="Arial" w:cs="Arial" w:eastAsia="Arial" w:hAnsi="Arial"/>
                <w:sz w:val="10"/>
                <w:szCs w:val="10"/>
                <w:color w:val="auto"/>
              </w:rPr>
              <w:t>25%</w:t>
            </w:r>
          </w:p>
        </w:tc>
        <w:tc>
          <w:tcPr>
            <w:tcW w:w="200" w:type="dxa"/>
            <w:vAlign w:val="bottom"/>
            <w:tcBorders>
              <w:right w:val="single" w:sz="8" w:color="F79646"/>
            </w:tcBorders>
            <w:shd w:val="clear" w:color="auto" w:fill="FCDEC5"/>
          </w:tcPr>
          <w:p>
            <w:pPr>
              <w:spacing w:after="0"/>
              <w:rPr>
                <w:sz w:val="10"/>
                <w:szCs w:val="10"/>
                <w:color w:val="auto"/>
              </w:rPr>
            </w:pPr>
          </w:p>
        </w:tc>
      </w:tr>
      <w:tr>
        <w:trPr>
          <w:trHeight w:val="105"/>
        </w:trPr>
        <w:tc>
          <w:tcPr>
            <w:tcW w:w="180" w:type="dxa"/>
            <w:vAlign w:val="bottom"/>
            <w:tcBorders>
              <w:left w:val="single" w:sz="8" w:color="F79646"/>
            </w:tcBorders>
            <w:shd w:val="clear" w:color="auto" w:fill="FCDEC5"/>
          </w:tcPr>
          <w:p>
            <w:pPr>
              <w:spacing w:after="0"/>
              <w:rPr>
                <w:sz w:val="9"/>
                <w:szCs w:val="9"/>
                <w:color w:val="auto"/>
              </w:rPr>
            </w:pPr>
          </w:p>
        </w:tc>
        <w:tc>
          <w:tcPr>
            <w:tcW w:w="1920" w:type="dxa"/>
            <w:vAlign w:val="bottom"/>
            <w:shd w:val="clear" w:color="auto" w:fill="FCDEC5"/>
          </w:tcPr>
          <w:p>
            <w:pPr>
              <w:spacing w:after="0"/>
              <w:rPr>
                <w:sz w:val="9"/>
                <w:szCs w:val="9"/>
                <w:color w:val="auto"/>
              </w:rPr>
            </w:pPr>
          </w:p>
        </w:tc>
        <w:tc>
          <w:tcPr>
            <w:tcW w:w="2140" w:type="dxa"/>
            <w:vAlign w:val="bottom"/>
            <w:shd w:val="clear" w:color="auto" w:fill="FCDEC5"/>
          </w:tcPr>
          <w:p>
            <w:pPr>
              <w:spacing w:after="0"/>
              <w:rPr>
                <w:sz w:val="9"/>
                <w:szCs w:val="9"/>
                <w:color w:val="auto"/>
              </w:rPr>
            </w:pPr>
          </w:p>
        </w:tc>
        <w:tc>
          <w:tcPr>
            <w:tcW w:w="120" w:type="dxa"/>
            <w:vAlign w:val="bottom"/>
            <w:shd w:val="clear" w:color="auto" w:fill="FCDEC5"/>
          </w:tcPr>
          <w:p>
            <w:pPr>
              <w:spacing w:after="0"/>
              <w:rPr>
                <w:sz w:val="9"/>
                <w:szCs w:val="9"/>
                <w:color w:val="auto"/>
              </w:rPr>
            </w:pPr>
          </w:p>
        </w:tc>
        <w:tc>
          <w:tcPr>
            <w:tcW w:w="1900" w:type="dxa"/>
            <w:vAlign w:val="bottom"/>
            <w:shd w:val="clear" w:color="auto" w:fill="FCDEC5"/>
          </w:tcPr>
          <w:p>
            <w:pPr>
              <w:spacing w:after="0"/>
              <w:rPr>
                <w:sz w:val="9"/>
                <w:szCs w:val="9"/>
                <w:color w:val="auto"/>
              </w:rPr>
            </w:pPr>
          </w:p>
        </w:tc>
        <w:tc>
          <w:tcPr>
            <w:tcW w:w="2380" w:type="dxa"/>
            <w:vAlign w:val="bottom"/>
            <w:tcBorders>
              <w:right w:val="single" w:sz="8" w:color="F79646"/>
            </w:tcBorders>
            <w:gridSpan w:val="2"/>
            <w:shd w:val="clear" w:color="auto" w:fill="FCDEC5"/>
          </w:tcPr>
          <w:p>
            <w:pPr>
              <w:spacing w:after="0"/>
              <w:rPr>
                <w:sz w:val="9"/>
                <w:szCs w:val="9"/>
                <w:color w:val="auto"/>
              </w:rPr>
            </w:pPr>
          </w:p>
        </w:tc>
      </w:tr>
      <w:tr>
        <w:trPr>
          <w:trHeight w:val="116"/>
        </w:trPr>
        <w:tc>
          <w:tcPr>
            <w:tcW w:w="180" w:type="dxa"/>
            <w:vAlign w:val="bottom"/>
            <w:tcBorders>
              <w:left w:val="single" w:sz="8" w:color="F79646"/>
            </w:tcBorders>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color w:val="auto"/>
              </w:rPr>
              <w:t>From 90% to 100%</w:t>
            </w:r>
          </w:p>
        </w:tc>
        <w:tc>
          <w:tcPr>
            <w:tcW w:w="2140" w:type="dxa"/>
            <w:vAlign w:val="bottom"/>
          </w:tcPr>
          <w:p>
            <w:pPr>
              <w:jc w:val="center"/>
              <w:ind w:left="109"/>
              <w:spacing w:after="0"/>
              <w:rPr>
                <w:sz w:val="20"/>
                <w:szCs w:val="20"/>
                <w:color w:val="auto"/>
              </w:rPr>
            </w:pPr>
            <w:r>
              <w:rPr>
                <w:rFonts w:ascii="Arial" w:cs="Arial" w:eastAsia="Arial" w:hAnsi="Arial"/>
                <w:sz w:val="10"/>
                <w:szCs w:val="10"/>
                <w:color w:val="auto"/>
              </w:rPr>
              <w:t>Linear interpolation from 25% to 100%</w:t>
            </w:r>
          </w:p>
        </w:tc>
        <w:tc>
          <w:tcPr>
            <w:tcW w:w="120" w:type="dxa"/>
            <w:vAlign w:val="bottom"/>
          </w:tcPr>
          <w:p>
            <w:pPr>
              <w:spacing w:after="0"/>
              <w:rPr>
                <w:sz w:val="10"/>
                <w:szCs w:val="10"/>
                <w:color w:val="auto"/>
              </w:rPr>
            </w:pPr>
          </w:p>
        </w:tc>
        <w:tc>
          <w:tcPr>
            <w:tcW w:w="1900" w:type="dxa"/>
            <w:vAlign w:val="bottom"/>
          </w:tcPr>
          <w:p>
            <w:pPr>
              <w:jc w:val="center"/>
              <w:ind w:left="7"/>
              <w:spacing w:after="0"/>
              <w:rPr>
                <w:sz w:val="20"/>
                <w:szCs w:val="20"/>
                <w:color w:val="auto"/>
              </w:rPr>
            </w:pPr>
            <w:r>
              <w:rPr>
                <w:rFonts w:ascii="Arial" w:cs="Arial" w:eastAsia="Arial" w:hAnsi="Arial"/>
                <w:sz w:val="10"/>
                <w:szCs w:val="10"/>
                <w:color w:val="auto"/>
              </w:rPr>
              <w:t>From 90% to 100%</w:t>
            </w:r>
          </w:p>
        </w:tc>
        <w:tc>
          <w:tcPr>
            <w:tcW w:w="2380" w:type="dxa"/>
            <w:vAlign w:val="bottom"/>
            <w:tcBorders>
              <w:right w:val="single" w:sz="8" w:color="F79646"/>
            </w:tcBorders>
            <w:gridSpan w:val="2"/>
          </w:tcPr>
          <w:p>
            <w:pPr>
              <w:jc w:val="center"/>
              <w:spacing w:after="0"/>
              <w:rPr>
                <w:sz w:val="20"/>
                <w:szCs w:val="20"/>
                <w:color w:val="auto"/>
              </w:rPr>
            </w:pPr>
            <w:r>
              <w:rPr>
                <w:rFonts w:ascii="Arial" w:cs="Arial" w:eastAsia="Arial" w:hAnsi="Arial"/>
                <w:sz w:val="10"/>
                <w:szCs w:val="10"/>
                <w:color w:val="auto"/>
              </w:rPr>
              <w:t>Linear interpolation from 25% to 100%</w:t>
            </w:r>
          </w:p>
        </w:tc>
      </w:tr>
      <w:tr>
        <w:trPr>
          <w:trHeight w:val="126"/>
        </w:trPr>
        <w:tc>
          <w:tcPr>
            <w:tcW w:w="180" w:type="dxa"/>
            <w:vAlign w:val="bottom"/>
            <w:tcBorders>
              <w:left w:val="single" w:sz="8" w:color="F79646"/>
            </w:tcBorders>
            <w:shd w:val="clear" w:color="auto" w:fill="FCDEC5"/>
          </w:tcPr>
          <w:p>
            <w:pPr>
              <w:spacing w:after="0"/>
              <w:rPr>
                <w:sz w:val="10"/>
                <w:szCs w:val="10"/>
                <w:color w:val="auto"/>
              </w:rPr>
            </w:pPr>
          </w:p>
        </w:tc>
        <w:tc>
          <w:tcPr>
            <w:tcW w:w="1920" w:type="dxa"/>
            <w:vAlign w:val="bottom"/>
            <w:shd w:val="clear" w:color="auto" w:fill="FCDEC5"/>
          </w:tcPr>
          <w:p>
            <w:pPr>
              <w:jc w:val="center"/>
              <w:spacing w:after="0"/>
              <w:rPr>
                <w:sz w:val="20"/>
                <w:szCs w:val="20"/>
                <w:color w:val="auto"/>
              </w:rPr>
            </w:pPr>
            <w:r>
              <w:rPr>
                <w:rFonts w:ascii="Arial" w:cs="Arial" w:eastAsia="Arial" w:hAnsi="Arial"/>
                <w:sz w:val="10"/>
                <w:szCs w:val="10"/>
                <w:color w:val="auto"/>
              </w:rPr>
              <w:t>At 100%</w:t>
            </w:r>
          </w:p>
        </w:tc>
        <w:tc>
          <w:tcPr>
            <w:tcW w:w="2140" w:type="dxa"/>
            <w:vAlign w:val="bottom"/>
            <w:shd w:val="clear" w:color="auto" w:fill="FCDEC5"/>
          </w:tcPr>
          <w:p>
            <w:pPr>
              <w:jc w:val="center"/>
              <w:ind w:left="109"/>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FCDEC5"/>
          </w:tcPr>
          <w:p>
            <w:pPr>
              <w:spacing w:after="0"/>
              <w:rPr>
                <w:sz w:val="10"/>
                <w:szCs w:val="10"/>
                <w:color w:val="auto"/>
              </w:rPr>
            </w:pPr>
          </w:p>
        </w:tc>
        <w:tc>
          <w:tcPr>
            <w:tcW w:w="1900" w:type="dxa"/>
            <w:vAlign w:val="bottom"/>
            <w:shd w:val="clear" w:color="auto" w:fill="FCDEC5"/>
          </w:tcPr>
          <w:p>
            <w:pPr>
              <w:jc w:val="center"/>
              <w:ind w:left="27"/>
              <w:spacing w:after="0"/>
              <w:rPr>
                <w:sz w:val="20"/>
                <w:szCs w:val="20"/>
                <w:color w:val="auto"/>
              </w:rPr>
            </w:pPr>
            <w:r>
              <w:rPr>
                <w:rFonts w:ascii="Arial" w:cs="Arial" w:eastAsia="Arial" w:hAnsi="Arial"/>
                <w:sz w:val="10"/>
                <w:szCs w:val="10"/>
                <w:color w:val="auto"/>
              </w:rPr>
              <w:t>At 100%</w:t>
            </w:r>
          </w:p>
        </w:tc>
        <w:tc>
          <w:tcPr>
            <w:tcW w:w="2180" w:type="dxa"/>
            <w:vAlign w:val="bottom"/>
            <w:shd w:val="clear" w:color="auto" w:fill="FCDEC5"/>
          </w:tcPr>
          <w:p>
            <w:pPr>
              <w:jc w:val="center"/>
              <w:ind w:left="149"/>
              <w:spacing w:after="0"/>
              <w:rPr>
                <w:sz w:val="20"/>
                <w:szCs w:val="20"/>
                <w:color w:val="auto"/>
              </w:rPr>
            </w:pPr>
            <w:r>
              <w:rPr>
                <w:rFonts w:ascii="Arial" w:cs="Arial" w:eastAsia="Arial" w:hAnsi="Arial"/>
                <w:sz w:val="10"/>
                <w:szCs w:val="10"/>
                <w:color w:val="auto"/>
              </w:rPr>
              <w:t>100%</w:t>
            </w:r>
          </w:p>
        </w:tc>
        <w:tc>
          <w:tcPr>
            <w:tcW w:w="200" w:type="dxa"/>
            <w:vAlign w:val="bottom"/>
            <w:tcBorders>
              <w:right w:val="single" w:sz="8" w:color="F79646"/>
            </w:tcBorders>
            <w:shd w:val="clear" w:color="auto" w:fill="FCDEC5"/>
          </w:tcPr>
          <w:p>
            <w:pPr>
              <w:spacing w:after="0"/>
              <w:rPr>
                <w:sz w:val="10"/>
                <w:szCs w:val="10"/>
                <w:color w:val="auto"/>
              </w:rPr>
            </w:pPr>
          </w:p>
        </w:tc>
      </w:tr>
      <w:tr>
        <w:trPr>
          <w:trHeight w:val="105"/>
        </w:trPr>
        <w:tc>
          <w:tcPr>
            <w:tcW w:w="180" w:type="dxa"/>
            <w:vAlign w:val="bottom"/>
            <w:tcBorders>
              <w:left w:val="single" w:sz="8" w:color="F79646"/>
            </w:tcBorders>
            <w:shd w:val="clear" w:color="auto" w:fill="FCDEC5"/>
          </w:tcPr>
          <w:p>
            <w:pPr>
              <w:spacing w:after="0"/>
              <w:rPr>
                <w:sz w:val="9"/>
                <w:szCs w:val="9"/>
                <w:color w:val="auto"/>
              </w:rPr>
            </w:pPr>
          </w:p>
        </w:tc>
        <w:tc>
          <w:tcPr>
            <w:tcW w:w="1920" w:type="dxa"/>
            <w:vAlign w:val="bottom"/>
            <w:shd w:val="clear" w:color="auto" w:fill="FCDEC5"/>
          </w:tcPr>
          <w:p>
            <w:pPr>
              <w:spacing w:after="0"/>
              <w:rPr>
                <w:sz w:val="9"/>
                <w:szCs w:val="9"/>
                <w:color w:val="auto"/>
              </w:rPr>
            </w:pPr>
          </w:p>
        </w:tc>
        <w:tc>
          <w:tcPr>
            <w:tcW w:w="2140" w:type="dxa"/>
            <w:vAlign w:val="bottom"/>
            <w:shd w:val="clear" w:color="auto" w:fill="FCDEC5"/>
          </w:tcPr>
          <w:p>
            <w:pPr>
              <w:spacing w:after="0"/>
              <w:rPr>
                <w:sz w:val="9"/>
                <w:szCs w:val="9"/>
                <w:color w:val="auto"/>
              </w:rPr>
            </w:pPr>
          </w:p>
        </w:tc>
        <w:tc>
          <w:tcPr>
            <w:tcW w:w="120" w:type="dxa"/>
            <w:vAlign w:val="bottom"/>
            <w:shd w:val="clear" w:color="auto" w:fill="FCDEC5"/>
          </w:tcPr>
          <w:p>
            <w:pPr>
              <w:spacing w:after="0"/>
              <w:rPr>
                <w:sz w:val="9"/>
                <w:szCs w:val="9"/>
                <w:color w:val="auto"/>
              </w:rPr>
            </w:pPr>
          </w:p>
        </w:tc>
        <w:tc>
          <w:tcPr>
            <w:tcW w:w="1900" w:type="dxa"/>
            <w:vAlign w:val="bottom"/>
            <w:shd w:val="clear" w:color="auto" w:fill="FCDEC5"/>
          </w:tcPr>
          <w:p>
            <w:pPr>
              <w:spacing w:after="0"/>
              <w:rPr>
                <w:sz w:val="9"/>
                <w:szCs w:val="9"/>
                <w:color w:val="auto"/>
              </w:rPr>
            </w:pPr>
          </w:p>
        </w:tc>
        <w:tc>
          <w:tcPr>
            <w:tcW w:w="2380" w:type="dxa"/>
            <w:vAlign w:val="bottom"/>
            <w:tcBorders>
              <w:right w:val="single" w:sz="8" w:color="F79646"/>
            </w:tcBorders>
            <w:gridSpan w:val="2"/>
            <w:shd w:val="clear" w:color="auto" w:fill="FCDEC5"/>
          </w:tcPr>
          <w:p>
            <w:pPr>
              <w:spacing w:after="0"/>
              <w:rPr>
                <w:sz w:val="9"/>
                <w:szCs w:val="9"/>
                <w:color w:val="auto"/>
              </w:rPr>
            </w:pPr>
          </w:p>
        </w:tc>
      </w:tr>
      <w:tr>
        <w:trPr>
          <w:trHeight w:val="116"/>
        </w:trPr>
        <w:tc>
          <w:tcPr>
            <w:tcW w:w="180" w:type="dxa"/>
            <w:vAlign w:val="bottom"/>
            <w:tcBorders>
              <w:left w:val="single" w:sz="8" w:color="F79646"/>
            </w:tcBorders>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0"/>
                <w:szCs w:val="10"/>
                <w:color w:val="auto"/>
              </w:rPr>
              <w:t>From 100% to 110%</w:t>
            </w:r>
          </w:p>
        </w:tc>
        <w:tc>
          <w:tcPr>
            <w:tcW w:w="2140" w:type="dxa"/>
            <w:vAlign w:val="bottom"/>
          </w:tcPr>
          <w:p>
            <w:pPr>
              <w:jc w:val="center"/>
              <w:ind w:left="109"/>
              <w:spacing w:after="0"/>
              <w:rPr>
                <w:sz w:val="20"/>
                <w:szCs w:val="20"/>
                <w:color w:val="auto"/>
              </w:rPr>
            </w:pPr>
            <w:r>
              <w:rPr>
                <w:rFonts w:ascii="Arial" w:cs="Arial" w:eastAsia="Arial" w:hAnsi="Arial"/>
                <w:sz w:val="10"/>
                <w:szCs w:val="10"/>
                <w:color w:val="auto"/>
              </w:rPr>
              <w:t>Linear interpolation from 100% to 200%</w:t>
            </w:r>
          </w:p>
        </w:tc>
        <w:tc>
          <w:tcPr>
            <w:tcW w:w="120" w:type="dxa"/>
            <w:vAlign w:val="bottom"/>
          </w:tcPr>
          <w:p>
            <w:pPr>
              <w:spacing w:after="0"/>
              <w:rPr>
                <w:sz w:val="10"/>
                <w:szCs w:val="10"/>
                <w:color w:val="auto"/>
              </w:rPr>
            </w:pPr>
          </w:p>
        </w:tc>
        <w:tc>
          <w:tcPr>
            <w:tcW w:w="1900" w:type="dxa"/>
            <w:vAlign w:val="bottom"/>
          </w:tcPr>
          <w:p>
            <w:pPr>
              <w:jc w:val="center"/>
              <w:ind w:left="27"/>
              <w:spacing w:after="0"/>
              <w:rPr>
                <w:sz w:val="20"/>
                <w:szCs w:val="20"/>
                <w:color w:val="auto"/>
              </w:rPr>
            </w:pPr>
            <w:r>
              <w:rPr>
                <w:rFonts w:ascii="Arial" w:cs="Arial" w:eastAsia="Arial" w:hAnsi="Arial"/>
                <w:sz w:val="10"/>
                <w:szCs w:val="10"/>
                <w:color w:val="auto"/>
              </w:rPr>
              <w:t>From 100% to 110%</w:t>
            </w:r>
          </w:p>
        </w:tc>
        <w:tc>
          <w:tcPr>
            <w:tcW w:w="2380" w:type="dxa"/>
            <w:vAlign w:val="bottom"/>
            <w:tcBorders>
              <w:right w:val="single" w:sz="8" w:color="F79646"/>
            </w:tcBorders>
            <w:gridSpan w:val="2"/>
          </w:tcPr>
          <w:p>
            <w:pPr>
              <w:jc w:val="center"/>
              <w:ind w:right="20"/>
              <w:spacing w:after="0"/>
              <w:rPr>
                <w:sz w:val="20"/>
                <w:szCs w:val="20"/>
                <w:color w:val="auto"/>
              </w:rPr>
            </w:pPr>
            <w:r>
              <w:rPr>
                <w:rFonts w:ascii="Arial" w:cs="Arial" w:eastAsia="Arial" w:hAnsi="Arial"/>
                <w:sz w:val="10"/>
                <w:szCs w:val="10"/>
                <w:color w:val="auto"/>
              </w:rPr>
              <w:t>Linear interpolation from 100% to 200%</w:t>
            </w:r>
          </w:p>
        </w:tc>
      </w:tr>
      <w:tr>
        <w:trPr>
          <w:trHeight w:val="126"/>
        </w:trPr>
        <w:tc>
          <w:tcPr>
            <w:tcW w:w="180" w:type="dxa"/>
            <w:vAlign w:val="bottom"/>
            <w:tcBorders>
              <w:left w:val="single" w:sz="8" w:color="F79646"/>
            </w:tcBorders>
            <w:shd w:val="clear" w:color="auto" w:fill="FCDEC5"/>
          </w:tcPr>
          <w:p>
            <w:pPr>
              <w:spacing w:after="0"/>
              <w:rPr>
                <w:sz w:val="10"/>
                <w:szCs w:val="10"/>
                <w:color w:val="auto"/>
              </w:rPr>
            </w:pPr>
          </w:p>
        </w:tc>
        <w:tc>
          <w:tcPr>
            <w:tcW w:w="1920" w:type="dxa"/>
            <w:vAlign w:val="bottom"/>
            <w:shd w:val="clear" w:color="auto" w:fill="FCDEC5"/>
          </w:tcPr>
          <w:p>
            <w:pPr>
              <w:jc w:val="center"/>
              <w:ind w:left="7"/>
              <w:spacing w:after="0"/>
              <w:rPr>
                <w:sz w:val="20"/>
                <w:szCs w:val="20"/>
                <w:color w:val="auto"/>
              </w:rPr>
            </w:pPr>
            <w:r>
              <w:rPr>
                <w:rFonts w:ascii="Arial" w:cs="Arial" w:eastAsia="Arial" w:hAnsi="Arial"/>
                <w:sz w:val="10"/>
                <w:szCs w:val="10"/>
                <w:color w:val="auto"/>
              </w:rPr>
              <w:t>Above 110%</w:t>
            </w:r>
          </w:p>
        </w:tc>
        <w:tc>
          <w:tcPr>
            <w:tcW w:w="2140" w:type="dxa"/>
            <w:vAlign w:val="bottom"/>
            <w:shd w:val="clear" w:color="auto" w:fill="FCDEC5"/>
          </w:tcPr>
          <w:p>
            <w:pPr>
              <w:jc w:val="center"/>
              <w:ind w:left="109"/>
              <w:spacing w:after="0"/>
              <w:rPr>
                <w:sz w:val="20"/>
                <w:szCs w:val="20"/>
                <w:color w:val="auto"/>
              </w:rPr>
            </w:pPr>
            <w:r>
              <w:rPr>
                <w:rFonts w:ascii="Arial" w:cs="Arial" w:eastAsia="Arial" w:hAnsi="Arial"/>
                <w:sz w:val="10"/>
                <w:szCs w:val="10"/>
                <w:color w:val="auto"/>
              </w:rPr>
              <w:t>200%</w:t>
            </w:r>
          </w:p>
        </w:tc>
        <w:tc>
          <w:tcPr>
            <w:tcW w:w="120" w:type="dxa"/>
            <w:vAlign w:val="bottom"/>
            <w:shd w:val="clear" w:color="auto" w:fill="FCDEC5"/>
          </w:tcPr>
          <w:p>
            <w:pPr>
              <w:spacing w:after="0"/>
              <w:rPr>
                <w:sz w:val="10"/>
                <w:szCs w:val="10"/>
                <w:color w:val="auto"/>
              </w:rPr>
            </w:pPr>
          </w:p>
        </w:tc>
        <w:tc>
          <w:tcPr>
            <w:tcW w:w="1900" w:type="dxa"/>
            <w:vAlign w:val="bottom"/>
            <w:shd w:val="clear" w:color="auto" w:fill="FCDEC5"/>
          </w:tcPr>
          <w:p>
            <w:pPr>
              <w:jc w:val="center"/>
              <w:ind w:left="27"/>
              <w:spacing w:after="0"/>
              <w:rPr>
                <w:sz w:val="20"/>
                <w:szCs w:val="20"/>
                <w:color w:val="auto"/>
              </w:rPr>
            </w:pPr>
            <w:r>
              <w:rPr>
                <w:rFonts w:ascii="Arial" w:cs="Arial" w:eastAsia="Arial" w:hAnsi="Arial"/>
                <w:sz w:val="10"/>
                <w:szCs w:val="10"/>
                <w:color w:val="auto"/>
              </w:rPr>
              <w:t>Above 110%</w:t>
            </w:r>
          </w:p>
        </w:tc>
        <w:tc>
          <w:tcPr>
            <w:tcW w:w="2180" w:type="dxa"/>
            <w:vAlign w:val="bottom"/>
            <w:shd w:val="clear" w:color="auto" w:fill="FCDEC5"/>
          </w:tcPr>
          <w:p>
            <w:pPr>
              <w:jc w:val="center"/>
              <w:ind w:left="149"/>
              <w:spacing w:after="0"/>
              <w:rPr>
                <w:sz w:val="20"/>
                <w:szCs w:val="20"/>
                <w:color w:val="auto"/>
              </w:rPr>
            </w:pPr>
            <w:r>
              <w:rPr>
                <w:rFonts w:ascii="Arial" w:cs="Arial" w:eastAsia="Arial" w:hAnsi="Arial"/>
                <w:sz w:val="10"/>
                <w:szCs w:val="10"/>
                <w:color w:val="auto"/>
              </w:rPr>
              <w:t>200%</w:t>
            </w:r>
          </w:p>
        </w:tc>
        <w:tc>
          <w:tcPr>
            <w:tcW w:w="200" w:type="dxa"/>
            <w:vAlign w:val="bottom"/>
            <w:tcBorders>
              <w:right w:val="single" w:sz="8" w:color="F79646"/>
            </w:tcBorders>
            <w:shd w:val="clear" w:color="auto" w:fill="FCDEC5"/>
          </w:tcPr>
          <w:p>
            <w:pPr>
              <w:spacing w:after="0"/>
              <w:rPr>
                <w:sz w:val="10"/>
                <w:szCs w:val="10"/>
                <w:color w:val="auto"/>
              </w:rPr>
            </w:pPr>
          </w:p>
        </w:tc>
      </w:tr>
      <w:tr>
        <w:trPr>
          <w:trHeight w:val="105"/>
        </w:trPr>
        <w:tc>
          <w:tcPr>
            <w:tcW w:w="180" w:type="dxa"/>
            <w:vAlign w:val="bottom"/>
            <w:tcBorders>
              <w:left w:val="single" w:sz="8" w:color="F79646"/>
              <w:bottom w:val="single" w:sz="8" w:color="F79646"/>
            </w:tcBorders>
            <w:shd w:val="clear" w:color="auto" w:fill="FCDEC5"/>
          </w:tcPr>
          <w:p>
            <w:pPr>
              <w:spacing w:after="0"/>
              <w:rPr>
                <w:sz w:val="9"/>
                <w:szCs w:val="9"/>
                <w:color w:val="auto"/>
              </w:rPr>
            </w:pPr>
          </w:p>
        </w:tc>
        <w:tc>
          <w:tcPr>
            <w:tcW w:w="1920" w:type="dxa"/>
            <w:vAlign w:val="bottom"/>
            <w:tcBorders>
              <w:bottom w:val="single" w:sz="8" w:color="F79646"/>
            </w:tcBorders>
            <w:shd w:val="clear" w:color="auto" w:fill="FCDEC5"/>
          </w:tcPr>
          <w:p>
            <w:pPr>
              <w:spacing w:after="0"/>
              <w:rPr>
                <w:sz w:val="9"/>
                <w:szCs w:val="9"/>
                <w:color w:val="auto"/>
              </w:rPr>
            </w:pPr>
          </w:p>
        </w:tc>
        <w:tc>
          <w:tcPr>
            <w:tcW w:w="2140" w:type="dxa"/>
            <w:vAlign w:val="bottom"/>
            <w:tcBorders>
              <w:bottom w:val="single" w:sz="8" w:color="F79646"/>
            </w:tcBorders>
            <w:shd w:val="clear" w:color="auto" w:fill="FCDEC5"/>
          </w:tcPr>
          <w:p>
            <w:pPr>
              <w:spacing w:after="0"/>
              <w:rPr>
                <w:sz w:val="9"/>
                <w:szCs w:val="9"/>
                <w:color w:val="auto"/>
              </w:rPr>
            </w:pPr>
          </w:p>
        </w:tc>
        <w:tc>
          <w:tcPr>
            <w:tcW w:w="120" w:type="dxa"/>
            <w:vAlign w:val="bottom"/>
            <w:tcBorders>
              <w:bottom w:val="single" w:sz="8" w:color="F79646"/>
            </w:tcBorders>
            <w:shd w:val="clear" w:color="auto" w:fill="FCDEC5"/>
          </w:tcPr>
          <w:p>
            <w:pPr>
              <w:spacing w:after="0"/>
              <w:rPr>
                <w:sz w:val="9"/>
                <w:szCs w:val="9"/>
                <w:color w:val="auto"/>
              </w:rPr>
            </w:pPr>
          </w:p>
        </w:tc>
        <w:tc>
          <w:tcPr>
            <w:tcW w:w="1900" w:type="dxa"/>
            <w:vAlign w:val="bottom"/>
            <w:tcBorders>
              <w:bottom w:val="single" w:sz="8" w:color="F79646"/>
            </w:tcBorders>
            <w:shd w:val="clear" w:color="auto" w:fill="FCDEC5"/>
          </w:tcPr>
          <w:p>
            <w:pPr>
              <w:spacing w:after="0"/>
              <w:rPr>
                <w:sz w:val="9"/>
                <w:szCs w:val="9"/>
                <w:color w:val="auto"/>
              </w:rPr>
            </w:pPr>
          </w:p>
        </w:tc>
        <w:tc>
          <w:tcPr>
            <w:tcW w:w="2180" w:type="dxa"/>
            <w:vAlign w:val="bottom"/>
            <w:tcBorders>
              <w:bottom w:val="single" w:sz="8" w:color="F79646"/>
            </w:tcBorders>
            <w:shd w:val="clear" w:color="auto" w:fill="FCDEC5"/>
          </w:tcPr>
          <w:p>
            <w:pPr>
              <w:spacing w:after="0"/>
              <w:rPr>
                <w:sz w:val="9"/>
                <w:szCs w:val="9"/>
                <w:color w:val="auto"/>
              </w:rPr>
            </w:pPr>
          </w:p>
        </w:tc>
        <w:tc>
          <w:tcPr>
            <w:tcW w:w="200" w:type="dxa"/>
            <w:vAlign w:val="bottom"/>
            <w:tcBorders>
              <w:bottom w:val="single" w:sz="8" w:color="F79646"/>
              <w:right w:val="single" w:sz="8" w:color="F79646"/>
            </w:tcBorders>
            <w:shd w:val="clear" w:color="auto" w:fill="FCDEC5"/>
          </w:tcPr>
          <w:p>
            <w:pPr>
              <w:spacing w:after="0"/>
              <w:rPr>
                <w:sz w:val="9"/>
                <w:szCs w:val="9"/>
                <w:color w:val="auto"/>
              </w:rPr>
            </w:pPr>
          </w:p>
        </w:tc>
      </w:tr>
    </w:tbl>
    <w:p>
      <w:pPr>
        <w:spacing w:after="0" w:line="156" w:lineRule="exact"/>
        <w:rPr>
          <w:sz w:val="20"/>
          <w:szCs w:val="20"/>
          <w:color w:val="auto"/>
        </w:rPr>
      </w:pPr>
    </w:p>
    <w:p>
      <w:pPr>
        <w:ind w:left="960" w:right="199"/>
        <w:spacing w:after="0" w:line="235" w:lineRule="auto"/>
        <w:rPr>
          <w:sz w:val="20"/>
          <w:szCs w:val="20"/>
          <w:color w:val="auto"/>
        </w:rPr>
      </w:pPr>
      <w:r>
        <w:rPr>
          <w:rFonts w:ascii="Arial" w:cs="Arial" w:eastAsia="Arial" w:hAnsi="Arial"/>
          <w:sz w:val="13"/>
          <w:szCs w:val="13"/>
          <w:color w:val="auto"/>
        </w:rPr>
        <w:t>In 2018, our Compensation Committee established an Adjusted PBT target of $141.3 million and a revenue target of $867.0 million. Based on our performance during the 2018 fiscal year, we achieved 88.2% of our Adjusted PBT target, and 97.7% of our revenue target.</w:t>
      </w:r>
    </w:p>
    <w:p>
      <w:pPr>
        <w:spacing w:after="0" w:line="150" w:lineRule="exact"/>
        <w:rPr>
          <w:sz w:val="20"/>
          <w:szCs w:val="20"/>
          <w:color w:val="auto"/>
        </w:rPr>
      </w:pPr>
    </w:p>
    <w:p>
      <w:pPr>
        <w:ind w:left="960" w:right="199"/>
        <w:spacing w:after="0" w:line="235" w:lineRule="auto"/>
        <w:rPr>
          <w:sz w:val="20"/>
          <w:szCs w:val="20"/>
          <w:color w:val="auto"/>
        </w:rPr>
      </w:pPr>
      <w:r>
        <w:rPr>
          <w:rFonts w:ascii="Arial" w:cs="Arial" w:eastAsia="Arial" w:hAnsi="Arial"/>
          <w:sz w:val="13"/>
          <w:szCs w:val="13"/>
          <w:color w:val="auto"/>
        </w:rPr>
        <w:t>The bonus pool funding for employees whose bonuses are tied to the performance of specific business lines is determined by targets established for such businesses by our Compensation Committee.</w:t>
      </w:r>
    </w:p>
    <w:p>
      <w:pPr>
        <w:spacing w:after="0" w:line="134" w:lineRule="exact"/>
        <w:rPr>
          <w:sz w:val="20"/>
          <w:szCs w:val="20"/>
          <w:color w:val="auto"/>
        </w:rPr>
      </w:pPr>
    </w:p>
    <w:p>
      <w:pPr>
        <w:jc w:val="both"/>
        <w:ind w:left="960" w:right="179" w:hanging="381"/>
        <w:spacing w:after="0" w:line="235" w:lineRule="auto"/>
        <w:tabs>
          <w:tab w:leader="none" w:pos="960" w:val="left"/>
        </w:tabs>
        <w:numPr>
          <w:ilvl w:val="0"/>
          <w:numId w:val="68"/>
        </w:numPr>
        <w:rPr>
          <w:rFonts w:ascii="Arial" w:cs="Arial" w:eastAsia="Arial" w:hAnsi="Arial"/>
          <w:sz w:val="13"/>
          <w:szCs w:val="13"/>
          <w:color w:val="F79646"/>
        </w:rPr>
      </w:pPr>
      <w:r>
        <w:rPr>
          <w:rFonts w:ascii="Arial" w:cs="Arial" w:eastAsia="Arial" w:hAnsi="Arial"/>
          <w:sz w:val="13"/>
          <w:szCs w:val="13"/>
          <w:b w:val="1"/>
          <w:bCs w:val="1"/>
          <w:color w:val="auto"/>
        </w:rPr>
        <w:t xml:space="preserve">Individual Performance Measures. </w:t>
      </w:r>
      <w:r>
        <w:rPr>
          <w:rFonts w:ascii="Arial" w:cs="Arial" w:eastAsia="Arial" w:hAnsi="Arial"/>
          <w:sz w:val="13"/>
          <w:szCs w:val="13"/>
          <w:color w:val="auto"/>
        </w:rPr>
        <w:t>As discussed above, each of our named executive officers earns a portion of his respective annual</w:t>
      </w:r>
      <w:r>
        <w:rPr>
          <w:rFonts w:ascii="Arial" w:cs="Arial" w:eastAsia="Arial" w:hAnsi="Arial"/>
          <w:sz w:val="13"/>
          <w:szCs w:val="13"/>
          <w:b w:val="1"/>
          <w:bCs w:val="1"/>
          <w:color w:val="auto"/>
        </w:rPr>
        <w:t xml:space="preserve"> </w:t>
      </w:r>
      <w:r>
        <w:rPr>
          <w:rFonts w:ascii="Arial" w:cs="Arial" w:eastAsia="Arial" w:hAnsi="Arial"/>
          <w:sz w:val="13"/>
          <w:szCs w:val="13"/>
          <w:color w:val="auto"/>
        </w:rPr>
        <w:t>incentive 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other goals, such as client and employee satisfaction metrics, are capable of objective measurement. The individual performance measures are generally based on strategic performance indicators such as improving sales productivity, strengthening our sales effectiveness, supporting inorganic growth through mergers and acquisitions, improving recruitment capabilities, enhancing market recognition, advancing our technological and automation capabilities and achieving revenue growth targets within specific areas.</w:t>
      </w:r>
    </w:p>
    <w:p>
      <w:pPr>
        <w:spacing w:after="0" w:line="138" w:lineRule="exact"/>
        <w:rPr>
          <w:rFonts w:ascii="Arial" w:cs="Arial" w:eastAsia="Arial" w:hAnsi="Arial"/>
          <w:sz w:val="13"/>
          <w:szCs w:val="13"/>
          <w:color w:val="F79646"/>
        </w:rPr>
      </w:pPr>
    </w:p>
    <w:p>
      <w:pPr>
        <w:jc w:val="both"/>
        <w:ind w:left="960" w:right="179" w:hanging="381"/>
        <w:spacing w:after="0" w:line="234" w:lineRule="auto"/>
        <w:tabs>
          <w:tab w:leader="none" w:pos="960" w:val="left"/>
        </w:tabs>
        <w:numPr>
          <w:ilvl w:val="0"/>
          <w:numId w:val="68"/>
        </w:numPr>
        <w:rPr>
          <w:rFonts w:ascii="Arial" w:cs="Arial" w:eastAsia="Arial" w:hAnsi="Arial"/>
          <w:sz w:val="13"/>
          <w:szCs w:val="13"/>
          <w:color w:val="F79646"/>
        </w:rPr>
      </w:pPr>
      <w:r>
        <w:rPr>
          <w:rFonts w:ascii="Arial" w:cs="Arial" w:eastAsia="Arial" w:hAnsi="Arial"/>
          <w:sz w:val="13"/>
          <w:szCs w:val="13"/>
          <w:b w:val="1"/>
          <w:bCs w:val="1"/>
          <w:color w:val="auto"/>
        </w:rPr>
        <w:t xml:space="preserve">Determination of Individual Performance Achievement. </w:t>
      </w:r>
      <w:r>
        <w:rPr>
          <w:rFonts w:ascii="Arial" w:cs="Arial" w:eastAsia="Arial" w:hAnsi="Arial"/>
          <w:sz w:val="13"/>
          <w:szCs w:val="13"/>
          <w:color w:val="auto"/>
        </w:rPr>
        <w:t>Mr. Kapoor made performance assessments and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recommendations for Messrs. Chhibbar, Bagai, Srivatsan and Miglani and our Compensation Committee approved the recommendations after reviewing similar considerations for such named executive officers. For Mr. Chhibbar, our Compensation Committee noted his role in pursuing our M&amp;A strategy, managing the finance function, developing investor relations, and growing the finance and accounting business. For Mr. Bagai, our Compensation Committee noted his contribution in providing leadership to the analytics business, managing operations, driving cost efficiencies, and improving margins of operational geographies. For Mr. Srivatsan, our Compensation Committee noted his contribution in turning around the consulting business, leading the sales function and implementing the new marketing position of the Company. For Mr. Miglani, our Compensation Committee noted his contribution in promoting diversity, building the talent base and creating an organization for a digital future, while enabling integration of acquired companies. For Mr. Kapoor, the Compensation Committee noted his contribution in building a strong leadership team, meeting business metric targets, and leading the strategic transformation of the company as a leader in global digital transformation services.</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960" w:hanging="381"/>
        <w:spacing w:after="0"/>
        <w:tabs>
          <w:tab w:leader="none" w:pos="960" w:val="left"/>
        </w:tabs>
        <w:numPr>
          <w:ilvl w:val="0"/>
          <w:numId w:val="69"/>
        </w:numPr>
        <w:rPr>
          <w:rFonts w:ascii="Arial" w:cs="Arial" w:eastAsia="Arial" w:hAnsi="Arial"/>
          <w:sz w:val="13"/>
          <w:szCs w:val="13"/>
          <w:color w:val="F79646"/>
        </w:rPr>
      </w:pPr>
      <w:r>
        <w:rPr>
          <w:rFonts w:ascii="Arial" w:cs="Arial" w:eastAsia="Arial" w:hAnsi="Arial"/>
          <w:sz w:val="13"/>
          <w:szCs w:val="13"/>
          <w:b w:val="1"/>
          <w:bCs w:val="1"/>
          <w:color w:val="auto"/>
        </w:rPr>
        <w:t xml:space="preserve">Actual Bonus Payments. </w:t>
      </w:r>
      <w:r>
        <w:rPr>
          <w:rFonts w:ascii="Arial" w:cs="Arial" w:eastAsia="Arial" w:hAnsi="Arial"/>
          <w:sz w:val="13"/>
          <w:szCs w:val="13"/>
          <w:color w:val="auto"/>
        </w:rPr>
        <w:t>The table below sets out the 2018 incentive bonuses paid to our named executive officers in March 2019.</w:t>
      </w:r>
    </w:p>
    <w:p>
      <w:pPr>
        <w:spacing w:after="0" w:line="163" w:lineRule="exact"/>
        <w:rPr>
          <w:sz w:val="20"/>
          <w:szCs w:val="20"/>
          <w:color w:val="auto"/>
        </w:rPr>
      </w:pPr>
    </w:p>
    <w:tbl>
      <w:tblPr>
        <w:tblLayout w:type="fixed"/>
        <w:tblInd w:w="1510" w:type="dxa"/>
        <w:tblCellMar>
          <w:top w:w="0" w:type="dxa"/>
          <w:left w:w="0" w:type="dxa"/>
          <w:bottom w:w="0" w:type="dxa"/>
          <w:right w:w="0" w:type="dxa"/>
        </w:tblCellMar>
      </w:tblPr>
      <w:tr>
        <w:trPr>
          <w:trHeight w:val="117"/>
        </w:trPr>
        <w:tc>
          <w:tcPr>
            <w:tcW w:w="3740" w:type="dxa"/>
            <w:vAlign w:val="bottom"/>
            <w:tcBorders>
              <w:left w:val="single" w:sz="8" w:color="F79646"/>
            </w:tcBorders>
            <w:shd w:val="clear" w:color="auto" w:fill="F79646"/>
          </w:tcPr>
          <w:p>
            <w:pPr>
              <w:spacing w:after="0"/>
              <w:rPr>
                <w:sz w:val="10"/>
                <w:szCs w:val="10"/>
                <w:color w:val="auto"/>
              </w:rPr>
            </w:pPr>
          </w:p>
        </w:tc>
        <w:tc>
          <w:tcPr>
            <w:tcW w:w="2300" w:type="dxa"/>
            <w:vAlign w:val="bottom"/>
            <w:tcBorders>
              <w:right w:val="single" w:sz="8" w:color="F79646"/>
            </w:tcBorders>
            <w:shd w:val="clear" w:color="auto" w:fill="F79646"/>
          </w:tcPr>
          <w:p>
            <w:pPr>
              <w:jc w:val="right"/>
              <w:ind w:right="329"/>
              <w:spacing w:after="0"/>
              <w:rPr>
                <w:sz w:val="20"/>
                <w:szCs w:val="20"/>
                <w:color w:val="auto"/>
              </w:rPr>
            </w:pPr>
            <w:r>
              <w:rPr>
                <w:rFonts w:ascii="Arial" w:cs="Arial" w:eastAsia="Arial" w:hAnsi="Arial"/>
                <w:sz w:val="10"/>
                <w:szCs w:val="10"/>
                <w:b w:val="1"/>
                <w:bCs w:val="1"/>
                <w:color w:val="FFFFFE"/>
              </w:rPr>
              <w:t>Earned 2018</w:t>
            </w:r>
          </w:p>
        </w:tc>
      </w:tr>
      <w:tr>
        <w:trPr>
          <w:trHeight w:val="134"/>
        </w:trPr>
        <w:tc>
          <w:tcPr>
            <w:tcW w:w="3740" w:type="dxa"/>
            <w:vAlign w:val="bottom"/>
            <w:tcBorders>
              <w:left w:val="single" w:sz="8" w:color="F79646"/>
            </w:tcBorders>
            <w:shd w:val="clear" w:color="auto" w:fill="F79646"/>
          </w:tcPr>
          <w:p>
            <w:pPr>
              <w:ind w:left="2300"/>
              <w:spacing w:after="0"/>
              <w:rPr>
                <w:sz w:val="20"/>
                <w:szCs w:val="20"/>
                <w:color w:val="auto"/>
              </w:rPr>
            </w:pPr>
            <w:r>
              <w:rPr>
                <w:rFonts w:ascii="Arial" w:cs="Arial" w:eastAsia="Arial" w:hAnsi="Arial"/>
                <w:sz w:val="10"/>
                <w:szCs w:val="10"/>
                <w:b w:val="1"/>
                <w:bCs w:val="1"/>
                <w:color w:val="FFFFFE"/>
              </w:rPr>
              <w:t>Name</w:t>
            </w:r>
          </w:p>
        </w:tc>
        <w:tc>
          <w:tcPr>
            <w:tcW w:w="2300" w:type="dxa"/>
            <w:vAlign w:val="bottom"/>
            <w:tcBorders>
              <w:right w:val="single" w:sz="8" w:color="F79646"/>
            </w:tcBorders>
            <w:shd w:val="clear" w:color="auto" w:fill="F79646"/>
          </w:tcPr>
          <w:p>
            <w:pPr>
              <w:jc w:val="right"/>
              <w:ind w:right="149"/>
              <w:spacing w:after="0"/>
              <w:rPr>
                <w:sz w:val="20"/>
                <w:szCs w:val="20"/>
                <w:color w:val="auto"/>
              </w:rPr>
            </w:pPr>
            <w:r>
              <w:rPr>
                <w:rFonts w:ascii="Arial" w:cs="Arial" w:eastAsia="Arial" w:hAnsi="Arial"/>
                <w:sz w:val="10"/>
                <w:szCs w:val="10"/>
                <w:b w:val="1"/>
                <w:bCs w:val="1"/>
                <w:color w:val="FFFFFE"/>
              </w:rPr>
              <w:t>Incentive Bonus ($)</w:t>
            </w:r>
          </w:p>
        </w:tc>
      </w:tr>
      <w:tr>
        <w:trPr>
          <w:trHeight w:val="116"/>
        </w:trPr>
        <w:tc>
          <w:tcPr>
            <w:tcW w:w="3740" w:type="dxa"/>
            <w:vAlign w:val="bottom"/>
            <w:tcBorders>
              <w:left w:val="single" w:sz="8" w:color="F79646"/>
            </w:tcBorders>
            <w:shd w:val="clear" w:color="auto" w:fill="FCDEC5"/>
          </w:tcPr>
          <w:p>
            <w:pPr>
              <w:ind w:left="180"/>
              <w:spacing w:after="0"/>
              <w:rPr>
                <w:sz w:val="20"/>
                <w:szCs w:val="20"/>
                <w:color w:val="auto"/>
              </w:rPr>
            </w:pPr>
            <w:r>
              <w:rPr>
                <w:rFonts w:ascii="Arial" w:cs="Arial" w:eastAsia="Arial" w:hAnsi="Arial"/>
                <w:sz w:val="10"/>
                <w:szCs w:val="10"/>
                <w:b w:val="1"/>
                <w:bCs w:val="1"/>
                <w:color w:val="auto"/>
              </w:rPr>
              <w:t>Rohit Kapoor</w:t>
            </w:r>
          </w:p>
        </w:tc>
        <w:tc>
          <w:tcPr>
            <w:tcW w:w="2300" w:type="dxa"/>
            <w:vAlign w:val="bottom"/>
            <w:tcBorders>
              <w:right w:val="single" w:sz="8" w:color="F79646"/>
            </w:tcBorders>
            <w:shd w:val="clear" w:color="auto" w:fill="FCDEC5"/>
          </w:tcPr>
          <w:p>
            <w:pPr>
              <w:jc w:val="right"/>
              <w:ind w:right="149"/>
              <w:spacing w:after="0"/>
              <w:rPr>
                <w:sz w:val="20"/>
                <w:szCs w:val="20"/>
                <w:color w:val="auto"/>
              </w:rPr>
            </w:pPr>
            <w:r>
              <w:rPr>
                <w:rFonts w:ascii="Arial" w:cs="Arial" w:eastAsia="Arial" w:hAnsi="Arial"/>
                <w:sz w:val="10"/>
                <w:szCs w:val="10"/>
                <w:color w:val="FFFFFE"/>
              </w:rPr>
              <w:t>532,748</w:t>
            </w:r>
          </w:p>
        </w:tc>
      </w:tr>
      <w:tr>
        <w:trPr>
          <w:trHeight w:val="116"/>
        </w:trPr>
        <w:tc>
          <w:tcPr>
            <w:tcW w:w="3740" w:type="dxa"/>
            <w:vAlign w:val="bottom"/>
            <w:tcBorders>
              <w:left w:val="single" w:sz="8" w:color="F79646"/>
            </w:tcBorders>
          </w:tcPr>
          <w:p>
            <w:pPr>
              <w:ind w:left="180"/>
              <w:spacing w:after="0"/>
              <w:rPr>
                <w:sz w:val="20"/>
                <w:szCs w:val="20"/>
                <w:color w:val="auto"/>
              </w:rPr>
            </w:pPr>
            <w:r>
              <w:rPr>
                <w:rFonts w:ascii="Arial" w:cs="Arial" w:eastAsia="Arial" w:hAnsi="Arial"/>
                <w:sz w:val="10"/>
                <w:szCs w:val="10"/>
                <w:b w:val="1"/>
                <w:bCs w:val="1"/>
                <w:color w:val="auto"/>
              </w:rPr>
              <w:t>Vishal Chhibbar</w:t>
            </w:r>
          </w:p>
        </w:tc>
        <w:tc>
          <w:tcPr>
            <w:tcW w:w="2300" w:type="dxa"/>
            <w:vAlign w:val="bottom"/>
            <w:tcBorders>
              <w:right w:val="single" w:sz="8" w:color="F79646"/>
            </w:tcBorders>
          </w:tcPr>
          <w:p>
            <w:pPr>
              <w:jc w:val="right"/>
              <w:ind w:right="149"/>
              <w:spacing w:after="0"/>
              <w:rPr>
                <w:sz w:val="20"/>
                <w:szCs w:val="20"/>
                <w:color w:val="auto"/>
              </w:rPr>
            </w:pPr>
            <w:r>
              <w:rPr>
                <w:rFonts w:ascii="Arial" w:cs="Arial" w:eastAsia="Arial" w:hAnsi="Arial"/>
                <w:sz w:val="10"/>
                <w:szCs w:val="10"/>
                <w:color w:val="auto"/>
              </w:rPr>
              <w:t>173,210</w:t>
            </w:r>
          </w:p>
        </w:tc>
      </w:tr>
      <w:tr>
        <w:trPr>
          <w:trHeight w:val="135"/>
        </w:trPr>
        <w:tc>
          <w:tcPr>
            <w:tcW w:w="3740" w:type="dxa"/>
            <w:vAlign w:val="bottom"/>
            <w:tcBorders>
              <w:left w:val="single" w:sz="8" w:color="F79646"/>
            </w:tcBorders>
            <w:shd w:val="clear" w:color="auto" w:fill="FCDEC5"/>
          </w:tcPr>
          <w:p>
            <w:pPr>
              <w:ind w:left="180"/>
              <w:spacing w:after="0" w:line="135" w:lineRule="exact"/>
              <w:rPr>
                <w:sz w:val="20"/>
                <w:szCs w:val="20"/>
                <w:color w:val="auto"/>
              </w:rPr>
            </w:pPr>
            <w:r>
              <w:rPr>
                <w:rFonts w:ascii="Arial" w:cs="Arial" w:eastAsia="Arial" w:hAnsi="Arial"/>
                <w:sz w:val="10"/>
                <w:szCs w:val="10"/>
                <w:b w:val="1"/>
                <w:bCs w:val="1"/>
                <w:color w:val="auto"/>
              </w:rPr>
              <w:t>Pavan Bagai</w:t>
            </w:r>
            <w:r>
              <w:rPr>
                <w:rFonts w:ascii="Arial" w:cs="Arial" w:eastAsia="Arial" w:hAnsi="Arial"/>
                <w:sz w:val="15"/>
                <w:szCs w:val="15"/>
                <w:color w:val="auto"/>
                <w:vertAlign w:val="superscript"/>
              </w:rPr>
              <w:t>(1)</w:t>
            </w:r>
          </w:p>
        </w:tc>
        <w:tc>
          <w:tcPr>
            <w:tcW w:w="2300" w:type="dxa"/>
            <w:vAlign w:val="bottom"/>
            <w:tcBorders>
              <w:right w:val="single" w:sz="8" w:color="F79646"/>
            </w:tcBorders>
            <w:shd w:val="clear" w:color="auto" w:fill="FCDEC5"/>
          </w:tcPr>
          <w:p>
            <w:pPr>
              <w:jc w:val="right"/>
              <w:ind w:right="149"/>
              <w:spacing w:after="0"/>
              <w:rPr>
                <w:sz w:val="20"/>
                <w:szCs w:val="20"/>
                <w:color w:val="auto"/>
              </w:rPr>
            </w:pPr>
            <w:r>
              <w:rPr>
                <w:rFonts w:ascii="Arial" w:cs="Arial" w:eastAsia="Arial" w:hAnsi="Arial"/>
                <w:sz w:val="10"/>
                <w:szCs w:val="10"/>
                <w:color w:val="auto"/>
              </w:rPr>
              <w:t>133,946</w:t>
            </w:r>
          </w:p>
        </w:tc>
      </w:tr>
      <w:tr>
        <w:trPr>
          <w:trHeight w:val="116"/>
        </w:trPr>
        <w:tc>
          <w:tcPr>
            <w:tcW w:w="3740" w:type="dxa"/>
            <w:vAlign w:val="bottom"/>
            <w:tcBorders>
              <w:left w:val="single" w:sz="8" w:color="F79646"/>
            </w:tcBorders>
          </w:tcPr>
          <w:p>
            <w:pPr>
              <w:ind w:left="180"/>
              <w:spacing w:after="0"/>
              <w:rPr>
                <w:sz w:val="20"/>
                <w:szCs w:val="20"/>
                <w:color w:val="auto"/>
              </w:rPr>
            </w:pPr>
            <w:r>
              <w:rPr>
                <w:rFonts w:ascii="Arial" w:cs="Arial" w:eastAsia="Arial" w:hAnsi="Arial"/>
                <w:sz w:val="10"/>
                <w:szCs w:val="10"/>
                <w:b w:val="1"/>
                <w:bCs w:val="1"/>
                <w:color w:val="auto"/>
              </w:rPr>
              <w:t>Nagaraja Srivatsan</w:t>
            </w:r>
          </w:p>
        </w:tc>
        <w:tc>
          <w:tcPr>
            <w:tcW w:w="2300" w:type="dxa"/>
            <w:vAlign w:val="bottom"/>
            <w:tcBorders>
              <w:right w:val="single" w:sz="8" w:color="F79646"/>
            </w:tcBorders>
          </w:tcPr>
          <w:p>
            <w:pPr>
              <w:jc w:val="right"/>
              <w:ind w:right="149"/>
              <w:spacing w:after="0"/>
              <w:rPr>
                <w:sz w:val="20"/>
                <w:szCs w:val="20"/>
                <w:color w:val="auto"/>
              </w:rPr>
            </w:pPr>
            <w:r>
              <w:rPr>
                <w:rFonts w:ascii="Arial" w:cs="Arial" w:eastAsia="Arial" w:hAnsi="Arial"/>
                <w:sz w:val="10"/>
                <w:szCs w:val="10"/>
                <w:color w:val="auto"/>
              </w:rPr>
              <w:t>172,987</w:t>
            </w:r>
          </w:p>
        </w:tc>
      </w:tr>
      <w:tr>
        <w:trPr>
          <w:trHeight w:val="116"/>
        </w:trPr>
        <w:tc>
          <w:tcPr>
            <w:tcW w:w="3740" w:type="dxa"/>
            <w:vAlign w:val="bottom"/>
            <w:tcBorders>
              <w:left w:val="single" w:sz="8" w:color="F79646"/>
              <w:bottom w:val="single" w:sz="8" w:color="F79646"/>
            </w:tcBorders>
            <w:shd w:val="clear" w:color="auto" w:fill="FCDEC5"/>
          </w:tcPr>
          <w:p>
            <w:pPr>
              <w:ind w:left="180"/>
              <w:spacing w:after="0"/>
              <w:rPr>
                <w:sz w:val="20"/>
                <w:szCs w:val="20"/>
                <w:color w:val="auto"/>
              </w:rPr>
            </w:pPr>
            <w:r>
              <w:rPr>
                <w:rFonts w:ascii="Arial" w:cs="Arial" w:eastAsia="Arial" w:hAnsi="Arial"/>
                <w:sz w:val="10"/>
                <w:szCs w:val="10"/>
                <w:b w:val="1"/>
                <w:bCs w:val="1"/>
                <w:color w:val="auto"/>
              </w:rPr>
              <w:t>Nalin Miglani</w:t>
            </w:r>
          </w:p>
        </w:tc>
        <w:tc>
          <w:tcPr>
            <w:tcW w:w="2300" w:type="dxa"/>
            <w:vAlign w:val="bottom"/>
            <w:tcBorders>
              <w:bottom w:val="single" w:sz="8" w:color="F79646"/>
              <w:right w:val="single" w:sz="8" w:color="F79646"/>
            </w:tcBorders>
            <w:shd w:val="clear" w:color="auto" w:fill="FCDEC5"/>
          </w:tcPr>
          <w:p>
            <w:pPr>
              <w:jc w:val="right"/>
              <w:ind w:right="149"/>
              <w:spacing w:after="0"/>
              <w:rPr>
                <w:sz w:val="20"/>
                <w:szCs w:val="20"/>
                <w:color w:val="auto"/>
              </w:rPr>
            </w:pPr>
            <w:r>
              <w:rPr>
                <w:rFonts w:ascii="Arial" w:cs="Arial" w:eastAsia="Arial" w:hAnsi="Arial"/>
                <w:sz w:val="10"/>
                <w:szCs w:val="10"/>
                <w:color w:val="auto"/>
              </w:rPr>
              <w:t>164,579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-390525</wp:posOffset>
            </wp:positionV>
            <wp:extent cx="35941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94100" cy="6350"/>
                    </a:xfrm>
                    <a:prstGeom prst="rect">
                      <a:avLst/>
                    </a:prstGeom>
                    <a:noFill/>
                  </pic:spPr>
                </pic:pic>
              </a:graphicData>
            </a:graphic>
          </wp:anchor>
        </w:drawing>
      </w:r>
    </w:p>
    <w:p>
      <w:pPr>
        <w:spacing w:after="0" w:line="136" w:lineRule="exact"/>
        <w:rPr>
          <w:sz w:val="20"/>
          <w:szCs w:val="20"/>
          <w:color w:val="auto"/>
        </w:rPr>
      </w:pPr>
    </w:p>
    <w:p>
      <w:pPr>
        <w:ind w:left="1880" w:right="179" w:hanging="390"/>
        <w:spacing w:after="0" w:line="235" w:lineRule="auto"/>
        <w:tabs>
          <w:tab w:leader="none" w:pos="1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exchange rate used for the bonus conversion from Indian rupees to U.S. dollars for Mr. Bagai was 69.77 INR to 1 USD, which was the exchange rate on December 31, 2018.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Long-Term Equity Incentives</w:t>
      </w:r>
    </w:p>
    <w:p>
      <w:pPr>
        <w:spacing w:after="0" w:line="165"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51"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51"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Fiscal Year 2018 Awards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Under our equity compensation program, our executive officers received restricted stock units under the 2015 Amendment and Restatement of the 2006 Omnibus Award Plan (the "2015 Plan"). Subsequent awards were made pursuant to the 2018 Omnibus Incentive Plan approved by the Company's stockholders at the annual meeting of stockholders held in June 2018.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94615</wp:posOffset>
            </wp:positionV>
            <wp:extent cx="4113530" cy="421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13530" cy="42164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26" w:name="page27"/>
    <w:bookmarkEnd w:id="26"/>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960" w:right="199" w:hanging="381"/>
        <w:spacing w:after="0" w:line="235" w:lineRule="auto"/>
        <w:tabs>
          <w:tab w:leader="none" w:pos="960" w:val="left"/>
        </w:tabs>
        <w:numPr>
          <w:ilvl w:val="0"/>
          <w:numId w:val="71"/>
        </w:numPr>
        <w:rPr>
          <w:rFonts w:ascii="Arial" w:cs="Arial" w:eastAsia="Arial" w:hAnsi="Arial"/>
          <w:sz w:val="13"/>
          <w:szCs w:val="13"/>
          <w:color w:val="F79646"/>
        </w:rPr>
      </w:pPr>
      <w:r>
        <w:rPr>
          <w:rFonts w:ascii="Arial" w:cs="Arial" w:eastAsia="Arial" w:hAnsi="Arial"/>
          <w:sz w:val="13"/>
          <w:szCs w:val="13"/>
          <w:color w:val="auto"/>
        </w:rPr>
        <w:t>The Time-Vested RSUs will vest in increments of 25% on each of the first four anniversaries of the grant date, subject to continuous service with the Company through the applicable vesting date.</w:t>
      </w:r>
    </w:p>
    <w:p>
      <w:pPr>
        <w:spacing w:after="0" w:line="149" w:lineRule="exact"/>
        <w:rPr>
          <w:rFonts w:ascii="Arial" w:cs="Arial" w:eastAsia="Arial" w:hAnsi="Arial"/>
          <w:sz w:val="13"/>
          <w:szCs w:val="13"/>
          <w:color w:val="F79646"/>
        </w:rPr>
      </w:pPr>
    </w:p>
    <w:p>
      <w:pPr>
        <w:ind w:left="960" w:hanging="381"/>
        <w:spacing w:after="0"/>
        <w:tabs>
          <w:tab w:leader="none" w:pos="960" w:val="left"/>
        </w:tabs>
        <w:numPr>
          <w:ilvl w:val="0"/>
          <w:numId w:val="71"/>
        </w:numPr>
        <w:rPr>
          <w:rFonts w:ascii="Arial" w:cs="Arial" w:eastAsia="Arial" w:hAnsi="Arial"/>
          <w:sz w:val="13"/>
          <w:szCs w:val="13"/>
          <w:color w:val="F79646"/>
        </w:rPr>
      </w:pPr>
      <w:r>
        <w:rPr>
          <w:rFonts w:ascii="Arial" w:cs="Arial" w:eastAsia="Arial" w:hAnsi="Arial"/>
          <w:sz w:val="13"/>
          <w:szCs w:val="13"/>
          <w:color w:val="auto"/>
        </w:rPr>
        <w:t>The Committee believes these Time-Vested RSUs provide an important role in promoting retention of our executive officers.</w:t>
      </w:r>
    </w:p>
    <w:p>
      <w:pPr>
        <w:spacing w:after="0" w:line="139" w:lineRule="exact"/>
        <w:rPr>
          <w:rFonts w:ascii="Arial" w:cs="Arial" w:eastAsia="Arial" w:hAnsi="Arial"/>
          <w:sz w:val="13"/>
          <w:szCs w:val="13"/>
          <w:color w:val="F79646"/>
        </w:rPr>
      </w:pPr>
    </w:p>
    <w:p>
      <w:pPr>
        <w:ind w:left="960" w:right="199" w:hanging="381"/>
        <w:spacing w:after="0" w:line="235" w:lineRule="auto"/>
        <w:tabs>
          <w:tab w:leader="none" w:pos="960" w:val="left"/>
        </w:tabs>
        <w:numPr>
          <w:ilvl w:val="0"/>
          <w:numId w:val="71"/>
        </w:numPr>
        <w:rPr>
          <w:rFonts w:ascii="Arial" w:cs="Arial" w:eastAsia="Arial" w:hAnsi="Arial"/>
          <w:sz w:val="13"/>
          <w:szCs w:val="13"/>
          <w:color w:val="F79646"/>
        </w:rPr>
      </w:pPr>
      <w:r>
        <w:rPr>
          <w:rFonts w:ascii="Arial" w:cs="Arial" w:eastAsia="Arial" w:hAnsi="Arial"/>
          <w:sz w:val="13"/>
          <w:szCs w:val="13"/>
          <w:color w:val="auto"/>
        </w:rPr>
        <w:t>The "Performance-Vested" portion of the 2018 RSUs ("PRSUs") are split into two types that each vest based on separate performance measures as follows:</w:t>
      </w:r>
    </w:p>
    <w:p>
      <w:pPr>
        <w:spacing w:after="0" w:line="278" w:lineRule="exact"/>
        <w:rPr>
          <w:rFonts w:ascii="Arial" w:cs="Arial" w:eastAsia="Arial" w:hAnsi="Arial"/>
          <w:sz w:val="13"/>
          <w:szCs w:val="13"/>
          <w:color w:val="F79646"/>
        </w:rPr>
      </w:pPr>
    </w:p>
    <w:p>
      <w:pPr>
        <w:ind w:left="1740" w:right="179" w:hanging="385"/>
        <w:spacing w:after="0" w:line="234" w:lineRule="auto"/>
        <w:rPr>
          <w:rFonts w:ascii="Arial" w:cs="Arial" w:eastAsia="Arial" w:hAnsi="Arial"/>
          <w:sz w:val="13"/>
          <w:szCs w:val="13"/>
          <w:color w:val="F79646"/>
        </w:rPr>
      </w:pPr>
      <w:r>
        <w:rPr>
          <w:rFonts w:ascii="Arial" w:cs="Arial" w:eastAsia="Arial" w:hAnsi="Arial"/>
          <w:sz w:val="13"/>
          <w:szCs w:val="13"/>
          <w:color w:val="F79646"/>
        </w:rPr>
        <w:t>–</w:t>
      </w:r>
      <w:r>
        <w:rPr>
          <w:rFonts w:ascii="Arial" w:cs="Arial" w:eastAsia="Arial" w:hAnsi="Arial"/>
          <w:sz w:val="13"/>
          <w:szCs w:val="13"/>
          <w:b w:val="1"/>
          <w:bCs w:val="1"/>
          <w:color w:val="auto"/>
        </w:rPr>
        <w:t xml:space="preserve">Revenue-Linked PRSUs: </w:t>
      </w:r>
      <w:r>
        <w:rPr>
          <w:rFonts w:ascii="Arial" w:cs="Arial" w:eastAsia="Arial" w:hAnsi="Arial"/>
          <w:sz w:val="13"/>
          <w:szCs w:val="13"/>
          <w:color w:val="auto"/>
        </w:rPr>
        <w:t>50% of these performance-based restricted stock unit awards will cliff-vest on December 31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third fiscal year in the performance period, subject to achievement of threshold Company revenues against an aggregate revenue target over the grant's three year performance period of January 1, 2018 to December 31, 2020 and continuous employment through December 31, 2020—we call these awards "Revenue-Linked PRSUs." The ultimate amount of Revenue-Linked PRSUs that a recipient earns may be up to 200% of the target award of Revenue-Linked RSUs. To the extent the Company's revenue falls in between 90% and 98%, the percentage of Revenue-Based RSUS earned will be determined based on straight line interpolation calculated using a revenue target range between 90% and 100% and a funding range between 0% and 100%. Likewise, if performance is between 102% and 110%, the percentage of Revenue-Based RSUs earned will be determined based on straight line interpolation calculated using a revenue target range between 100% and 110% and a funding range between 100% and 200%. The chart below sets forth the revenue target achievement thresholds and corresponding funding percentage:</w:t>
      </w:r>
    </w:p>
    <w:p>
      <w:pPr>
        <w:spacing w:after="0" w:line="153" w:lineRule="exact"/>
        <w:rPr>
          <w:sz w:val="20"/>
          <w:szCs w:val="20"/>
          <w:color w:val="auto"/>
        </w:rPr>
      </w:pPr>
    </w:p>
    <w:tbl>
      <w:tblPr>
        <w:tblLayout w:type="fixed"/>
        <w:tblInd w:w="1770" w:type="dxa"/>
        <w:tblCellMar>
          <w:top w:w="0" w:type="dxa"/>
          <w:left w:w="0" w:type="dxa"/>
          <w:bottom w:w="0" w:type="dxa"/>
          <w:right w:w="0" w:type="dxa"/>
        </w:tblCellMar>
      </w:tblPr>
      <w:tr>
        <w:trPr>
          <w:trHeight w:val="288"/>
        </w:trPr>
        <w:tc>
          <w:tcPr>
            <w:tcW w:w="720" w:type="dxa"/>
            <w:vAlign w:val="bottom"/>
            <w:tcBorders>
              <w:left w:val="single" w:sz="8" w:color="F79646"/>
              <w:bottom w:val="single" w:sz="8" w:color="F79646"/>
            </w:tcBorders>
            <w:shd w:val="clear" w:color="auto" w:fill="F79646"/>
          </w:tcPr>
          <w:p>
            <w:pPr>
              <w:spacing w:after="0"/>
              <w:rPr>
                <w:sz w:val="24"/>
                <w:szCs w:val="24"/>
                <w:color w:val="auto"/>
              </w:rPr>
            </w:pPr>
          </w:p>
        </w:tc>
        <w:tc>
          <w:tcPr>
            <w:tcW w:w="3020" w:type="dxa"/>
            <w:vAlign w:val="bottom"/>
            <w:tcBorders>
              <w:bottom w:val="single" w:sz="8" w:color="auto"/>
            </w:tcBorders>
            <w:shd w:val="clear" w:color="auto" w:fill="F79646"/>
          </w:tcPr>
          <w:p>
            <w:pPr>
              <w:ind w:left="620"/>
              <w:spacing w:after="0"/>
              <w:rPr>
                <w:sz w:val="20"/>
                <w:szCs w:val="20"/>
                <w:color w:val="auto"/>
              </w:rPr>
            </w:pPr>
            <w:r>
              <w:rPr>
                <w:rFonts w:ascii="Arial" w:cs="Arial" w:eastAsia="Arial" w:hAnsi="Arial"/>
                <w:sz w:val="13"/>
                <w:szCs w:val="13"/>
                <w:b w:val="1"/>
                <w:bCs w:val="1"/>
                <w:color w:val="FFFFFE"/>
              </w:rPr>
              <w:t>Revenue Target Achievement</w:t>
            </w:r>
          </w:p>
        </w:tc>
        <w:tc>
          <w:tcPr>
            <w:tcW w:w="120" w:type="dxa"/>
            <w:vAlign w:val="bottom"/>
            <w:tcBorders>
              <w:bottom w:val="single" w:sz="8" w:color="F79646"/>
            </w:tcBorders>
            <w:shd w:val="clear" w:color="auto" w:fill="F79646"/>
          </w:tcPr>
          <w:p>
            <w:pPr>
              <w:spacing w:after="0"/>
              <w:rPr>
                <w:sz w:val="24"/>
                <w:szCs w:val="24"/>
                <w:color w:val="auto"/>
              </w:rPr>
            </w:pPr>
          </w:p>
        </w:tc>
        <w:tc>
          <w:tcPr>
            <w:tcW w:w="3020" w:type="dxa"/>
            <w:vAlign w:val="bottom"/>
            <w:tcBorders>
              <w:bottom w:val="single" w:sz="8" w:color="auto"/>
            </w:tcBorders>
            <w:shd w:val="clear" w:color="auto" w:fill="F79646"/>
          </w:tcPr>
          <w:p>
            <w:pPr>
              <w:ind w:left="880"/>
              <w:spacing w:after="0"/>
              <w:rPr>
                <w:sz w:val="20"/>
                <w:szCs w:val="20"/>
                <w:color w:val="auto"/>
              </w:rPr>
            </w:pPr>
            <w:r>
              <w:rPr>
                <w:rFonts w:ascii="Arial" w:cs="Arial" w:eastAsia="Arial" w:hAnsi="Arial"/>
                <w:sz w:val="13"/>
                <w:szCs w:val="13"/>
                <w:b w:val="1"/>
                <w:bCs w:val="1"/>
                <w:color w:val="FFFFFE"/>
              </w:rPr>
              <w:t>Funding Percentage</w:t>
            </w:r>
          </w:p>
        </w:tc>
        <w:tc>
          <w:tcPr>
            <w:tcW w:w="200" w:type="dxa"/>
            <w:vAlign w:val="bottom"/>
            <w:tcBorders>
              <w:bottom w:val="single" w:sz="8" w:color="F79646"/>
              <w:right w:val="single" w:sz="8" w:color="F79646"/>
            </w:tcBorders>
            <w:shd w:val="clear" w:color="auto" w:fill="F79646"/>
          </w:tcPr>
          <w:p>
            <w:pPr>
              <w:spacing w:after="0"/>
              <w:rPr>
                <w:sz w:val="24"/>
                <w:szCs w:val="24"/>
                <w:color w:val="auto"/>
              </w:rPr>
            </w:pPr>
          </w:p>
        </w:tc>
      </w:tr>
      <w:tr>
        <w:trPr>
          <w:trHeight w:val="135"/>
        </w:trPr>
        <w:tc>
          <w:tcPr>
            <w:tcW w:w="720" w:type="dxa"/>
            <w:vAlign w:val="bottom"/>
            <w:tcBorders>
              <w:left w:val="single" w:sz="8" w:color="F79646"/>
            </w:tcBorders>
          </w:tcPr>
          <w:p>
            <w:pPr>
              <w:spacing w:after="0"/>
              <w:rPr>
                <w:sz w:val="11"/>
                <w:szCs w:val="11"/>
                <w:color w:val="auto"/>
              </w:rPr>
            </w:pPr>
          </w:p>
        </w:tc>
        <w:tc>
          <w:tcPr>
            <w:tcW w:w="3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110% or more</w:t>
            </w:r>
          </w:p>
        </w:tc>
        <w:tc>
          <w:tcPr>
            <w:tcW w:w="3140" w:type="dxa"/>
            <w:vAlign w:val="bottom"/>
            <w:gridSpan w:val="2"/>
          </w:tcPr>
          <w:p>
            <w:pPr>
              <w:jc w:val="center"/>
              <w:ind w:left="37"/>
              <w:spacing w:after="0" w:line="136" w:lineRule="exact"/>
              <w:rPr>
                <w:sz w:val="20"/>
                <w:szCs w:val="20"/>
                <w:color w:val="auto"/>
              </w:rPr>
            </w:pPr>
            <w:r>
              <w:rPr>
                <w:rFonts w:ascii="Arial" w:cs="Arial" w:eastAsia="Arial" w:hAnsi="Arial"/>
                <w:sz w:val="13"/>
                <w:szCs w:val="13"/>
                <w:color w:val="auto"/>
                <w:w w:val="96"/>
              </w:rPr>
              <w:t>200%</w:t>
            </w:r>
          </w:p>
        </w:tc>
        <w:tc>
          <w:tcPr>
            <w:tcW w:w="200" w:type="dxa"/>
            <w:vAlign w:val="bottom"/>
            <w:tcBorders>
              <w:right w:val="single" w:sz="8" w:color="F79646"/>
            </w:tcBorders>
          </w:tcPr>
          <w:p>
            <w:pPr>
              <w:spacing w:after="0"/>
              <w:rPr>
                <w:sz w:val="11"/>
                <w:szCs w:val="11"/>
                <w:color w:val="auto"/>
              </w:rPr>
            </w:pPr>
          </w:p>
        </w:tc>
      </w:tr>
      <w:tr>
        <w:trPr>
          <w:trHeight w:val="144"/>
        </w:trPr>
        <w:tc>
          <w:tcPr>
            <w:tcW w:w="720" w:type="dxa"/>
            <w:vAlign w:val="bottom"/>
            <w:tcBorders>
              <w:left w:val="single" w:sz="8" w:color="F79646"/>
            </w:tcBorders>
            <w:shd w:val="clear" w:color="auto" w:fill="FCDEC5"/>
          </w:tcPr>
          <w:p>
            <w:pPr>
              <w:spacing w:after="0"/>
              <w:rPr>
                <w:sz w:val="12"/>
                <w:szCs w:val="12"/>
                <w:color w:val="auto"/>
              </w:rPr>
            </w:pPr>
          </w:p>
        </w:tc>
        <w:tc>
          <w:tcPr>
            <w:tcW w:w="3020" w:type="dxa"/>
            <w:vAlign w:val="bottom"/>
            <w:shd w:val="clear" w:color="auto" w:fill="FCDEC5"/>
          </w:tcPr>
          <w:p>
            <w:pPr>
              <w:jc w:val="center"/>
              <w:spacing w:after="0" w:line="144" w:lineRule="exact"/>
              <w:rPr>
                <w:sz w:val="20"/>
                <w:szCs w:val="20"/>
                <w:color w:val="auto"/>
              </w:rPr>
            </w:pPr>
            <w:r>
              <w:rPr>
                <w:rFonts w:ascii="Arial" w:cs="Arial" w:eastAsia="Arial" w:hAnsi="Arial"/>
                <w:sz w:val="13"/>
                <w:szCs w:val="13"/>
                <w:b w:val="1"/>
                <w:bCs w:val="1"/>
                <w:color w:val="auto"/>
                <w:w w:val="96"/>
              </w:rPr>
              <w:t>98% to 102%</w:t>
            </w:r>
          </w:p>
        </w:tc>
        <w:tc>
          <w:tcPr>
            <w:tcW w:w="3140" w:type="dxa"/>
            <w:vAlign w:val="bottom"/>
            <w:gridSpan w:val="2"/>
            <w:shd w:val="clear" w:color="auto" w:fill="FCDEC5"/>
          </w:tcPr>
          <w:p>
            <w:pPr>
              <w:jc w:val="center"/>
              <w:ind w:left="37"/>
              <w:spacing w:after="0" w:line="144" w:lineRule="exact"/>
              <w:rPr>
                <w:sz w:val="20"/>
                <w:szCs w:val="20"/>
                <w:color w:val="auto"/>
              </w:rPr>
            </w:pPr>
            <w:r>
              <w:rPr>
                <w:rFonts w:ascii="Arial" w:cs="Arial" w:eastAsia="Arial" w:hAnsi="Arial"/>
                <w:sz w:val="13"/>
                <w:szCs w:val="13"/>
                <w:color w:val="auto"/>
                <w:w w:val="96"/>
              </w:rPr>
              <w:t>100%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720" w:type="dxa"/>
            <w:vAlign w:val="bottom"/>
            <w:tcBorders>
              <w:left w:val="single" w:sz="8" w:color="F79646"/>
              <w:bottom w:val="single" w:sz="8" w:color="F79646"/>
            </w:tcBorders>
          </w:tcPr>
          <w:p>
            <w:pPr>
              <w:spacing w:after="0"/>
              <w:rPr>
                <w:sz w:val="12"/>
                <w:szCs w:val="12"/>
                <w:color w:val="auto"/>
              </w:rPr>
            </w:pPr>
          </w:p>
        </w:tc>
        <w:tc>
          <w:tcPr>
            <w:tcW w:w="3020" w:type="dxa"/>
            <w:vAlign w:val="bottom"/>
            <w:tcBorders>
              <w:bottom w:val="single" w:sz="8" w:color="F79646"/>
            </w:tcBorders>
          </w:tcPr>
          <w:p>
            <w:pPr>
              <w:jc w:val="center"/>
              <w:spacing w:after="0" w:line="144" w:lineRule="exact"/>
              <w:rPr>
                <w:sz w:val="20"/>
                <w:szCs w:val="20"/>
                <w:color w:val="auto"/>
              </w:rPr>
            </w:pPr>
            <w:r>
              <w:rPr>
                <w:rFonts w:ascii="Arial" w:cs="Arial" w:eastAsia="Arial" w:hAnsi="Arial"/>
                <w:sz w:val="13"/>
                <w:szCs w:val="13"/>
                <w:b w:val="1"/>
                <w:bCs w:val="1"/>
                <w:color w:val="auto"/>
                <w:w w:val="97"/>
              </w:rPr>
              <w:t>90% or less</w:t>
            </w:r>
          </w:p>
        </w:tc>
        <w:tc>
          <w:tcPr>
            <w:tcW w:w="3140" w:type="dxa"/>
            <w:vAlign w:val="bottom"/>
            <w:tcBorders>
              <w:bottom w:val="single" w:sz="8" w:color="F79646"/>
            </w:tcBorders>
            <w:gridSpan w:val="2"/>
          </w:tcPr>
          <w:p>
            <w:pPr>
              <w:jc w:val="center"/>
              <w:ind w:left="57"/>
              <w:spacing w:after="0" w:line="144" w:lineRule="exact"/>
              <w:rPr>
                <w:sz w:val="20"/>
                <w:szCs w:val="20"/>
                <w:color w:val="auto"/>
              </w:rPr>
            </w:pPr>
            <w:r>
              <w:rPr>
                <w:rFonts w:ascii="Arial" w:cs="Arial" w:eastAsia="Arial" w:hAnsi="Arial"/>
                <w:sz w:val="13"/>
                <w:szCs w:val="13"/>
                <w:color w:val="auto"/>
                <w:w w:val="95"/>
              </w:rPr>
              <w:t>0%</w:t>
            </w:r>
          </w:p>
        </w:tc>
        <w:tc>
          <w:tcPr>
            <w:tcW w:w="200" w:type="dxa"/>
            <w:vAlign w:val="bottom"/>
            <w:tcBorders>
              <w:bottom w:val="single" w:sz="8" w:color="F79646"/>
              <w:right w:val="single" w:sz="8" w:color="F79646"/>
            </w:tcBorders>
          </w:tcPr>
          <w:p>
            <w:pPr>
              <w:spacing w:after="0"/>
              <w:rPr>
                <w:sz w:val="12"/>
                <w:szCs w:val="12"/>
                <w:color w:val="auto"/>
              </w:rPr>
            </w:pPr>
          </w:p>
        </w:tc>
      </w:tr>
    </w:tbl>
    <w:p>
      <w:pPr>
        <w:spacing w:after="0" w:line="150" w:lineRule="exact"/>
        <w:rPr>
          <w:sz w:val="20"/>
          <w:szCs w:val="20"/>
          <w:color w:val="auto"/>
        </w:rPr>
      </w:pPr>
    </w:p>
    <w:p>
      <w:pPr>
        <w:ind w:left="1740" w:right="179" w:hanging="385"/>
        <w:spacing w:after="0" w:line="280" w:lineRule="auto"/>
        <w:rPr>
          <w:sz w:val="20"/>
          <w:szCs w:val="20"/>
          <w:color w:val="auto"/>
        </w:rPr>
      </w:pPr>
      <w:r>
        <w:rPr>
          <w:rFonts w:ascii="Arial" w:cs="Arial" w:eastAsia="Arial" w:hAnsi="Arial"/>
          <w:sz w:val="13"/>
          <w:szCs w:val="13"/>
          <w:color w:val="F79646"/>
        </w:rPr>
        <w:t>–</w:t>
      </w:r>
      <w:r>
        <w:rPr>
          <w:rFonts w:ascii="Arial" w:cs="Arial" w:eastAsia="Arial" w:hAnsi="Arial"/>
          <w:sz w:val="11"/>
          <w:szCs w:val="11"/>
          <w:b w:val="1"/>
          <w:bCs w:val="1"/>
          <w:color w:val="auto"/>
        </w:rPr>
        <w:t xml:space="preserve">Relative TSR-Linked PRSUs: </w:t>
      </w:r>
      <w:r>
        <w:rPr>
          <w:rFonts w:ascii="Arial" w:cs="Arial" w:eastAsia="Arial" w:hAnsi="Arial"/>
          <w:sz w:val="11"/>
          <w:szCs w:val="11"/>
          <w:color w:val="auto"/>
        </w:rPr>
        <w:t>The remaining 50% of the performance-based restricted stock unit awards cliff-vest on</w:t>
      </w:r>
      <w:r>
        <w:rPr>
          <w:rFonts w:ascii="Arial" w:cs="Arial" w:eastAsia="Arial" w:hAnsi="Arial"/>
          <w:sz w:val="11"/>
          <w:szCs w:val="11"/>
          <w:b w:val="1"/>
          <w:bCs w:val="1"/>
          <w:color w:val="auto"/>
        </w:rPr>
        <w:t xml:space="preserve"> </w:t>
      </w:r>
      <w:r>
        <w:rPr>
          <w:rFonts w:ascii="Arial" w:cs="Arial" w:eastAsia="Arial" w:hAnsi="Arial"/>
          <w:sz w:val="11"/>
          <w:szCs w:val="11"/>
          <w:color w:val="auto"/>
        </w:rPr>
        <w:t>December 31 of the third fiscal year in the performance period, based on the achievement of relative total stockholder return performance of the Company against a peer group over the grant's three-year performance period of January 1, 2018 to December 31, 2020 and continuous employment through December 31, 2020—we call these awards "Relative TSR-Linked PRSUs." The Company's TSR for the TSR performance period will be computed and then compared to the TSR of the companies in the TSR peer group, which is comprised of the public companies traded on either the NYSE or NASDAQ stock markets in our 8-digit Global Industry Classification Standard sub-industry group. This comparator set is more appropriate than the compensation peer group for this purpose as it provides a more robust comparison of our performance to the marketplace by the inclusion of more companies and eliminating size as a selection criteria, which is more relevant for compensation than performance comparison. For the Relative TSR-Linked PRSUs granted in 2018,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78"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The percentage of Relative TSR-Linked PRSUs earned will be determined based on straight-line interpolation to the extent the</w:t>
      </w:r>
    </w:p>
    <w:p>
      <w:pPr>
        <w:spacing w:after="0" w:line="18"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Company's TSR falls in between the 20th and 80th percentiles, as per the chart below:</w:t>
      </w:r>
    </w:p>
    <w:p>
      <w:pPr>
        <w:spacing w:after="0" w:line="147" w:lineRule="exact"/>
        <w:rPr>
          <w:sz w:val="20"/>
          <w:szCs w:val="20"/>
          <w:color w:val="auto"/>
        </w:rPr>
      </w:pPr>
    </w:p>
    <w:tbl>
      <w:tblPr>
        <w:tblLayout w:type="fixed"/>
        <w:tblInd w:w="1510" w:type="dxa"/>
        <w:tblCellMar>
          <w:top w:w="0" w:type="dxa"/>
          <w:left w:w="0" w:type="dxa"/>
          <w:bottom w:w="0" w:type="dxa"/>
          <w:right w:w="0" w:type="dxa"/>
        </w:tblCellMar>
      </w:tblPr>
      <w:tr>
        <w:trPr>
          <w:trHeight w:val="265"/>
        </w:trPr>
        <w:tc>
          <w:tcPr>
            <w:tcW w:w="1140" w:type="dxa"/>
            <w:vAlign w:val="bottom"/>
            <w:tcBorders>
              <w:left w:val="single" w:sz="8" w:color="F79646"/>
            </w:tcBorders>
            <w:shd w:val="clear" w:color="auto" w:fill="F79646"/>
          </w:tcPr>
          <w:p>
            <w:pPr>
              <w:spacing w:after="0"/>
              <w:rPr>
                <w:sz w:val="23"/>
                <w:szCs w:val="23"/>
                <w:color w:val="auto"/>
              </w:rPr>
            </w:pPr>
          </w:p>
        </w:tc>
        <w:tc>
          <w:tcPr>
            <w:tcW w:w="2300" w:type="dxa"/>
            <w:vAlign w:val="bottom"/>
            <w:shd w:val="clear" w:color="auto" w:fill="F79646"/>
          </w:tcPr>
          <w:p>
            <w:pPr>
              <w:spacing w:after="0"/>
              <w:rPr>
                <w:sz w:val="23"/>
                <w:szCs w:val="23"/>
                <w:color w:val="auto"/>
              </w:rPr>
            </w:pPr>
          </w:p>
        </w:tc>
        <w:tc>
          <w:tcPr>
            <w:tcW w:w="120" w:type="dxa"/>
            <w:vAlign w:val="bottom"/>
            <w:shd w:val="clear" w:color="auto" w:fill="F79646"/>
          </w:tcPr>
          <w:p>
            <w:pPr>
              <w:spacing w:after="0"/>
              <w:rPr>
                <w:sz w:val="23"/>
                <w:szCs w:val="23"/>
                <w:color w:val="auto"/>
              </w:rPr>
            </w:pPr>
          </w:p>
        </w:tc>
        <w:tc>
          <w:tcPr>
            <w:tcW w:w="2480" w:type="dxa"/>
            <w:vAlign w:val="bottom"/>
            <w:tcBorders>
              <w:right w:val="single" w:sz="8" w:color="F79646"/>
            </w:tcBorders>
            <w:gridSpan w:val="2"/>
            <w:shd w:val="clear" w:color="auto" w:fill="F79646"/>
          </w:tcPr>
          <w:p>
            <w:pPr>
              <w:ind w:left="460"/>
              <w:spacing w:after="0"/>
              <w:rPr>
                <w:sz w:val="20"/>
                <w:szCs w:val="20"/>
                <w:color w:val="auto"/>
              </w:rPr>
            </w:pPr>
            <w:r>
              <w:rPr>
                <w:rFonts w:ascii="Arial" w:cs="Arial" w:eastAsia="Arial" w:hAnsi="Arial"/>
                <w:sz w:val="13"/>
                <w:szCs w:val="13"/>
                <w:b w:val="1"/>
                <w:bCs w:val="1"/>
                <w:color w:val="FFFFFE"/>
              </w:rPr>
              <w:t>Percentage of Relative</w:t>
            </w:r>
          </w:p>
        </w:tc>
      </w:tr>
      <w:tr>
        <w:trPr>
          <w:trHeight w:val="166"/>
        </w:trPr>
        <w:tc>
          <w:tcPr>
            <w:tcW w:w="1140" w:type="dxa"/>
            <w:vAlign w:val="bottom"/>
            <w:tcBorders>
              <w:left w:val="single" w:sz="8" w:color="F79646"/>
              <w:bottom w:val="single" w:sz="8" w:color="F79646"/>
            </w:tcBorders>
            <w:shd w:val="clear" w:color="auto" w:fill="F79646"/>
          </w:tcPr>
          <w:p>
            <w:pPr>
              <w:spacing w:after="0"/>
              <w:rPr>
                <w:sz w:val="14"/>
                <w:szCs w:val="14"/>
                <w:color w:val="auto"/>
              </w:rPr>
            </w:pPr>
          </w:p>
        </w:tc>
        <w:tc>
          <w:tcPr>
            <w:tcW w:w="2300" w:type="dxa"/>
            <w:vAlign w:val="bottom"/>
            <w:tcBorders>
              <w:bottom w:val="single" w:sz="8" w:color="auto"/>
            </w:tcBorders>
            <w:shd w:val="clear" w:color="auto" w:fill="F79646"/>
          </w:tcPr>
          <w:p>
            <w:pPr>
              <w:ind w:left="340"/>
              <w:spacing w:after="0"/>
              <w:rPr>
                <w:sz w:val="20"/>
                <w:szCs w:val="20"/>
                <w:color w:val="auto"/>
              </w:rPr>
            </w:pPr>
            <w:r>
              <w:rPr>
                <w:rFonts w:ascii="Arial" w:cs="Arial" w:eastAsia="Arial" w:hAnsi="Arial"/>
                <w:sz w:val="13"/>
                <w:szCs w:val="13"/>
                <w:b w:val="1"/>
                <w:bCs w:val="1"/>
                <w:color w:val="FFFFFE"/>
              </w:rPr>
              <w:t>TSR Peer Group Percentile</w:t>
            </w:r>
          </w:p>
        </w:tc>
        <w:tc>
          <w:tcPr>
            <w:tcW w:w="120" w:type="dxa"/>
            <w:vAlign w:val="bottom"/>
            <w:tcBorders>
              <w:bottom w:val="single" w:sz="8" w:color="F79646"/>
            </w:tcBorders>
            <w:shd w:val="clear" w:color="auto" w:fill="F79646"/>
          </w:tcPr>
          <w:p>
            <w:pPr>
              <w:spacing w:after="0"/>
              <w:rPr>
                <w:sz w:val="14"/>
                <w:szCs w:val="14"/>
                <w:color w:val="auto"/>
              </w:rPr>
            </w:pPr>
          </w:p>
        </w:tc>
        <w:tc>
          <w:tcPr>
            <w:tcW w:w="2280" w:type="dxa"/>
            <w:vAlign w:val="bottom"/>
            <w:tcBorders>
              <w:bottom w:val="single" w:sz="8" w:color="auto"/>
            </w:tcBorders>
            <w:shd w:val="clear" w:color="auto" w:fill="F79646"/>
          </w:tcPr>
          <w:p>
            <w:pPr>
              <w:ind w:left="320"/>
              <w:spacing w:after="0"/>
              <w:rPr>
                <w:sz w:val="20"/>
                <w:szCs w:val="20"/>
                <w:color w:val="auto"/>
              </w:rPr>
            </w:pPr>
            <w:r>
              <w:rPr>
                <w:rFonts w:ascii="Arial" w:cs="Arial" w:eastAsia="Arial" w:hAnsi="Arial"/>
                <w:sz w:val="13"/>
                <w:szCs w:val="13"/>
                <w:b w:val="1"/>
                <w:bCs w:val="1"/>
                <w:color w:val="FFFFFE"/>
              </w:rPr>
              <w:t>TSR-Linked PRSUs Earned</w:t>
            </w:r>
          </w:p>
        </w:tc>
        <w:tc>
          <w:tcPr>
            <w:tcW w:w="200" w:type="dxa"/>
            <w:vAlign w:val="bottom"/>
            <w:tcBorders>
              <w:bottom w:val="single" w:sz="8" w:color="F79646"/>
              <w:right w:val="single" w:sz="8" w:color="F79646"/>
            </w:tcBorders>
            <w:shd w:val="clear" w:color="auto" w:fill="F79646"/>
          </w:tcPr>
          <w:p>
            <w:pPr>
              <w:spacing w:after="0"/>
              <w:rPr>
                <w:sz w:val="14"/>
                <w:szCs w:val="14"/>
                <w:color w:val="auto"/>
              </w:rPr>
            </w:pPr>
          </w:p>
        </w:tc>
      </w:tr>
      <w:tr>
        <w:trPr>
          <w:trHeight w:val="135"/>
        </w:trPr>
        <w:tc>
          <w:tcPr>
            <w:tcW w:w="1140" w:type="dxa"/>
            <w:vAlign w:val="bottom"/>
            <w:tcBorders>
              <w:left w:val="single" w:sz="8" w:color="F79646"/>
            </w:tcBorders>
          </w:tcPr>
          <w:p>
            <w:pPr>
              <w:spacing w:after="0"/>
              <w:rPr>
                <w:sz w:val="11"/>
                <w:szCs w:val="11"/>
                <w:color w:val="auto"/>
              </w:rPr>
            </w:pPr>
          </w:p>
        </w:tc>
        <w:tc>
          <w:tcPr>
            <w:tcW w:w="23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80.0 or more</w:t>
            </w:r>
          </w:p>
        </w:tc>
        <w:tc>
          <w:tcPr>
            <w:tcW w:w="2400" w:type="dxa"/>
            <w:vAlign w:val="bottom"/>
            <w:gridSpan w:val="2"/>
          </w:tcPr>
          <w:p>
            <w:pPr>
              <w:jc w:val="center"/>
              <w:ind w:left="57"/>
              <w:spacing w:after="0" w:line="136" w:lineRule="exact"/>
              <w:rPr>
                <w:sz w:val="20"/>
                <w:szCs w:val="20"/>
                <w:color w:val="auto"/>
              </w:rPr>
            </w:pPr>
            <w:r>
              <w:rPr>
                <w:rFonts w:ascii="Arial" w:cs="Arial" w:eastAsia="Arial" w:hAnsi="Arial"/>
                <w:sz w:val="13"/>
                <w:szCs w:val="13"/>
                <w:color w:val="auto"/>
                <w:w w:val="96"/>
              </w:rPr>
              <w:t>200%</w:t>
            </w:r>
          </w:p>
        </w:tc>
        <w:tc>
          <w:tcPr>
            <w:tcW w:w="200" w:type="dxa"/>
            <w:vAlign w:val="bottom"/>
            <w:tcBorders>
              <w:right w:val="single" w:sz="8" w:color="F79646"/>
            </w:tcBorders>
          </w:tcPr>
          <w:p>
            <w:pPr>
              <w:spacing w:after="0"/>
              <w:rPr>
                <w:sz w:val="11"/>
                <w:szCs w:val="11"/>
                <w:color w:val="auto"/>
              </w:rPr>
            </w:pPr>
          </w:p>
        </w:tc>
      </w:tr>
      <w:tr>
        <w:trPr>
          <w:trHeight w:val="144"/>
        </w:trPr>
        <w:tc>
          <w:tcPr>
            <w:tcW w:w="3440" w:type="dxa"/>
            <w:vAlign w:val="bottom"/>
            <w:tcBorders>
              <w:left w:val="single" w:sz="8" w:color="F79646"/>
            </w:tcBorders>
            <w:gridSpan w:val="2"/>
            <w:shd w:val="clear" w:color="auto" w:fill="FCDEC5"/>
          </w:tcPr>
          <w:p>
            <w:pPr>
              <w:jc w:val="center"/>
              <w:ind w:left="1097"/>
              <w:spacing w:after="0" w:line="144" w:lineRule="exact"/>
              <w:rPr>
                <w:sz w:val="20"/>
                <w:szCs w:val="20"/>
                <w:color w:val="auto"/>
              </w:rPr>
            </w:pPr>
            <w:r>
              <w:rPr>
                <w:rFonts w:ascii="Arial" w:cs="Arial" w:eastAsia="Arial" w:hAnsi="Arial"/>
                <w:sz w:val="13"/>
                <w:szCs w:val="13"/>
                <w:b w:val="1"/>
                <w:bCs w:val="1"/>
                <w:color w:val="auto"/>
                <w:w w:val="94"/>
              </w:rPr>
              <w:t>65.0</w:t>
            </w:r>
          </w:p>
        </w:tc>
        <w:tc>
          <w:tcPr>
            <w:tcW w:w="2400" w:type="dxa"/>
            <w:vAlign w:val="bottom"/>
            <w:gridSpan w:val="2"/>
            <w:shd w:val="clear" w:color="auto" w:fill="FCDEC5"/>
          </w:tcPr>
          <w:p>
            <w:pPr>
              <w:jc w:val="center"/>
              <w:ind w:left="57"/>
              <w:spacing w:after="0" w:line="144" w:lineRule="exact"/>
              <w:rPr>
                <w:sz w:val="20"/>
                <w:szCs w:val="20"/>
                <w:color w:val="auto"/>
              </w:rPr>
            </w:pPr>
            <w:r>
              <w:rPr>
                <w:rFonts w:ascii="Arial" w:cs="Arial" w:eastAsia="Arial" w:hAnsi="Arial"/>
                <w:sz w:val="13"/>
                <w:szCs w:val="13"/>
                <w:color w:val="auto"/>
                <w:w w:val="96"/>
              </w:rPr>
              <w:t>150%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3440" w:type="dxa"/>
            <w:vAlign w:val="bottom"/>
            <w:tcBorders>
              <w:left w:val="single" w:sz="8" w:color="F79646"/>
            </w:tcBorders>
            <w:gridSpan w:val="2"/>
          </w:tcPr>
          <w:p>
            <w:pPr>
              <w:jc w:val="center"/>
              <w:ind w:left="1097"/>
              <w:spacing w:after="0" w:line="144" w:lineRule="exact"/>
              <w:rPr>
                <w:sz w:val="20"/>
                <w:szCs w:val="20"/>
                <w:color w:val="auto"/>
              </w:rPr>
            </w:pPr>
            <w:r>
              <w:rPr>
                <w:rFonts w:ascii="Arial" w:cs="Arial" w:eastAsia="Arial" w:hAnsi="Arial"/>
                <w:sz w:val="13"/>
                <w:szCs w:val="13"/>
                <w:b w:val="1"/>
                <w:bCs w:val="1"/>
                <w:color w:val="auto"/>
                <w:w w:val="94"/>
              </w:rPr>
              <w:t>50.0</w:t>
            </w:r>
          </w:p>
        </w:tc>
        <w:tc>
          <w:tcPr>
            <w:tcW w:w="2400" w:type="dxa"/>
            <w:vAlign w:val="bottom"/>
            <w:gridSpan w:val="2"/>
          </w:tcPr>
          <w:p>
            <w:pPr>
              <w:jc w:val="center"/>
              <w:ind w:left="57"/>
              <w:spacing w:after="0" w:line="144" w:lineRule="exact"/>
              <w:rPr>
                <w:sz w:val="20"/>
                <w:szCs w:val="20"/>
                <w:color w:val="auto"/>
              </w:rPr>
            </w:pPr>
            <w:r>
              <w:rPr>
                <w:rFonts w:ascii="Arial" w:cs="Arial" w:eastAsia="Arial" w:hAnsi="Arial"/>
                <w:sz w:val="13"/>
                <w:szCs w:val="13"/>
                <w:color w:val="auto"/>
                <w:w w:val="96"/>
              </w:rPr>
              <w:t>100%</w:t>
            </w:r>
          </w:p>
        </w:tc>
        <w:tc>
          <w:tcPr>
            <w:tcW w:w="200" w:type="dxa"/>
            <w:vAlign w:val="bottom"/>
            <w:tcBorders>
              <w:right w:val="single" w:sz="8" w:color="F79646"/>
            </w:tcBorders>
          </w:tcPr>
          <w:p>
            <w:pPr>
              <w:spacing w:after="0"/>
              <w:rPr>
                <w:sz w:val="12"/>
                <w:szCs w:val="12"/>
                <w:color w:val="auto"/>
              </w:rPr>
            </w:pPr>
          </w:p>
        </w:tc>
      </w:tr>
      <w:tr>
        <w:trPr>
          <w:trHeight w:val="144"/>
        </w:trPr>
        <w:tc>
          <w:tcPr>
            <w:tcW w:w="3440" w:type="dxa"/>
            <w:vAlign w:val="bottom"/>
            <w:tcBorders>
              <w:left w:val="single" w:sz="8" w:color="F79646"/>
            </w:tcBorders>
            <w:gridSpan w:val="2"/>
            <w:shd w:val="clear" w:color="auto" w:fill="FCDEC5"/>
          </w:tcPr>
          <w:p>
            <w:pPr>
              <w:jc w:val="center"/>
              <w:ind w:left="1097"/>
              <w:spacing w:after="0" w:line="144" w:lineRule="exact"/>
              <w:rPr>
                <w:sz w:val="20"/>
                <w:szCs w:val="20"/>
                <w:color w:val="auto"/>
              </w:rPr>
            </w:pPr>
            <w:r>
              <w:rPr>
                <w:rFonts w:ascii="Arial" w:cs="Arial" w:eastAsia="Arial" w:hAnsi="Arial"/>
                <w:sz w:val="13"/>
                <w:szCs w:val="13"/>
                <w:b w:val="1"/>
                <w:bCs w:val="1"/>
                <w:color w:val="auto"/>
                <w:w w:val="94"/>
              </w:rPr>
              <w:t>35.0</w:t>
            </w:r>
          </w:p>
        </w:tc>
        <w:tc>
          <w:tcPr>
            <w:tcW w:w="2400" w:type="dxa"/>
            <w:vAlign w:val="bottom"/>
            <w:gridSpan w:val="2"/>
            <w:shd w:val="clear" w:color="auto" w:fill="FCDEC5"/>
          </w:tcPr>
          <w:p>
            <w:pPr>
              <w:jc w:val="center"/>
              <w:ind w:left="57"/>
              <w:spacing w:after="0" w:line="144" w:lineRule="exact"/>
              <w:rPr>
                <w:sz w:val="20"/>
                <w:szCs w:val="20"/>
                <w:color w:val="auto"/>
              </w:rPr>
            </w:pPr>
            <w:r>
              <w:rPr>
                <w:rFonts w:ascii="Arial" w:cs="Arial" w:eastAsia="Arial" w:hAnsi="Arial"/>
                <w:sz w:val="13"/>
                <w:szCs w:val="13"/>
                <w:color w:val="auto"/>
                <w:w w:val="92"/>
              </w:rPr>
              <w:t>50%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1140" w:type="dxa"/>
            <w:vAlign w:val="bottom"/>
            <w:tcBorders>
              <w:left w:val="single" w:sz="8" w:color="F79646"/>
              <w:bottom w:val="single" w:sz="8" w:color="F79646"/>
            </w:tcBorders>
          </w:tcPr>
          <w:p>
            <w:pPr>
              <w:spacing w:after="0"/>
              <w:rPr>
                <w:sz w:val="12"/>
                <w:szCs w:val="12"/>
                <w:color w:val="auto"/>
              </w:rPr>
            </w:pPr>
          </w:p>
        </w:tc>
        <w:tc>
          <w:tcPr>
            <w:tcW w:w="2300" w:type="dxa"/>
            <w:vAlign w:val="bottom"/>
            <w:tcBorders>
              <w:bottom w:val="single" w:sz="8" w:color="F79646"/>
            </w:tcBorders>
          </w:tcPr>
          <w:p>
            <w:pPr>
              <w:jc w:val="center"/>
              <w:spacing w:after="0" w:line="144" w:lineRule="exact"/>
              <w:rPr>
                <w:sz w:val="20"/>
                <w:szCs w:val="20"/>
                <w:color w:val="auto"/>
              </w:rPr>
            </w:pPr>
            <w:r>
              <w:rPr>
                <w:rFonts w:ascii="Arial" w:cs="Arial" w:eastAsia="Arial" w:hAnsi="Arial"/>
                <w:sz w:val="13"/>
                <w:szCs w:val="13"/>
                <w:b w:val="1"/>
                <w:bCs w:val="1"/>
                <w:color w:val="auto"/>
                <w:w w:val="95"/>
              </w:rPr>
              <w:t>20.0 or less</w:t>
            </w:r>
          </w:p>
        </w:tc>
        <w:tc>
          <w:tcPr>
            <w:tcW w:w="2400" w:type="dxa"/>
            <w:vAlign w:val="bottom"/>
            <w:tcBorders>
              <w:bottom w:val="single" w:sz="8" w:color="F79646"/>
            </w:tcBorders>
            <w:gridSpan w:val="2"/>
          </w:tcPr>
          <w:p>
            <w:pPr>
              <w:jc w:val="center"/>
              <w:ind w:left="37"/>
              <w:spacing w:after="0" w:line="144" w:lineRule="exact"/>
              <w:rPr>
                <w:sz w:val="20"/>
                <w:szCs w:val="20"/>
                <w:color w:val="auto"/>
              </w:rPr>
            </w:pPr>
            <w:r>
              <w:rPr>
                <w:rFonts w:ascii="Arial" w:cs="Arial" w:eastAsia="Arial" w:hAnsi="Arial"/>
                <w:sz w:val="13"/>
                <w:szCs w:val="13"/>
                <w:color w:val="auto"/>
                <w:w w:val="95"/>
              </w:rPr>
              <w:t>0%</w:t>
            </w:r>
          </w:p>
        </w:tc>
        <w:tc>
          <w:tcPr>
            <w:tcW w:w="200" w:type="dxa"/>
            <w:vAlign w:val="bottom"/>
            <w:tcBorders>
              <w:bottom w:val="single" w:sz="8" w:color="F79646"/>
              <w:right w:val="single" w:sz="8" w:color="F79646"/>
            </w:tcBorders>
          </w:tcPr>
          <w:p>
            <w:pPr>
              <w:spacing w:after="0"/>
              <w:rPr>
                <w:sz w:val="12"/>
                <w:szCs w:val="12"/>
                <w:color w:val="auto"/>
              </w:rPr>
            </w:pPr>
          </w:p>
        </w:tc>
      </w:tr>
    </w:tbl>
    <w:p>
      <w:pPr>
        <w:spacing w:after="0" w:line="156" w:lineRule="exact"/>
        <w:rPr>
          <w:sz w:val="20"/>
          <w:szCs w:val="20"/>
          <w:color w:val="auto"/>
        </w:rPr>
      </w:pPr>
    </w:p>
    <w:p>
      <w:pPr>
        <w:ind w:left="960" w:right="179" w:hanging="381"/>
        <w:spacing w:after="0" w:line="235" w:lineRule="auto"/>
        <w:tabs>
          <w:tab w:leader="none" w:pos="960" w:val="left"/>
        </w:tabs>
        <w:numPr>
          <w:ilvl w:val="0"/>
          <w:numId w:val="73"/>
        </w:numPr>
        <w:rPr>
          <w:rFonts w:ascii="Arial" w:cs="Arial" w:eastAsia="Arial" w:hAnsi="Arial"/>
          <w:sz w:val="13"/>
          <w:szCs w:val="13"/>
          <w:color w:val="F79646"/>
        </w:rPr>
      </w:pPr>
      <w:r>
        <w:rPr>
          <w:rFonts w:ascii="Arial" w:cs="Arial" w:eastAsia="Arial" w:hAnsi="Arial"/>
          <w:sz w:val="13"/>
          <w:szCs w:val="13"/>
          <w:color w:val="auto"/>
        </w:rPr>
        <w:t>The Committee believes the PRSUs focus our executives on key drivers of our Company's business that will ultimately lead to creation of additional stockholder value.</w:t>
      </w:r>
    </w:p>
    <w:p>
      <w:pPr>
        <w:spacing w:after="0" w:line="15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The table below shows the amount of Time-Vested and Performance-Vested RSUs our Compensation Committee awarded our named executive officers in 2018. In general, the Compensation Committee believes that the size of the award granted to an executive officer should increase based on the executive officer's level of responsibility within the Company.</w:t>
      </w:r>
    </w:p>
    <w:p>
      <w:pPr>
        <w:spacing w:after="0" w:line="148" w:lineRule="exact"/>
        <w:rPr>
          <w:sz w:val="20"/>
          <w:szCs w:val="20"/>
          <w:color w:val="auto"/>
        </w:rPr>
      </w:pPr>
    </w:p>
    <w:tbl>
      <w:tblPr>
        <w:tblLayout w:type="fixed"/>
        <w:tblInd w:w="1070" w:type="dxa"/>
        <w:tblCellMar>
          <w:top w:w="0" w:type="dxa"/>
          <w:left w:w="0" w:type="dxa"/>
          <w:bottom w:w="0" w:type="dxa"/>
          <w:right w:w="0" w:type="dxa"/>
        </w:tblCellMar>
      </w:tblPr>
      <w:tr>
        <w:trPr>
          <w:trHeight w:val="160"/>
        </w:trPr>
        <w:tc>
          <w:tcPr>
            <w:tcW w:w="340" w:type="dxa"/>
            <w:vAlign w:val="bottom"/>
            <w:tcBorders>
              <w:left w:val="single" w:sz="8" w:color="F79646"/>
            </w:tcBorders>
            <w:shd w:val="clear" w:color="auto" w:fill="F79646"/>
          </w:tcPr>
          <w:p>
            <w:pPr>
              <w:spacing w:after="0"/>
              <w:rPr>
                <w:sz w:val="13"/>
                <w:szCs w:val="13"/>
                <w:color w:val="auto"/>
              </w:rPr>
            </w:pPr>
          </w:p>
        </w:tc>
        <w:tc>
          <w:tcPr>
            <w:tcW w:w="294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820" w:type="dxa"/>
            <w:vAlign w:val="bottom"/>
            <w:shd w:val="clear" w:color="auto" w:fill="F79646"/>
          </w:tcPr>
          <w:p>
            <w:pPr>
              <w:jc w:val="right"/>
              <w:spacing w:after="0"/>
              <w:rPr>
                <w:sz w:val="20"/>
                <w:szCs w:val="20"/>
                <w:color w:val="auto"/>
              </w:rPr>
            </w:pPr>
            <w:r>
              <w:rPr>
                <w:rFonts w:ascii="Arial" w:cs="Arial" w:eastAsia="Arial" w:hAnsi="Arial"/>
                <w:sz w:val="13"/>
                <w:szCs w:val="13"/>
                <w:b w:val="1"/>
                <w:bCs w:val="1"/>
                <w:color w:val="FFFFFE"/>
                <w:w w:val="96"/>
              </w:rPr>
              <w:t>Time Vested</w:t>
            </w:r>
          </w:p>
        </w:tc>
        <w:tc>
          <w:tcPr>
            <w:tcW w:w="100" w:type="dxa"/>
            <w:vAlign w:val="bottom"/>
            <w:shd w:val="clear" w:color="auto" w:fill="F79646"/>
          </w:tcPr>
          <w:p>
            <w:pPr>
              <w:spacing w:after="0"/>
              <w:rPr>
                <w:sz w:val="13"/>
                <w:szCs w:val="13"/>
                <w:color w:val="auto"/>
              </w:rPr>
            </w:pPr>
          </w:p>
        </w:tc>
        <w:tc>
          <w:tcPr>
            <w:tcW w:w="1060" w:type="dxa"/>
            <w:vAlign w:val="bottom"/>
            <w:shd w:val="clear" w:color="auto" w:fill="F79646"/>
          </w:tcPr>
          <w:p>
            <w:pPr>
              <w:jc w:val="right"/>
              <w:spacing w:after="0"/>
              <w:rPr>
                <w:sz w:val="20"/>
                <w:szCs w:val="20"/>
                <w:color w:val="auto"/>
              </w:rPr>
            </w:pPr>
            <w:r>
              <w:rPr>
                <w:rFonts w:ascii="Arial" w:cs="Arial" w:eastAsia="Arial" w:hAnsi="Arial"/>
                <w:sz w:val="13"/>
                <w:szCs w:val="13"/>
                <w:b w:val="1"/>
                <w:bCs w:val="1"/>
                <w:color w:val="FFFFFE"/>
                <w:w w:val="99"/>
              </w:rPr>
              <w:t>Revenue-Linked</w:t>
            </w:r>
          </w:p>
        </w:tc>
        <w:tc>
          <w:tcPr>
            <w:tcW w:w="120" w:type="dxa"/>
            <w:vAlign w:val="bottom"/>
            <w:shd w:val="clear" w:color="auto" w:fill="F79646"/>
          </w:tcPr>
          <w:p>
            <w:pPr>
              <w:spacing w:after="0"/>
              <w:rPr>
                <w:sz w:val="13"/>
                <w:szCs w:val="13"/>
                <w:color w:val="auto"/>
              </w:rPr>
            </w:pPr>
          </w:p>
        </w:tc>
        <w:tc>
          <w:tcPr>
            <w:tcW w:w="1440" w:type="dxa"/>
            <w:vAlign w:val="bottom"/>
            <w:tcBorders>
              <w:right w:val="single" w:sz="8" w:color="F79646"/>
            </w:tcBorders>
            <w:gridSpan w:val="2"/>
            <w:shd w:val="clear" w:color="auto" w:fill="F79646"/>
          </w:tcPr>
          <w:p>
            <w:pPr>
              <w:ind w:left="20"/>
              <w:spacing w:after="0"/>
              <w:rPr>
                <w:sz w:val="20"/>
                <w:szCs w:val="20"/>
                <w:color w:val="auto"/>
              </w:rPr>
            </w:pPr>
            <w:r>
              <w:rPr>
                <w:rFonts w:ascii="Arial" w:cs="Arial" w:eastAsia="Arial" w:hAnsi="Arial"/>
                <w:sz w:val="13"/>
                <w:szCs w:val="13"/>
                <w:b w:val="1"/>
                <w:bCs w:val="1"/>
                <w:color w:val="FFFFFE"/>
              </w:rPr>
              <w:t>Relative TSR-Linked</w:t>
            </w:r>
          </w:p>
        </w:tc>
      </w:tr>
      <w:tr>
        <w:trPr>
          <w:trHeight w:val="166"/>
        </w:trPr>
        <w:tc>
          <w:tcPr>
            <w:tcW w:w="340" w:type="dxa"/>
            <w:vAlign w:val="bottom"/>
            <w:tcBorders>
              <w:left w:val="single" w:sz="8" w:color="F79646"/>
              <w:bottom w:val="single" w:sz="8" w:color="F79646"/>
            </w:tcBorders>
            <w:shd w:val="clear" w:color="auto" w:fill="F79646"/>
          </w:tcPr>
          <w:p>
            <w:pPr>
              <w:spacing w:after="0"/>
              <w:rPr>
                <w:sz w:val="14"/>
                <w:szCs w:val="14"/>
                <w:color w:val="auto"/>
              </w:rPr>
            </w:pPr>
          </w:p>
        </w:tc>
        <w:tc>
          <w:tcPr>
            <w:tcW w:w="2940" w:type="dxa"/>
            <w:vAlign w:val="bottom"/>
            <w:tcBorders>
              <w:bottom w:val="single" w:sz="8" w:color="auto"/>
            </w:tcBorders>
            <w:shd w:val="clear" w:color="auto" w:fill="F79646"/>
          </w:tcPr>
          <w:p>
            <w:pPr>
              <w:ind w:left="1280"/>
              <w:spacing w:after="0"/>
              <w:rPr>
                <w:sz w:val="20"/>
                <w:szCs w:val="20"/>
                <w:color w:val="auto"/>
              </w:rPr>
            </w:pPr>
            <w:r>
              <w:rPr>
                <w:rFonts w:ascii="Arial" w:cs="Arial" w:eastAsia="Arial" w:hAnsi="Arial"/>
                <w:sz w:val="13"/>
                <w:szCs w:val="13"/>
                <w:b w:val="1"/>
                <w:bCs w:val="1"/>
                <w:color w:val="FFFFFE"/>
              </w:rPr>
              <w:t>Name</w:t>
            </w:r>
          </w:p>
        </w:tc>
        <w:tc>
          <w:tcPr>
            <w:tcW w:w="120" w:type="dxa"/>
            <w:vAlign w:val="bottom"/>
            <w:tcBorders>
              <w:bottom w:val="single" w:sz="8" w:color="F79646"/>
            </w:tcBorders>
            <w:shd w:val="clear" w:color="auto" w:fill="F79646"/>
          </w:tcPr>
          <w:p>
            <w:pPr>
              <w:spacing w:after="0"/>
              <w:rPr>
                <w:sz w:val="14"/>
                <w:szCs w:val="14"/>
                <w:color w:val="auto"/>
              </w:rPr>
            </w:pPr>
          </w:p>
        </w:tc>
        <w:tc>
          <w:tcPr>
            <w:tcW w:w="820" w:type="dxa"/>
            <w:vAlign w:val="bottom"/>
            <w:tcBorders>
              <w:bottom w:val="single" w:sz="8" w:color="auto"/>
            </w:tcBorders>
            <w:shd w:val="clear" w:color="auto" w:fill="F79646"/>
          </w:tcPr>
          <w:p>
            <w:pPr>
              <w:jc w:val="right"/>
              <w:ind w:right="197"/>
              <w:spacing w:after="0"/>
              <w:rPr>
                <w:sz w:val="20"/>
                <w:szCs w:val="20"/>
                <w:color w:val="auto"/>
              </w:rPr>
            </w:pPr>
            <w:r>
              <w:rPr>
                <w:rFonts w:ascii="Arial" w:cs="Arial" w:eastAsia="Arial" w:hAnsi="Arial"/>
                <w:sz w:val="13"/>
                <w:szCs w:val="13"/>
                <w:b w:val="1"/>
                <w:bCs w:val="1"/>
                <w:color w:val="FFFFFE"/>
              </w:rPr>
              <w:t>RSUs</w:t>
            </w:r>
          </w:p>
        </w:tc>
        <w:tc>
          <w:tcPr>
            <w:tcW w:w="100" w:type="dxa"/>
            <w:vAlign w:val="bottom"/>
            <w:tcBorders>
              <w:bottom w:val="single" w:sz="8" w:color="F79646"/>
            </w:tcBorders>
            <w:shd w:val="clear" w:color="auto" w:fill="F79646"/>
          </w:tcPr>
          <w:p>
            <w:pPr>
              <w:spacing w:after="0"/>
              <w:rPr>
                <w:sz w:val="14"/>
                <w:szCs w:val="14"/>
                <w:color w:val="auto"/>
              </w:rPr>
            </w:pPr>
          </w:p>
        </w:tc>
        <w:tc>
          <w:tcPr>
            <w:tcW w:w="1060" w:type="dxa"/>
            <w:vAlign w:val="bottom"/>
            <w:tcBorders>
              <w:bottom w:val="single" w:sz="8" w:color="auto"/>
            </w:tcBorders>
            <w:shd w:val="clear" w:color="auto" w:fill="F79646"/>
          </w:tcPr>
          <w:p>
            <w:pPr>
              <w:jc w:val="right"/>
              <w:ind w:right="277"/>
              <w:spacing w:after="0"/>
              <w:rPr>
                <w:sz w:val="20"/>
                <w:szCs w:val="20"/>
                <w:color w:val="auto"/>
              </w:rPr>
            </w:pPr>
            <w:r>
              <w:rPr>
                <w:rFonts w:ascii="Arial" w:cs="Arial" w:eastAsia="Arial" w:hAnsi="Arial"/>
                <w:sz w:val="13"/>
                <w:szCs w:val="13"/>
                <w:b w:val="1"/>
                <w:bCs w:val="1"/>
                <w:color w:val="FFFFFE"/>
              </w:rPr>
              <w:t>PRSUs</w:t>
            </w:r>
          </w:p>
        </w:tc>
        <w:tc>
          <w:tcPr>
            <w:tcW w:w="120" w:type="dxa"/>
            <w:vAlign w:val="bottom"/>
            <w:tcBorders>
              <w:bottom w:val="single" w:sz="8" w:color="F79646"/>
            </w:tcBorders>
            <w:shd w:val="clear" w:color="auto" w:fill="F79646"/>
          </w:tcPr>
          <w:p>
            <w:pPr>
              <w:spacing w:after="0"/>
              <w:rPr>
                <w:sz w:val="14"/>
                <w:szCs w:val="14"/>
                <w:color w:val="auto"/>
              </w:rPr>
            </w:pPr>
          </w:p>
        </w:tc>
        <w:tc>
          <w:tcPr>
            <w:tcW w:w="1240" w:type="dxa"/>
            <w:vAlign w:val="bottom"/>
            <w:tcBorders>
              <w:bottom w:val="single" w:sz="8" w:color="auto"/>
            </w:tcBorders>
            <w:shd w:val="clear" w:color="auto" w:fill="F79646"/>
          </w:tcPr>
          <w:p>
            <w:pPr>
              <w:jc w:val="right"/>
              <w:ind w:right="357"/>
              <w:spacing w:after="0"/>
              <w:rPr>
                <w:sz w:val="20"/>
                <w:szCs w:val="20"/>
                <w:color w:val="auto"/>
              </w:rPr>
            </w:pPr>
            <w:r>
              <w:rPr>
                <w:rFonts w:ascii="Arial" w:cs="Arial" w:eastAsia="Arial" w:hAnsi="Arial"/>
                <w:sz w:val="13"/>
                <w:szCs w:val="13"/>
                <w:b w:val="1"/>
                <w:bCs w:val="1"/>
                <w:color w:val="FFFFFE"/>
              </w:rPr>
              <w:t>PRSUs</w:t>
            </w:r>
          </w:p>
        </w:tc>
        <w:tc>
          <w:tcPr>
            <w:tcW w:w="200" w:type="dxa"/>
            <w:vAlign w:val="bottom"/>
            <w:tcBorders>
              <w:bottom w:val="single" w:sz="8" w:color="F79646"/>
              <w:right w:val="single" w:sz="8" w:color="F79646"/>
            </w:tcBorders>
            <w:shd w:val="clear" w:color="auto" w:fill="F79646"/>
          </w:tcPr>
          <w:p>
            <w:pPr>
              <w:spacing w:after="0"/>
              <w:rPr>
                <w:sz w:val="14"/>
                <w:szCs w:val="14"/>
                <w:color w:val="auto"/>
              </w:rPr>
            </w:pPr>
          </w:p>
        </w:tc>
      </w:tr>
      <w:tr>
        <w:trPr>
          <w:trHeight w:val="135"/>
        </w:trPr>
        <w:tc>
          <w:tcPr>
            <w:tcW w:w="3280" w:type="dxa"/>
            <w:vAlign w:val="bottom"/>
            <w:tcBorders>
              <w:left w:val="single" w:sz="8" w:color="F79646"/>
            </w:tcBorders>
            <w:gridSpan w:val="2"/>
          </w:tcPr>
          <w:p>
            <w:pPr>
              <w:ind w:left="340"/>
              <w:spacing w:after="0" w:line="136" w:lineRule="exact"/>
              <w:rPr>
                <w:sz w:val="20"/>
                <w:szCs w:val="20"/>
                <w:color w:val="auto"/>
              </w:rPr>
            </w:pPr>
            <w:r>
              <w:rPr>
                <w:rFonts w:ascii="Arial" w:cs="Arial" w:eastAsia="Arial" w:hAnsi="Arial"/>
                <w:sz w:val="13"/>
                <w:szCs w:val="13"/>
                <w:color w:val="auto"/>
              </w:rPr>
              <w:t>Rohit Kapoor</w:t>
            </w:r>
          </w:p>
        </w:tc>
        <w:tc>
          <w:tcPr>
            <w:tcW w:w="9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30,005</w:t>
            </w:r>
          </w:p>
        </w:tc>
        <w:tc>
          <w:tcPr>
            <w:tcW w:w="11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15,003</w:t>
            </w:r>
          </w:p>
        </w:tc>
        <w:tc>
          <w:tcPr>
            <w:tcW w:w="13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15,002</w:t>
            </w:r>
          </w:p>
        </w:tc>
        <w:tc>
          <w:tcPr>
            <w:tcW w:w="200" w:type="dxa"/>
            <w:vAlign w:val="bottom"/>
            <w:tcBorders>
              <w:right w:val="single" w:sz="8" w:color="F79646"/>
            </w:tcBorders>
          </w:tcPr>
          <w:p>
            <w:pPr>
              <w:spacing w:after="0"/>
              <w:rPr>
                <w:sz w:val="11"/>
                <w:szCs w:val="11"/>
                <w:color w:val="auto"/>
              </w:rPr>
            </w:pPr>
          </w:p>
        </w:tc>
      </w:tr>
      <w:tr>
        <w:trPr>
          <w:trHeight w:val="144"/>
        </w:trPr>
        <w:tc>
          <w:tcPr>
            <w:tcW w:w="3280" w:type="dxa"/>
            <w:vAlign w:val="bottom"/>
            <w:tcBorders>
              <w:left w:val="single" w:sz="8" w:color="F79646"/>
            </w:tcBorders>
            <w:gridSpan w:val="2"/>
            <w:shd w:val="clear" w:color="auto" w:fill="FCDEC5"/>
          </w:tcPr>
          <w:p>
            <w:pPr>
              <w:ind w:left="340"/>
              <w:spacing w:after="0" w:line="144" w:lineRule="exact"/>
              <w:rPr>
                <w:sz w:val="20"/>
                <w:szCs w:val="20"/>
                <w:color w:val="auto"/>
              </w:rPr>
            </w:pPr>
            <w:r>
              <w:rPr>
                <w:rFonts w:ascii="Arial" w:cs="Arial" w:eastAsia="Arial" w:hAnsi="Arial"/>
                <w:sz w:val="13"/>
                <w:szCs w:val="13"/>
                <w:color w:val="auto"/>
              </w:rPr>
              <w:t>Vishal Chhibbar</w:t>
            </w:r>
          </w:p>
        </w:tc>
        <w:tc>
          <w:tcPr>
            <w:tcW w:w="94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7,350</w:t>
            </w:r>
          </w:p>
        </w:tc>
        <w:tc>
          <w:tcPr>
            <w:tcW w:w="11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3,675</w:t>
            </w:r>
          </w:p>
        </w:tc>
        <w:tc>
          <w:tcPr>
            <w:tcW w:w="13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3,675</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3280" w:type="dxa"/>
            <w:vAlign w:val="bottom"/>
            <w:tcBorders>
              <w:left w:val="single" w:sz="8" w:color="F79646"/>
            </w:tcBorders>
            <w:gridSpan w:val="2"/>
          </w:tcPr>
          <w:p>
            <w:pPr>
              <w:ind w:left="340"/>
              <w:spacing w:after="0" w:line="144" w:lineRule="exact"/>
              <w:rPr>
                <w:sz w:val="20"/>
                <w:szCs w:val="20"/>
                <w:color w:val="auto"/>
              </w:rPr>
            </w:pPr>
            <w:r>
              <w:rPr>
                <w:rFonts w:ascii="Arial" w:cs="Arial" w:eastAsia="Arial" w:hAnsi="Arial"/>
                <w:sz w:val="13"/>
                <w:szCs w:val="13"/>
                <w:color w:val="auto"/>
              </w:rPr>
              <w:t>Pavan Bagai</w:t>
            </w:r>
          </w:p>
        </w:tc>
        <w:tc>
          <w:tcPr>
            <w:tcW w:w="9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10,600</w:t>
            </w:r>
          </w:p>
        </w:tc>
        <w:tc>
          <w:tcPr>
            <w:tcW w:w="11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5,300</w:t>
            </w:r>
          </w:p>
        </w:tc>
        <w:tc>
          <w:tcPr>
            <w:tcW w:w="13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5,300</w:t>
            </w:r>
          </w:p>
        </w:tc>
        <w:tc>
          <w:tcPr>
            <w:tcW w:w="200" w:type="dxa"/>
            <w:vAlign w:val="bottom"/>
            <w:tcBorders>
              <w:right w:val="single" w:sz="8" w:color="F79646"/>
            </w:tcBorders>
          </w:tcPr>
          <w:p>
            <w:pPr>
              <w:spacing w:after="0"/>
              <w:rPr>
                <w:sz w:val="12"/>
                <w:szCs w:val="12"/>
                <w:color w:val="auto"/>
              </w:rPr>
            </w:pPr>
          </w:p>
        </w:tc>
      </w:tr>
      <w:tr>
        <w:trPr>
          <w:trHeight w:val="144"/>
        </w:trPr>
        <w:tc>
          <w:tcPr>
            <w:tcW w:w="3280" w:type="dxa"/>
            <w:vAlign w:val="bottom"/>
            <w:tcBorders>
              <w:left w:val="single" w:sz="8" w:color="F79646"/>
            </w:tcBorders>
            <w:gridSpan w:val="2"/>
            <w:shd w:val="clear" w:color="auto" w:fill="FCDEC5"/>
          </w:tcPr>
          <w:p>
            <w:pPr>
              <w:ind w:left="340"/>
              <w:spacing w:after="0" w:line="144" w:lineRule="exact"/>
              <w:rPr>
                <w:sz w:val="20"/>
                <w:szCs w:val="20"/>
                <w:color w:val="auto"/>
              </w:rPr>
            </w:pPr>
            <w:r>
              <w:rPr>
                <w:rFonts w:ascii="Arial" w:cs="Arial" w:eastAsia="Arial" w:hAnsi="Arial"/>
                <w:sz w:val="13"/>
                <w:szCs w:val="13"/>
                <w:color w:val="auto"/>
              </w:rPr>
              <w:t>Nagaraja Srivatsan</w:t>
            </w:r>
          </w:p>
        </w:tc>
        <w:tc>
          <w:tcPr>
            <w:tcW w:w="94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5,960</w:t>
            </w:r>
          </w:p>
        </w:tc>
        <w:tc>
          <w:tcPr>
            <w:tcW w:w="11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2,980</w:t>
            </w:r>
          </w:p>
        </w:tc>
        <w:tc>
          <w:tcPr>
            <w:tcW w:w="13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2,980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3280" w:type="dxa"/>
            <w:vAlign w:val="bottom"/>
            <w:tcBorders>
              <w:left w:val="single" w:sz="8" w:color="F79646"/>
              <w:bottom w:val="single" w:sz="8" w:color="F79646"/>
            </w:tcBorders>
            <w:gridSpan w:val="2"/>
          </w:tcPr>
          <w:p>
            <w:pPr>
              <w:ind w:left="340"/>
              <w:spacing w:after="0" w:line="144" w:lineRule="exact"/>
              <w:rPr>
                <w:sz w:val="20"/>
                <w:szCs w:val="20"/>
                <w:color w:val="auto"/>
              </w:rPr>
            </w:pPr>
            <w:r>
              <w:rPr>
                <w:rFonts w:ascii="Arial" w:cs="Arial" w:eastAsia="Arial" w:hAnsi="Arial"/>
                <w:sz w:val="13"/>
                <w:szCs w:val="13"/>
                <w:color w:val="auto"/>
              </w:rPr>
              <w:t>Nalin Miglani</w:t>
            </w:r>
          </w:p>
        </w:tc>
        <w:tc>
          <w:tcPr>
            <w:tcW w:w="940" w:type="dxa"/>
            <w:vAlign w:val="bottom"/>
            <w:tcBorders>
              <w:bottom w:val="single" w:sz="8" w:color="F79646"/>
            </w:tcBorders>
            <w:gridSpan w:val="2"/>
          </w:tcPr>
          <w:p>
            <w:pPr>
              <w:jc w:val="right"/>
              <w:spacing w:after="0" w:line="144" w:lineRule="exact"/>
              <w:rPr>
                <w:sz w:val="20"/>
                <w:szCs w:val="20"/>
                <w:color w:val="auto"/>
              </w:rPr>
            </w:pPr>
            <w:r>
              <w:rPr>
                <w:rFonts w:ascii="Arial" w:cs="Arial" w:eastAsia="Arial" w:hAnsi="Arial"/>
                <w:sz w:val="13"/>
                <w:szCs w:val="13"/>
                <w:color w:val="auto"/>
              </w:rPr>
              <w:t>6,410</w:t>
            </w:r>
          </w:p>
        </w:tc>
        <w:tc>
          <w:tcPr>
            <w:tcW w:w="1160" w:type="dxa"/>
            <w:vAlign w:val="bottom"/>
            <w:tcBorders>
              <w:bottom w:val="single" w:sz="8" w:color="F79646"/>
            </w:tcBorders>
            <w:gridSpan w:val="2"/>
          </w:tcPr>
          <w:p>
            <w:pPr>
              <w:jc w:val="right"/>
              <w:spacing w:after="0" w:line="144" w:lineRule="exact"/>
              <w:rPr>
                <w:sz w:val="20"/>
                <w:szCs w:val="20"/>
                <w:color w:val="auto"/>
              </w:rPr>
            </w:pPr>
            <w:r>
              <w:rPr>
                <w:rFonts w:ascii="Arial" w:cs="Arial" w:eastAsia="Arial" w:hAnsi="Arial"/>
                <w:sz w:val="13"/>
                <w:szCs w:val="13"/>
                <w:color w:val="auto"/>
              </w:rPr>
              <w:t>3,205</w:t>
            </w:r>
          </w:p>
        </w:tc>
        <w:tc>
          <w:tcPr>
            <w:tcW w:w="1360" w:type="dxa"/>
            <w:vAlign w:val="bottom"/>
            <w:tcBorders>
              <w:bottom w:val="single" w:sz="8" w:color="F79646"/>
            </w:tcBorders>
            <w:gridSpan w:val="2"/>
          </w:tcPr>
          <w:p>
            <w:pPr>
              <w:jc w:val="right"/>
              <w:spacing w:after="0" w:line="144" w:lineRule="exact"/>
              <w:rPr>
                <w:sz w:val="20"/>
                <w:szCs w:val="20"/>
                <w:color w:val="auto"/>
              </w:rPr>
            </w:pPr>
            <w:r>
              <w:rPr>
                <w:rFonts w:ascii="Arial" w:cs="Arial" w:eastAsia="Arial" w:hAnsi="Arial"/>
                <w:sz w:val="13"/>
                <w:szCs w:val="13"/>
                <w:color w:val="auto"/>
              </w:rPr>
              <w:t>3,205</w:t>
            </w:r>
          </w:p>
        </w:tc>
        <w:tc>
          <w:tcPr>
            <w:tcW w:w="200" w:type="dxa"/>
            <w:vAlign w:val="bottom"/>
            <w:tcBorders>
              <w:bottom w:val="single" w:sz="8" w:color="F79646"/>
              <w:right w:val="single" w:sz="8" w:color="F79646"/>
            </w:tcBorders>
          </w:tcPr>
          <w:p>
            <w:pPr>
              <w:spacing w:after="0"/>
              <w:rPr>
                <w:sz w:val="12"/>
                <w:szCs w:val="12"/>
                <w:color w:val="auto"/>
              </w:rPr>
            </w:pP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Payout of Awards Granted in Prior Fiscal Years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This was the third and final performance year for the 2016 performance-based restricted stock units. We achieved 90.52% of the revenue target for the revenue-linked restricted stock units resulting in 5.24% of target funding of those grants. The Company's TSR performance was at the 40th percentile amongst its peer group, resulting in the executives earning 68.25% of the 2016 relative TSR-linked restricted stock units pursuant to the terms of the original grant.</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Benefits and Perquisites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We offer employee benefits coverage in order to:</w:t>
      </w:r>
    </w:p>
    <w:p>
      <w:pPr>
        <w:spacing w:after="0" w:line="159" w:lineRule="exact"/>
        <w:rPr>
          <w:sz w:val="20"/>
          <w:szCs w:val="20"/>
          <w:color w:val="auto"/>
        </w:rPr>
      </w:pPr>
    </w:p>
    <w:p>
      <w:pPr>
        <w:ind w:left="960" w:hanging="381"/>
        <w:spacing w:after="0"/>
        <w:tabs>
          <w:tab w:leader="none" w:pos="960" w:val="left"/>
        </w:tabs>
        <w:numPr>
          <w:ilvl w:val="0"/>
          <w:numId w:val="74"/>
        </w:numPr>
        <w:rPr>
          <w:rFonts w:ascii="Arial" w:cs="Arial" w:eastAsia="Arial" w:hAnsi="Arial"/>
          <w:sz w:val="13"/>
          <w:szCs w:val="13"/>
          <w:color w:val="F79646"/>
        </w:rPr>
      </w:pPr>
      <w:r>
        <w:rPr>
          <w:rFonts w:ascii="Arial" w:cs="Arial" w:eastAsia="Arial" w:hAnsi="Arial"/>
          <w:sz w:val="13"/>
          <w:szCs w:val="13"/>
          <w:color w:val="auto"/>
        </w:rPr>
        <w:t>provide our global workforce with a reasonable level of financial support in the event of illness or injury; and</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74"/>
        </w:numPr>
        <w:rPr>
          <w:rFonts w:ascii="Arial" w:cs="Arial" w:eastAsia="Arial" w:hAnsi="Arial"/>
          <w:sz w:val="13"/>
          <w:szCs w:val="13"/>
          <w:color w:val="F79646"/>
        </w:rPr>
      </w:pPr>
      <w:r>
        <w:rPr>
          <w:rFonts w:ascii="Arial" w:cs="Arial" w:eastAsia="Arial" w:hAnsi="Arial"/>
          <w:sz w:val="13"/>
          <w:szCs w:val="13"/>
          <w:color w:val="auto"/>
        </w:rPr>
        <w:t>provide market-competitive benefits that enhance productivity and job satisfaction through programs that focus on work/life balance.</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 in India, Mr. Bagai, is eligible to participate in the Company's</w:t>
      </w:r>
    </w:p>
    <w:p>
      <w:pPr>
        <w:sectPr>
          <w:pgSz w:w="11900" w:h="16838" w:orient="portrait"/>
          <w:cols w:equalWidth="0" w:num="1">
            <w:col w:w="9019"/>
          </w:cols>
          <w:pgMar w:left="1440" w:top="29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27" w:name="page28"/>
    <w:bookmarkEnd w:id="27"/>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pension benefit, health and welfare and fringe benefit plans otherwise available to executive employees in India.</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52.</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Risk and Compensation Policies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Compensation Committee has taken into account its discussions with management and FW Cook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"Key Corporate Governance Features" beginning on page 35.</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Severance and Change-in-Control Benefits</w:t>
      </w:r>
    </w:p>
    <w:p>
      <w:pPr>
        <w:spacing w:after="0" w:line="165" w:lineRule="exact"/>
        <w:rPr>
          <w:sz w:val="20"/>
          <w:szCs w:val="20"/>
          <w:color w:val="auto"/>
        </w:rPr>
      </w:pPr>
    </w:p>
    <w:p>
      <w:pPr>
        <w:jc w:val="both"/>
        <w:ind w:left="200" w:right="179"/>
        <w:spacing w:after="0" w:line="288" w:lineRule="auto"/>
        <w:rPr>
          <w:sz w:val="20"/>
          <w:szCs w:val="20"/>
          <w:color w:val="auto"/>
        </w:rPr>
      </w:pPr>
      <w:r>
        <w:rPr>
          <w:rFonts w:ascii="Arial" w:cs="Arial" w:eastAsia="Arial" w:hAnsi="Arial"/>
          <w:sz w:val="11"/>
          <w:szCs w:val="11"/>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2018 Year-End" beginning on page 58.</w:t>
      </w:r>
    </w:p>
    <w:p>
      <w:pPr>
        <w:spacing w:after="0" w:line="124"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have provided change-in-control severance protection for some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Looking Forward to 2019</w:t>
      </w:r>
    </w:p>
    <w:p>
      <w:pPr>
        <w:spacing w:after="0" w:line="165"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For fiscal 2019, we generally continued the annual bonus program and our long-term equity incentives for fiscal 2018, subject, of course, to new performance goals. As mentioned previously, the Adjusted PBT target was in place for determining a portion of the annual incentive awards in 2018 due to the uncertain effect of U.S. tax reform on the Company. Since the enactment of the Tax Cuts and Jobs Act of 2017 on December 22, 2017, the Compensation Committee determined to return to the Adjusted EPS target for that portion of the 2019 annual incentive awards.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Deductibility Cap on Executive Compensation</w:t>
      </w:r>
    </w:p>
    <w:p>
      <w:pPr>
        <w:spacing w:after="0" w:line="165"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The Tax Cuts and Jobs Act of 2017 significantly altered our ability to deduct for federal income tax purposes compensation paid to certain of our executives. Prior to its passage, Section 162(m) of the Code limited our ability to deduct compensation paid to our named executive officers (other than our chief financial officer) in excess of $1 million per year, unless the compensation was "performance-based", as described in the regulations under Code Section 162(m). In general, the Tax Cuts and Jobs Act of 2017 eliminated the exception from Code Section 162(m)'s deduction limits for performance-based compensation, clarified that chief executive officers are covered by the deduction limitation, and made certain other changes, including providing for transition relief for written binding contracts in effect on November 2, 2017.</w:t>
      </w:r>
    </w:p>
    <w:p>
      <w:pPr>
        <w:spacing w:after="0" w:line="150" w:lineRule="exact"/>
        <w:rPr>
          <w:sz w:val="20"/>
          <w:szCs w:val="20"/>
          <w:color w:val="auto"/>
        </w:rPr>
      </w:pPr>
    </w:p>
    <w:p>
      <w:pPr>
        <w:jc w:val="both"/>
        <w:ind w:left="200" w:right="179"/>
        <w:spacing w:after="0" w:line="317" w:lineRule="auto"/>
        <w:rPr>
          <w:sz w:val="20"/>
          <w:szCs w:val="20"/>
          <w:color w:val="auto"/>
        </w:rPr>
      </w:pPr>
      <w:r>
        <w:rPr>
          <w:rFonts w:ascii="Arial" w:cs="Arial" w:eastAsia="Arial" w:hAnsi="Arial"/>
          <w:sz w:val="11"/>
          <w:szCs w:val="11"/>
          <w:color w:val="auto"/>
        </w:rPr>
        <w:t>As in the past, our Compensation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pacing w:after="0" w:line="109" w:lineRule="exact"/>
        <w:rPr>
          <w:sz w:val="20"/>
          <w:szCs w:val="20"/>
          <w:color w:val="auto"/>
        </w:rPr>
      </w:pPr>
    </w:p>
    <w:p>
      <w:pPr>
        <w:jc w:val="both"/>
        <w:ind w:left="200" w:right="179"/>
        <w:spacing w:after="0" w:line="295" w:lineRule="auto"/>
        <w:rPr>
          <w:sz w:val="20"/>
          <w:szCs w:val="20"/>
          <w:color w:val="auto"/>
        </w:rPr>
      </w:pPr>
      <w:r>
        <w:rPr>
          <w:rFonts w:ascii="Arial" w:cs="Arial" w:eastAsia="Arial" w:hAnsi="Arial"/>
          <w:sz w:val="11"/>
          <w:szCs w:val="11"/>
          <w:color w:val="auto"/>
        </w:rPr>
        <w:t>Despite the changes made to Code Section 162(m) outlined above, our Compensation Committee does not anticipate a shift away from variable or performance-based compensation payable to our named executive officers. Similarly, we do not expect to apply less rigor in the process by which we establish performance goals or evaluate performance against pre-established goals with respect to compensation paid to our named executive officers.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Compensation Committee Report</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2018, and our proxy statement relating to the Annual Meeting.</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COMPENSATION COMMITTEE</w:t>
      </w:r>
    </w:p>
    <w:p>
      <w:pPr>
        <w:spacing w:after="0" w:line="163"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Ms. Anne Minto (Chair)</w:t>
      </w:r>
    </w:p>
    <w:p>
      <w:pPr>
        <w:ind w:left="4700"/>
        <w:spacing w:after="0" w:line="231" w:lineRule="auto"/>
        <w:rPr>
          <w:sz w:val="20"/>
          <w:szCs w:val="20"/>
          <w:color w:val="auto"/>
        </w:rPr>
      </w:pPr>
      <w:r>
        <w:rPr>
          <w:rFonts w:ascii="Arial" w:cs="Arial" w:eastAsia="Arial" w:hAnsi="Arial"/>
          <w:sz w:val="13"/>
          <w:szCs w:val="13"/>
          <w:color w:val="auto"/>
        </w:rPr>
        <w:t>Ms. Deborah Kerr</w:t>
      </w:r>
    </w:p>
    <w:p>
      <w:pPr>
        <w:ind w:left="4700"/>
        <w:spacing w:after="0" w:line="232" w:lineRule="auto"/>
        <w:rPr>
          <w:sz w:val="20"/>
          <w:szCs w:val="20"/>
          <w:color w:val="auto"/>
        </w:rPr>
      </w:pPr>
      <w:r>
        <w:rPr>
          <w:rFonts w:ascii="Arial" w:cs="Arial" w:eastAsia="Arial" w:hAnsi="Arial"/>
          <w:sz w:val="13"/>
          <w:szCs w:val="13"/>
          <w:color w:val="auto"/>
        </w:rPr>
        <w:t>Mr. Som Mittal</w:t>
      </w:r>
    </w:p>
    <w:p>
      <w:pPr>
        <w:ind w:left="4700"/>
        <w:spacing w:after="0" w:line="232" w:lineRule="auto"/>
        <w:rPr>
          <w:sz w:val="20"/>
          <w:szCs w:val="20"/>
          <w:color w:val="auto"/>
        </w:rPr>
      </w:pPr>
      <w:r>
        <w:rPr>
          <w:rFonts w:ascii="Arial" w:cs="Arial" w:eastAsia="Arial" w:hAnsi="Arial"/>
          <w:sz w:val="13"/>
          <w:szCs w:val="13"/>
          <w:color w:val="auto"/>
        </w:rPr>
        <w:t>Mr. Clyde W. Ostler</w:t>
      </w:r>
    </w:p>
    <w:p>
      <w:pPr>
        <w:ind w:left="4700"/>
        <w:spacing w:after="0" w:line="232" w:lineRule="auto"/>
        <w:rPr>
          <w:sz w:val="20"/>
          <w:szCs w:val="20"/>
          <w:color w:val="auto"/>
        </w:rPr>
      </w:pPr>
      <w:r>
        <w:rPr>
          <w:rFonts w:ascii="Arial" w:cs="Arial" w:eastAsia="Arial" w:hAnsi="Arial"/>
          <w:sz w:val="13"/>
          <w:szCs w:val="13"/>
          <w:color w:val="auto"/>
        </w:rPr>
        <w:t>Mr. Garen K. Staglin</w:t>
      </w:r>
    </w:p>
    <w:p>
      <w:pPr>
        <w:ind w:left="4700"/>
        <w:spacing w:after="0"/>
        <w:rPr>
          <w:sz w:val="20"/>
          <w:szCs w:val="20"/>
          <w:color w:val="auto"/>
        </w:rPr>
      </w:pPr>
      <w:r>
        <w:rPr>
          <w:rFonts w:ascii="Arial" w:cs="Arial" w:eastAsia="Arial" w:hAnsi="Arial"/>
          <w:sz w:val="13"/>
          <w:szCs w:val="13"/>
          <w:color w:val="auto"/>
        </w:rPr>
        <w:t>Ms. Jaynie M. Studenmund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8" w:name="page29"/>
    <w:bookmarkEnd w:id="28"/>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Summary Compensation Table for Fiscal Year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following table sets forth information for compensation earned in fiscal years 2016, 2017 and 2018 by our named executive officers:</w:t>
      </w:r>
    </w:p>
    <w:p>
      <w:pPr>
        <w:spacing w:after="0" w:line="147" w:lineRule="exact"/>
        <w:rPr>
          <w:sz w:val="20"/>
          <w:szCs w:val="20"/>
          <w:color w:val="auto"/>
        </w:rPr>
      </w:pPr>
    </w:p>
    <w:tbl>
      <w:tblPr>
        <w:tblLayout w:type="fixed"/>
        <w:tblInd w:w="1060" w:type="dxa"/>
        <w:tblCellMar>
          <w:top w:w="0" w:type="dxa"/>
          <w:left w:w="0" w:type="dxa"/>
          <w:bottom w:w="0" w:type="dxa"/>
          <w:right w:w="0" w:type="dxa"/>
        </w:tblCellMar>
      </w:tblPr>
      <w:tr>
        <w:trPr>
          <w:trHeight w:val="165"/>
        </w:trPr>
        <w:tc>
          <w:tcPr>
            <w:tcW w:w="180" w:type="dxa"/>
            <w:vAlign w:val="bottom"/>
            <w:shd w:val="clear" w:color="auto" w:fill="F79646"/>
          </w:tcPr>
          <w:p>
            <w:pPr>
              <w:spacing w:after="0"/>
              <w:rPr>
                <w:sz w:val="14"/>
                <w:szCs w:val="14"/>
                <w:color w:val="auto"/>
              </w:rPr>
            </w:pPr>
          </w:p>
        </w:tc>
        <w:tc>
          <w:tcPr>
            <w:tcW w:w="15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4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3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52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9"/>
              </w:rPr>
              <w:t>Change in</w:t>
            </w:r>
          </w:p>
        </w:tc>
        <w:tc>
          <w:tcPr>
            <w:tcW w:w="6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5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r>
      <w:tr>
        <w:trPr>
          <w:trHeight w:val="116"/>
        </w:trPr>
        <w:tc>
          <w:tcPr>
            <w:tcW w:w="180" w:type="dxa"/>
            <w:vAlign w:val="bottom"/>
            <w:shd w:val="clear" w:color="auto" w:fill="F79646"/>
          </w:tcPr>
          <w:p>
            <w:pPr>
              <w:spacing w:after="0"/>
              <w:rPr>
                <w:sz w:val="10"/>
                <w:szCs w:val="10"/>
                <w:color w:val="auto"/>
              </w:rPr>
            </w:pPr>
          </w:p>
        </w:tc>
        <w:tc>
          <w:tcPr>
            <w:tcW w:w="15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3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3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Pension</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80" w:type="dxa"/>
            <w:vAlign w:val="bottom"/>
            <w:shd w:val="clear" w:color="auto" w:fill="F79646"/>
          </w:tcPr>
          <w:p>
            <w:pPr>
              <w:spacing w:after="0"/>
              <w:rPr>
                <w:sz w:val="10"/>
                <w:szCs w:val="10"/>
                <w:color w:val="auto"/>
              </w:rPr>
            </w:pPr>
          </w:p>
        </w:tc>
      </w:tr>
      <w:tr>
        <w:trPr>
          <w:trHeight w:val="116"/>
        </w:trPr>
        <w:tc>
          <w:tcPr>
            <w:tcW w:w="180" w:type="dxa"/>
            <w:vAlign w:val="bottom"/>
            <w:shd w:val="clear" w:color="auto" w:fill="F79646"/>
          </w:tcPr>
          <w:p>
            <w:pPr>
              <w:spacing w:after="0"/>
              <w:rPr>
                <w:sz w:val="10"/>
                <w:szCs w:val="10"/>
                <w:color w:val="auto"/>
              </w:rPr>
            </w:pPr>
          </w:p>
        </w:tc>
        <w:tc>
          <w:tcPr>
            <w:tcW w:w="15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3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3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Value and</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80" w:type="dxa"/>
            <w:vAlign w:val="bottom"/>
            <w:shd w:val="clear" w:color="auto" w:fill="F79646"/>
          </w:tcPr>
          <w:p>
            <w:pPr>
              <w:spacing w:after="0"/>
              <w:rPr>
                <w:sz w:val="10"/>
                <w:szCs w:val="10"/>
                <w:color w:val="auto"/>
              </w:rPr>
            </w:pPr>
          </w:p>
        </w:tc>
      </w:tr>
      <w:tr>
        <w:trPr>
          <w:trHeight w:val="116"/>
        </w:trPr>
        <w:tc>
          <w:tcPr>
            <w:tcW w:w="180" w:type="dxa"/>
            <w:vAlign w:val="bottom"/>
            <w:shd w:val="clear" w:color="auto" w:fill="F79646"/>
          </w:tcPr>
          <w:p>
            <w:pPr>
              <w:spacing w:after="0"/>
              <w:rPr>
                <w:sz w:val="10"/>
                <w:szCs w:val="10"/>
                <w:color w:val="auto"/>
              </w:rPr>
            </w:pPr>
          </w:p>
        </w:tc>
        <w:tc>
          <w:tcPr>
            <w:tcW w:w="15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3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3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Non-Equity</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Nonqualified</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80" w:type="dxa"/>
            <w:vAlign w:val="bottom"/>
            <w:shd w:val="clear" w:color="auto" w:fill="F79646"/>
          </w:tcPr>
          <w:p>
            <w:pPr>
              <w:spacing w:after="0"/>
              <w:rPr>
                <w:sz w:val="10"/>
                <w:szCs w:val="10"/>
                <w:color w:val="auto"/>
              </w:rPr>
            </w:pPr>
          </w:p>
        </w:tc>
      </w:tr>
      <w:tr>
        <w:trPr>
          <w:trHeight w:val="116"/>
        </w:trPr>
        <w:tc>
          <w:tcPr>
            <w:tcW w:w="180" w:type="dxa"/>
            <w:vAlign w:val="bottom"/>
            <w:shd w:val="clear" w:color="auto" w:fill="F79646"/>
          </w:tcPr>
          <w:p>
            <w:pPr>
              <w:spacing w:after="0"/>
              <w:rPr>
                <w:sz w:val="10"/>
                <w:szCs w:val="10"/>
                <w:color w:val="auto"/>
              </w:rPr>
            </w:pPr>
          </w:p>
        </w:tc>
        <w:tc>
          <w:tcPr>
            <w:tcW w:w="15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3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3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Incentive</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Deferred</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80" w:type="dxa"/>
            <w:vAlign w:val="bottom"/>
            <w:shd w:val="clear" w:color="auto" w:fill="F79646"/>
          </w:tcPr>
          <w:p>
            <w:pPr>
              <w:spacing w:after="0"/>
              <w:rPr>
                <w:sz w:val="10"/>
                <w:szCs w:val="10"/>
                <w:color w:val="auto"/>
              </w:rPr>
            </w:pPr>
          </w:p>
        </w:tc>
      </w:tr>
      <w:tr>
        <w:trPr>
          <w:trHeight w:val="116"/>
        </w:trPr>
        <w:tc>
          <w:tcPr>
            <w:tcW w:w="180" w:type="dxa"/>
            <w:vAlign w:val="bottom"/>
            <w:shd w:val="clear" w:color="auto" w:fill="F79646"/>
          </w:tcPr>
          <w:p>
            <w:pPr>
              <w:spacing w:after="0"/>
              <w:rPr>
                <w:sz w:val="10"/>
                <w:szCs w:val="10"/>
                <w:color w:val="auto"/>
              </w:rPr>
            </w:pPr>
          </w:p>
        </w:tc>
        <w:tc>
          <w:tcPr>
            <w:tcW w:w="15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3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3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20" w:type="dxa"/>
            <w:vAlign w:val="bottom"/>
            <w:shd w:val="clear" w:color="auto" w:fill="F79646"/>
          </w:tcPr>
          <w:p>
            <w:pPr>
              <w:jc w:val="right"/>
              <w:ind w:right="69"/>
              <w:spacing w:after="0"/>
              <w:rPr>
                <w:sz w:val="20"/>
                <w:szCs w:val="20"/>
                <w:color w:val="auto"/>
              </w:rPr>
            </w:pPr>
            <w:r>
              <w:rPr>
                <w:rFonts w:ascii="Arial" w:cs="Arial" w:eastAsia="Arial" w:hAnsi="Arial"/>
                <w:sz w:val="10"/>
                <w:szCs w:val="10"/>
                <w:b w:val="1"/>
                <w:bCs w:val="1"/>
                <w:color w:val="FFFFFE"/>
              </w:rPr>
              <w:t>Stock</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Plan</w:t>
            </w:r>
          </w:p>
        </w:tc>
        <w:tc>
          <w:tcPr>
            <w:tcW w:w="60" w:type="dxa"/>
            <w:vAlign w:val="bottom"/>
            <w:shd w:val="clear" w:color="auto" w:fill="F79646"/>
          </w:tcPr>
          <w:p>
            <w:pPr>
              <w:spacing w:after="0"/>
              <w:rPr>
                <w:sz w:val="10"/>
                <w:szCs w:val="10"/>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Compensation</w:t>
            </w:r>
          </w:p>
        </w:tc>
        <w:tc>
          <w:tcPr>
            <w:tcW w:w="60" w:type="dxa"/>
            <w:vAlign w:val="bottom"/>
            <w:shd w:val="clear" w:color="auto" w:fill="F79646"/>
          </w:tcPr>
          <w:p>
            <w:pPr>
              <w:spacing w:after="0"/>
              <w:rPr>
                <w:sz w:val="10"/>
                <w:szCs w:val="10"/>
                <w:color w:val="auto"/>
              </w:rPr>
            </w:pPr>
          </w:p>
        </w:tc>
        <w:tc>
          <w:tcPr>
            <w:tcW w:w="900" w:type="dxa"/>
            <w:vAlign w:val="bottom"/>
            <w:gridSpan w:val="2"/>
            <w:shd w:val="clear" w:color="auto" w:fill="F79646"/>
          </w:tcPr>
          <w:p>
            <w:pPr>
              <w:jc w:val="right"/>
              <w:ind w:right="280"/>
              <w:spacing w:after="0"/>
              <w:rPr>
                <w:sz w:val="20"/>
                <w:szCs w:val="20"/>
                <w:color w:val="auto"/>
              </w:rPr>
            </w:pPr>
            <w:r>
              <w:rPr>
                <w:rFonts w:ascii="Arial" w:cs="Arial" w:eastAsia="Arial" w:hAnsi="Arial"/>
                <w:sz w:val="10"/>
                <w:szCs w:val="10"/>
                <w:b w:val="1"/>
                <w:bCs w:val="1"/>
                <w:color w:val="FFFFFE"/>
              </w:rPr>
              <w:t>All Other</w:t>
            </w:r>
          </w:p>
        </w:tc>
        <w:tc>
          <w:tcPr>
            <w:tcW w:w="520" w:type="dxa"/>
            <w:vAlign w:val="bottom"/>
            <w:shd w:val="clear" w:color="auto" w:fill="F79646"/>
          </w:tcPr>
          <w:p>
            <w:pPr>
              <w:spacing w:after="0"/>
              <w:rPr>
                <w:sz w:val="10"/>
                <w:szCs w:val="10"/>
                <w:color w:val="auto"/>
              </w:rPr>
            </w:pPr>
          </w:p>
        </w:tc>
        <w:tc>
          <w:tcPr>
            <w:tcW w:w="180" w:type="dxa"/>
            <w:vAlign w:val="bottom"/>
            <w:shd w:val="clear" w:color="auto" w:fill="F79646"/>
          </w:tcPr>
          <w:p>
            <w:pPr>
              <w:spacing w:after="0"/>
              <w:rPr>
                <w:sz w:val="10"/>
                <w:szCs w:val="10"/>
                <w:color w:val="auto"/>
              </w:rPr>
            </w:pPr>
          </w:p>
        </w:tc>
      </w:tr>
      <w:tr>
        <w:trPr>
          <w:trHeight w:val="135"/>
        </w:trPr>
        <w:tc>
          <w:tcPr>
            <w:tcW w:w="180" w:type="dxa"/>
            <w:vAlign w:val="bottom"/>
            <w:shd w:val="clear" w:color="auto" w:fill="F79646"/>
          </w:tcPr>
          <w:p>
            <w:pPr>
              <w:spacing w:after="0"/>
              <w:rPr>
                <w:sz w:val="11"/>
                <w:szCs w:val="11"/>
                <w:color w:val="auto"/>
              </w:rPr>
            </w:pPr>
          </w:p>
        </w:tc>
        <w:tc>
          <w:tcPr>
            <w:tcW w:w="1540" w:type="dxa"/>
            <w:vAlign w:val="bottom"/>
            <w:shd w:val="clear" w:color="auto" w:fill="F79646"/>
          </w:tcPr>
          <w:p>
            <w:pPr>
              <w:ind w:left="520"/>
              <w:spacing w:after="0"/>
              <w:rPr>
                <w:sz w:val="20"/>
                <w:szCs w:val="20"/>
                <w:color w:val="auto"/>
              </w:rPr>
            </w:pPr>
            <w:r>
              <w:rPr>
                <w:rFonts w:ascii="Arial" w:cs="Arial" w:eastAsia="Arial" w:hAnsi="Arial"/>
                <w:sz w:val="10"/>
                <w:szCs w:val="10"/>
                <w:b w:val="1"/>
                <w:bCs w:val="1"/>
                <w:color w:val="FFFFFE"/>
              </w:rPr>
              <w:t>Name and</w:t>
            </w:r>
          </w:p>
        </w:tc>
        <w:tc>
          <w:tcPr>
            <w:tcW w:w="40" w:type="dxa"/>
            <w:vAlign w:val="bottom"/>
            <w:shd w:val="clear" w:color="auto" w:fill="F79646"/>
          </w:tcPr>
          <w:p>
            <w:pPr>
              <w:spacing w:after="0"/>
              <w:rPr>
                <w:sz w:val="11"/>
                <w:szCs w:val="11"/>
                <w:color w:val="auto"/>
              </w:rPr>
            </w:pPr>
          </w:p>
        </w:tc>
        <w:tc>
          <w:tcPr>
            <w:tcW w:w="320" w:type="dxa"/>
            <w:vAlign w:val="bottom"/>
            <w:shd w:val="clear" w:color="auto" w:fill="F79646"/>
          </w:tcPr>
          <w:p>
            <w:pPr>
              <w:spacing w:after="0"/>
              <w:rPr>
                <w:sz w:val="11"/>
                <w:szCs w:val="11"/>
                <w:color w:val="auto"/>
              </w:rPr>
            </w:pPr>
          </w:p>
        </w:tc>
        <w:tc>
          <w:tcPr>
            <w:tcW w:w="60" w:type="dxa"/>
            <w:vAlign w:val="bottom"/>
            <w:shd w:val="clear" w:color="auto" w:fill="F79646"/>
          </w:tcPr>
          <w:p>
            <w:pPr>
              <w:spacing w:after="0"/>
              <w:rPr>
                <w:sz w:val="11"/>
                <w:szCs w:val="11"/>
                <w:color w:val="auto"/>
              </w:rPr>
            </w:pPr>
          </w:p>
        </w:tc>
        <w:tc>
          <w:tcPr>
            <w:tcW w:w="540" w:type="dxa"/>
            <w:vAlign w:val="bottom"/>
            <w:gridSpan w:val="2"/>
            <w:shd w:val="clear" w:color="auto" w:fill="F79646"/>
          </w:tcPr>
          <w:p>
            <w:pPr>
              <w:jc w:val="right"/>
              <w:ind w:right="160"/>
              <w:spacing w:after="0"/>
              <w:rPr>
                <w:sz w:val="20"/>
                <w:szCs w:val="20"/>
                <w:color w:val="auto"/>
              </w:rPr>
            </w:pPr>
            <w:r>
              <w:rPr>
                <w:rFonts w:ascii="Arial" w:cs="Arial" w:eastAsia="Arial" w:hAnsi="Arial"/>
                <w:sz w:val="10"/>
                <w:szCs w:val="10"/>
                <w:b w:val="1"/>
                <w:bCs w:val="1"/>
                <w:color w:val="FFFFFE"/>
              </w:rPr>
              <w:t>Salary</w:t>
            </w:r>
          </w:p>
        </w:tc>
        <w:tc>
          <w:tcPr>
            <w:tcW w:w="360" w:type="dxa"/>
            <w:vAlign w:val="bottom"/>
            <w:shd w:val="clear" w:color="auto" w:fill="F79646"/>
          </w:tcPr>
          <w:p>
            <w:pPr>
              <w:ind w:left="20"/>
              <w:spacing w:after="0"/>
              <w:rPr>
                <w:sz w:val="20"/>
                <w:szCs w:val="20"/>
                <w:color w:val="auto"/>
              </w:rPr>
            </w:pPr>
            <w:r>
              <w:rPr>
                <w:rFonts w:ascii="Arial" w:cs="Arial" w:eastAsia="Arial" w:hAnsi="Arial"/>
                <w:sz w:val="10"/>
                <w:szCs w:val="10"/>
                <w:b w:val="1"/>
                <w:bCs w:val="1"/>
                <w:color w:val="FFFFFE"/>
              </w:rPr>
              <w:t>Bonus</w:t>
            </w:r>
          </w:p>
        </w:tc>
        <w:tc>
          <w:tcPr>
            <w:tcW w:w="60" w:type="dxa"/>
            <w:vAlign w:val="bottom"/>
            <w:shd w:val="clear" w:color="auto" w:fill="F79646"/>
          </w:tcPr>
          <w:p>
            <w:pPr>
              <w:spacing w:after="0"/>
              <w:rPr>
                <w:sz w:val="11"/>
                <w:szCs w:val="11"/>
                <w:color w:val="auto"/>
              </w:rPr>
            </w:pPr>
          </w:p>
        </w:tc>
        <w:tc>
          <w:tcPr>
            <w:tcW w:w="520" w:type="dxa"/>
            <w:vAlign w:val="bottom"/>
            <w:shd w:val="clear" w:color="auto" w:fill="F79646"/>
          </w:tcPr>
          <w:p>
            <w:pPr>
              <w:jc w:val="right"/>
              <w:ind w:right="29"/>
              <w:spacing w:after="0"/>
              <w:rPr>
                <w:sz w:val="20"/>
                <w:szCs w:val="20"/>
                <w:color w:val="auto"/>
              </w:rPr>
            </w:pPr>
            <w:r>
              <w:rPr>
                <w:rFonts w:ascii="Arial" w:cs="Arial" w:eastAsia="Arial" w:hAnsi="Arial"/>
                <w:sz w:val="10"/>
                <w:szCs w:val="10"/>
                <w:b w:val="1"/>
                <w:bCs w:val="1"/>
                <w:color w:val="FFFFFE"/>
              </w:rPr>
              <w:t>Awards</w:t>
            </w:r>
          </w:p>
        </w:tc>
        <w:tc>
          <w:tcPr>
            <w:tcW w:w="60" w:type="dxa"/>
            <w:vAlign w:val="bottom"/>
            <w:shd w:val="clear" w:color="auto" w:fill="F79646"/>
          </w:tcPr>
          <w:p>
            <w:pPr>
              <w:spacing w:after="0"/>
              <w:rPr>
                <w:sz w:val="11"/>
                <w:szCs w:val="11"/>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Compensation</w:t>
            </w:r>
          </w:p>
        </w:tc>
        <w:tc>
          <w:tcPr>
            <w:tcW w:w="60" w:type="dxa"/>
            <w:vAlign w:val="bottom"/>
            <w:shd w:val="clear" w:color="auto" w:fill="F79646"/>
          </w:tcPr>
          <w:p>
            <w:pPr>
              <w:spacing w:after="0"/>
              <w:rPr>
                <w:sz w:val="11"/>
                <w:szCs w:val="11"/>
                <w:color w:val="auto"/>
              </w:rPr>
            </w:pPr>
          </w:p>
        </w:tc>
        <w:tc>
          <w:tcPr>
            <w:tcW w:w="8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Earnings</w:t>
            </w:r>
          </w:p>
        </w:tc>
        <w:tc>
          <w:tcPr>
            <w:tcW w:w="60" w:type="dxa"/>
            <w:vAlign w:val="bottom"/>
            <w:shd w:val="clear" w:color="auto" w:fill="F79646"/>
          </w:tcPr>
          <w:p>
            <w:pPr>
              <w:spacing w:after="0"/>
              <w:rPr>
                <w:sz w:val="11"/>
                <w:szCs w:val="11"/>
                <w:color w:val="auto"/>
              </w:rPr>
            </w:pPr>
          </w:p>
        </w:tc>
        <w:tc>
          <w:tcPr>
            <w:tcW w:w="900" w:type="dxa"/>
            <w:vAlign w:val="bottom"/>
            <w:gridSpan w:val="2"/>
            <w:shd w:val="clear" w:color="auto" w:fill="F79646"/>
          </w:tcPr>
          <w:p>
            <w:pPr>
              <w:jc w:val="right"/>
              <w:ind w:right="140"/>
              <w:spacing w:after="0"/>
              <w:rPr>
                <w:sz w:val="20"/>
                <w:szCs w:val="20"/>
                <w:color w:val="auto"/>
              </w:rPr>
            </w:pPr>
            <w:r>
              <w:rPr>
                <w:rFonts w:ascii="Arial" w:cs="Arial" w:eastAsia="Arial" w:hAnsi="Arial"/>
                <w:sz w:val="10"/>
                <w:szCs w:val="10"/>
                <w:b w:val="1"/>
                <w:bCs w:val="1"/>
                <w:color w:val="FFFFFE"/>
              </w:rPr>
              <w:t>Compensation</w:t>
            </w:r>
          </w:p>
        </w:tc>
        <w:tc>
          <w:tcPr>
            <w:tcW w:w="700" w:type="dxa"/>
            <w:vAlign w:val="bottom"/>
            <w:gridSpan w:val="2"/>
            <w:shd w:val="clear" w:color="auto" w:fill="F79646"/>
          </w:tcPr>
          <w:p>
            <w:pPr>
              <w:jc w:val="right"/>
              <w:ind w:right="320"/>
              <w:spacing w:after="0"/>
              <w:rPr>
                <w:sz w:val="20"/>
                <w:szCs w:val="20"/>
                <w:color w:val="auto"/>
              </w:rPr>
            </w:pPr>
            <w:r>
              <w:rPr>
                <w:rFonts w:ascii="Arial" w:cs="Arial" w:eastAsia="Arial" w:hAnsi="Arial"/>
                <w:sz w:val="10"/>
                <w:szCs w:val="10"/>
                <w:b w:val="1"/>
                <w:bCs w:val="1"/>
                <w:color w:val="FFFFFE"/>
              </w:rPr>
              <w:t>Total</w:t>
            </w:r>
          </w:p>
        </w:tc>
      </w:tr>
      <w:tr>
        <w:trPr>
          <w:trHeight w:val="163"/>
        </w:trPr>
        <w:tc>
          <w:tcPr>
            <w:tcW w:w="180" w:type="dxa"/>
            <w:vAlign w:val="bottom"/>
            <w:tcBorders>
              <w:bottom w:val="single" w:sz="8" w:color="F79646"/>
            </w:tcBorders>
            <w:shd w:val="clear" w:color="auto" w:fill="F79646"/>
          </w:tcPr>
          <w:p>
            <w:pPr>
              <w:spacing w:after="0"/>
              <w:rPr>
                <w:sz w:val="14"/>
                <w:szCs w:val="14"/>
                <w:color w:val="auto"/>
              </w:rPr>
            </w:pPr>
          </w:p>
        </w:tc>
        <w:tc>
          <w:tcPr>
            <w:tcW w:w="1540" w:type="dxa"/>
            <w:vAlign w:val="bottom"/>
            <w:tcBorders>
              <w:bottom w:val="single" w:sz="8" w:color="auto"/>
            </w:tcBorders>
            <w:shd w:val="clear" w:color="auto" w:fill="F79646"/>
          </w:tcPr>
          <w:p>
            <w:pPr>
              <w:ind w:left="360"/>
              <w:spacing w:after="0"/>
              <w:rPr>
                <w:sz w:val="20"/>
                <w:szCs w:val="20"/>
                <w:color w:val="auto"/>
              </w:rPr>
            </w:pPr>
            <w:r>
              <w:rPr>
                <w:rFonts w:ascii="Arial" w:cs="Arial" w:eastAsia="Arial" w:hAnsi="Arial"/>
                <w:sz w:val="10"/>
                <w:szCs w:val="10"/>
                <w:b w:val="1"/>
                <w:bCs w:val="1"/>
                <w:color w:val="FFFFFE"/>
              </w:rPr>
              <w:t>Principal Position</w:t>
            </w:r>
          </w:p>
        </w:tc>
        <w:tc>
          <w:tcPr>
            <w:tcW w:w="40" w:type="dxa"/>
            <w:vAlign w:val="bottom"/>
            <w:tcBorders>
              <w:bottom w:val="single" w:sz="8" w:color="F79646"/>
            </w:tcBorders>
            <w:shd w:val="clear" w:color="auto" w:fill="F79646"/>
          </w:tcPr>
          <w:p>
            <w:pPr>
              <w:spacing w:after="0"/>
              <w:rPr>
                <w:sz w:val="14"/>
                <w:szCs w:val="14"/>
                <w:color w:val="auto"/>
              </w:rPr>
            </w:pPr>
          </w:p>
        </w:tc>
        <w:tc>
          <w:tcPr>
            <w:tcW w:w="320" w:type="dxa"/>
            <w:vAlign w:val="bottom"/>
            <w:tcBorders>
              <w:bottom w:val="single" w:sz="8" w:color="auto"/>
            </w:tcBorders>
            <w:shd w:val="clear" w:color="auto" w:fill="F79646"/>
          </w:tcPr>
          <w:p>
            <w:pPr>
              <w:jc w:val="right"/>
              <w:ind w:right="9"/>
              <w:spacing w:after="0"/>
              <w:rPr>
                <w:sz w:val="20"/>
                <w:szCs w:val="20"/>
                <w:color w:val="auto"/>
              </w:rPr>
            </w:pPr>
            <w:r>
              <w:rPr>
                <w:rFonts w:ascii="Arial" w:cs="Arial" w:eastAsia="Arial" w:hAnsi="Arial"/>
                <w:sz w:val="10"/>
                <w:szCs w:val="10"/>
                <w:b w:val="1"/>
                <w:bCs w:val="1"/>
                <w:color w:val="FFFFFE"/>
              </w:rPr>
              <w:t>Year</w:t>
            </w:r>
          </w:p>
        </w:tc>
        <w:tc>
          <w:tcPr>
            <w:tcW w:w="60" w:type="dxa"/>
            <w:vAlign w:val="bottom"/>
            <w:tcBorders>
              <w:bottom w:val="single" w:sz="8" w:color="F79646"/>
            </w:tcBorders>
            <w:shd w:val="clear" w:color="auto" w:fill="F79646"/>
          </w:tcPr>
          <w:p>
            <w:pPr>
              <w:spacing w:after="0"/>
              <w:rPr>
                <w:sz w:val="14"/>
                <w:szCs w:val="14"/>
                <w:color w:val="auto"/>
              </w:rPr>
            </w:pPr>
          </w:p>
        </w:tc>
        <w:tc>
          <w:tcPr>
            <w:tcW w:w="440" w:type="dxa"/>
            <w:vAlign w:val="bottom"/>
            <w:tcBorders>
              <w:bottom w:val="single" w:sz="8" w:color="auto"/>
            </w:tcBorders>
            <w:shd w:val="clear" w:color="auto" w:fill="F79646"/>
          </w:tcPr>
          <w:p>
            <w:pPr>
              <w:jc w:val="right"/>
              <w:ind w:right="12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4"/>
                <w:szCs w:val="14"/>
                <w:color w:val="auto"/>
              </w:rPr>
            </w:pPr>
          </w:p>
        </w:tc>
        <w:tc>
          <w:tcPr>
            <w:tcW w:w="360" w:type="dxa"/>
            <w:vAlign w:val="bottom"/>
            <w:tcBorders>
              <w:bottom w:val="single" w:sz="8" w:color="auto"/>
            </w:tcBorders>
            <w:shd w:val="clear" w:color="auto" w:fill="F79646"/>
          </w:tcPr>
          <w:p>
            <w:pPr>
              <w:ind w:left="100"/>
              <w:spacing w:after="0"/>
              <w:rPr>
                <w:sz w:val="20"/>
                <w:szCs w:val="20"/>
                <w:color w:val="auto"/>
              </w:rPr>
            </w:pPr>
            <w:r>
              <w:rPr>
                <w:rFonts w:ascii="Arial" w:cs="Arial" w:eastAsia="Arial" w:hAnsi="Arial"/>
                <w:sz w:val="10"/>
                <w:szCs w:val="10"/>
                <w:b w:val="1"/>
                <w:bCs w:val="1"/>
                <w:color w:val="FFFFFE"/>
              </w:rPr>
              <w:t>($)</w:t>
            </w:r>
          </w:p>
        </w:tc>
        <w:tc>
          <w:tcPr>
            <w:tcW w:w="60" w:type="dxa"/>
            <w:vAlign w:val="bottom"/>
            <w:tcBorders>
              <w:bottom w:val="single" w:sz="8" w:color="F79646"/>
            </w:tcBorders>
            <w:shd w:val="clear" w:color="auto" w:fill="F79646"/>
          </w:tcPr>
          <w:p>
            <w:pPr>
              <w:spacing w:after="0"/>
              <w:rPr>
                <w:sz w:val="14"/>
                <w:szCs w:val="14"/>
                <w:color w:val="auto"/>
              </w:rPr>
            </w:pPr>
          </w:p>
        </w:tc>
        <w:tc>
          <w:tcPr>
            <w:tcW w:w="520" w:type="dxa"/>
            <w:vAlign w:val="bottom"/>
            <w:tcBorders>
              <w:bottom w:val="single" w:sz="8" w:color="auto"/>
            </w:tcBorders>
            <w:shd w:val="clear" w:color="auto" w:fill="F79646"/>
          </w:tcPr>
          <w:p>
            <w:pPr>
              <w:jc w:val="right"/>
              <w:ind w:right="10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(2)</w:t>
            </w:r>
          </w:p>
        </w:tc>
        <w:tc>
          <w:tcPr>
            <w:tcW w:w="60" w:type="dxa"/>
            <w:vAlign w:val="bottom"/>
            <w:tcBorders>
              <w:bottom w:val="single" w:sz="8" w:color="F79646"/>
            </w:tcBorders>
            <w:shd w:val="clear" w:color="auto" w:fill="F79646"/>
          </w:tcPr>
          <w:p>
            <w:pPr>
              <w:spacing w:after="0"/>
              <w:rPr>
                <w:sz w:val="14"/>
                <w:szCs w:val="14"/>
                <w:color w:val="auto"/>
              </w:rPr>
            </w:pPr>
          </w:p>
        </w:tc>
        <w:tc>
          <w:tcPr>
            <w:tcW w:w="800" w:type="dxa"/>
            <w:vAlign w:val="bottom"/>
            <w:tcBorders>
              <w:bottom w:val="single" w:sz="8" w:color="auto"/>
            </w:tcBorders>
            <w:shd w:val="clear" w:color="auto" w:fill="F79646"/>
          </w:tcPr>
          <w:p>
            <w:pPr>
              <w:jc w:val="right"/>
              <w:ind w:right="24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(3)</w:t>
            </w:r>
          </w:p>
        </w:tc>
        <w:tc>
          <w:tcPr>
            <w:tcW w:w="60" w:type="dxa"/>
            <w:vAlign w:val="bottom"/>
            <w:tcBorders>
              <w:bottom w:val="single" w:sz="8" w:color="F79646"/>
            </w:tcBorders>
            <w:shd w:val="clear" w:color="auto" w:fill="F79646"/>
          </w:tcPr>
          <w:p>
            <w:pPr>
              <w:spacing w:after="0"/>
              <w:rPr>
                <w:sz w:val="14"/>
                <w:szCs w:val="14"/>
                <w:color w:val="auto"/>
              </w:rPr>
            </w:pPr>
          </w:p>
        </w:tc>
        <w:tc>
          <w:tcPr>
            <w:tcW w:w="800" w:type="dxa"/>
            <w:vAlign w:val="bottom"/>
            <w:tcBorders>
              <w:bottom w:val="single" w:sz="8" w:color="auto"/>
            </w:tcBorders>
            <w:shd w:val="clear" w:color="auto" w:fill="F79646"/>
          </w:tcPr>
          <w:p>
            <w:pPr>
              <w:jc w:val="right"/>
              <w:ind w:right="26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(4)</w:t>
            </w:r>
          </w:p>
        </w:tc>
        <w:tc>
          <w:tcPr>
            <w:tcW w:w="60" w:type="dxa"/>
            <w:vAlign w:val="bottom"/>
            <w:tcBorders>
              <w:bottom w:val="single" w:sz="8" w:color="F79646"/>
            </w:tcBorders>
            <w:shd w:val="clear" w:color="auto" w:fill="F79646"/>
          </w:tcPr>
          <w:p>
            <w:pPr>
              <w:spacing w:after="0"/>
              <w:rPr>
                <w:sz w:val="14"/>
                <w:szCs w:val="14"/>
                <w:color w:val="auto"/>
              </w:rPr>
            </w:pPr>
          </w:p>
        </w:tc>
        <w:tc>
          <w:tcPr>
            <w:tcW w:w="800" w:type="dxa"/>
            <w:vAlign w:val="bottom"/>
            <w:tcBorders>
              <w:bottom w:val="single" w:sz="8" w:color="auto"/>
            </w:tcBorders>
            <w:shd w:val="clear" w:color="auto" w:fill="F79646"/>
          </w:tcPr>
          <w:p>
            <w:pPr>
              <w:jc w:val="right"/>
              <w:ind w:right="313"/>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4"/>
                <w:szCs w:val="14"/>
                <w:color w:val="auto"/>
              </w:rPr>
            </w:pPr>
          </w:p>
        </w:tc>
        <w:tc>
          <w:tcPr>
            <w:tcW w:w="52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80" w:type="dxa"/>
            <w:vAlign w:val="bottom"/>
            <w:tcBorders>
              <w:bottom w:val="single" w:sz="8" w:color="F79646"/>
            </w:tcBorders>
            <w:shd w:val="clear" w:color="auto" w:fill="F79646"/>
          </w:tcPr>
          <w:p>
            <w:pPr>
              <w:spacing w:after="0"/>
              <w:rPr>
                <w:sz w:val="14"/>
                <w:szCs w:val="14"/>
                <w:color w:val="auto"/>
              </w:rPr>
            </w:pPr>
          </w:p>
        </w:tc>
      </w:tr>
      <w:tr>
        <w:trPr>
          <w:trHeight w:val="109"/>
        </w:trPr>
        <w:tc>
          <w:tcPr>
            <w:tcW w:w="1720" w:type="dxa"/>
            <w:vAlign w:val="bottom"/>
            <w:gridSpan w:val="2"/>
          </w:tcPr>
          <w:p>
            <w:pPr>
              <w:ind w:left="180"/>
              <w:spacing w:after="0" w:line="109" w:lineRule="exact"/>
              <w:rPr>
                <w:sz w:val="20"/>
                <w:szCs w:val="20"/>
                <w:color w:val="auto"/>
              </w:rPr>
            </w:pPr>
            <w:r>
              <w:rPr>
                <w:rFonts w:ascii="Arial" w:cs="Arial" w:eastAsia="Arial" w:hAnsi="Arial"/>
                <w:sz w:val="10"/>
                <w:szCs w:val="10"/>
                <w:b w:val="1"/>
                <w:bCs w:val="1"/>
                <w:color w:val="auto"/>
              </w:rPr>
              <w:t>Rohit Kapoor</w:t>
            </w:r>
          </w:p>
        </w:tc>
        <w:tc>
          <w:tcPr>
            <w:tcW w:w="3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2018</w:t>
            </w:r>
          </w:p>
        </w:tc>
        <w:tc>
          <w:tcPr>
            <w:tcW w:w="5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720,000</w:t>
            </w:r>
          </w:p>
        </w:tc>
        <w:tc>
          <w:tcPr>
            <w:tcW w:w="100" w:type="dxa"/>
            <w:vAlign w:val="bottom"/>
          </w:tcPr>
          <w:p>
            <w:pPr>
              <w:spacing w:after="0"/>
              <w:rPr>
                <w:sz w:val="9"/>
                <w:szCs w:val="9"/>
                <w:color w:val="auto"/>
              </w:rPr>
            </w:pPr>
          </w:p>
        </w:tc>
        <w:tc>
          <w:tcPr>
            <w:tcW w:w="360" w:type="dxa"/>
            <w:vAlign w:val="bottom"/>
          </w:tcPr>
          <w:p>
            <w:pPr>
              <w:ind w:left="260"/>
              <w:spacing w:after="0" w:line="109"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3,791,277</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532,748</w:t>
            </w:r>
          </w:p>
        </w:tc>
        <w:tc>
          <w:tcPr>
            <w:tcW w:w="6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61,484</w:t>
            </w:r>
          </w:p>
        </w:tc>
        <w:tc>
          <w:tcPr>
            <w:tcW w:w="10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5,105,509</w:t>
            </w:r>
          </w:p>
        </w:tc>
        <w:tc>
          <w:tcPr>
            <w:tcW w:w="180" w:type="dxa"/>
            <w:vAlign w:val="bottom"/>
          </w:tcPr>
          <w:p>
            <w:pPr>
              <w:spacing w:after="0"/>
              <w:rPr>
                <w:sz w:val="9"/>
                <w:szCs w:val="9"/>
                <w:color w:val="auto"/>
              </w:rPr>
            </w:pPr>
          </w:p>
        </w:tc>
      </w:tr>
      <w:tr>
        <w:trPr>
          <w:trHeight w:val="93"/>
        </w:trPr>
        <w:tc>
          <w:tcPr>
            <w:tcW w:w="180" w:type="dxa"/>
            <w:vAlign w:val="bottom"/>
          </w:tcPr>
          <w:p>
            <w:pPr>
              <w:spacing w:after="0"/>
              <w:rPr>
                <w:sz w:val="8"/>
                <w:szCs w:val="8"/>
                <w:color w:val="auto"/>
              </w:rPr>
            </w:pPr>
          </w:p>
        </w:tc>
        <w:tc>
          <w:tcPr>
            <w:tcW w:w="1540" w:type="dxa"/>
            <w:vAlign w:val="bottom"/>
          </w:tcPr>
          <w:p>
            <w:pPr>
              <w:ind w:left="80"/>
              <w:spacing w:after="0" w:line="93" w:lineRule="exact"/>
              <w:rPr>
                <w:sz w:val="20"/>
                <w:szCs w:val="20"/>
                <w:color w:val="auto"/>
              </w:rPr>
            </w:pPr>
            <w:r>
              <w:rPr>
                <w:rFonts w:ascii="Arial" w:cs="Arial" w:eastAsia="Arial" w:hAnsi="Arial"/>
                <w:sz w:val="10"/>
                <w:szCs w:val="10"/>
                <w:color w:val="auto"/>
              </w:rPr>
              <w:t>Vice Chairman &amp;</w:t>
            </w:r>
          </w:p>
        </w:tc>
        <w:tc>
          <w:tcPr>
            <w:tcW w:w="3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2017</w:t>
            </w:r>
          </w:p>
        </w:tc>
        <w:tc>
          <w:tcPr>
            <w:tcW w:w="5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620,000</w:t>
            </w:r>
          </w:p>
        </w:tc>
        <w:tc>
          <w:tcPr>
            <w:tcW w:w="100" w:type="dxa"/>
            <w:vAlign w:val="bottom"/>
          </w:tcPr>
          <w:p>
            <w:pPr>
              <w:spacing w:after="0"/>
              <w:rPr>
                <w:sz w:val="8"/>
                <w:szCs w:val="8"/>
                <w:color w:val="auto"/>
              </w:rPr>
            </w:pPr>
          </w:p>
        </w:tc>
        <w:tc>
          <w:tcPr>
            <w:tcW w:w="360" w:type="dxa"/>
            <w:vAlign w:val="bottom"/>
          </w:tcPr>
          <w:p>
            <w:pPr>
              <w:ind w:left="260"/>
              <w:spacing w:after="0" w:line="93"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3,145,687</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591,028</w:t>
            </w:r>
          </w:p>
        </w:tc>
        <w:tc>
          <w:tcPr>
            <w:tcW w:w="60" w:type="dxa"/>
            <w:vAlign w:val="bottom"/>
          </w:tcPr>
          <w:p>
            <w:pPr>
              <w:spacing w:after="0"/>
              <w:rPr>
                <w:sz w:val="8"/>
                <w:szCs w:val="8"/>
                <w:color w:val="auto"/>
              </w:rPr>
            </w:pPr>
          </w:p>
        </w:tc>
        <w:tc>
          <w:tcPr>
            <w:tcW w:w="8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41,413</w:t>
            </w:r>
          </w:p>
        </w:tc>
        <w:tc>
          <w:tcPr>
            <w:tcW w:w="100" w:type="dxa"/>
            <w:vAlign w:val="bottom"/>
          </w:tcPr>
          <w:p>
            <w:pPr>
              <w:spacing w:after="0"/>
              <w:rPr>
                <w:sz w:val="8"/>
                <w:szCs w:val="8"/>
                <w:color w:val="auto"/>
              </w:rPr>
            </w:pPr>
          </w:p>
        </w:tc>
        <w:tc>
          <w:tcPr>
            <w:tcW w:w="520" w:type="dxa"/>
            <w:vAlign w:val="bottom"/>
          </w:tcPr>
          <w:p>
            <w:pPr>
              <w:jc w:val="right"/>
              <w:spacing w:after="0" w:line="93" w:lineRule="exact"/>
              <w:rPr>
                <w:sz w:val="20"/>
                <w:szCs w:val="20"/>
                <w:color w:val="auto"/>
              </w:rPr>
            </w:pPr>
            <w:r>
              <w:rPr>
                <w:rFonts w:ascii="Arial" w:cs="Arial" w:eastAsia="Arial" w:hAnsi="Arial"/>
                <w:sz w:val="10"/>
                <w:szCs w:val="10"/>
                <w:color w:val="auto"/>
              </w:rPr>
              <w:t>4,398,128</w:t>
            </w:r>
          </w:p>
        </w:tc>
        <w:tc>
          <w:tcPr>
            <w:tcW w:w="180" w:type="dxa"/>
            <w:vAlign w:val="bottom"/>
          </w:tcPr>
          <w:p>
            <w:pPr>
              <w:spacing w:after="0"/>
              <w:rPr>
                <w:sz w:val="8"/>
                <w:szCs w:val="8"/>
                <w:color w:val="auto"/>
              </w:rPr>
            </w:pPr>
          </w:p>
        </w:tc>
      </w:tr>
      <w:tr>
        <w:trPr>
          <w:trHeight w:val="164"/>
        </w:trPr>
        <w:tc>
          <w:tcPr>
            <w:tcW w:w="180" w:type="dxa"/>
            <w:vAlign w:val="bottom"/>
            <w:tcBorders>
              <w:bottom w:val="single" w:sz="8" w:color="F79646"/>
            </w:tcBorders>
          </w:tcPr>
          <w:p>
            <w:pPr>
              <w:spacing w:after="0"/>
              <w:rPr>
                <w:sz w:val="14"/>
                <w:szCs w:val="14"/>
                <w:color w:val="auto"/>
              </w:rPr>
            </w:pPr>
          </w:p>
        </w:tc>
        <w:tc>
          <w:tcPr>
            <w:tcW w:w="1540" w:type="dxa"/>
            <w:vAlign w:val="bottom"/>
            <w:tcBorders>
              <w:bottom w:val="single" w:sz="8" w:color="F79646"/>
            </w:tcBorders>
          </w:tcPr>
          <w:p>
            <w:pPr>
              <w:ind w:left="80"/>
              <w:spacing w:after="0"/>
              <w:rPr>
                <w:sz w:val="20"/>
                <w:szCs w:val="20"/>
                <w:color w:val="auto"/>
              </w:rPr>
            </w:pPr>
            <w:r>
              <w:rPr>
                <w:rFonts w:ascii="Arial" w:cs="Arial" w:eastAsia="Arial" w:hAnsi="Arial"/>
                <w:sz w:val="10"/>
                <w:szCs w:val="10"/>
                <w:color w:val="auto"/>
              </w:rPr>
              <w:t>CEO</w:t>
            </w:r>
          </w:p>
        </w:tc>
        <w:tc>
          <w:tcPr>
            <w:tcW w:w="3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2016</w:t>
            </w:r>
          </w:p>
        </w:tc>
        <w:tc>
          <w:tcPr>
            <w:tcW w:w="50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615,027</w:t>
            </w:r>
          </w:p>
        </w:tc>
        <w:tc>
          <w:tcPr>
            <w:tcW w:w="100" w:type="dxa"/>
            <w:vAlign w:val="bottom"/>
            <w:tcBorders>
              <w:bottom w:val="single" w:sz="8" w:color="F79646"/>
            </w:tcBorders>
          </w:tcPr>
          <w:p>
            <w:pPr>
              <w:spacing w:after="0"/>
              <w:rPr>
                <w:sz w:val="14"/>
                <w:szCs w:val="14"/>
                <w:color w:val="auto"/>
              </w:rPr>
            </w:pPr>
          </w:p>
        </w:tc>
        <w:tc>
          <w:tcPr>
            <w:tcW w:w="360" w:type="dxa"/>
            <w:vAlign w:val="bottom"/>
            <w:tcBorders>
              <w:bottom w:val="single" w:sz="8" w:color="F79646"/>
            </w:tcBorders>
          </w:tcPr>
          <w:p>
            <w:pPr>
              <w:ind w:left="260"/>
              <w:spacing w:after="0"/>
              <w:rPr>
                <w:sz w:val="20"/>
                <w:szCs w:val="20"/>
                <w:color w:val="auto"/>
              </w:rPr>
            </w:pPr>
            <w:r>
              <w:rPr>
                <w:rFonts w:ascii="Arial" w:cs="Arial" w:eastAsia="Arial" w:hAnsi="Arial"/>
                <w:sz w:val="10"/>
                <w:szCs w:val="10"/>
                <w:color w:val="auto"/>
                <w:w w:val="79"/>
              </w:rPr>
              <w:t>—</w:t>
            </w:r>
          </w:p>
        </w:tc>
        <w:tc>
          <w:tcPr>
            <w:tcW w:w="58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4,005,938</w:t>
            </w:r>
          </w:p>
        </w:tc>
        <w:tc>
          <w:tcPr>
            <w:tcW w:w="8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525,043</w:t>
            </w:r>
          </w:p>
        </w:tc>
        <w:tc>
          <w:tcPr>
            <w:tcW w:w="60" w:type="dxa"/>
            <w:vAlign w:val="bottom"/>
            <w:tcBorders>
              <w:bottom w:val="single" w:sz="8" w:color="F79646"/>
            </w:tcBorders>
          </w:tcPr>
          <w:p>
            <w:pPr>
              <w:spacing w:after="0"/>
              <w:rPr>
                <w:sz w:val="14"/>
                <w:szCs w:val="14"/>
                <w:color w:val="auto"/>
              </w:rPr>
            </w:pPr>
          </w:p>
        </w:tc>
        <w:tc>
          <w:tcPr>
            <w:tcW w:w="80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F79646"/>
            </w:tcBorders>
            <w:gridSpan w:val="3"/>
          </w:tcPr>
          <w:p>
            <w:pPr>
              <w:jc w:val="right"/>
              <w:spacing w:after="0" w:line="164" w:lineRule="exact"/>
              <w:rPr>
                <w:sz w:val="20"/>
                <w:szCs w:val="20"/>
                <w:color w:val="auto"/>
              </w:rPr>
            </w:pPr>
            <w:r>
              <w:rPr>
                <w:rFonts w:ascii="Arial" w:cs="Arial" w:eastAsia="Arial" w:hAnsi="Arial"/>
                <w:sz w:val="10"/>
                <w:szCs w:val="10"/>
                <w:color w:val="auto"/>
              </w:rPr>
              <w:t>47,129</w:t>
            </w:r>
            <w:r>
              <w:rPr>
                <w:rFonts w:ascii="Arial" w:cs="Arial" w:eastAsia="Arial" w:hAnsi="Arial"/>
                <w:sz w:val="15"/>
                <w:szCs w:val="15"/>
                <w:color w:val="auto"/>
                <w:vertAlign w:val="superscript"/>
              </w:rPr>
              <w:t>(5)</w:t>
            </w:r>
          </w:p>
        </w:tc>
        <w:tc>
          <w:tcPr>
            <w:tcW w:w="52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5,193,137</w:t>
            </w:r>
          </w:p>
        </w:tc>
        <w:tc>
          <w:tcPr>
            <w:tcW w:w="180" w:type="dxa"/>
            <w:vAlign w:val="bottom"/>
            <w:tcBorders>
              <w:bottom w:val="single" w:sz="8" w:color="F79646"/>
            </w:tcBorders>
          </w:tcPr>
          <w:p>
            <w:pPr>
              <w:spacing w:after="0"/>
              <w:rPr>
                <w:sz w:val="14"/>
                <w:szCs w:val="14"/>
                <w:color w:val="auto"/>
              </w:rPr>
            </w:pPr>
          </w:p>
        </w:tc>
      </w:tr>
      <w:tr>
        <w:trPr>
          <w:trHeight w:val="105"/>
        </w:trPr>
        <w:tc>
          <w:tcPr>
            <w:tcW w:w="180" w:type="dxa"/>
            <w:vAlign w:val="bottom"/>
            <w:shd w:val="clear" w:color="auto" w:fill="FCDEC5"/>
          </w:tcPr>
          <w:p>
            <w:pPr>
              <w:spacing w:after="0"/>
              <w:rPr>
                <w:sz w:val="9"/>
                <w:szCs w:val="9"/>
                <w:color w:val="auto"/>
              </w:rPr>
            </w:pPr>
          </w:p>
        </w:tc>
        <w:tc>
          <w:tcPr>
            <w:tcW w:w="1540" w:type="dxa"/>
            <w:vAlign w:val="bottom"/>
            <w:shd w:val="clear" w:color="auto" w:fill="FCDEC5"/>
          </w:tcPr>
          <w:p>
            <w:pPr>
              <w:spacing w:after="0" w:line="105" w:lineRule="exact"/>
              <w:rPr>
                <w:sz w:val="20"/>
                <w:szCs w:val="20"/>
                <w:color w:val="auto"/>
              </w:rPr>
            </w:pPr>
            <w:r>
              <w:rPr>
                <w:rFonts w:ascii="Arial" w:cs="Arial" w:eastAsia="Arial" w:hAnsi="Arial"/>
                <w:sz w:val="10"/>
                <w:szCs w:val="10"/>
                <w:b w:val="1"/>
                <w:bCs w:val="1"/>
                <w:color w:val="auto"/>
              </w:rPr>
              <w:t>Vishal Chhibbar</w:t>
            </w:r>
          </w:p>
        </w:tc>
        <w:tc>
          <w:tcPr>
            <w:tcW w:w="3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2018</w:t>
            </w:r>
          </w:p>
        </w:tc>
        <w:tc>
          <w:tcPr>
            <w:tcW w:w="50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437,671</w:t>
            </w:r>
          </w:p>
        </w:tc>
        <w:tc>
          <w:tcPr>
            <w:tcW w:w="100" w:type="dxa"/>
            <w:vAlign w:val="bottom"/>
            <w:shd w:val="clear" w:color="auto" w:fill="FCDEC5"/>
          </w:tcPr>
          <w:p>
            <w:pPr>
              <w:spacing w:after="0"/>
              <w:rPr>
                <w:sz w:val="9"/>
                <w:szCs w:val="9"/>
                <w:color w:val="auto"/>
              </w:rPr>
            </w:pPr>
          </w:p>
        </w:tc>
        <w:tc>
          <w:tcPr>
            <w:tcW w:w="360" w:type="dxa"/>
            <w:vAlign w:val="bottom"/>
            <w:shd w:val="clear" w:color="auto" w:fill="FCDEC5"/>
          </w:tcPr>
          <w:p>
            <w:pPr>
              <w:ind w:left="260"/>
              <w:spacing w:after="0" w:line="105" w:lineRule="exact"/>
              <w:rPr>
                <w:sz w:val="20"/>
                <w:szCs w:val="20"/>
                <w:color w:val="auto"/>
              </w:rPr>
            </w:pPr>
            <w:r>
              <w:rPr>
                <w:rFonts w:ascii="Arial" w:cs="Arial" w:eastAsia="Arial" w:hAnsi="Arial"/>
                <w:sz w:val="10"/>
                <w:szCs w:val="10"/>
                <w:color w:val="auto"/>
                <w:w w:val="79"/>
              </w:rPr>
              <w:t>—</w:t>
            </w:r>
          </w:p>
        </w:tc>
        <w:tc>
          <w:tcPr>
            <w:tcW w:w="58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928,709</w:t>
            </w:r>
          </w:p>
        </w:tc>
        <w:tc>
          <w:tcPr>
            <w:tcW w:w="8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173,210</w:t>
            </w:r>
          </w:p>
        </w:tc>
        <w:tc>
          <w:tcPr>
            <w:tcW w:w="60" w:type="dxa"/>
            <w:vAlign w:val="bottom"/>
            <w:shd w:val="clear" w:color="auto" w:fill="FCDEC5"/>
          </w:tcPr>
          <w:p>
            <w:pPr>
              <w:spacing w:after="0"/>
              <w:rPr>
                <w:sz w:val="9"/>
                <w:szCs w:val="9"/>
                <w:color w:val="auto"/>
              </w:rPr>
            </w:pPr>
          </w:p>
        </w:tc>
        <w:tc>
          <w:tcPr>
            <w:tcW w:w="800" w:type="dxa"/>
            <w:vAlign w:val="bottom"/>
            <w:shd w:val="clear" w:color="auto" w:fill="FCDEC5"/>
          </w:tcPr>
          <w:p>
            <w:pPr>
              <w:jc w:val="right"/>
              <w:spacing w:after="0" w:line="105"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11,465</w:t>
            </w:r>
          </w:p>
        </w:tc>
        <w:tc>
          <w:tcPr>
            <w:tcW w:w="100" w:type="dxa"/>
            <w:vAlign w:val="bottom"/>
            <w:shd w:val="clear" w:color="auto" w:fill="FCDEC5"/>
          </w:tcPr>
          <w:p>
            <w:pPr>
              <w:spacing w:after="0"/>
              <w:rPr>
                <w:sz w:val="9"/>
                <w:szCs w:val="9"/>
                <w:color w:val="auto"/>
              </w:rPr>
            </w:pPr>
          </w:p>
        </w:tc>
        <w:tc>
          <w:tcPr>
            <w:tcW w:w="520" w:type="dxa"/>
            <w:vAlign w:val="bottom"/>
            <w:shd w:val="clear" w:color="auto" w:fill="FCDEC5"/>
          </w:tcPr>
          <w:p>
            <w:pPr>
              <w:jc w:val="right"/>
              <w:spacing w:after="0" w:line="105" w:lineRule="exact"/>
              <w:rPr>
                <w:sz w:val="20"/>
                <w:szCs w:val="20"/>
                <w:color w:val="auto"/>
              </w:rPr>
            </w:pPr>
            <w:r>
              <w:rPr>
                <w:rFonts w:ascii="Arial" w:cs="Arial" w:eastAsia="Arial" w:hAnsi="Arial"/>
                <w:sz w:val="10"/>
                <w:szCs w:val="10"/>
                <w:color w:val="auto"/>
              </w:rPr>
              <w:t>1,551,056</w:t>
            </w:r>
          </w:p>
        </w:tc>
        <w:tc>
          <w:tcPr>
            <w:tcW w:w="180" w:type="dxa"/>
            <w:vAlign w:val="bottom"/>
            <w:shd w:val="clear" w:color="auto" w:fill="FCDEC5"/>
          </w:tcPr>
          <w:p>
            <w:pPr>
              <w:spacing w:after="0"/>
              <w:rPr>
                <w:sz w:val="9"/>
                <w:szCs w:val="9"/>
                <w:color w:val="auto"/>
              </w:rPr>
            </w:pPr>
          </w:p>
        </w:tc>
      </w:tr>
      <w:tr>
        <w:trPr>
          <w:trHeight w:val="96"/>
        </w:trPr>
        <w:tc>
          <w:tcPr>
            <w:tcW w:w="180" w:type="dxa"/>
            <w:vAlign w:val="bottom"/>
            <w:shd w:val="clear" w:color="auto" w:fill="FCDEC5"/>
          </w:tcPr>
          <w:p>
            <w:pPr>
              <w:spacing w:after="0"/>
              <w:rPr>
                <w:sz w:val="8"/>
                <w:szCs w:val="8"/>
                <w:color w:val="auto"/>
              </w:rPr>
            </w:pPr>
          </w:p>
        </w:tc>
        <w:tc>
          <w:tcPr>
            <w:tcW w:w="1540" w:type="dxa"/>
            <w:vAlign w:val="bottom"/>
            <w:shd w:val="clear" w:color="auto" w:fill="FCDEC5"/>
          </w:tcPr>
          <w:p>
            <w:pPr>
              <w:ind w:left="80"/>
              <w:spacing w:after="0" w:line="96" w:lineRule="exact"/>
              <w:rPr>
                <w:sz w:val="20"/>
                <w:szCs w:val="20"/>
                <w:color w:val="auto"/>
              </w:rPr>
            </w:pPr>
            <w:r>
              <w:rPr>
                <w:rFonts w:ascii="Arial" w:cs="Arial" w:eastAsia="Arial" w:hAnsi="Arial"/>
                <w:sz w:val="10"/>
                <w:szCs w:val="10"/>
                <w:color w:val="auto"/>
              </w:rPr>
              <w:t>Executive Vice President</w:t>
            </w:r>
          </w:p>
        </w:tc>
        <w:tc>
          <w:tcPr>
            <w:tcW w:w="3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2017</w:t>
            </w:r>
          </w:p>
        </w:tc>
        <w:tc>
          <w:tcPr>
            <w:tcW w:w="50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400,000</w:t>
            </w:r>
          </w:p>
        </w:tc>
        <w:tc>
          <w:tcPr>
            <w:tcW w:w="100" w:type="dxa"/>
            <w:vAlign w:val="bottom"/>
            <w:shd w:val="clear" w:color="auto" w:fill="FCDEC5"/>
          </w:tcPr>
          <w:p>
            <w:pPr>
              <w:spacing w:after="0"/>
              <w:rPr>
                <w:sz w:val="8"/>
                <w:szCs w:val="8"/>
                <w:color w:val="auto"/>
              </w:rPr>
            </w:pPr>
          </w:p>
        </w:tc>
        <w:tc>
          <w:tcPr>
            <w:tcW w:w="360" w:type="dxa"/>
            <w:vAlign w:val="bottom"/>
            <w:shd w:val="clear" w:color="auto" w:fill="FCDEC5"/>
          </w:tcPr>
          <w:p>
            <w:pPr>
              <w:ind w:left="260"/>
              <w:spacing w:after="0" w:line="96" w:lineRule="exact"/>
              <w:rPr>
                <w:sz w:val="20"/>
                <w:szCs w:val="20"/>
                <w:color w:val="auto"/>
              </w:rPr>
            </w:pPr>
            <w:r>
              <w:rPr>
                <w:rFonts w:ascii="Arial" w:cs="Arial" w:eastAsia="Arial" w:hAnsi="Arial"/>
                <w:sz w:val="10"/>
                <w:szCs w:val="10"/>
                <w:color w:val="auto"/>
                <w:w w:val="79"/>
              </w:rPr>
              <w:t>—</w:t>
            </w:r>
          </w:p>
        </w:tc>
        <w:tc>
          <w:tcPr>
            <w:tcW w:w="58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717,639</w:t>
            </w:r>
          </w:p>
        </w:tc>
        <w:tc>
          <w:tcPr>
            <w:tcW w:w="8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252,608</w:t>
            </w:r>
          </w:p>
        </w:tc>
        <w:tc>
          <w:tcPr>
            <w:tcW w:w="60" w:type="dxa"/>
            <w:vAlign w:val="bottom"/>
            <w:shd w:val="clear" w:color="auto" w:fill="FCDEC5"/>
          </w:tcPr>
          <w:p>
            <w:pPr>
              <w:spacing w:after="0"/>
              <w:rPr>
                <w:sz w:val="8"/>
                <w:szCs w:val="8"/>
                <w:color w:val="auto"/>
              </w:rPr>
            </w:pPr>
          </w:p>
        </w:tc>
        <w:tc>
          <w:tcPr>
            <w:tcW w:w="800" w:type="dxa"/>
            <w:vAlign w:val="bottom"/>
            <w:shd w:val="clear" w:color="auto" w:fill="FCDEC5"/>
          </w:tcPr>
          <w:p>
            <w:pPr>
              <w:jc w:val="right"/>
              <w:spacing w:after="0" w:line="96"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8,990</w:t>
            </w:r>
          </w:p>
        </w:tc>
        <w:tc>
          <w:tcPr>
            <w:tcW w:w="100" w:type="dxa"/>
            <w:vAlign w:val="bottom"/>
            <w:shd w:val="clear" w:color="auto" w:fill="FCDEC5"/>
          </w:tcPr>
          <w:p>
            <w:pPr>
              <w:spacing w:after="0"/>
              <w:rPr>
                <w:sz w:val="8"/>
                <w:szCs w:val="8"/>
                <w:color w:val="auto"/>
              </w:rPr>
            </w:pPr>
          </w:p>
        </w:tc>
        <w:tc>
          <w:tcPr>
            <w:tcW w:w="520" w:type="dxa"/>
            <w:vAlign w:val="bottom"/>
            <w:shd w:val="clear" w:color="auto" w:fill="FCDEC5"/>
          </w:tcPr>
          <w:p>
            <w:pPr>
              <w:jc w:val="right"/>
              <w:spacing w:after="0" w:line="96" w:lineRule="exact"/>
              <w:rPr>
                <w:sz w:val="20"/>
                <w:szCs w:val="20"/>
                <w:color w:val="auto"/>
              </w:rPr>
            </w:pPr>
            <w:r>
              <w:rPr>
                <w:rFonts w:ascii="Arial" w:cs="Arial" w:eastAsia="Arial" w:hAnsi="Arial"/>
                <w:sz w:val="10"/>
                <w:szCs w:val="10"/>
                <w:color w:val="auto"/>
              </w:rPr>
              <w:t>1,379,237</w:t>
            </w:r>
          </w:p>
        </w:tc>
        <w:tc>
          <w:tcPr>
            <w:tcW w:w="180" w:type="dxa"/>
            <w:vAlign w:val="bottom"/>
            <w:shd w:val="clear" w:color="auto" w:fill="FCDEC5"/>
          </w:tcPr>
          <w:p>
            <w:pPr>
              <w:spacing w:after="0"/>
              <w:rPr>
                <w:sz w:val="8"/>
                <w:szCs w:val="8"/>
                <w:color w:val="auto"/>
              </w:rPr>
            </w:pPr>
          </w:p>
        </w:tc>
      </w:tr>
      <w:tr>
        <w:trPr>
          <w:trHeight w:val="135"/>
        </w:trPr>
        <w:tc>
          <w:tcPr>
            <w:tcW w:w="180" w:type="dxa"/>
            <w:vAlign w:val="bottom"/>
            <w:tcBorders>
              <w:bottom w:val="single" w:sz="8" w:color="F79646"/>
            </w:tcBorders>
            <w:shd w:val="clear" w:color="auto" w:fill="FCDEC5"/>
          </w:tcPr>
          <w:p>
            <w:pPr>
              <w:spacing w:after="0"/>
              <w:rPr>
                <w:sz w:val="11"/>
                <w:szCs w:val="11"/>
                <w:color w:val="auto"/>
              </w:rPr>
            </w:pPr>
          </w:p>
        </w:tc>
        <w:tc>
          <w:tcPr>
            <w:tcW w:w="1540" w:type="dxa"/>
            <w:vAlign w:val="bottom"/>
            <w:tcBorders>
              <w:bottom w:val="single" w:sz="8" w:color="F79646"/>
            </w:tcBorders>
            <w:shd w:val="clear" w:color="auto" w:fill="FCDEC5"/>
          </w:tcPr>
          <w:p>
            <w:pPr>
              <w:ind w:left="80"/>
              <w:spacing w:after="0"/>
              <w:rPr>
                <w:sz w:val="20"/>
                <w:szCs w:val="20"/>
                <w:color w:val="auto"/>
              </w:rPr>
            </w:pPr>
            <w:r>
              <w:rPr>
                <w:rFonts w:ascii="Arial" w:cs="Arial" w:eastAsia="Arial" w:hAnsi="Arial"/>
                <w:sz w:val="10"/>
                <w:szCs w:val="10"/>
                <w:color w:val="auto"/>
              </w:rPr>
              <w:t>and CFO</w:t>
            </w:r>
          </w:p>
        </w:tc>
        <w:tc>
          <w:tcPr>
            <w:tcW w:w="36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2016</w:t>
            </w:r>
          </w:p>
        </w:tc>
        <w:tc>
          <w:tcPr>
            <w:tcW w:w="50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411,054</w:t>
            </w:r>
          </w:p>
        </w:tc>
        <w:tc>
          <w:tcPr>
            <w:tcW w:w="100" w:type="dxa"/>
            <w:vAlign w:val="bottom"/>
            <w:tcBorders>
              <w:bottom w:val="single" w:sz="8" w:color="F79646"/>
            </w:tcBorders>
            <w:shd w:val="clear" w:color="auto" w:fill="FCDEC5"/>
          </w:tcPr>
          <w:p>
            <w:pPr>
              <w:spacing w:after="0"/>
              <w:rPr>
                <w:sz w:val="11"/>
                <w:szCs w:val="11"/>
                <w:color w:val="auto"/>
              </w:rPr>
            </w:pPr>
          </w:p>
        </w:tc>
        <w:tc>
          <w:tcPr>
            <w:tcW w:w="360" w:type="dxa"/>
            <w:vAlign w:val="bottom"/>
            <w:tcBorders>
              <w:bottom w:val="single" w:sz="8" w:color="F79646"/>
            </w:tcBorders>
            <w:shd w:val="clear" w:color="auto" w:fill="FCDEC5"/>
          </w:tcPr>
          <w:p>
            <w:pPr>
              <w:spacing w:after="0"/>
              <w:rPr>
                <w:sz w:val="11"/>
                <w:szCs w:val="11"/>
                <w:color w:val="auto"/>
              </w:rPr>
            </w:pPr>
          </w:p>
        </w:tc>
        <w:tc>
          <w:tcPr>
            <w:tcW w:w="58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747,775</w:t>
            </w:r>
          </w:p>
        </w:tc>
        <w:tc>
          <w:tcPr>
            <w:tcW w:w="86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210,992</w:t>
            </w:r>
          </w:p>
        </w:tc>
        <w:tc>
          <w:tcPr>
            <w:tcW w:w="60" w:type="dxa"/>
            <w:vAlign w:val="bottom"/>
            <w:tcBorders>
              <w:bottom w:val="single" w:sz="8" w:color="F79646"/>
            </w:tcBorders>
            <w:shd w:val="clear" w:color="auto" w:fill="FCDEC5"/>
          </w:tcPr>
          <w:p>
            <w:pPr>
              <w:spacing w:after="0"/>
              <w:rPr>
                <w:sz w:val="11"/>
                <w:szCs w:val="11"/>
                <w:color w:val="auto"/>
              </w:rPr>
            </w:pPr>
          </w:p>
        </w:tc>
        <w:tc>
          <w:tcPr>
            <w:tcW w:w="80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F79646"/>
            </w:tcBorders>
            <w:gridSpan w:val="3"/>
            <w:shd w:val="clear" w:color="auto" w:fill="FCDEC5"/>
          </w:tcPr>
          <w:p>
            <w:pPr>
              <w:jc w:val="right"/>
              <w:spacing w:after="0" w:line="135" w:lineRule="exact"/>
              <w:rPr>
                <w:sz w:val="20"/>
                <w:szCs w:val="20"/>
                <w:color w:val="auto"/>
              </w:rPr>
            </w:pPr>
            <w:r>
              <w:rPr>
                <w:rFonts w:ascii="Arial" w:cs="Arial" w:eastAsia="Arial" w:hAnsi="Arial"/>
                <w:sz w:val="10"/>
                <w:szCs w:val="10"/>
                <w:color w:val="auto"/>
              </w:rPr>
              <w:t>108,340</w:t>
            </w:r>
            <w:r>
              <w:rPr>
                <w:rFonts w:ascii="Arial" w:cs="Arial" w:eastAsia="Arial" w:hAnsi="Arial"/>
                <w:sz w:val="15"/>
                <w:szCs w:val="15"/>
                <w:color w:val="auto"/>
                <w:vertAlign w:val="superscript"/>
              </w:rPr>
              <w:t>(6)</w:t>
            </w:r>
          </w:p>
        </w:tc>
        <w:tc>
          <w:tcPr>
            <w:tcW w:w="52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1,478,161</w:t>
            </w:r>
          </w:p>
        </w:tc>
        <w:tc>
          <w:tcPr>
            <w:tcW w:w="180" w:type="dxa"/>
            <w:vAlign w:val="bottom"/>
            <w:tcBorders>
              <w:bottom w:val="single" w:sz="8" w:color="F79646"/>
            </w:tcBorders>
            <w:shd w:val="clear" w:color="auto" w:fill="FCDEC5"/>
          </w:tcPr>
          <w:p>
            <w:pPr>
              <w:spacing w:after="0"/>
              <w:rPr>
                <w:sz w:val="11"/>
                <w:szCs w:val="11"/>
                <w:color w:val="auto"/>
              </w:rPr>
            </w:pPr>
          </w:p>
        </w:tc>
      </w:tr>
      <w:tr>
        <w:trPr>
          <w:trHeight w:val="109"/>
        </w:trPr>
        <w:tc>
          <w:tcPr>
            <w:tcW w:w="1720" w:type="dxa"/>
            <w:vAlign w:val="bottom"/>
            <w:gridSpan w:val="2"/>
          </w:tcPr>
          <w:p>
            <w:pPr>
              <w:ind w:left="180"/>
              <w:spacing w:after="0" w:line="109" w:lineRule="exact"/>
              <w:rPr>
                <w:sz w:val="20"/>
                <w:szCs w:val="20"/>
                <w:color w:val="auto"/>
              </w:rPr>
            </w:pPr>
            <w:r>
              <w:rPr>
                <w:rFonts w:ascii="Arial" w:cs="Arial" w:eastAsia="Arial" w:hAnsi="Arial"/>
                <w:sz w:val="10"/>
                <w:szCs w:val="10"/>
                <w:b w:val="1"/>
                <w:bCs w:val="1"/>
                <w:color w:val="auto"/>
              </w:rPr>
              <w:t>Pavan Bagai</w:t>
            </w:r>
          </w:p>
        </w:tc>
        <w:tc>
          <w:tcPr>
            <w:tcW w:w="3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2018</w:t>
            </w:r>
          </w:p>
        </w:tc>
        <w:tc>
          <w:tcPr>
            <w:tcW w:w="5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301,448</w:t>
            </w:r>
          </w:p>
        </w:tc>
        <w:tc>
          <w:tcPr>
            <w:tcW w:w="100" w:type="dxa"/>
            <w:vAlign w:val="bottom"/>
          </w:tcPr>
          <w:p>
            <w:pPr>
              <w:spacing w:after="0"/>
              <w:rPr>
                <w:sz w:val="9"/>
                <w:szCs w:val="9"/>
                <w:color w:val="auto"/>
              </w:rPr>
            </w:pPr>
          </w:p>
        </w:tc>
        <w:tc>
          <w:tcPr>
            <w:tcW w:w="360" w:type="dxa"/>
            <w:vAlign w:val="bottom"/>
          </w:tcPr>
          <w:p>
            <w:pPr>
              <w:ind w:left="260"/>
              <w:spacing w:after="0" w:line="109"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1,339,363</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133,946</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17,124</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57,284</w:t>
            </w:r>
          </w:p>
        </w:tc>
        <w:tc>
          <w:tcPr>
            <w:tcW w:w="10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1,849,164</w:t>
            </w:r>
          </w:p>
        </w:tc>
        <w:tc>
          <w:tcPr>
            <w:tcW w:w="180" w:type="dxa"/>
            <w:vAlign w:val="bottom"/>
          </w:tcPr>
          <w:p>
            <w:pPr>
              <w:spacing w:after="0"/>
              <w:rPr>
                <w:sz w:val="9"/>
                <w:szCs w:val="9"/>
                <w:color w:val="auto"/>
              </w:rPr>
            </w:pPr>
          </w:p>
        </w:tc>
      </w:tr>
      <w:tr>
        <w:trPr>
          <w:trHeight w:val="93"/>
        </w:trPr>
        <w:tc>
          <w:tcPr>
            <w:tcW w:w="180" w:type="dxa"/>
            <w:vAlign w:val="bottom"/>
          </w:tcPr>
          <w:p>
            <w:pPr>
              <w:spacing w:after="0"/>
              <w:rPr>
                <w:sz w:val="8"/>
                <w:szCs w:val="8"/>
                <w:color w:val="auto"/>
              </w:rPr>
            </w:pPr>
          </w:p>
        </w:tc>
        <w:tc>
          <w:tcPr>
            <w:tcW w:w="1540" w:type="dxa"/>
            <w:vAlign w:val="bottom"/>
          </w:tcPr>
          <w:p>
            <w:pPr>
              <w:ind w:left="80"/>
              <w:spacing w:after="0" w:line="93" w:lineRule="exact"/>
              <w:rPr>
                <w:sz w:val="20"/>
                <w:szCs w:val="20"/>
                <w:color w:val="auto"/>
              </w:rPr>
            </w:pPr>
            <w:r>
              <w:rPr>
                <w:rFonts w:ascii="Arial" w:cs="Arial" w:eastAsia="Arial" w:hAnsi="Arial"/>
                <w:sz w:val="10"/>
                <w:szCs w:val="10"/>
                <w:color w:val="auto"/>
              </w:rPr>
              <w:t>President &amp; Chief</w:t>
            </w:r>
          </w:p>
        </w:tc>
        <w:tc>
          <w:tcPr>
            <w:tcW w:w="3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2017</w:t>
            </w:r>
          </w:p>
        </w:tc>
        <w:tc>
          <w:tcPr>
            <w:tcW w:w="5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296,139</w:t>
            </w:r>
          </w:p>
        </w:tc>
        <w:tc>
          <w:tcPr>
            <w:tcW w:w="100" w:type="dxa"/>
            <w:vAlign w:val="bottom"/>
          </w:tcPr>
          <w:p>
            <w:pPr>
              <w:spacing w:after="0"/>
              <w:rPr>
                <w:sz w:val="8"/>
                <w:szCs w:val="8"/>
                <w:color w:val="auto"/>
              </w:rPr>
            </w:pPr>
          </w:p>
        </w:tc>
        <w:tc>
          <w:tcPr>
            <w:tcW w:w="360" w:type="dxa"/>
            <w:vAlign w:val="bottom"/>
          </w:tcPr>
          <w:p>
            <w:pPr>
              <w:ind w:left="260"/>
              <w:spacing w:after="0" w:line="93"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1,134,418</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265,561</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6,059</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66,207</w:t>
            </w:r>
          </w:p>
        </w:tc>
        <w:tc>
          <w:tcPr>
            <w:tcW w:w="100" w:type="dxa"/>
            <w:vAlign w:val="bottom"/>
          </w:tcPr>
          <w:p>
            <w:pPr>
              <w:spacing w:after="0"/>
              <w:rPr>
                <w:sz w:val="8"/>
                <w:szCs w:val="8"/>
                <w:color w:val="auto"/>
              </w:rPr>
            </w:pPr>
          </w:p>
        </w:tc>
        <w:tc>
          <w:tcPr>
            <w:tcW w:w="520" w:type="dxa"/>
            <w:vAlign w:val="bottom"/>
          </w:tcPr>
          <w:p>
            <w:pPr>
              <w:jc w:val="right"/>
              <w:spacing w:after="0" w:line="93" w:lineRule="exact"/>
              <w:rPr>
                <w:sz w:val="20"/>
                <w:szCs w:val="20"/>
                <w:color w:val="auto"/>
              </w:rPr>
            </w:pPr>
            <w:r>
              <w:rPr>
                <w:rFonts w:ascii="Arial" w:cs="Arial" w:eastAsia="Arial" w:hAnsi="Arial"/>
                <w:sz w:val="10"/>
                <w:szCs w:val="10"/>
                <w:color w:val="auto"/>
              </w:rPr>
              <w:t>1,768,384</w:t>
            </w:r>
          </w:p>
        </w:tc>
        <w:tc>
          <w:tcPr>
            <w:tcW w:w="180" w:type="dxa"/>
            <w:vAlign w:val="bottom"/>
          </w:tcPr>
          <w:p>
            <w:pPr>
              <w:spacing w:after="0"/>
              <w:rPr>
                <w:sz w:val="8"/>
                <w:szCs w:val="8"/>
                <w:color w:val="auto"/>
              </w:rPr>
            </w:pPr>
          </w:p>
        </w:tc>
      </w:tr>
      <w:tr>
        <w:trPr>
          <w:trHeight w:val="164"/>
        </w:trPr>
        <w:tc>
          <w:tcPr>
            <w:tcW w:w="180" w:type="dxa"/>
            <w:vAlign w:val="bottom"/>
            <w:tcBorders>
              <w:bottom w:val="single" w:sz="8" w:color="F79646"/>
            </w:tcBorders>
          </w:tcPr>
          <w:p>
            <w:pPr>
              <w:spacing w:after="0"/>
              <w:rPr>
                <w:sz w:val="14"/>
                <w:szCs w:val="14"/>
                <w:color w:val="auto"/>
              </w:rPr>
            </w:pPr>
          </w:p>
        </w:tc>
        <w:tc>
          <w:tcPr>
            <w:tcW w:w="1540" w:type="dxa"/>
            <w:vAlign w:val="bottom"/>
            <w:tcBorders>
              <w:bottom w:val="single" w:sz="8" w:color="F79646"/>
            </w:tcBorders>
          </w:tcPr>
          <w:p>
            <w:pPr>
              <w:ind w:left="80"/>
              <w:spacing w:after="0"/>
              <w:rPr>
                <w:sz w:val="20"/>
                <w:szCs w:val="20"/>
                <w:color w:val="auto"/>
              </w:rPr>
            </w:pPr>
            <w:r>
              <w:rPr>
                <w:rFonts w:ascii="Arial" w:cs="Arial" w:eastAsia="Arial" w:hAnsi="Arial"/>
                <w:sz w:val="10"/>
                <w:szCs w:val="10"/>
                <w:color w:val="auto"/>
              </w:rPr>
              <w:t>Operating Officer</w:t>
            </w:r>
          </w:p>
        </w:tc>
        <w:tc>
          <w:tcPr>
            <w:tcW w:w="3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2016</w:t>
            </w:r>
          </w:p>
        </w:tc>
        <w:tc>
          <w:tcPr>
            <w:tcW w:w="600" w:type="dxa"/>
            <w:vAlign w:val="bottom"/>
            <w:tcBorders>
              <w:bottom w:val="single" w:sz="8" w:color="F79646"/>
            </w:tcBorders>
            <w:gridSpan w:val="3"/>
          </w:tcPr>
          <w:p>
            <w:pPr>
              <w:jc w:val="right"/>
              <w:spacing w:after="0" w:line="164" w:lineRule="exact"/>
              <w:rPr>
                <w:sz w:val="20"/>
                <w:szCs w:val="20"/>
                <w:color w:val="auto"/>
              </w:rPr>
            </w:pPr>
            <w:r>
              <w:rPr>
                <w:rFonts w:ascii="Arial" w:cs="Arial" w:eastAsia="Arial" w:hAnsi="Arial"/>
                <w:sz w:val="10"/>
                <w:szCs w:val="10"/>
                <w:color w:val="auto"/>
              </w:rPr>
              <w:t>262,895</w:t>
            </w:r>
            <w:r>
              <w:rPr>
                <w:rFonts w:ascii="Arial" w:cs="Arial" w:eastAsia="Arial" w:hAnsi="Arial"/>
                <w:sz w:val="15"/>
                <w:szCs w:val="15"/>
                <w:color w:val="auto"/>
                <w:vertAlign w:val="superscript"/>
              </w:rPr>
              <w:t>(1)</w:t>
            </w:r>
          </w:p>
        </w:tc>
        <w:tc>
          <w:tcPr>
            <w:tcW w:w="360" w:type="dxa"/>
            <w:vAlign w:val="bottom"/>
            <w:tcBorders>
              <w:bottom w:val="single" w:sz="8" w:color="F79646"/>
            </w:tcBorders>
          </w:tcPr>
          <w:p>
            <w:pPr>
              <w:ind w:left="260"/>
              <w:spacing w:after="0"/>
              <w:rPr>
                <w:sz w:val="20"/>
                <w:szCs w:val="20"/>
                <w:color w:val="auto"/>
              </w:rPr>
            </w:pPr>
            <w:r>
              <w:rPr>
                <w:rFonts w:ascii="Arial" w:cs="Arial" w:eastAsia="Arial" w:hAnsi="Arial"/>
                <w:sz w:val="10"/>
                <w:szCs w:val="10"/>
                <w:color w:val="auto"/>
                <w:w w:val="79"/>
              </w:rPr>
              <w:t>—</w:t>
            </w:r>
          </w:p>
        </w:tc>
        <w:tc>
          <w:tcPr>
            <w:tcW w:w="58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1,335,313</w:t>
            </w:r>
          </w:p>
        </w:tc>
        <w:tc>
          <w:tcPr>
            <w:tcW w:w="8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200,449</w:t>
            </w:r>
          </w:p>
        </w:tc>
        <w:tc>
          <w:tcPr>
            <w:tcW w:w="8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11,170</w:t>
            </w:r>
          </w:p>
        </w:tc>
        <w:tc>
          <w:tcPr>
            <w:tcW w:w="960" w:type="dxa"/>
            <w:vAlign w:val="bottom"/>
            <w:tcBorders>
              <w:bottom w:val="single" w:sz="8" w:color="F79646"/>
            </w:tcBorders>
            <w:gridSpan w:val="3"/>
          </w:tcPr>
          <w:p>
            <w:pPr>
              <w:jc w:val="right"/>
              <w:spacing w:after="0" w:line="164" w:lineRule="exact"/>
              <w:rPr>
                <w:sz w:val="20"/>
                <w:szCs w:val="20"/>
                <w:color w:val="auto"/>
              </w:rPr>
            </w:pPr>
            <w:r>
              <w:rPr>
                <w:rFonts w:ascii="Arial" w:cs="Arial" w:eastAsia="Arial" w:hAnsi="Arial"/>
                <w:sz w:val="10"/>
                <w:szCs w:val="10"/>
                <w:color w:val="auto"/>
              </w:rPr>
              <w:t>72,453</w:t>
            </w:r>
            <w:r>
              <w:rPr>
                <w:rFonts w:ascii="Arial" w:cs="Arial" w:eastAsia="Arial" w:hAnsi="Arial"/>
                <w:sz w:val="15"/>
                <w:szCs w:val="15"/>
                <w:color w:val="auto"/>
                <w:vertAlign w:val="superscript"/>
              </w:rPr>
              <w:t>(7)</w:t>
            </w:r>
          </w:p>
        </w:tc>
        <w:tc>
          <w:tcPr>
            <w:tcW w:w="52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1,882,280</w:t>
            </w:r>
          </w:p>
        </w:tc>
        <w:tc>
          <w:tcPr>
            <w:tcW w:w="180" w:type="dxa"/>
            <w:vAlign w:val="bottom"/>
            <w:tcBorders>
              <w:bottom w:val="single" w:sz="8" w:color="F79646"/>
            </w:tcBorders>
          </w:tcPr>
          <w:p>
            <w:pPr>
              <w:spacing w:after="0"/>
              <w:rPr>
                <w:sz w:val="14"/>
                <w:szCs w:val="14"/>
                <w:color w:val="auto"/>
              </w:rPr>
            </w:pPr>
          </w:p>
        </w:tc>
      </w:tr>
      <w:tr>
        <w:trPr>
          <w:trHeight w:val="105"/>
        </w:trPr>
        <w:tc>
          <w:tcPr>
            <w:tcW w:w="180" w:type="dxa"/>
            <w:vAlign w:val="bottom"/>
            <w:shd w:val="clear" w:color="auto" w:fill="FCDEC5"/>
          </w:tcPr>
          <w:p>
            <w:pPr>
              <w:spacing w:after="0"/>
              <w:rPr>
                <w:sz w:val="9"/>
                <w:szCs w:val="9"/>
                <w:color w:val="auto"/>
              </w:rPr>
            </w:pPr>
          </w:p>
        </w:tc>
        <w:tc>
          <w:tcPr>
            <w:tcW w:w="1540" w:type="dxa"/>
            <w:vAlign w:val="bottom"/>
            <w:shd w:val="clear" w:color="auto" w:fill="FCDEC5"/>
          </w:tcPr>
          <w:p>
            <w:pPr>
              <w:spacing w:after="0" w:line="105" w:lineRule="exact"/>
              <w:rPr>
                <w:sz w:val="20"/>
                <w:szCs w:val="20"/>
                <w:color w:val="auto"/>
              </w:rPr>
            </w:pPr>
            <w:r>
              <w:rPr>
                <w:rFonts w:ascii="Arial" w:cs="Arial" w:eastAsia="Arial" w:hAnsi="Arial"/>
                <w:sz w:val="10"/>
                <w:szCs w:val="10"/>
                <w:b w:val="1"/>
                <w:bCs w:val="1"/>
                <w:color w:val="auto"/>
              </w:rPr>
              <w:t>Nagaraja Srivatsan</w:t>
            </w:r>
          </w:p>
        </w:tc>
        <w:tc>
          <w:tcPr>
            <w:tcW w:w="3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2018</w:t>
            </w:r>
          </w:p>
        </w:tc>
        <w:tc>
          <w:tcPr>
            <w:tcW w:w="50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441,370</w:t>
            </w:r>
          </w:p>
        </w:tc>
        <w:tc>
          <w:tcPr>
            <w:tcW w:w="100" w:type="dxa"/>
            <w:vAlign w:val="bottom"/>
            <w:shd w:val="clear" w:color="auto" w:fill="FCDEC5"/>
          </w:tcPr>
          <w:p>
            <w:pPr>
              <w:spacing w:after="0"/>
              <w:rPr>
                <w:sz w:val="9"/>
                <w:szCs w:val="9"/>
                <w:color w:val="auto"/>
              </w:rPr>
            </w:pPr>
          </w:p>
        </w:tc>
        <w:tc>
          <w:tcPr>
            <w:tcW w:w="360" w:type="dxa"/>
            <w:vAlign w:val="bottom"/>
            <w:shd w:val="clear" w:color="auto" w:fill="FCDEC5"/>
          </w:tcPr>
          <w:p>
            <w:pPr>
              <w:ind w:left="260"/>
              <w:spacing w:after="0" w:line="105" w:lineRule="exact"/>
              <w:rPr>
                <w:sz w:val="20"/>
                <w:szCs w:val="20"/>
                <w:color w:val="auto"/>
              </w:rPr>
            </w:pPr>
            <w:r>
              <w:rPr>
                <w:rFonts w:ascii="Arial" w:cs="Arial" w:eastAsia="Arial" w:hAnsi="Arial"/>
                <w:sz w:val="10"/>
                <w:szCs w:val="10"/>
                <w:color w:val="auto"/>
                <w:w w:val="79"/>
              </w:rPr>
              <w:t>—</w:t>
            </w:r>
          </w:p>
        </w:tc>
        <w:tc>
          <w:tcPr>
            <w:tcW w:w="58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753,076</w:t>
            </w:r>
          </w:p>
        </w:tc>
        <w:tc>
          <w:tcPr>
            <w:tcW w:w="8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172,987</w:t>
            </w:r>
          </w:p>
        </w:tc>
        <w:tc>
          <w:tcPr>
            <w:tcW w:w="60" w:type="dxa"/>
            <w:vAlign w:val="bottom"/>
            <w:shd w:val="clear" w:color="auto" w:fill="FCDEC5"/>
          </w:tcPr>
          <w:p>
            <w:pPr>
              <w:spacing w:after="0"/>
              <w:rPr>
                <w:sz w:val="9"/>
                <w:szCs w:val="9"/>
                <w:color w:val="auto"/>
              </w:rPr>
            </w:pPr>
          </w:p>
        </w:tc>
        <w:tc>
          <w:tcPr>
            <w:tcW w:w="800" w:type="dxa"/>
            <w:vAlign w:val="bottom"/>
            <w:shd w:val="clear" w:color="auto" w:fill="FCDEC5"/>
          </w:tcPr>
          <w:p>
            <w:pPr>
              <w:jc w:val="right"/>
              <w:spacing w:after="0" w:line="105"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8,640</w:t>
            </w:r>
          </w:p>
        </w:tc>
        <w:tc>
          <w:tcPr>
            <w:tcW w:w="100" w:type="dxa"/>
            <w:vAlign w:val="bottom"/>
            <w:shd w:val="clear" w:color="auto" w:fill="FCDEC5"/>
          </w:tcPr>
          <w:p>
            <w:pPr>
              <w:spacing w:after="0"/>
              <w:rPr>
                <w:sz w:val="9"/>
                <w:szCs w:val="9"/>
                <w:color w:val="auto"/>
              </w:rPr>
            </w:pPr>
          </w:p>
        </w:tc>
        <w:tc>
          <w:tcPr>
            <w:tcW w:w="520" w:type="dxa"/>
            <w:vAlign w:val="bottom"/>
            <w:shd w:val="clear" w:color="auto" w:fill="FCDEC5"/>
          </w:tcPr>
          <w:p>
            <w:pPr>
              <w:jc w:val="right"/>
              <w:spacing w:after="0" w:line="105" w:lineRule="exact"/>
              <w:rPr>
                <w:sz w:val="20"/>
                <w:szCs w:val="20"/>
                <w:color w:val="auto"/>
              </w:rPr>
            </w:pPr>
            <w:r>
              <w:rPr>
                <w:rFonts w:ascii="Arial" w:cs="Arial" w:eastAsia="Arial" w:hAnsi="Arial"/>
                <w:sz w:val="10"/>
                <w:szCs w:val="10"/>
                <w:color w:val="auto"/>
              </w:rPr>
              <w:t>1,376,073</w:t>
            </w:r>
          </w:p>
        </w:tc>
        <w:tc>
          <w:tcPr>
            <w:tcW w:w="180" w:type="dxa"/>
            <w:vAlign w:val="bottom"/>
            <w:shd w:val="clear" w:color="auto" w:fill="FCDEC5"/>
          </w:tcPr>
          <w:p>
            <w:pPr>
              <w:spacing w:after="0"/>
              <w:rPr>
                <w:sz w:val="9"/>
                <w:szCs w:val="9"/>
                <w:color w:val="auto"/>
              </w:rPr>
            </w:pPr>
          </w:p>
        </w:tc>
      </w:tr>
      <w:tr>
        <w:trPr>
          <w:trHeight w:val="96"/>
        </w:trPr>
        <w:tc>
          <w:tcPr>
            <w:tcW w:w="180" w:type="dxa"/>
            <w:vAlign w:val="bottom"/>
            <w:shd w:val="clear" w:color="auto" w:fill="FCDEC5"/>
          </w:tcPr>
          <w:p>
            <w:pPr>
              <w:spacing w:after="0"/>
              <w:rPr>
                <w:sz w:val="8"/>
                <w:szCs w:val="8"/>
                <w:color w:val="auto"/>
              </w:rPr>
            </w:pPr>
          </w:p>
        </w:tc>
        <w:tc>
          <w:tcPr>
            <w:tcW w:w="1540" w:type="dxa"/>
            <w:vAlign w:val="bottom"/>
            <w:shd w:val="clear" w:color="auto" w:fill="FCDEC5"/>
          </w:tcPr>
          <w:p>
            <w:pPr>
              <w:ind w:left="80"/>
              <w:spacing w:after="0" w:line="96" w:lineRule="exact"/>
              <w:rPr>
                <w:sz w:val="20"/>
                <w:szCs w:val="20"/>
                <w:color w:val="auto"/>
              </w:rPr>
            </w:pPr>
            <w:r>
              <w:rPr>
                <w:rFonts w:ascii="Arial" w:cs="Arial" w:eastAsia="Arial" w:hAnsi="Arial"/>
                <w:sz w:val="10"/>
                <w:szCs w:val="10"/>
                <w:color w:val="auto"/>
              </w:rPr>
              <w:t>Executive Vice President</w:t>
            </w:r>
          </w:p>
        </w:tc>
        <w:tc>
          <w:tcPr>
            <w:tcW w:w="3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2017</w:t>
            </w:r>
          </w:p>
        </w:tc>
        <w:tc>
          <w:tcPr>
            <w:tcW w:w="50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415,000</w:t>
            </w:r>
          </w:p>
        </w:tc>
        <w:tc>
          <w:tcPr>
            <w:tcW w:w="100" w:type="dxa"/>
            <w:vAlign w:val="bottom"/>
            <w:shd w:val="clear" w:color="auto" w:fill="FCDEC5"/>
          </w:tcPr>
          <w:p>
            <w:pPr>
              <w:spacing w:after="0"/>
              <w:rPr>
                <w:sz w:val="8"/>
                <w:szCs w:val="8"/>
                <w:color w:val="auto"/>
              </w:rPr>
            </w:pPr>
          </w:p>
        </w:tc>
        <w:tc>
          <w:tcPr>
            <w:tcW w:w="360" w:type="dxa"/>
            <w:vAlign w:val="bottom"/>
            <w:shd w:val="clear" w:color="auto" w:fill="FCDEC5"/>
          </w:tcPr>
          <w:p>
            <w:pPr>
              <w:ind w:left="260"/>
              <w:spacing w:after="0" w:line="96" w:lineRule="exact"/>
              <w:rPr>
                <w:sz w:val="20"/>
                <w:szCs w:val="20"/>
                <w:color w:val="auto"/>
              </w:rPr>
            </w:pPr>
            <w:r>
              <w:rPr>
                <w:rFonts w:ascii="Arial" w:cs="Arial" w:eastAsia="Arial" w:hAnsi="Arial"/>
                <w:sz w:val="10"/>
                <w:szCs w:val="10"/>
                <w:color w:val="auto"/>
                <w:w w:val="79"/>
              </w:rPr>
              <w:t>—</w:t>
            </w:r>
          </w:p>
        </w:tc>
        <w:tc>
          <w:tcPr>
            <w:tcW w:w="58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651,057</w:t>
            </w:r>
          </w:p>
        </w:tc>
        <w:tc>
          <w:tcPr>
            <w:tcW w:w="8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302,701</w:t>
            </w:r>
          </w:p>
        </w:tc>
        <w:tc>
          <w:tcPr>
            <w:tcW w:w="60" w:type="dxa"/>
            <w:vAlign w:val="bottom"/>
            <w:shd w:val="clear" w:color="auto" w:fill="FCDEC5"/>
          </w:tcPr>
          <w:p>
            <w:pPr>
              <w:spacing w:after="0"/>
              <w:rPr>
                <w:sz w:val="8"/>
                <w:szCs w:val="8"/>
                <w:color w:val="auto"/>
              </w:rPr>
            </w:pPr>
          </w:p>
        </w:tc>
        <w:tc>
          <w:tcPr>
            <w:tcW w:w="800" w:type="dxa"/>
            <w:vAlign w:val="bottom"/>
            <w:shd w:val="clear" w:color="auto" w:fill="FCDEC5"/>
          </w:tcPr>
          <w:p>
            <w:pPr>
              <w:jc w:val="right"/>
              <w:spacing w:after="0" w:line="96"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FCDEC5"/>
          </w:tcPr>
          <w:p>
            <w:pPr>
              <w:jc w:val="right"/>
              <w:spacing w:after="0" w:line="96" w:lineRule="exact"/>
              <w:rPr>
                <w:sz w:val="20"/>
                <w:szCs w:val="20"/>
                <w:color w:val="auto"/>
              </w:rPr>
            </w:pPr>
            <w:r>
              <w:rPr>
                <w:rFonts w:ascii="Arial" w:cs="Arial" w:eastAsia="Arial" w:hAnsi="Arial"/>
                <w:sz w:val="10"/>
                <w:szCs w:val="10"/>
                <w:color w:val="auto"/>
              </w:rPr>
              <w:t>8,490</w:t>
            </w:r>
          </w:p>
        </w:tc>
        <w:tc>
          <w:tcPr>
            <w:tcW w:w="100" w:type="dxa"/>
            <w:vAlign w:val="bottom"/>
            <w:shd w:val="clear" w:color="auto" w:fill="FCDEC5"/>
          </w:tcPr>
          <w:p>
            <w:pPr>
              <w:spacing w:after="0"/>
              <w:rPr>
                <w:sz w:val="8"/>
                <w:szCs w:val="8"/>
                <w:color w:val="auto"/>
              </w:rPr>
            </w:pPr>
          </w:p>
        </w:tc>
        <w:tc>
          <w:tcPr>
            <w:tcW w:w="520" w:type="dxa"/>
            <w:vAlign w:val="bottom"/>
            <w:shd w:val="clear" w:color="auto" w:fill="FCDEC5"/>
          </w:tcPr>
          <w:p>
            <w:pPr>
              <w:jc w:val="right"/>
              <w:spacing w:after="0" w:line="96" w:lineRule="exact"/>
              <w:rPr>
                <w:sz w:val="20"/>
                <w:szCs w:val="20"/>
                <w:color w:val="auto"/>
              </w:rPr>
            </w:pPr>
            <w:r>
              <w:rPr>
                <w:rFonts w:ascii="Arial" w:cs="Arial" w:eastAsia="Arial" w:hAnsi="Arial"/>
                <w:sz w:val="10"/>
                <w:szCs w:val="10"/>
                <w:color w:val="auto"/>
              </w:rPr>
              <w:t>1,377,248</w:t>
            </w:r>
          </w:p>
        </w:tc>
        <w:tc>
          <w:tcPr>
            <w:tcW w:w="180" w:type="dxa"/>
            <w:vAlign w:val="bottom"/>
            <w:shd w:val="clear" w:color="auto" w:fill="FCDEC5"/>
          </w:tcPr>
          <w:p>
            <w:pPr>
              <w:spacing w:after="0"/>
              <w:rPr>
                <w:sz w:val="8"/>
                <w:szCs w:val="8"/>
                <w:color w:val="auto"/>
              </w:rPr>
            </w:pPr>
          </w:p>
        </w:tc>
      </w:tr>
      <w:tr>
        <w:trPr>
          <w:trHeight w:val="135"/>
        </w:trPr>
        <w:tc>
          <w:tcPr>
            <w:tcW w:w="180" w:type="dxa"/>
            <w:vAlign w:val="bottom"/>
            <w:tcBorders>
              <w:bottom w:val="single" w:sz="8" w:color="F79646"/>
            </w:tcBorders>
            <w:shd w:val="clear" w:color="auto" w:fill="FCDEC5"/>
          </w:tcPr>
          <w:p>
            <w:pPr>
              <w:spacing w:after="0"/>
              <w:rPr>
                <w:sz w:val="11"/>
                <w:szCs w:val="11"/>
                <w:color w:val="auto"/>
              </w:rPr>
            </w:pPr>
          </w:p>
        </w:tc>
        <w:tc>
          <w:tcPr>
            <w:tcW w:w="1540" w:type="dxa"/>
            <w:vAlign w:val="bottom"/>
            <w:tcBorders>
              <w:bottom w:val="single" w:sz="8" w:color="F79646"/>
            </w:tcBorders>
            <w:shd w:val="clear" w:color="auto" w:fill="FCDEC5"/>
          </w:tcPr>
          <w:p>
            <w:pPr>
              <w:ind w:left="80"/>
              <w:spacing w:after="0"/>
              <w:rPr>
                <w:sz w:val="20"/>
                <w:szCs w:val="20"/>
                <w:color w:val="auto"/>
              </w:rPr>
            </w:pPr>
            <w:r>
              <w:rPr>
                <w:rFonts w:ascii="Arial" w:cs="Arial" w:eastAsia="Arial" w:hAnsi="Arial"/>
                <w:sz w:val="10"/>
                <w:szCs w:val="10"/>
                <w:color w:val="auto"/>
              </w:rPr>
              <w:t>and Chief Growth Officer</w:t>
            </w:r>
          </w:p>
        </w:tc>
        <w:tc>
          <w:tcPr>
            <w:tcW w:w="36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2016</w:t>
            </w:r>
          </w:p>
        </w:tc>
        <w:tc>
          <w:tcPr>
            <w:tcW w:w="60" w:type="dxa"/>
            <w:vAlign w:val="bottom"/>
            <w:tcBorders>
              <w:bottom w:val="single" w:sz="8" w:color="F79646"/>
            </w:tcBorders>
            <w:shd w:val="clear" w:color="auto" w:fill="FCDEC5"/>
          </w:tcPr>
          <w:p>
            <w:pPr>
              <w:spacing w:after="0"/>
              <w:rPr>
                <w:sz w:val="11"/>
                <w:szCs w:val="11"/>
                <w:color w:val="auto"/>
              </w:rPr>
            </w:pPr>
          </w:p>
        </w:tc>
        <w:tc>
          <w:tcPr>
            <w:tcW w:w="540" w:type="dxa"/>
            <w:vAlign w:val="bottom"/>
            <w:tcBorders>
              <w:bottom w:val="single" w:sz="8" w:color="F79646"/>
            </w:tcBorders>
            <w:gridSpan w:val="2"/>
            <w:shd w:val="clear" w:color="auto" w:fill="FCDEC5"/>
          </w:tcPr>
          <w:p>
            <w:pPr>
              <w:jc w:val="right"/>
              <w:ind w:right="10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F79646"/>
            </w:tcBorders>
            <w:shd w:val="clear" w:color="auto" w:fill="FCDEC5"/>
          </w:tcPr>
          <w:p>
            <w:pPr>
              <w:ind w:left="260"/>
              <w:spacing w:after="0"/>
              <w:rPr>
                <w:sz w:val="20"/>
                <w:szCs w:val="20"/>
                <w:color w:val="auto"/>
              </w:rPr>
            </w:pPr>
            <w:r>
              <w:rPr>
                <w:rFonts w:ascii="Arial" w:cs="Arial" w:eastAsia="Arial" w:hAnsi="Arial"/>
                <w:sz w:val="10"/>
                <w:szCs w:val="10"/>
                <w:color w:val="auto"/>
                <w:w w:val="79"/>
              </w:rPr>
              <w:t>—</w:t>
            </w:r>
          </w:p>
        </w:tc>
        <w:tc>
          <w:tcPr>
            <w:tcW w:w="60" w:type="dxa"/>
            <w:vAlign w:val="bottom"/>
            <w:tcBorders>
              <w:bottom w:val="single" w:sz="8" w:color="F79646"/>
            </w:tcBorders>
            <w:shd w:val="clear" w:color="auto" w:fill="FCDEC5"/>
          </w:tcPr>
          <w:p>
            <w:pPr>
              <w:spacing w:after="0"/>
              <w:rPr>
                <w:sz w:val="11"/>
                <w:szCs w:val="11"/>
                <w:color w:val="auto"/>
              </w:rPr>
            </w:pPr>
          </w:p>
        </w:tc>
        <w:tc>
          <w:tcPr>
            <w:tcW w:w="52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F79646"/>
            </w:tcBorders>
            <w:shd w:val="clear" w:color="auto" w:fill="FCDEC5"/>
          </w:tcPr>
          <w:p>
            <w:pPr>
              <w:spacing w:after="0"/>
              <w:rPr>
                <w:sz w:val="11"/>
                <w:szCs w:val="11"/>
                <w:color w:val="auto"/>
              </w:rPr>
            </w:pPr>
          </w:p>
        </w:tc>
        <w:tc>
          <w:tcPr>
            <w:tcW w:w="80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F79646"/>
            </w:tcBorders>
            <w:shd w:val="clear" w:color="auto" w:fill="FCDEC5"/>
          </w:tcPr>
          <w:p>
            <w:pPr>
              <w:spacing w:after="0"/>
              <w:rPr>
                <w:sz w:val="11"/>
                <w:szCs w:val="11"/>
                <w:color w:val="auto"/>
              </w:rPr>
            </w:pPr>
          </w:p>
        </w:tc>
        <w:tc>
          <w:tcPr>
            <w:tcW w:w="80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F79646"/>
            </w:tcBorders>
            <w:shd w:val="clear" w:color="auto" w:fill="FCDEC5"/>
          </w:tcPr>
          <w:p>
            <w:pPr>
              <w:spacing w:after="0"/>
              <w:rPr>
                <w:sz w:val="11"/>
                <w:szCs w:val="11"/>
                <w:color w:val="auto"/>
              </w:rPr>
            </w:pPr>
          </w:p>
        </w:tc>
        <w:tc>
          <w:tcPr>
            <w:tcW w:w="900" w:type="dxa"/>
            <w:vAlign w:val="bottom"/>
            <w:tcBorders>
              <w:bottom w:val="single" w:sz="8" w:color="F79646"/>
            </w:tcBorders>
            <w:gridSpan w:val="2"/>
            <w:shd w:val="clear" w:color="auto" w:fill="FCDEC5"/>
          </w:tcPr>
          <w:p>
            <w:pPr>
              <w:jc w:val="right"/>
              <w:spacing w:after="0" w:line="135"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7"/>
                <w:szCs w:val="7"/>
                <w:color w:val="auto"/>
              </w:rPr>
              <w:t>(8)</w:t>
            </w:r>
          </w:p>
        </w:tc>
        <w:tc>
          <w:tcPr>
            <w:tcW w:w="700" w:type="dxa"/>
            <w:vAlign w:val="bottom"/>
            <w:tcBorders>
              <w:bottom w:val="single" w:sz="8" w:color="F79646"/>
            </w:tcBorders>
            <w:gridSpan w:val="2"/>
            <w:shd w:val="clear" w:color="auto" w:fill="FCDEC5"/>
          </w:tcPr>
          <w:p>
            <w:pPr>
              <w:jc w:val="right"/>
              <w:ind w:right="180"/>
              <w:spacing w:after="0"/>
              <w:rPr>
                <w:sz w:val="20"/>
                <w:szCs w:val="20"/>
                <w:color w:val="auto"/>
              </w:rPr>
            </w:pPr>
            <w:r>
              <w:rPr>
                <w:rFonts w:ascii="Arial" w:cs="Arial" w:eastAsia="Arial" w:hAnsi="Arial"/>
                <w:sz w:val="10"/>
                <w:szCs w:val="10"/>
                <w:color w:val="auto"/>
              </w:rPr>
              <w:t>—</w:t>
            </w:r>
          </w:p>
        </w:tc>
      </w:tr>
      <w:tr>
        <w:trPr>
          <w:trHeight w:val="109"/>
        </w:trPr>
        <w:tc>
          <w:tcPr>
            <w:tcW w:w="1720" w:type="dxa"/>
            <w:vAlign w:val="bottom"/>
            <w:gridSpan w:val="2"/>
          </w:tcPr>
          <w:p>
            <w:pPr>
              <w:ind w:left="180"/>
              <w:spacing w:after="0" w:line="109" w:lineRule="exact"/>
              <w:rPr>
                <w:sz w:val="20"/>
                <w:szCs w:val="20"/>
                <w:color w:val="auto"/>
              </w:rPr>
            </w:pPr>
            <w:r>
              <w:rPr>
                <w:rFonts w:ascii="Arial" w:cs="Arial" w:eastAsia="Arial" w:hAnsi="Arial"/>
                <w:sz w:val="10"/>
                <w:szCs w:val="10"/>
                <w:b w:val="1"/>
                <w:bCs w:val="1"/>
                <w:color w:val="auto"/>
              </w:rPr>
              <w:t>Nalin Miglani</w:t>
            </w:r>
          </w:p>
        </w:tc>
        <w:tc>
          <w:tcPr>
            <w:tcW w:w="3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2018</w:t>
            </w:r>
          </w:p>
        </w:tc>
        <w:tc>
          <w:tcPr>
            <w:tcW w:w="5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440,137</w:t>
            </w:r>
          </w:p>
        </w:tc>
        <w:tc>
          <w:tcPr>
            <w:tcW w:w="100" w:type="dxa"/>
            <w:vAlign w:val="bottom"/>
          </w:tcPr>
          <w:p>
            <w:pPr>
              <w:spacing w:after="0"/>
              <w:rPr>
                <w:sz w:val="9"/>
                <w:szCs w:val="9"/>
                <w:color w:val="auto"/>
              </w:rPr>
            </w:pPr>
          </w:p>
        </w:tc>
        <w:tc>
          <w:tcPr>
            <w:tcW w:w="360" w:type="dxa"/>
            <w:vAlign w:val="bottom"/>
          </w:tcPr>
          <w:p>
            <w:pPr>
              <w:ind w:left="260"/>
              <w:spacing w:after="0" w:line="109"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809,936</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164,579</w:t>
            </w:r>
          </w:p>
        </w:tc>
        <w:tc>
          <w:tcPr>
            <w:tcW w:w="6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8,640</w:t>
            </w:r>
          </w:p>
        </w:tc>
        <w:tc>
          <w:tcPr>
            <w:tcW w:w="10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1,423,292</w:t>
            </w:r>
          </w:p>
        </w:tc>
        <w:tc>
          <w:tcPr>
            <w:tcW w:w="180" w:type="dxa"/>
            <w:vAlign w:val="bottom"/>
          </w:tcPr>
          <w:p>
            <w:pPr>
              <w:spacing w:after="0"/>
              <w:rPr>
                <w:sz w:val="9"/>
                <w:szCs w:val="9"/>
                <w:color w:val="auto"/>
              </w:rPr>
            </w:pPr>
          </w:p>
        </w:tc>
      </w:tr>
      <w:tr>
        <w:trPr>
          <w:trHeight w:val="93"/>
        </w:trPr>
        <w:tc>
          <w:tcPr>
            <w:tcW w:w="180" w:type="dxa"/>
            <w:vAlign w:val="bottom"/>
          </w:tcPr>
          <w:p>
            <w:pPr>
              <w:spacing w:after="0"/>
              <w:rPr>
                <w:sz w:val="8"/>
                <w:szCs w:val="8"/>
                <w:color w:val="auto"/>
              </w:rPr>
            </w:pPr>
          </w:p>
        </w:tc>
        <w:tc>
          <w:tcPr>
            <w:tcW w:w="1540" w:type="dxa"/>
            <w:vAlign w:val="bottom"/>
          </w:tcPr>
          <w:p>
            <w:pPr>
              <w:ind w:left="80"/>
              <w:spacing w:after="0" w:line="93" w:lineRule="exact"/>
              <w:rPr>
                <w:sz w:val="20"/>
                <w:szCs w:val="20"/>
                <w:color w:val="auto"/>
              </w:rPr>
            </w:pPr>
            <w:r>
              <w:rPr>
                <w:rFonts w:ascii="Arial" w:cs="Arial" w:eastAsia="Arial" w:hAnsi="Arial"/>
                <w:sz w:val="10"/>
                <w:szCs w:val="10"/>
                <w:color w:val="auto"/>
              </w:rPr>
              <w:t>Executive Vice President</w:t>
            </w:r>
          </w:p>
        </w:tc>
        <w:tc>
          <w:tcPr>
            <w:tcW w:w="3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2017</w:t>
            </w:r>
          </w:p>
        </w:tc>
        <w:tc>
          <w:tcPr>
            <w:tcW w:w="5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410,000</w:t>
            </w:r>
          </w:p>
        </w:tc>
        <w:tc>
          <w:tcPr>
            <w:tcW w:w="100" w:type="dxa"/>
            <w:vAlign w:val="bottom"/>
          </w:tcPr>
          <w:p>
            <w:pPr>
              <w:spacing w:after="0"/>
              <w:rPr>
                <w:sz w:val="8"/>
                <w:szCs w:val="8"/>
                <w:color w:val="auto"/>
              </w:rPr>
            </w:pPr>
          </w:p>
        </w:tc>
        <w:tc>
          <w:tcPr>
            <w:tcW w:w="360" w:type="dxa"/>
            <w:vAlign w:val="bottom"/>
          </w:tcPr>
          <w:p>
            <w:pPr>
              <w:ind w:left="260"/>
              <w:spacing w:after="0" w:line="93" w:lineRule="exact"/>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705,312</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249,083</w:t>
            </w:r>
          </w:p>
        </w:tc>
        <w:tc>
          <w:tcPr>
            <w:tcW w:w="60" w:type="dxa"/>
            <w:vAlign w:val="bottom"/>
          </w:tcPr>
          <w:p>
            <w:pPr>
              <w:spacing w:after="0"/>
              <w:rPr>
                <w:sz w:val="8"/>
                <w:szCs w:val="8"/>
                <w:color w:val="auto"/>
              </w:rPr>
            </w:pPr>
          </w:p>
        </w:tc>
        <w:tc>
          <w:tcPr>
            <w:tcW w:w="8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8,490</w:t>
            </w:r>
          </w:p>
        </w:tc>
        <w:tc>
          <w:tcPr>
            <w:tcW w:w="100" w:type="dxa"/>
            <w:vAlign w:val="bottom"/>
          </w:tcPr>
          <w:p>
            <w:pPr>
              <w:spacing w:after="0"/>
              <w:rPr>
                <w:sz w:val="8"/>
                <w:szCs w:val="8"/>
                <w:color w:val="auto"/>
              </w:rPr>
            </w:pPr>
          </w:p>
        </w:tc>
        <w:tc>
          <w:tcPr>
            <w:tcW w:w="520" w:type="dxa"/>
            <w:vAlign w:val="bottom"/>
          </w:tcPr>
          <w:p>
            <w:pPr>
              <w:jc w:val="right"/>
              <w:spacing w:after="0" w:line="93" w:lineRule="exact"/>
              <w:rPr>
                <w:sz w:val="20"/>
                <w:szCs w:val="20"/>
                <w:color w:val="auto"/>
              </w:rPr>
            </w:pPr>
            <w:r>
              <w:rPr>
                <w:rFonts w:ascii="Arial" w:cs="Arial" w:eastAsia="Arial" w:hAnsi="Arial"/>
                <w:sz w:val="10"/>
                <w:szCs w:val="10"/>
                <w:color w:val="auto"/>
              </w:rPr>
              <w:t>1,372,885</w:t>
            </w:r>
          </w:p>
        </w:tc>
        <w:tc>
          <w:tcPr>
            <w:tcW w:w="180" w:type="dxa"/>
            <w:vAlign w:val="bottom"/>
          </w:tcPr>
          <w:p>
            <w:pPr>
              <w:spacing w:after="0"/>
              <w:rPr>
                <w:sz w:val="8"/>
                <w:szCs w:val="8"/>
                <w:color w:val="auto"/>
              </w:rPr>
            </w:pPr>
          </w:p>
        </w:tc>
      </w:tr>
      <w:tr>
        <w:trPr>
          <w:trHeight w:val="138"/>
        </w:trPr>
        <w:tc>
          <w:tcPr>
            <w:tcW w:w="18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0"/>
                <w:szCs w:val="10"/>
                <w:color w:val="auto"/>
              </w:rPr>
              <w:t>and Chief Human Resources</w:t>
            </w: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2016</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407,514</w:t>
            </w:r>
          </w:p>
        </w:tc>
        <w:tc>
          <w:tcPr>
            <w:tcW w:w="100" w:type="dxa"/>
            <w:vAlign w:val="bottom"/>
          </w:tcPr>
          <w:p>
            <w:pPr>
              <w:spacing w:after="0"/>
              <w:rPr>
                <w:sz w:val="12"/>
                <w:szCs w:val="12"/>
                <w:color w:val="auto"/>
              </w:rPr>
            </w:pPr>
          </w:p>
        </w:tc>
        <w:tc>
          <w:tcPr>
            <w:tcW w:w="360" w:type="dxa"/>
            <w:vAlign w:val="bottom"/>
          </w:tcPr>
          <w:p>
            <w:pPr>
              <w:ind w:left="26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640,950</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231,104</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8,340</w:t>
            </w:r>
            <w:r>
              <w:rPr>
                <w:rFonts w:ascii="Arial" w:cs="Arial" w:eastAsia="Arial" w:hAnsi="Arial"/>
                <w:sz w:val="15"/>
                <w:szCs w:val="15"/>
                <w:color w:val="auto"/>
                <w:vertAlign w:val="superscript"/>
              </w:rPr>
              <w:t>(9)</w:t>
            </w:r>
          </w:p>
        </w:tc>
        <w:tc>
          <w:tcPr>
            <w:tcW w:w="520" w:type="dxa"/>
            <w:vAlign w:val="bottom"/>
          </w:tcPr>
          <w:p>
            <w:pPr>
              <w:jc w:val="right"/>
              <w:spacing w:after="0"/>
              <w:rPr>
                <w:sz w:val="20"/>
                <w:szCs w:val="20"/>
                <w:color w:val="auto"/>
              </w:rPr>
            </w:pPr>
            <w:r>
              <w:rPr>
                <w:rFonts w:ascii="Arial" w:cs="Arial" w:eastAsia="Arial" w:hAnsi="Arial"/>
                <w:sz w:val="10"/>
                <w:szCs w:val="10"/>
                <w:color w:val="auto"/>
              </w:rPr>
              <w:t>1,287,908</w:t>
            </w: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-1823085</wp:posOffset>
            </wp:positionV>
            <wp:extent cx="4443730" cy="1901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43730" cy="19011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0"/>
          <w:szCs w:val="10"/>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53340</wp:posOffset>
            </wp:positionV>
            <wp:extent cx="6908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0880" cy="6350"/>
                    </a:xfrm>
                    <a:prstGeom prst="rect">
                      <a:avLst/>
                    </a:prstGeom>
                    <a:noFill/>
                  </pic:spPr>
                </pic:pic>
              </a:graphicData>
            </a:graphic>
          </wp:anchor>
        </w:drawing>
      </w:r>
    </w:p>
    <w:p>
      <w:pPr>
        <w:spacing w:after="0" w:line="231" w:lineRule="exact"/>
        <w:rPr>
          <w:sz w:val="20"/>
          <w:szCs w:val="20"/>
          <w:color w:val="auto"/>
        </w:rPr>
      </w:pPr>
    </w:p>
    <w:p>
      <w:pPr>
        <w:jc w:val="both"/>
        <w:ind w:left="1440" w:right="199" w:hanging="382"/>
        <w:spacing w:after="0" w:line="241" w:lineRule="auto"/>
        <w:tabs>
          <w:tab w:leader="none" w:pos="1440" w:val="left"/>
        </w:tabs>
        <w:numPr>
          <w:ilvl w:val="0"/>
          <w:numId w:val="75"/>
        </w:numPr>
        <w:rPr>
          <w:rFonts w:ascii="Arial" w:cs="Arial" w:eastAsia="Arial" w:hAnsi="Arial"/>
          <w:sz w:val="10"/>
          <w:szCs w:val="10"/>
          <w:color w:val="auto"/>
        </w:rPr>
      </w:pPr>
      <w:r>
        <w:rPr>
          <w:rFonts w:ascii="Arial" w:cs="Arial" w:eastAsia="Arial" w:hAnsi="Arial"/>
          <w:sz w:val="10"/>
          <w:szCs w:val="10"/>
          <w:color w:val="auto"/>
        </w:rPr>
        <w:t>The amount set forth in the "Salary" column for Mr. Bagai includes $126,666 of base salary, $125,747 of a cash supplementary allowance, $27,519 of housing allowance (which Mr. Bagai elected to receive in cash), $10,750 of car allowance (which Mr. Bagai elected to receive in cash), and $10,766 of travel and medical allowance (which Mr. Bagai elected to receive in cash). The values set forth in this column are before any compensation reduction under any Company 401(k) savings or non-qualified plan.</w:t>
      </w:r>
    </w:p>
    <w:p>
      <w:pPr>
        <w:jc w:val="both"/>
        <w:ind w:left="1440" w:right="179" w:hanging="382"/>
        <w:spacing w:after="0" w:line="241" w:lineRule="auto"/>
        <w:tabs>
          <w:tab w:leader="none" w:pos="1440" w:val="left"/>
        </w:tabs>
        <w:numPr>
          <w:ilvl w:val="0"/>
          <w:numId w:val="75"/>
        </w:numPr>
        <w:rPr>
          <w:rFonts w:ascii="Arial" w:cs="Arial" w:eastAsia="Arial" w:hAnsi="Arial"/>
          <w:sz w:val="10"/>
          <w:szCs w:val="10"/>
          <w:color w:val="auto"/>
        </w:rPr>
      </w:pPr>
      <w:r>
        <w:rPr>
          <w:rFonts w:ascii="Arial" w:cs="Arial" w:eastAsia="Arial" w:hAnsi="Arial"/>
          <w:sz w:val="10"/>
          <w:szCs w:val="10"/>
          <w:color w:val="auto"/>
        </w:rPr>
        <w:t>Amounts reflect the total grant date fair value of awards recognized for financial statement reporting purposes for the fiscal years ended December 31, 2016, 2017 and 2018, in accordance with FASB ASC Topic 718 (disregarding any forfeiture assumptions). Assumptions used in the calculation of these amounts are included</w:t>
      </w:r>
    </w:p>
    <w:p>
      <w:pPr>
        <w:jc w:val="both"/>
        <w:ind w:left="1440" w:right="179"/>
        <w:spacing w:after="0" w:line="243" w:lineRule="auto"/>
        <w:rPr>
          <w:rFonts w:ascii="Arial" w:cs="Arial" w:eastAsia="Arial" w:hAnsi="Arial"/>
          <w:sz w:val="10"/>
          <w:szCs w:val="10"/>
          <w:color w:val="auto"/>
        </w:rPr>
      </w:pPr>
      <w:r>
        <w:rPr>
          <w:rFonts w:ascii="Arial" w:cs="Arial" w:eastAsia="Arial" w:hAnsi="Arial"/>
          <w:sz w:val="10"/>
          <w:szCs w:val="10"/>
          <w:color w:val="auto"/>
        </w:rPr>
        <w:t>(i) for 2018, in footnotes 2 and 24 to the audited financial statements for the fiscal year ended December 31, 2018, included in the 2018 Form 10-K; (ii) for 2017, in footnotes 2 and 21 to the audited financial statements for the fiscal year ended December 31, 2017, included in our Annual Report on Form 10-K filed with the Securities and Exchange Commission on February 27, 2018; and (iii) for 2016, in footnotes 2 and 18 to the audited financial statements for the fiscal year ended December 31, 2016, included in our Annual Report on Form 10-K filed with the Securities and Exchange Commission on March 15, 2017. With respect to stock awards granted in 2018, the table below sets forth the value attributable to performance restricted stock units valued at target achievement. Performance restricted stock units granted in 2018 may pay out up to 200% of the target award, which would have amounted to the grant date fair values listed as the maximum total grant date fair value for each named executive officer in the table below.</w:t>
      </w:r>
    </w:p>
    <w:p>
      <w:pPr>
        <w:spacing w:after="0" w:line="144" w:lineRule="exact"/>
        <w:rPr>
          <w:sz w:val="20"/>
          <w:szCs w:val="20"/>
          <w:color w:val="auto"/>
        </w:rPr>
      </w:pPr>
    </w:p>
    <w:tbl>
      <w:tblPr>
        <w:tblLayout w:type="fixed"/>
        <w:tblInd w:w="1250" w:type="dxa"/>
        <w:tblCellMar>
          <w:top w:w="0" w:type="dxa"/>
          <w:left w:w="0" w:type="dxa"/>
          <w:bottom w:w="0" w:type="dxa"/>
          <w:right w:w="0" w:type="dxa"/>
        </w:tblCellMar>
      </w:tblPr>
      <w:tr>
        <w:trPr>
          <w:trHeight w:val="227"/>
        </w:trPr>
        <w:tc>
          <w:tcPr>
            <w:tcW w:w="220" w:type="dxa"/>
            <w:vAlign w:val="bottom"/>
            <w:tcBorders>
              <w:left w:val="single" w:sz="8" w:color="F79646"/>
              <w:bottom w:val="single" w:sz="8" w:color="F79646"/>
            </w:tcBorders>
            <w:shd w:val="clear" w:color="auto" w:fill="F79646"/>
          </w:tcPr>
          <w:p>
            <w:pPr>
              <w:spacing w:after="0"/>
              <w:rPr>
                <w:sz w:val="19"/>
                <w:szCs w:val="19"/>
                <w:color w:val="auto"/>
              </w:rPr>
            </w:pPr>
          </w:p>
        </w:tc>
        <w:tc>
          <w:tcPr>
            <w:tcW w:w="2240" w:type="dxa"/>
            <w:vAlign w:val="bottom"/>
            <w:tcBorders>
              <w:bottom w:val="single" w:sz="8" w:color="auto"/>
            </w:tcBorders>
            <w:shd w:val="clear" w:color="auto" w:fill="F79646"/>
          </w:tcPr>
          <w:p>
            <w:pPr>
              <w:ind w:left="960"/>
              <w:spacing w:after="0"/>
              <w:rPr>
                <w:sz w:val="20"/>
                <w:szCs w:val="20"/>
                <w:color w:val="auto"/>
              </w:rPr>
            </w:pPr>
            <w:r>
              <w:rPr>
                <w:rFonts w:ascii="Arial" w:cs="Arial" w:eastAsia="Arial" w:hAnsi="Arial"/>
                <w:sz w:val="10"/>
                <w:szCs w:val="10"/>
                <w:b w:val="1"/>
                <w:bCs w:val="1"/>
                <w:color w:val="FFFFFE"/>
              </w:rPr>
              <w:t>Name</w:t>
            </w:r>
          </w:p>
        </w:tc>
        <w:tc>
          <w:tcPr>
            <w:tcW w:w="120" w:type="dxa"/>
            <w:vAlign w:val="bottom"/>
            <w:tcBorders>
              <w:bottom w:val="single" w:sz="8" w:color="F79646"/>
            </w:tcBorders>
            <w:shd w:val="clear" w:color="auto" w:fill="F79646"/>
          </w:tcPr>
          <w:p>
            <w:pPr>
              <w:spacing w:after="0"/>
              <w:rPr>
                <w:sz w:val="19"/>
                <w:szCs w:val="19"/>
                <w:color w:val="auto"/>
              </w:rPr>
            </w:pPr>
          </w:p>
        </w:tc>
        <w:tc>
          <w:tcPr>
            <w:tcW w:w="1840" w:type="dxa"/>
            <w:vAlign w:val="bottom"/>
            <w:tcBorders>
              <w:bottom w:val="single" w:sz="8" w:color="auto"/>
            </w:tcBorders>
            <w:shd w:val="clear" w:color="auto" w:fill="F79646"/>
          </w:tcPr>
          <w:p>
            <w:pPr>
              <w:jc w:val="right"/>
              <w:spacing w:after="0"/>
              <w:rPr>
                <w:sz w:val="20"/>
                <w:szCs w:val="20"/>
                <w:color w:val="auto"/>
              </w:rPr>
            </w:pPr>
            <w:r>
              <w:rPr>
                <w:rFonts w:ascii="Arial" w:cs="Arial" w:eastAsia="Arial" w:hAnsi="Arial"/>
                <w:sz w:val="10"/>
                <w:szCs w:val="10"/>
                <w:b w:val="1"/>
                <w:bCs w:val="1"/>
                <w:color w:val="FFFFFE"/>
              </w:rPr>
              <w:t>Target Total Grant Date Fair Value ($)</w:t>
            </w:r>
          </w:p>
        </w:tc>
        <w:tc>
          <w:tcPr>
            <w:tcW w:w="120" w:type="dxa"/>
            <w:vAlign w:val="bottom"/>
            <w:tcBorders>
              <w:bottom w:val="single" w:sz="8" w:color="F79646"/>
            </w:tcBorders>
            <w:shd w:val="clear" w:color="auto" w:fill="F79646"/>
          </w:tcPr>
          <w:p>
            <w:pPr>
              <w:spacing w:after="0"/>
              <w:rPr>
                <w:sz w:val="19"/>
                <w:szCs w:val="19"/>
                <w:color w:val="auto"/>
              </w:rPr>
            </w:pPr>
          </w:p>
        </w:tc>
        <w:tc>
          <w:tcPr>
            <w:tcW w:w="2040" w:type="dxa"/>
            <w:vAlign w:val="bottom"/>
            <w:tcBorders>
              <w:bottom w:val="single" w:sz="8" w:color="auto"/>
            </w:tcBorders>
            <w:shd w:val="clear" w:color="auto" w:fill="F79646"/>
          </w:tcPr>
          <w:p>
            <w:pPr>
              <w:jc w:val="right"/>
              <w:ind w:right="9"/>
              <w:spacing w:after="0"/>
              <w:rPr>
                <w:sz w:val="20"/>
                <w:szCs w:val="20"/>
                <w:color w:val="auto"/>
              </w:rPr>
            </w:pPr>
            <w:r>
              <w:rPr>
                <w:rFonts w:ascii="Arial" w:cs="Arial" w:eastAsia="Arial" w:hAnsi="Arial"/>
                <w:sz w:val="10"/>
                <w:szCs w:val="10"/>
                <w:b w:val="1"/>
                <w:bCs w:val="1"/>
                <w:color w:val="FFFFFE"/>
              </w:rPr>
              <w:t>Maximum Total Grant Date Fair Value ($)</w:t>
            </w:r>
          </w:p>
        </w:tc>
        <w:tc>
          <w:tcPr>
            <w:tcW w:w="240" w:type="dxa"/>
            <w:vAlign w:val="bottom"/>
            <w:tcBorders>
              <w:bottom w:val="single" w:sz="8" w:color="F79646"/>
              <w:right w:val="single" w:sz="8" w:color="F79646"/>
            </w:tcBorders>
            <w:shd w:val="clear" w:color="auto" w:fill="F79646"/>
          </w:tcPr>
          <w:p>
            <w:pPr>
              <w:spacing w:after="0"/>
              <w:rPr>
                <w:sz w:val="19"/>
                <w:szCs w:val="19"/>
                <w:color w:val="auto"/>
              </w:rPr>
            </w:pPr>
          </w:p>
        </w:tc>
      </w:tr>
      <w:tr>
        <w:trPr>
          <w:trHeight w:val="109"/>
        </w:trPr>
        <w:tc>
          <w:tcPr>
            <w:tcW w:w="2460" w:type="dxa"/>
            <w:vAlign w:val="bottom"/>
            <w:tcBorders>
              <w:left w:val="single" w:sz="8" w:color="F79646"/>
            </w:tcBorders>
            <w:gridSpan w:val="2"/>
          </w:tcPr>
          <w:p>
            <w:pPr>
              <w:ind w:left="220"/>
              <w:spacing w:after="0" w:line="110" w:lineRule="exact"/>
              <w:rPr>
                <w:sz w:val="20"/>
                <w:szCs w:val="20"/>
                <w:color w:val="auto"/>
              </w:rPr>
            </w:pPr>
            <w:r>
              <w:rPr>
                <w:rFonts w:ascii="Arial" w:cs="Arial" w:eastAsia="Arial" w:hAnsi="Arial"/>
                <w:sz w:val="10"/>
                <w:szCs w:val="10"/>
                <w:b w:val="1"/>
                <w:bCs w:val="1"/>
                <w:color w:val="auto"/>
              </w:rPr>
              <w:t>Rohit Kapoor</w:t>
            </w:r>
          </w:p>
        </w:tc>
        <w:tc>
          <w:tcPr>
            <w:tcW w:w="196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1,973,574</w:t>
            </w:r>
          </w:p>
        </w:tc>
        <w:tc>
          <w:tcPr>
            <w:tcW w:w="2160" w:type="dxa"/>
            <w:vAlign w:val="bottom"/>
            <w:gridSpan w:val="2"/>
          </w:tcPr>
          <w:p>
            <w:pPr>
              <w:jc w:val="right"/>
              <w:spacing w:after="0" w:line="110" w:lineRule="exact"/>
              <w:rPr>
                <w:sz w:val="20"/>
                <w:szCs w:val="20"/>
                <w:color w:val="auto"/>
              </w:rPr>
            </w:pPr>
            <w:r>
              <w:rPr>
                <w:rFonts w:ascii="Arial" w:cs="Arial" w:eastAsia="Arial" w:hAnsi="Arial"/>
                <w:sz w:val="10"/>
                <w:szCs w:val="10"/>
                <w:color w:val="auto"/>
              </w:rPr>
              <w:t>3,947,147</w:t>
            </w:r>
          </w:p>
        </w:tc>
        <w:tc>
          <w:tcPr>
            <w:tcW w:w="240" w:type="dxa"/>
            <w:vAlign w:val="bottom"/>
            <w:tcBorders>
              <w:right w:val="single" w:sz="8" w:color="F79646"/>
            </w:tcBorders>
          </w:tcPr>
          <w:p>
            <w:pPr>
              <w:spacing w:after="0"/>
              <w:rPr>
                <w:sz w:val="9"/>
                <w:szCs w:val="9"/>
                <w:color w:val="auto"/>
              </w:rPr>
            </w:pPr>
          </w:p>
        </w:tc>
      </w:tr>
      <w:tr>
        <w:trPr>
          <w:trHeight w:val="116"/>
        </w:trPr>
        <w:tc>
          <w:tcPr>
            <w:tcW w:w="246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0"/>
                <w:szCs w:val="10"/>
                <w:b w:val="1"/>
                <w:bCs w:val="1"/>
                <w:color w:val="auto"/>
              </w:rPr>
              <w:t>Vishal Chhibbar</w:t>
            </w:r>
          </w:p>
        </w:tc>
        <w:tc>
          <w:tcPr>
            <w:tcW w:w="19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483,446</w:t>
            </w:r>
          </w:p>
        </w:tc>
        <w:tc>
          <w:tcPr>
            <w:tcW w:w="21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966,893</w:t>
            </w:r>
          </w:p>
        </w:tc>
        <w:tc>
          <w:tcPr>
            <w:tcW w:w="240" w:type="dxa"/>
            <w:vAlign w:val="bottom"/>
            <w:tcBorders>
              <w:right w:val="single" w:sz="8" w:color="F79646"/>
            </w:tcBorders>
            <w:shd w:val="clear" w:color="auto" w:fill="FCDEC5"/>
          </w:tcPr>
          <w:p>
            <w:pPr>
              <w:spacing w:after="0"/>
              <w:rPr>
                <w:sz w:val="10"/>
                <w:szCs w:val="10"/>
                <w:color w:val="auto"/>
              </w:rPr>
            </w:pPr>
          </w:p>
        </w:tc>
      </w:tr>
      <w:tr>
        <w:trPr>
          <w:trHeight w:val="116"/>
        </w:trPr>
        <w:tc>
          <w:tcPr>
            <w:tcW w:w="2460" w:type="dxa"/>
            <w:vAlign w:val="bottom"/>
            <w:tcBorders>
              <w:left w:val="single" w:sz="8" w:color="F79646"/>
            </w:tcBorders>
            <w:gridSpan w:val="2"/>
          </w:tcPr>
          <w:p>
            <w:pPr>
              <w:ind w:left="220"/>
              <w:spacing w:after="0"/>
              <w:rPr>
                <w:sz w:val="20"/>
                <w:szCs w:val="20"/>
                <w:color w:val="auto"/>
              </w:rPr>
            </w:pPr>
            <w:r>
              <w:rPr>
                <w:rFonts w:ascii="Arial" w:cs="Arial" w:eastAsia="Arial" w:hAnsi="Arial"/>
                <w:sz w:val="10"/>
                <w:szCs w:val="10"/>
                <w:b w:val="1"/>
                <w:bCs w:val="1"/>
                <w:color w:val="auto"/>
              </w:rPr>
              <w:t>Pavan Bagai</w:t>
            </w:r>
          </w:p>
        </w:tc>
        <w:tc>
          <w:tcPr>
            <w:tcW w:w="1960" w:type="dxa"/>
            <w:vAlign w:val="bottom"/>
            <w:gridSpan w:val="2"/>
          </w:tcPr>
          <w:p>
            <w:pPr>
              <w:jc w:val="right"/>
              <w:spacing w:after="0"/>
              <w:rPr>
                <w:sz w:val="20"/>
                <w:szCs w:val="20"/>
                <w:color w:val="auto"/>
              </w:rPr>
            </w:pPr>
            <w:r>
              <w:rPr>
                <w:rFonts w:ascii="Arial" w:cs="Arial" w:eastAsia="Arial" w:hAnsi="Arial"/>
                <w:sz w:val="10"/>
                <w:szCs w:val="10"/>
                <w:color w:val="auto"/>
              </w:rPr>
              <w:t>697,215</w:t>
            </w:r>
          </w:p>
        </w:tc>
        <w:tc>
          <w:tcPr>
            <w:tcW w:w="2160" w:type="dxa"/>
            <w:vAlign w:val="bottom"/>
            <w:gridSpan w:val="2"/>
          </w:tcPr>
          <w:p>
            <w:pPr>
              <w:jc w:val="right"/>
              <w:spacing w:after="0"/>
              <w:rPr>
                <w:sz w:val="20"/>
                <w:szCs w:val="20"/>
                <w:color w:val="auto"/>
              </w:rPr>
            </w:pPr>
            <w:r>
              <w:rPr>
                <w:rFonts w:ascii="Arial" w:cs="Arial" w:eastAsia="Arial" w:hAnsi="Arial"/>
                <w:sz w:val="10"/>
                <w:szCs w:val="10"/>
                <w:color w:val="auto"/>
              </w:rPr>
              <w:t>1,394,430</w:t>
            </w:r>
          </w:p>
        </w:tc>
        <w:tc>
          <w:tcPr>
            <w:tcW w:w="240" w:type="dxa"/>
            <w:vAlign w:val="bottom"/>
            <w:tcBorders>
              <w:right w:val="single" w:sz="8" w:color="F79646"/>
            </w:tcBorders>
          </w:tcPr>
          <w:p>
            <w:pPr>
              <w:spacing w:after="0"/>
              <w:rPr>
                <w:sz w:val="10"/>
                <w:szCs w:val="10"/>
                <w:color w:val="auto"/>
              </w:rPr>
            </w:pPr>
          </w:p>
        </w:tc>
      </w:tr>
      <w:tr>
        <w:trPr>
          <w:trHeight w:val="116"/>
        </w:trPr>
        <w:tc>
          <w:tcPr>
            <w:tcW w:w="2460" w:type="dxa"/>
            <w:vAlign w:val="bottom"/>
            <w:tcBorders>
              <w:left w:val="single" w:sz="8" w:color="F79646"/>
            </w:tcBorders>
            <w:gridSpan w:val="2"/>
            <w:shd w:val="clear" w:color="auto" w:fill="FCDEC5"/>
          </w:tcPr>
          <w:p>
            <w:pPr>
              <w:ind w:left="220"/>
              <w:spacing w:after="0"/>
              <w:rPr>
                <w:sz w:val="20"/>
                <w:szCs w:val="20"/>
                <w:color w:val="auto"/>
              </w:rPr>
            </w:pPr>
            <w:r>
              <w:rPr>
                <w:rFonts w:ascii="Arial" w:cs="Arial" w:eastAsia="Arial" w:hAnsi="Arial"/>
                <w:sz w:val="10"/>
                <w:szCs w:val="10"/>
                <w:b w:val="1"/>
                <w:bCs w:val="1"/>
                <w:color w:val="auto"/>
              </w:rPr>
              <w:t>Nagaraja Srivatsan</w:t>
            </w:r>
          </w:p>
        </w:tc>
        <w:tc>
          <w:tcPr>
            <w:tcW w:w="19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392,019</w:t>
            </w:r>
          </w:p>
        </w:tc>
        <w:tc>
          <w:tcPr>
            <w:tcW w:w="21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784,038</w:t>
            </w:r>
          </w:p>
        </w:tc>
        <w:tc>
          <w:tcPr>
            <w:tcW w:w="240" w:type="dxa"/>
            <w:vAlign w:val="bottom"/>
            <w:tcBorders>
              <w:right w:val="single" w:sz="8" w:color="F79646"/>
            </w:tcBorders>
            <w:shd w:val="clear" w:color="auto" w:fill="FCDEC5"/>
          </w:tcPr>
          <w:p>
            <w:pPr>
              <w:spacing w:after="0"/>
              <w:rPr>
                <w:sz w:val="10"/>
                <w:szCs w:val="10"/>
                <w:color w:val="auto"/>
              </w:rPr>
            </w:pPr>
          </w:p>
        </w:tc>
      </w:tr>
      <w:tr>
        <w:trPr>
          <w:trHeight w:val="144"/>
        </w:trPr>
        <w:tc>
          <w:tcPr>
            <w:tcW w:w="2460" w:type="dxa"/>
            <w:vAlign w:val="bottom"/>
            <w:tcBorders>
              <w:left w:val="single" w:sz="8" w:color="F79646"/>
              <w:bottom w:val="single" w:sz="8" w:color="F79646"/>
            </w:tcBorders>
            <w:gridSpan w:val="2"/>
          </w:tcPr>
          <w:p>
            <w:pPr>
              <w:ind w:left="220"/>
              <w:spacing w:after="0"/>
              <w:rPr>
                <w:sz w:val="20"/>
                <w:szCs w:val="20"/>
                <w:color w:val="auto"/>
              </w:rPr>
            </w:pPr>
            <w:r>
              <w:rPr>
                <w:rFonts w:ascii="Arial" w:cs="Arial" w:eastAsia="Arial" w:hAnsi="Arial"/>
                <w:sz w:val="10"/>
                <w:szCs w:val="10"/>
                <w:b w:val="1"/>
                <w:bCs w:val="1"/>
                <w:color w:val="auto"/>
              </w:rPr>
              <w:t>Nalin Miglani</w:t>
            </w:r>
          </w:p>
        </w:tc>
        <w:tc>
          <w:tcPr>
            <w:tcW w:w="19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421,618</w:t>
            </w:r>
          </w:p>
        </w:tc>
        <w:tc>
          <w:tcPr>
            <w:tcW w:w="21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843,236</w:t>
            </w:r>
          </w:p>
        </w:tc>
        <w:tc>
          <w:tcPr>
            <w:tcW w:w="240" w:type="dxa"/>
            <w:vAlign w:val="bottom"/>
            <w:tcBorders>
              <w:bottom w:val="single" w:sz="8" w:color="F79646"/>
              <w:right w:val="single" w:sz="8" w:color="F79646"/>
            </w:tcBorders>
          </w:tcPr>
          <w:p>
            <w:pPr>
              <w:spacing w:after="0"/>
              <w:rPr>
                <w:sz w:val="12"/>
                <w:szCs w:val="12"/>
                <w:color w:val="auto"/>
              </w:rPr>
            </w:pPr>
          </w:p>
        </w:tc>
      </w:tr>
    </w:tbl>
    <w:p>
      <w:pPr>
        <w:spacing w:after="0" w:line="157" w:lineRule="exact"/>
        <w:rPr>
          <w:sz w:val="20"/>
          <w:szCs w:val="20"/>
          <w:color w:val="auto"/>
        </w:rPr>
      </w:pPr>
    </w:p>
    <w:p>
      <w:pPr>
        <w:ind w:left="1440" w:right="179" w:hanging="382"/>
        <w:spacing w:after="0" w:line="257" w:lineRule="auto"/>
        <w:tabs>
          <w:tab w:leader="none" w:pos="1440" w:val="left"/>
        </w:tabs>
        <w:numPr>
          <w:ilvl w:val="0"/>
          <w:numId w:val="76"/>
        </w:numPr>
        <w:rPr>
          <w:rFonts w:ascii="Arial" w:cs="Arial" w:eastAsia="Arial" w:hAnsi="Arial"/>
          <w:sz w:val="10"/>
          <w:szCs w:val="10"/>
          <w:color w:val="auto"/>
        </w:rPr>
      </w:pPr>
      <w:r>
        <w:rPr>
          <w:rFonts w:ascii="Arial" w:cs="Arial" w:eastAsia="Arial" w:hAnsi="Arial"/>
          <w:sz w:val="10"/>
          <w:szCs w:val="10"/>
          <w:color w:val="auto"/>
        </w:rPr>
        <w:t>Reflects the cash incentive bonuses earned in respect of 2018 and paid in 2019. For details on our annual incentive bonus program, see "Compensation Discussion and Analysis—Incentive Bonus" beginning on page 42.</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ind w:left="1440" w:right="179" w:hanging="382"/>
        <w:spacing w:after="0" w:line="241" w:lineRule="auto"/>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Reflects the present value of accruals under the Gratuity Plan for Indian Employees. Information regarding our Gratuity Plan (including the assumptions used to calculate these amounts) may be found under "Pension Benefits for Fiscal Year 2018" beginning on page 57.</w:t>
      </w:r>
    </w:p>
    <w:p>
      <w:pPr>
        <w:jc w:val="both"/>
        <w:ind w:left="1440" w:right="179" w:hanging="382"/>
        <w:spacing w:after="0" w:line="241" w:lineRule="auto"/>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Amount for Mr. Kapoor includes the travel allowance provided for under his employment agreement, to be used for once-a-year business class airfare for himself and his family between the United States and India ($35,180), costs associated with use of an automobile and driver in India, car lease, tax preparation assistance in India, contributions to our 401(k) plan, and Company-paid life insurance premiums.</w:t>
      </w:r>
    </w:p>
    <w:p>
      <w:pPr>
        <w:ind w:left="1440" w:hanging="382"/>
        <w:spacing w:after="0"/>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Amount for Mr. Chhibbar includes contributions to our 401(k) plan and Company-paid life insurance premiums and tax preparation assistance.</w:t>
      </w:r>
    </w:p>
    <w:p>
      <w:pPr>
        <w:ind w:left="1440" w:right="179" w:hanging="382"/>
        <w:spacing w:after="0" w:line="241" w:lineRule="auto"/>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Amount for Mr. Bagai includes housing allowance ($38,699), contributions to Employees' Provident Fund Scheme (a statutorily required defined contribution program for Indian employees) ($15,200), costs associated with use of an automobile and driver in India, and home internet and telephone charges.</w:t>
      </w:r>
    </w:p>
    <w:p>
      <w:pPr>
        <w:ind w:left="1440" w:hanging="382"/>
        <w:spacing w:after="0"/>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Amount for Mr. Srivatsan includes contributions to our 401(k) plan and Company-paid life insurance premiums.</w:t>
      </w:r>
    </w:p>
    <w:p>
      <w:pPr>
        <w:ind w:left="1440" w:hanging="382"/>
        <w:spacing w:after="0"/>
        <w:tabs>
          <w:tab w:leader="none" w:pos="1440" w:val="left"/>
        </w:tabs>
        <w:numPr>
          <w:ilvl w:val="0"/>
          <w:numId w:val="77"/>
        </w:numPr>
        <w:rPr>
          <w:rFonts w:ascii="Arial" w:cs="Arial" w:eastAsia="Arial" w:hAnsi="Arial"/>
          <w:sz w:val="10"/>
          <w:szCs w:val="10"/>
          <w:color w:val="auto"/>
        </w:rPr>
      </w:pPr>
      <w:r>
        <w:rPr>
          <w:rFonts w:ascii="Arial" w:cs="Arial" w:eastAsia="Arial" w:hAnsi="Arial"/>
          <w:sz w:val="10"/>
          <w:szCs w:val="10"/>
          <w:color w:val="auto"/>
        </w:rPr>
        <w:t>Amount for Mr. Miglani includes contributions to our 401(k) plan and Company-paid life insurance premiums.</w:t>
      </w:r>
    </w:p>
    <w:p>
      <w:pPr>
        <w:spacing w:after="0" w:line="153"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Unless otherwise specified, U.S. dollar figures in this proxy statement have been converted from Indian rupees at a rate of 69.77 Indian rupees to $1.00, the Indian rupee to U.S. dollar exchange rate in effect as of December 31, 2018. Some of the information in the Summary Compensation Tables for fiscal years 2016 and 2017 was converted using the exchange rates in effect as set forth below:</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88"/>
        </w:trPr>
        <w:tc>
          <w:tcPr>
            <w:tcW w:w="880" w:type="dxa"/>
            <w:vAlign w:val="bottom"/>
            <w:tcBorders>
              <w:right w:val="single" w:sz="8" w:color="F79646"/>
            </w:tcBorders>
          </w:tcPr>
          <w:p>
            <w:pPr>
              <w:spacing w:after="0"/>
              <w:rPr>
                <w:sz w:val="24"/>
                <w:szCs w:val="24"/>
                <w:color w:val="auto"/>
              </w:rPr>
            </w:pPr>
          </w:p>
        </w:tc>
        <w:tc>
          <w:tcPr>
            <w:tcW w:w="200" w:type="dxa"/>
            <w:vAlign w:val="bottom"/>
            <w:tcBorders>
              <w:bottom w:val="single" w:sz="8" w:color="F79646"/>
            </w:tcBorders>
            <w:shd w:val="clear" w:color="auto" w:fill="F79646"/>
          </w:tcPr>
          <w:p>
            <w:pPr>
              <w:spacing w:after="0"/>
              <w:rPr>
                <w:sz w:val="24"/>
                <w:szCs w:val="24"/>
                <w:color w:val="auto"/>
              </w:rPr>
            </w:pPr>
          </w:p>
        </w:tc>
        <w:tc>
          <w:tcPr>
            <w:tcW w:w="2800" w:type="dxa"/>
            <w:vAlign w:val="bottom"/>
            <w:tcBorders>
              <w:bottom w:val="single" w:sz="8" w:color="auto"/>
            </w:tcBorders>
            <w:shd w:val="clear" w:color="auto" w:fill="F79646"/>
          </w:tcPr>
          <w:p>
            <w:pPr>
              <w:jc w:val="right"/>
              <w:ind w:right="1037"/>
              <w:spacing w:after="0"/>
              <w:rPr>
                <w:sz w:val="20"/>
                <w:szCs w:val="20"/>
                <w:color w:val="auto"/>
              </w:rPr>
            </w:pPr>
            <w:r>
              <w:rPr>
                <w:rFonts w:ascii="Arial" w:cs="Arial" w:eastAsia="Arial" w:hAnsi="Arial"/>
                <w:sz w:val="13"/>
                <w:szCs w:val="13"/>
                <w:b w:val="1"/>
                <w:bCs w:val="1"/>
                <w:color w:val="FFFFFE"/>
              </w:rPr>
              <w:t>Fiscal Year</w:t>
            </w:r>
          </w:p>
        </w:tc>
        <w:tc>
          <w:tcPr>
            <w:tcW w:w="100" w:type="dxa"/>
            <w:vAlign w:val="bottom"/>
            <w:tcBorders>
              <w:bottom w:val="single" w:sz="8" w:color="F79646"/>
            </w:tcBorders>
            <w:shd w:val="clear" w:color="auto" w:fill="F79646"/>
          </w:tcPr>
          <w:p>
            <w:pPr>
              <w:spacing w:after="0"/>
              <w:rPr>
                <w:sz w:val="24"/>
                <w:szCs w:val="24"/>
                <w:color w:val="auto"/>
              </w:rPr>
            </w:pPr>
          </w:p>
        </w:tc>
        <w:tc>
          <w:tcPr>
            <w:tcW w:w="1440" w:type="dxa"/>
            <w:vAlign w:val="bottom"/>
            <w:tcBorders>
              <w:bottom w:val="single" w:sz="8" w:color="auto"/>
            </w:tcBorders>
            <w:shd w:val="clear" w:color="auto" w:fill="F79646"/>
          </w:tcPr>
          <w:p>
            <w:pPr>
              <w:ind w:left="560"/>
              <w:spacing w:after="0"/>
              <w:rPr>
                <w:sz w:val="20"/>
                <w:szCs w:val="20"/>
                <w:color w:val="auto"/>
              </w:rPr>
            </w:pPr>
            <w:r>
              <w:rPr>
                <w:rFonts w:ascii="Arial" w:cs="Arial" w:eastAsia="Arial" w:hAnsi="Arial"/>
                <w:sz w:val="13"/>
                <w:szCs w:val="13"/>
                <w:b w:val="1"/>
                <w:bCs w:val="1"/>
                <w:color w:val="FFFFFE"/>
              </w:rPr>
              <w:t>Rate</w:t>
            </w:r>
          </w:p>
        </w:tc>
        <w:tc>
          <w:tcPr>
            <w:tcW w:w="120" w:type="dxa"/>
            <w:vAlign w:val="bottom"/>
            <w:tcBorders>
              <w:bottom w:val="single" w:sz="8" w:color="F79646"/>
            </w:tcBorders>
            <w:shd w:val="clear" w:color="auto" w:fill="F79646"/>
          </w:tcPr>
          <w:p>
            <w:pPr>
              <w:spacing w:after="0"/>
              <w:rPr>
                <w:sz w:val="24"/>
                <w:szCs w:val="24"/>
                <w:color w:val="auto"/>
              </w:rPr>
            </w:pPr>
          </w:p>
        </w:tc>
        <w:tc>
          <w:tcPr>
            <w:tcW w:w="1980" w:type="dxa"/>
            <w:vAlign w:val="bottom"/>
            <w:tcBorders>
              <w:bottom w:val="single" w:sz="8" w:color="auto"/>
            </w:tcBorders>
            <w:shd w:val="clear" w:color="auto" w:fill="F79646"/>
          </w:tcPr>
          <w:p>
            <w:pPr>
              <w:jc w:val="right"/>
              <w:ind w:right="17"/>
              <w:spacing w:after="0"/>
              <w:rPr>
                <w:sz w:val="20"/>
                <w:szCs w:val="20"/>
                <w:color w:val="auto"/>
              </w:rPr>
            </w:pPr>
            <w:r>
              <w:rPr>
                <w:rFonts w:ascii="Arial" w:cs="Arial" w:eastAsia="Arial" w:hAnsi="Arial"/>
                <w:sz w:val="13"/>
                <w:szCs w:val="13"/>
                <w:b w:val="1"/>
                <w:bCs w:val="1"/>
                <w:color w:val="FFFFFE"/>
                <w:w w:val="96"/>
              </w:rPr>
              <w:t>Exchange Rate of INR per US$1</w:t>
            </w:r>
          </w:p>
        </w:tc>
        <w:tc>
          <w:tcPr>
            <w:tcW w:w="240" w:type="dxa"/>
            <w:vAlign w:val="bottom"/>
            <w:tcBorders>
              <w:bottom w:val="single" w:sz="8" w:color="F79646"/>
              <w:right w:val="single" w:sz="8" w:color="F79646"/>
            </w:tcBorders>
            <w:shd w:val="clear" w:color="auto" w:fill="F79646"/>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80" w:type="dxa"/>
            <w:vAlign w:val="bottom"/>
            <w:tcBorders>
              <w:right w:val="single" w:sz="8" w:color="F79646"/>
            </w:tcBorders>
          </w:tcPr>
          <w:p>
            <w:pPr>
              <w:spacing w:after="0"/>
              <w:rPr>
                <w:sz w:val="11"/>
                <w:szCs w:val="11"/>
                <w:color w:val="auto"/>
              </w:rPr>
            </w:pPr>
          </w:p>
        </w:tc>
        <w:tc>
          <w:tcPr>
            <w:tcW w:w="3000" w:type="dxa"/>
            <w:vAlign w:val="bottom"/>
            <w:tcBorders>
              <w:bottom w:val="single" w:sz="8" w:color="F79646"/>
            </w:tcBorders>
            <w:gridSpan w:val="2"/>
            <w:shd w:val="clear" w:color="auto" w:fill="FCDEC5"/>
          </w:tcPr>
          <w:p>
            <w:pPr>
              <w:jc w:val="right"/>
              <w:ind w:right="1197"/>
              <w:spacing w:after="0" w:line="136"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F79646"/>
            </w:tcBorders>
            <w:shd w:val="clear" w:color="auto" w:fill="FCDEC5"/>
          </w:tcPr>
          <w:p>
            <w:pPr>
              <w:spacing w:after="0"/>
              <w:rPr>
                <w:sz w:val="11"/>
                <w:szCs w:val="11"/>
                <w:color w:val="auto"/>
              </w:rPr>
            </w:pPr>
          </w:p>
        </w:tc>
        <w:tc>
          <w:tcPr>
            <w:tcW w:w="1440" w:type="dxa"/>
            <w:vAlign w:val="bottom"/>
            <w:tcBorders>
              <w:bottom w:val="single" w:sz="8" w:color="F79646"/>
            </w:tcBorders>
            <w:shd w:val="clear" w:color="auto" w:fill="FCDEC5"/>
          </w:tcPr>
          <w:p>
            <w:pPr>
              <w:ind w:left="180"/>
              <w:spacing w:after="0" w:line="136" w:lineRule="exact"/>
              <w:rPr>
                <w:sz w:val="20"/>
                <w:szCs w:val="20"/>
                <w:color w:val="auto"/>
              </w:rPr>
            </w:pPr>
            <w:r>
              <w:rPr>
                <w:rFonts w:ascii="Arial" w:cs="Arial" w:eastAsia="Arial" w:hAnsi="Arial"/>
                <w:sz w:val="13"/>
                <w:szCs w:val="13"/>
                <w:color w:val="auto"/>
              </w:rPr>
              <w:t>December 31, 2017</w:t>
            </w:r>
          </w:p>
        </w:tc>
        <w:tc>
          <w:tcPr>
            <w:tcW w:w="2100" w:type="dxa"/>
            <w:vAlign w:val="bottom"/>
            <w:tcBorders>
              <w:bottom w:val="single" w:sz="8" w:color="F79646"/>
            </w:tcBorders>
            <w:gridSpan w:val="2"/>
            <w:shd w:val="clear" w:color="auto" w:fill="FCDEC5"/>
          </w:tcPr>
          <w:p>
            <w:pPr>
              <w:jc w:val="right"/>
              <w:spacing w:after="0" w:line="136" w:lineRule="exact"/>
              <w:rPr>
                <w:sz w:val="20"/>
                <w:szCs w:val="20"/>
                <w:color w:val="auto"/>
              </w:rPr>
            </w:pPr>
            <w:r>
              <w:rPr>
                <w:rFonts w:ascii="Arial" w:cs="Arial" w:eastAsia="Arial" w:hAnsi="Arial"/>
                <w:sz w:val="13"/>
                <w:szCs w:val="13"/>
                <w:color w:val="auto"/>
              </w:rPr>
              <w:t>63.87</w:t>
            </w:r>
          </w:p>
        </w:tc>
        <w:tc>
          <w:tcPr>
            <w:tcW w:w="240" w:type="dxa"/>
            <w:vAlign w:val="bottom"/>
            <w:tcBorders>
              <w:bottom w:val="single" w:sz="8" w:color="F79646"/>
              <w:right w:val="single" w:sz="8" w:color="F79646"/>
            </w:tcBorders>
            <w:shd w:val="clear" w:color="auto" w:fill="FCDEC5"/>
          </w:tcPr>
          <w:p>
            <w:pPr>
              <w:spacing w:after="0"/>
              <w:rPr>
                <w:sz w:val="11"/>
                <w:szCs w:val="11"/>
                <w:color w:val="auto"/>
              </w:rPr>
            </w:pPr>
          </w:p>
        </w:tc>
        <w:tc>
          <w:tcPr>
            <w:tcW w:w="880" w:type="dxa"/>
            <w:vAlign w:val="bottom"/>
          </w:tcPr>
          <w:p>
            <w:pPr>
              <w:spacing w:after="0"/>
              <w:rPr>
                <w:sz w:val="11"/>
                <w:szCs w:val="11"/>
                <w:color w:val="auto"/>
              </w:rPr>
            </w:pPr>
          </w:p>
        </w:tc>
      </w:tr>
      <w:tr>
        <w:trPr>
          <w:trHeight w:val="134"/>
        </w:trPr>
        <w:tc>
          <w:tcPr>
            <w:tcW w:w="880" w:type="dxa"/>
            <w:vAlign w:val="bottom"/>
            <w:tcBorders>
              <w:right w:val="single" w:sz="8" w:color="F79646"/>
            </w:tcBorders>
          </w:tcPr>
          <w:p>
            <w:pPr>
              <w:spacing w:after="0"/>
              <w:rPr>
                <w:sz w:val="11"/>
                <w:szCs w:val="11"/>
                <w:color w:val="auto"/>
              </w:rPr>
            </w:pPr>
          </w:p>
        </w:tc>
        <w:tc>
          <w:tcPr>
            <w:tcW w:w="3000" w:type="dxa"/>
            <w:vAlign w:val="bottom"/>
            <w:tcBorders>
              <w:bottom w:val="single" w:sz="8" w:color="F79646"/>
            </w:tcBorders>
            <w:gridSpan w:val="2"/>
          </w:tcPr>
          <w:p>
            <w:pPr>
              <w:jc w:val="right"/>
              <w:ind w:right="1197"/>
              <w:spacing w:after="0" w:line="134"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F79646"/>
            </w:tcBorders>
          </w:tcPr>
          <w:p>
            <w:pPr>
              <w:spacing w:after="0"/>
              <w:rPr>
                <w:sz w:val="11"/>
                <w:szCs w:val="11"/>
                <w:color w:val="auto"/>
              </w:rPr>
            </w:pPr>
          </w:p>
        </w:tc>
        <w:tc>
          <w:tcPr>
            <w:tcW w:w="1440" w:type="dxa"/>
            <w:vAlign w:val="bottom"/>
            <w:tcBorders>
              <w:bottom w:val="single" w:sz="8" w:color="F79646"/>
            </w:tcBorders>
          </w:tcPr>
          <w:p>
            <w:pPr>
              <w:ind w:left="180"/>
              <w:spacing w:after="0" w:line="134" w:lineRule="exact"/>
              <w:rPr>
                <w:sz w:val="20"/>
                <w:szCs w:val="20"/>
                <w:color w:val="auto"/>
              </w:rPr>
            </w:pPr>
            <w:r>
              <w:rPr>
                <w:rFonts w:ascii="Arial" w:cs="Arial" w:eastAsia="Arial" w:hAnsi="Arial"/>
                <w:sz w:val="13"/>
                <w:szCs w:val="13"/>
                <w:color w:val="auto"/>
              </w:rPr>
              <w:t>December 31, 2016</w:t>
            </w:r>
          </w:p>
        </w:tc>
        <w:tc>
          <w:tcPr>
            <w:tcW w:w="2100" w:type="dxa"/>
            <w:vAlign w:val="bottom"/>
            <w:tcBorders>
              <w:bottom w:val="single" w:sz="8" w:color="F79646"/>
            </w:tcBorders>
            <w:gridSpan w:val="2"/>
          </w:tcPr>
          <w:p>
            <w:pPr>
              <w:jc w:val="right"/>
              <w:spacing w:after="0" w:line="134" w:lineRule="exact"/>
              <w:rPr>
                <w:sz w:val="20"/>
                <w:szCs w:val="20"/>
                <w:color w:val="auto"/>
              </w:rPr>
            </w:pPr>
            <w:r>
              <w:rPr>
                <w:rFonts w:ascii="Arial" w:cs="Arial" w:eastAsia="Arial" w:hAnsi="Arial"/>
                <w:sz w:val="13"/>
                <w:szCs w:val="13"/>
                <w:color w:val="auto"/>
              </w:rPr>
              <w:t>67.94</w:t>
            </w:r>
          </w:p>
        </w:tc>
        <w:tc>
          <w:tcPr>
            <w:tcW w:w="240" w:type="dxa"/>
            <w:vAlign w:val="bottom"/>
            <w:tcBorders>
              <w:bottom w:val="single" w:sz="8" w:color="F79646"/>
              <w:right w:val="single" w:sz="8" w:color="F79646"/>
            </w:tcBorders>
          </w:tcPr>
          <w:p>
            <w:pPr>
              <w:spacing w:after="0"/>
              <w:rPr>
                <w:sz w:val="11"/>
                <w:szCs w:val="11"/>
                <w:color w:val="auto"/>
              </w:rPr>
            </w:pPr>
          </w:p>
        </w:tc>
        <w:tc>
          <w:tcPr>
            <w:tcW w:w="880" w:type="dxa"/>
            <w:vAlign w:val="bottom"/>
          </w:tcPr>
          <w:p>
            <w:pPr>
              <w:spacing w:after="0"/>
              <w:rPr>
                <w:sz w:val="11"/>
                <w:szCs w:val="11"/>
                <w:color w:val="auto"/>
              </w:rPr>
            </w:pPr>
          </w:p>
        </w:tc>
      </w:tr>
      <w:tr>
        <w:trPr>
          <w:trHeight w:val="295"/>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gridSpan w:val="2"/>
          </w:tcPr>
          <w:p>
            <w:pPr>
              <w:jc w:val="right"/>
              <w:ind w:right="97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1"/>
        </w:trPr>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8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9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29" w:name="page30"/>
    <w:bookmarkEnd w:id="29"/>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Grants of Plan-Based Awards Table for Fiscal Year 2018</w:t>
      </w:r>
    </w:p>
    <w:p>
      <w:pPr>
        <w:spacing w:after="0" w:line="165"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The following table sets forth information concerning grants of stock and option awards and non-equity incentive plan awards granted to our named executive officers during fiscal year 2018:</w:t>
      </w:r>
    </w:p>
    <w:p>
      <w:pPr>
        <w:spacing w:after="0" w:line="148" w:lineRule="exact"/>
        <w:rPr>
          <w:sz w:val="20"/>
          <w:szCs w:val="20"/>
          <w:color w:val="auto"/>
        </w:rPr>
      </w:pPr>
    </w:p>
    <w:tbl>
      <w:tblPr>
        <w:tblLayout w:type="fixed"/>
        <w:tblInd w:w="1070" w:type="dxa"/>
        <w:tblCellMar>
          <w:top w:w="0" w:type="dxa"/>
          <w:left w:w="0" w:type="dxa"/>
          <w:bottom w:w="0" w:type="dxa"/>
          <w:right w:w="0" w:type="dxa"/>
        </w:tblCellMar>
      </w:tblPr>
      <w:tr>
        <w:trPr>
          <w:trHeight w:val="117"/>
        </w:trPr>
        <w:tc>
          <w:tcPr>
            <w:tcW w:w="140" w:type="dxa"/>
            <w:vAlign w:val="bottom"/>
            <w:tcBorders>
              <w:left w:val="single" w:sz="8" w:color="F79646"/>
            </w:tcBorders>
            <w:shd w:val="clear" w:color="auto" w:fill="F79646"/>
          </w:tcPr>
          <w:p>
            <w:pPr>
              <w:spacing w:after="0"/>
              <w:rPr>
                <w:sz w:val="10"/>
                <w:szCs w:val="10"/>
                <w:color w:val="auto"/>
              </w:rPr>
            </w:pPr>
          </w:p>
        </w:tc>
        <w:tc>
          <w:tcPr>
            <w:tcW w:w="940" w:type="dxa"/>
            <w:vAlign w:val="bottom"/>
            <w:shd w:val="clear" w:color="auto" w:fill="F79646"/>
          </w:tcPr>
          <w:p>
            <w:pPr>
              <w:spacing w:after="0"/>
              <w:rPr>
                <w:sz w:val="10"/>
                <w:szCs w:val="10"/>
                <w:color w:val="auto"/>
              </w:rPr>
            </w:pPr>
          </w:p>
        </w:tc>
        <w:tc>
          <w:tcPr>
            <w:tcW w:w="1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All Other</w:t>
            </w:r>
          </w:p>
        </w:tc>
        <w:tc>
          <w:tcPr>
            <w:tcW w:w="600" w:type="dxa"/>
            <w:vAlign w:val="bottom"/>
            <w:shd w:val="clear" w:color="auto" w:fill="F79646"/>
          </w:tcPr>
          <w:p>
            <w:pPr>
              <w:spacing w:after="0"/>
              <w:rPr>
                <w:sz w:val="10"/>
                <w:szCs w:val="10"/>
                <w:color w:val="auto"/>
              </w:rPr>
            </w:pP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0" w:type="dxa"/>
            <w:vAlign w:val="bottom"/>
            <w:tcBorders>
              <w:left w:val="single" w:sz="8" w:color="F79646"/>
            </w:tcBorders>
            <w:shd w:val="clear" w:color="auto" w:fill="F79646"/>
          </w:tcPr>
          <w:p>
            <w:pPr>
              <w:spacing w:after="0"/>
              <w:rPr>
                <w:sz w:val="10"/>
                <w:szCs w:val="10"/>
                <w:color w:val="auto"/>
              </w:rPr>
            </w:pPr>
          </w:p>
        </w:tc>
        <w:tc>
          <w:tcPr>
            <w:tcW w:w="940" w:type="dxa"/>
            <w:vAlign w:val="bottom"/>
            <w:shd w:val="clear" w:color="auto" w:fill="F79646"/>
          </w:tcPr>
          <w:p>
            <w:pPr>
              <w:spacing w:after="0"/>
              <w:rPr>
                <w:sz w:val="10"/>
                <w:szCs w:val="10"/>
                <w:color w:val="auto"/>
              </w:rPr>
            </w:pPr>
          </w:p>
        </w:tc>
        <w:tc>
          <w:tcPr>
            <w:tcW w:w="1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Stock</w:t>
            </w:r>
          </w:p>
        </w:tc>
        <w:tc>
          <w:tcPr>
            <w:tcW w:w="600" w:type="dxa"/>
            <w:vAlign w:val="bottom"/>
            <w:shd w:val="clear" w:color="auto" w:fill="F79646"/>
          </w:tcPr>
          <w:p>
            <w:pPr>
              <w:spacing w:after="0"/>
              <w:rPr>
                <w:sz w:val="10"/>
                <w:szCs w:val="10"/>
                <w:color w:val="auto"/>
              </w:rPr>
            </w:pP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0" w:type="dxa"/>
            <w:vAlign w:val="bottom"/>
            <w:tcBorders>
              <w:left w:val="single" w:sz="8" w:color="F79646"/>
            </w:tcBorders>
            <w:shd w:val="clear" w:color="auto" w:fill="F79646"/>
          </w:tcPr>
          <w:p>
            <w:pPr>
              <w:spacing w:after="0"/>
              <w:rPr>
                <w:sz w:val="10"/>
                <w:szCs w:val="10"/>
                <w:color w:val="auto"/>
              </w:rPr>
            </w:pPr>
          </w:p>
        </w:tc>
        <w:tc>
          <w:tcPr>
            <w:tcW w:w="940" w:type="dxa"/>
            <w:vAlign w:val="bottom"/>
            <w:shd w:val="clear" w:color="auto" w:fill="F79646"/>
          </w:tcPr>
          <w:p>
            <w:pPr>
              <w:spacing w:after="0"/>
              <w:rPr>
                <w:sz w:val="10"/>
                <w:szCs w:val="10"/>
                <w:color w:val="auto"/>
              </w:rPr>
            </w:pPr>
          </w:p>
        </w:tc>
        <w:tc>
          <w:tcPr>
            <w:tcW w:w="1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1820" w:type="dxa"/>
            <w:vAlign w:val="bottom"/>
            <w:gridSpan w:val="6"/>
            <w:vMerge w:val="restart"/>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Estimated Future Payouts</w:t>
            </w:r>
          </w:p>
        </w:tc>
        <w:tc>
          <w:tcPr>
            <w:tcW w:w="40" w:type="dxa"/>
            <w:vAlign w:val="bottom"/>
            <w:shd w:val="clear" w:color="auto" w:fill="F79646"/>
          </w:tcPr>
          <w:p>
            <w:pPr>
              <w:spacing w:after="0"/>
              <w:rPr>
                <w:sz w:val="10"/>
                <w:szCs w:val="10"/>
                <w:color w:val="auto"/>
              </w:rPr>
            </w:pPr>
          </w:p>
        </w:tc>
        <w:tc>
          <w:tcPr>
            <w:tcW w:w="1580" w:type="dxa"/>
            <w:vAlign w:val="bottom"/>
            <w:gridSpan w:val="5"/>
            <w:vMerge w:val="restart"/>
            <w:shd w:val="clear" w:color="auto" w:fill="F79646"/>
          </w:tcPr>
          <w:p>
            <w:pPr>
              <w:ind w:left="160"/>
              <w:spacing w:after="0"/>
              <w:rPr>
                <w:sz w:val="20"/>
                <w:szCs w:val="20"/>
                <w:color w:val="auto"/>
              </w:rPr>
            </w:pPr>
            <w:r>
              <w:rPr>
                <w:rFonts w:ascii="Arial" w:cs="Arial" w:eastAsia="Arial" w:hAnsi="Arial"/>
                <w:sz w:val="10"/>
                <w:szCs w:val="10"/>
                <w:b w:val="1"/>
                <w:bCs w:val="1"/>
                <w:color w:val="FFFFFE"/>
              </w:rPr>
              <w:t>Estimated Future Payouts</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Awards:</w:t>
            </w:r>
          </w:p>
        </w:tc>
        <w:tc>
          <w:tcPr>
            <w:tcW w:w="740" w:type="dxa"/>
            <w:vAlign w:val="bottom"/>
            <w:tcBorders>
              <w:right w:val="single" w:sz="8" w:color="F79646"/>
            </w:tcBorders>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Grant Date</w:t>
            </w:r>
          </w:p>
        </w:tc>
        <w:tc>
          <w:tcPr>
            <w:tcW w:w="0" w:type="dxa"/>
            <w:vAlign w:val="bottom"/>
          </w:tcPr>
          <w:p>
            <w:pPr>
              <w:spacing w:after="0"/>
              <w:rPr>
                <w:sz w:val="1"/>
                <w:szCs w:val="1"/>
                <w:color w:val="auto"/>
              </w:rPr>
            </w:pPr>
          </w:p>
        </w:tc>
      </w:tr>
      <w:tr>
        <w:trPr>
          <w:trHeight w:val="48"/>
        </w:trPr>
        <w:tc>
          <w:tcPr>
            <w:tcW w:w="140" w:type="dxa"/>
            <w:vAlign w:val="bottom"/>
            <w:tcBorders>
              <w:left w:val="single" w:sz="8" w:color="F79646"/>
            </w:tcBorders>
            <w:shd w:val="clear" w:color="auto" w:fill="F79646"/>
          </w:tcPr>
          <w:p>
            <w:pPr>
              <w:spacing w:after="0"/>
              <w:rPr>
                <w:sz w:val="4"/>
                <w:szCs w:val="4"/>
                <w:color w:val="auto"/>
              </w:rPr>
            </w:pPr>
          </w:p>
        </w:tc>
        <w:tc>
          <w:tcPr>
            <w:tcW w:w="940" w:type="dxa"/>
            <w:vAlign w:val="bottom"/>
            <w:shd w:val="clear" w:color="auto" w:fill="F79646"/>
          </w:tcPr>
          <w:p>
            <w:pPr>
              <w:spacing w:after="0"/>
              <w:rPr>
                <w:sz w:val="4"/>
                <w:szCs w:val="4"/>
                <w:color w:val="auto"/>
              </w:rPr>
            </w:pPr>
          </w:p>
        </w:tc>
        <w:tc>
          <w:tcPr>
            <w:tcW w:w="160" w:type="dxa"/>
            <w:vAlign w:val="bottom"/>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600" w:type="dxa"/>
            <w:vAlign w:val="bottom"/>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1820" w:type="dxa"/>
            <w:vAlign w:val="bottom"/>
            <w:gridSpan w:val="6"/>
            <w:vMerge w:val="continue"/>
            <w:shd w:val="clear" w:color="auto" w:fill="F79646"/>
          </w:tcPr>
          <w:p>
            <w:pPr>
              <w:spacing w:after="0"/>
              <w:rPr>
                <w:sz w:val="4"/>
                <w:szCs w:val="4"/>
                <w:color w:val="auto"/>
              </w:rPr>
            </w:pPr>
          </w:p>
        </w:tc>
        <w:tc>
          <w:tcPr>
            <w:tcW w:w="40" w:type="dxa"/>
            <w:vAlign w:val="bottom"/>
            <w:shd w:val="clear" w:color="auto" w:fill="F79646"/>
          </w:tcPr>
          <w:p>
            <w:pPr>
              <w:spacing w:after="0"/>
              <w:rPr>
                <w:sz w:val="4"/>
                <w:szCs w:val="4"/>
                <w:color w:val="auto"/>
              </w:rPr>
            </w:pPr>
          </w:p>
        </w:tc>
        <w:tc>
          <w:tcPr>
            <w:tcW w:w="1580" w:type="dxa"/>
            <w:vAlign w:val="bottom"/>
            <w:gridSpan w:val="5"/>
            <w:vMerge w:val="continue"/>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800" w:type="dxa"/>
            <w:vAlign w:val="bottom"/>
            <w:gridSpan w:val="2"/>
            <w:vMerge w:val="restart"/>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Number of</w:t>
            </w:r>
          </w:p>
        </w:tc>
        <w:tc>
          <w:tcPr>
            <w:tcW w:w="740" w:type="dxa"/>
            <w:vAlign w:val="bottom"/>
            <w:tcBorders>
              <w:right w:val="single" w:sz="8" w:color="F79646"/>
            </w:tcBorders>
            <w:gridSpan w:val="2"/>
            <w:vMerge w:val="restart"/>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Fair Value</w:t>
            </w:r>
          </w:p>
        </w:tc>
        <w:tc>
          <w:tcPr>
            <w:tcW w:w="0" w:type="dxa"/>
            <w:vAlign w:val="bottom"/>
          </w:tcPr>
          <w:p>
            <w:pPr>
              <w:spacing w:after="0"/>
              <w:rPr>
                <w:sz w:val="1"/>
                <w:szCs w:val="1"/>
                <w:color w:val="auto"/>
              </w:rPr>
            </w:pPr>
          </w:p>
        </w:tc>
      </w:tr>
      <w:tr>
        <w:trPr>
          <w:trHeight w:val="67"/>
        </w:trPr>
        <w:tc>
          <w:tcPr>
            <w:tcW w:w="140" w:type="dxa"/>
            <w:vAlign w:val="bottom"/>
            <w:tcBorders>
              <w:left w:val="single" w:sz="8" w:color="F79646"/>
            </w:tcBorders>
            <w:shd w:val="clear" w:color="auto" w:fill="F79646"/>
          </w:tcPr>
          <w:p>
            <w:pPr>
              <w:spacing w:after="0"/>
              <w:rPr>
                <w:sz w:val="5"/>
                <w:szCs w:val="5"/>
                <w:color w:val="auto"/>
              </w:rPr>
            </w:pPr>
          </w:p>
        </w:tc>
        <w:tc>
          <w:tcPr>
            <w:tcW w:w="940" w:type="dxa"/>
            <w:vAlign w:val="bottom"/>
            <w:shd w:val="clear" w:color="auto" w:fill="F79646"/>
          </w:tcPr>
          <w:p>
            <w:pPr>
              <w:spacing w:after="0"/>
              <w:rPr>
                <w:sz w:val="5"/>
                <w:szCs w:val="5"/>
                <w:color w:val="auto"/>
              </w:rPr>
            </w:pPr>
          </w:p>
        </w:tc>
        <w:tc>
          <w:tcPr>
            <w:tcW w:w="160" w:type="dxa"/>
            <w:vAlign w:val="bottom"/>
            <w:shd w:val="clear" w:color="auto" w:fill="F79646"/>
          </w:tcPr>
          <w:p>
            <w:pPr>
              <w:spacing w:after="0"/>
              <w:rPr>
                <w:sz w:val="5"/>
                <w:szCs w:val="5"/>
                <w:color w:val="auto"/>
              </w:rPr>
            </w:pPr>
          </w:p>
        </w:tc>
        <w:tc>
          <w:tcPr>
            <w:tcW w:w="60" w:type="dxa"/>
            <w:vAlign w:val="bottom"/>
            <w:shd w:val="clear" w:color="auto" w:fill="F79646"/>
          </w:tcPr>
          <w:p>
            <w:pPr>
              <w:spacing w:after="0"/>
              <w:rPr>
                <w:sz w:val="5"/>
                <w:szCs w:val="5"/>
                <w:color w:val="auto"/>
              </w:rPr>
            </w:pPr>
          </w:p>
        </w:tc>
        <w:tc>
          <w:tcPr>
            <w:tcW w:w="600" w:type="dxa"/>
            <w:vAlign w:val="bottom"/>
            <w:shd w:val="clear" w:color="auto" w:fill="F79646"/>
          </w:tcPr>
          <w:p>
            <w:pPr>
              <w:spacing w:after="0"/>
              <w:rPr>
                <w:sz w:val="5"/>
                <w:szCs w:val="5"/>
                <w:color w:val="auto"/>
              </w:rPr>
            </w:pPr>
          </w:p>
        </w:tc>
        <w:tc>
          <w:tcPr>
            <w:tcW w:w="60" w:type="dxa"/>
            <w:vAlign w:val="bottom"/>
            <w:shd w:val="clear" w:color="auto" w:fill="F79646"/>
          </w:tcPr>
          <w:p>
            <w:pPr>
              <w:spacing w:after="0"/>
              <w:rPr>
                <w:sz w:val="5"/>
                <w:szCs w:val="5"/>
                <w:color w:val="auto"/>
              </w:rPr>
            </w:pPr>
          </w:p>
        </w:tc>
        <w:tc>
          <w:tcPr>
            <w:tcW w:w="1820" w:type="dxa"/>
            <w:vAlign w:val="bottom"/>
            <w:gridSpan w:val="6"/>
            <w:vMerge w:val="restart"/>
            <w:shd w:val="clear" w:color="auto" w:fill="F79646"/>
          </w:tcPr>
          <w:p>
            <w:pPr>
              <w:jc w:val="right"/>
              <w:ind w:right="189"/>
              <w:spacing w:after="0"/>
              <w:rPr>
                <w:sz w:val="20"/>
                <w:szCs w:val="20"/>
                <w:color w:val="auto"/>
              </w:rPr>
            </w:pPr>
            <w:r>
              <w:rPr>
                <w:rFonts w:ascii="Arial" w:cs="Arial" w:eastAsia="Arial" w:hAnsi="Arial"/>
                <w:sz w:val="10"/>
                <w:szCs w:val="10"/>
                <w:b w:val="1"/>
                <w:bCs w:val="1"/>
                <w:color w:val="FFFFFE"/>
              </w:rPr>
              <w:t>Under Non-Equity Incentive</w:t>
            </w:r>
          </w:p>
        </w:tc>
        <w:tc>
          <w:tcPr>
            <w:tcW w:w="40" w:type="dxa"/>
            <w:vAlign w:val="bottom"/>
            <w:shd w:val="clear" w:color="auto" w:fill="F79646"/>
          </w:tcPr>
          <w:p>
            <w:pPr>
              <w:spacing w:after="0"/>
              <w:rPr>
                <w:sz w:val="5"/>
                <w:szCs w:val="5"/>
                <w:color w:val="auto"/>
              </w:rPr>
            </w:pPr>
          </w:p>
        </w:tc>
        <w:tc>
          <w:tcPr>
            <w:tcW w:w="1580" w:type="dxa"/>
            <w:vAlign w:val="bottom"/>
            <w:gridSpan w:val="5"/>
            <w:vMerge w:val="restart"/>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Under Equity Incentive</w:t>
            </w:r>
          </w:p>
        </w:tc>
        <w:tc>
          <w:tcPr>
            <w:tcW w:w="60" w:type="dxa"/>
            <w:vAlign w:val="bottom"/>
            <w:shd w:val="clear" w:color="auto" w:fill="F79646"/>
          </w:tcPr>
          <w:p>
            <w:pPr>
              <w:spacing w:after="0"/>
              <w:rPr>
                <w:sz w:val="5"/>
                <w:szCs w:val="5"/>
                <w:color w:val="auto"/>
              </w:rPr>
            </w:pPr>
          </w:p>
        </w:tc>
        <w:tc>
          <w:tcPr>
            <w:tcW w:w="800" w:type="dxa"/>
            <w:vAlign w:val="bottom"/>
            <w:gridSpan w:val="2"/>
            <w:vMerge w:val="continue"/>
            <w:shd w:val="clear" w:color="auto" w:fill="F79646"/>
          </w:tcPr>
          <w:p>
            <w:pPr>
              <w:spacing w:after="0"/>
              <w:rPr>
                <w:sz w:val="5"/>
                <w:szCs w:val="5"/>
                <w:color w:val="auto"/>
              </w:rPr>
            </w:pPr>
          </w:p>
        </w:tc>
        <w:tc>
          <w:tcPr>
            <w:tcW w:w="740" w:type="dxa"/>
            <w:vAlign w:val="bottom"/>
            <w:tcBorders>
              <w:right w:val="single" w:sz="8" w:color="F79646"/>
            </w:tcBorders>
            <w:gridSpan w:val="2"/>
            <w:vMerge w:val="continue"/>
            <w:shd w:val="clear" w:color="auto" w:fill="F79646"/>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40" w:type="dxa"/>
            <w:vAlign w:val="bottom"/>
            <w:tcBorders>
              <w:left w:val="single" w:sz="8" w:color="F79646"/>
            </w:tcBorders>
            <w:shd w:val="clear" w:color="auto" w:fill="F79646"/>
          </w:tcPr>
          <w:p>
            <w:pPr>
              <w:spacing w:after="0"/>
              <w:rPr>
                <w:sz w:val="5"/>
                <w:szCs w:val="5"/>
                <w:color w:val="auto"/>
              </w:rPr>
            </w:pPr>
          </w:p>
        </w:tc>
        <w:tc>
          <w:tcPr>
            <w:tcW w:w="940" w:type="dxa"/>
            <w:vAlign w:val="bottom"/>
            <w:shd w:val="clear" w:color="auto" w:fill="F79646"/>
          </w:tcPr>
          <w:p>
            <w:pPr>
              <w:spacing w:after="0"/>
              <w:rPr>
                <w:sz w:val="5"/>
                <w:szCs w:val="5"/>
                <w:color w:val="auto"/>
              </w:rPr>
            </w:pPr>
          </w:p>
        </w:tc>
        <w:tc>
          <w:tcPr>
            <w:tcW w:w="160" w:type="dxa"/>
            <w:vAlign w:val="bottom"/>
            <w:shd w:val="clear" w:color="auto" w:fill="F79646"/>
          </w:tcPr>
          <w:p>
            <w:pPr>
              <w:spacing w:after="0"/>
              <w:rPr>
                <w:sz w:val="5"/>
                <w:szCs w:val="5"/>
                <w:color w:val="auto"/>
              </w:rPr>
            </w:pPr>
          </w:p>
        </w:tc>
        <w:tc>
          <w:tcPr>
            <w:tcW w:w="60" w:type="dxa"/>
            <w:vAlign w:val="bottom"/>
            <w:shd w:val="clear" w:color="auto" w:fill="F79646"/>
          </w:tcPr>
          <w:p>
            <w:pPr>
              <w:spacing w:after="0"/>
              <w:rPr>
                <w:sz w:val="5"/>
                <w:szCs w:val="5"/>
                <w:color w:val="auto"/>
              </w:rPr>
            </w:pPr>
          </w:p>
        </w:tc>
        <w:tc>
          <w:tcPr>
            <w:tcW w:w="600" w:type="dxa"/>
            <w:vAlign w:val="bottom"/>
            <w:shd w:val="clear" w:color="auto" w:fill="F79646"/>
          </w:tcPr>
          <w:p>
            <w:pPr>
              <w:spacing w:after="0"/>
              <w:rPr>
                <w:sz w:val="5"/>
                <w:szCs w:val="5"/>
                <w:color w:val="auto"/>
              </w:rPr>
            </w:pPr>
          </w:p>
        </w:tc>
        <w:tc>
          <w:tcPr>
            <w:tcW w:w="60" w:type="dxa"/>
            <w:vAlign w:val="bottom"/>
            <w:shd w:val="clear" w:color="auto" w:fill="F79646"/>
          </w:tcPr>
          <w:p>
            <w:pPr>
              <w:spacing w:after="0"/>
              <w:rPr>
                <w:sz w:val="5"/>
                <w:szCs w:val="5"/>
                <w:color w:val="auto"/>
              </w:rPr>
            </w:pPr>
          </w:p>
        </w:tc>
        <w:tc>
          <w:tcPr>
            <w:tcW w:w="1820" w:type="dxa"/>
            <w:vAlign w:val="bottom"/>
            <w:gridSpan w:val="6"/>
            <w:vMerge w:val="continue"/>
            <w:shd w:val="clear" w:color="auto" w:fill="F79646"/>
          </w:tcPr>
          <w:p>
            <w:pPr>
              <w:spacing w:after="0"/>
              <w:rPr>
                <w:sz w:val="5"/>
                <w:szCs w:val="5"/>
                <w:color w:val="auto"/>
              </w:rPr>
            </w:pPr>
          </w:p>
        </w:tc>
        <w:tc>
          <w:tcPr>
            <w:tcW w:w="40" w:type="dxa"/>
            <w:vAlign w:val="bottom"/>
            <w:shd w:val="clear" w:color="auto" w:fill="F79646"/>
          </w:tcPr>
          <w:p>
            <w:pPr>
              <w:spacing w:after="0"/>
              <w:rPr>
                <w:sz w:val="5"/>
                <w:szCs w:val="5"/>
                <w:color w:val="auto"/>
              </w:rPr>
            </w:pPr>
          </w:p>
        </w:tc>
        <w:tc>
          <w:tcPr>
            <w:tcW w:w="1580" w:type="dxa"/>
            <w:vAlign w:val="bottom"/>
            <w:gridSpan w:val="5"/>
            <w:vMerge w:val="continue"/>
            <w:shd w:val="clear" w:color="auto" w:fill="F79646"/>
          </w:tcPr>
          <w:p>
            <w:pPr>
              <w:spacing w:after="0"/>
              <w:rPr>
                <w:sz w:val="5"/>
                <w:szCs w:val="5"/>
                <w:color w:val="auto"/>
              </w:rPr>
            </w:pPr>
          </w:p>
        </w:tc>
        <w:tc>
          <w:tcPr>
            <w:tcW w:w="60" w:type="dxa"/>
            <w:vAlign w:val="bottom"/>
            <w:shd w:val="clear" w:color="auto" w:fill="F79646"/>
          </w:tcPr>
          <w:p>
            <w:pPr>
              <w:spacing w:after="0"/>
              <w:rPr>
                <w:sz w:val="5"/>
                <w:szCs w:val="5"/>
                <w:color w:val="auto"/>
              </w:rPr>
            </w:pPr>
          </w:p>
        </w:tc>
        <w:tc>
          <w:tcPr>
            <w:tcW w:w="800" w:type="dxa"/>
            <w:vAlign w:val="bottom"/>
            <w:gridSpan w:val="2"/>
            <w:vMerge w:val="restart"/>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Shares of</w:t>
            </w:r>
          </w:p>
        </w:tc>
        <w:tc>
          <w:tcPr>
            <w:tcW w:w="740" w:type="dxa"/>
            <w:vAlign w:val="bottom"/>
            <w:tcBorders>
              <w:right w:val="single" w:sz="8" w:color="F79646"/>
            </w:tcBorders>
            <w:gridSpan w:val="2"/>
            <w:vMerge w:val="restart"/>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of Stock</w:t>
            </w:r>
          </w:p>
        </w:tc>
        <w:tc>
          <w:tcPr>
            <w:tcW w:w="0" w:type="dxa"/>
            <w:vAlign w:val="bottom"/>
          </w:tcPr>
          <w:p>
            <w:pPr>
              <w:spacing w:after="0"/>
              <w:rPr>
                <w:sz w:val="1"/>
                <w:szCs w:val="1"/>
                <w:color w:val="auto"/>
              </w:rPr>
            </w:pPr>
          </w:p>
        </w:tc>
      </w:tr>
      <w:tr>
        <w:trPr>
          <w:trHeight w:val="48"/>
        </w:trPr>
        <w:tc>
          <w:tcPr>
            <w:tcW w:w="140" w:type="dxa"/>
            <w:vAlign w:val="bottom"/>
            <w:tcBorders>
              <w:left w:val="single" w:sz="8" w:color="F79646"/>
            </w:tcBorders>
            <w:shd w:val="clear" w:color="auto" w:fill="F79646"/>
          </w:tcPr>
          <w:p>
            <w:pPr>
              <w:spacing w:after="0"/>
              <w:rPr>
                <w:sz w:val="4"/>
                <w:szCs w:val="4"/>
                <w:color w:val="auto"/>
              </w:rPr>
            </w:pPr>
          </w:p>
        </w:tc>
        <w:tc>
          <w:tcPr>
            <w:tcW w:w="940" w:type="dxa"/>
            <w:vAlign w:val="bottom"/>
            <w:shd w:val="clear" w:color="auto" w:fill="F79646"/>
          </w:tcPr>
          <w:p>
            <w:pPr>
              <w:spacing w:after="0"/>
              <w:rPr>
                <w:sz w:val="4"/>
                <w:szCs w:val="4"/>
                <w:color w:val="auto"/>
              </w:rPr>
            </w:pPr>
          </w:p>
        </w:tc>
        <w:tc>
          <w:tcPr>
            <w:tcW w:w="160" w:type="dxa"/>
            <w:vAlign w:val="bottom"/>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600" w:type="dxa"/>
            <w:vAlign w:val="bottom"/>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500" w:type="dxa"/>
            <w:vAlign w:val="bottom"/>
            <w:shd w:val="clear" w:color="auto" w:fill="F79646"/>
          </w:tcPr>
          <w:p>
            <w:pPr>
              <w:spacing w:after="0"/>
              <w:rPr>
                <w:sz w:val="4"/>
                <w:szCs w:val="4"/>
                <w:color w:val="auto"/>
              </w:rPr>
            </w:pPr>
          </w:p>
        </w:tc>
        <w:tc>
          <w:tcPr>
            <w:tcW w:w="760" w:type="dxa"/>
            <w:vAlign w:val="bottom"/>
            <w:gridSpan w:val="4"/>
            <w:vMerge w:val="restart"/>
            <w:shd w:val="clear" w:color="auto" w:fill="F79646"/>
          </w:tcPr>
          <w:p>
            <w:pPr>
              <w:ind w:left="40"/>
              <w:spacing w:after="0" w:line="163" w:lineRule="exact"/>
              <w:rPr>
                <w:sz w:val="20"/>
                <w:szCs w:val="20"/>
                <w:color w:val="auto"/>
              </w:rPr>
            </w:pPr>
            <w:r>
              <w:rPr>
                <w:rFonts w:ascii="Arial" w:cs="Arial" w:eastAsia="Arial" w:hAnsi="Arial"/>
                <w:sz w:val="10"/>
                <w:szCs w:val="10"/>
                <w:b w:val="1"/>
                <w:bCs w:val="1"/>
                <w:color w:val="FFFFFE"/>
                <w:w w:val="96"/>
              </w:rPr>
              <w:t>Plan Awards</w:t>
            </w:r>
            <w:r>
              <w:rPr>
                <w:rFonts w:ascii="Arial" w:cs="Arial" w:eastAsia="Arial" w:hAnsi="Arial"/>
                <w:sz w:val="15"/>
                <w:szCs w:val="15"/>
                <w:b w:val="1"/>
                <w:bCs w:val="1"/>
                <w:color w:val="FFFFFE"/>
                <w:w w:val="96"/>
                <w:vertAlign w:val="superscript"/>
              </w:rPr>
              <w:t>(1)</w:t>
            </w:r>
          </w:p>
        </w:tc>
        <w:tc>
          <w:tcPr>
            <w:tcW w:w="560" w:type="dxa"/>
            <w:vAlign w:val="bottom"/>
            <w:shd w:val="clear" w:color="auto" w:fill="F79646"/>
          </w:tcPr>
          <w:p>
            <w:pPr>
              <w:spacing w:after="0"/>
              <w:rPr>
                <w:sz w:val="4"/>
                <w:szCs w:val="4"/>
                <w:color w:val="auto"/>
              </w:rPr>
            </w:pPr>
          </w:p>
        </w:tc>
        <w:tc>
          <w:tcPr>
            <w:tcW w:w="40" w:type="dxa"/>
            <w:vAlign w:val="bottom"/>
            <w:shd w:val="clear" w:color="auto" w:fill="F79646"/>
          </w:tcPr>
          <w:p>
            <w:pPr>
              <w:spacing w:after="0"/>
              <w:rPr>
                <w:sz w:val="4"/>
                <w:szCs w:val="4"/>
                <w:color w:val="auto"/>
              </w:rPr>
            </w:pPr>
          </w:p>
        </w:tc>
        <w:tc>
          <w:tcPr>
            <w:tcW w:w="1100" w:type="dxa"/>
            <w:vAlign w:val="bottom"/>
            <w:gridSpan w:val="4"/>
            <w:vMerge w:val="restart"/>
            <w:shd w:val="clear" w:color="auto" w:fill="F79646"/>
          </w:tcPr>
          <w:p>
            <w:pPr>
              <w:jc w:val="right"/>
              <w:ind w:right="20"/>
              <w:spacing w:after="0"/>
              <w:rPr>
                <w:sz w:val="20"/>
                <w:szCs w:val="20"/>
                <w:color w:val="auto"/>
              </w:rPr>
            </w:pPr>
            <w:r>
              <w:rPr>
                <w:rFonts w:ascii="Arial" w:cs="Arial" w:eastAsia="Arial" w:hAnsi="Arial"/>
                <w:sz w:val="10"/>
                <w:szCs w:val="10"/>
                <w:b w:val="1"/>
                <w:bCs w:val="1"/>
                <w:color w:val="FFFFFE"/>
              </w:rPr>
              <w:t>Plan Awards</w:t>
            </w:r>
          </w:p>
        </w:tc>
        <w:tc>
          <w:tcPr>
            <w:tcW w:w="480" w:type="dxa"/>
            <w:vAlign w:val="bottom"/>
            <w:shd w:val="clear" w:color="auto" w:fill="F79646"/>
          </w:tcPr>
          <w:p>
            <w:pPr>
              <w:spacing w:after="0"/>
              <w:rPr>
                <w:sz w:val="4"/>
                <w:szCs w:val="4"/>
                <w:color w:val="auto"/>
              </w:rPr>
            </w:pPr>
          </w:p>
        </w:tc>
        <w:tc>
          <w:tcPr>
            <w:tcW w:w="60" w:type="dxa"/>
            <w:vAlign w:val="bottom"/>
            <w:shd w:val="clear" w:color="auto" w:fill="F79646"/>
          </w:tcPr>
          <w:p>
            <w:pPr>
              <w:spacing w:after="0"/>
              <w:rPr>
                <w:sz w:val="4"/>
                <w:szCs w:val="4"/>
                <w:color w:val="auto"/>
              </w:rPr>
            </w:pPr>
          </w:p>
        </w:tc>
        <w:tc>
          <w:tcPr>
            <w:tcW w:w="800" w:type="dxa"/>
            <w:vAlign w:val="bottom"/>
            <w:gridSpan w:val="2"/>
            <w:vMerge w:val="continue"/>
            <w:shd w:val="clear" w:color="auto" w:fill="F79646"/>
          </w:tcPr>
          <w:p>
            <w:pPr>
              <w:spacing w:after="0"/>
              <w:rPr>
                <w:sz w:val="4"/>
                <w:szCs w:val="4"/>
                <w:color w:val="auto"/>
              </w:rPr>
            </w:pPr>
          </w:p>
        </w:tc>
        <w:tc>
          <w:tcPr>
            <w:tcW w:w="740" w:type="dxa"/>
            <w:vAlign w:val="bottom"/>
            <w:tcBorders>
              <w:right w:val="single" w:sz="8" w:color="F79646"/>
            </w:tcBorders>
            <w:gridSpan w:val="2"/>
            <w:vMerge w:val="continue"/>
            <w:shd w:val="clear" w:color="auto" w:fill="F79646"/>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40" w:type="dxa"/>
            <w:vAlign w:val="bottom"/>
            <w:tcBorders>
              <w:left w:val="single" w:sz="8" w:color="F79646"/>
              <w:bottom w:val="single" w:sz="8" w:color="F79646"/>
            </w:tcBorders>
            <w:shd w:val="clear" w:color="auto" w:fill="F79646"/>
          </w:tcPr>
          <w:p>
            <w:pPr>
              <w:spacing w:after="0"/>
              <w:rPr>
                <w:sz w:val="9"/>
                <w:szCs w:val="9"/>
                <w:color w:val="auto"/>
              </w:rPr>
            </w:pPr>
          </w:p>
        </w:tc>
        <w:tc>
          <w:tcPr>
            <w:tcW w:w="940" w:type="dxa"/>
            <w:vAlign w:val="bottom"/>
            <w:tcBorders>
              <w:bottom w:val="single" w:sz="8" w:color="F79646"/>
            </w:tcBorders>
            <w:shd w:val="clear" w:color="auto" w:fill="F79646"/>
          </w:tcPr>
          <w:p>
            <w:pPr>
              <w:spacing w:after="0"/>
              <w:rPr>
                <w:sz w:val="9"/>
                <w:szCs w:val="9"/>
                <w:color w:val="auto"/>
              </w:rPr>
            </w:pPr>
          </w:p>
        </w:tc>
        <w:tc>
          <w:tcPr>
            <w:tcW w:w="160" w:type="dxa"/>
            <w:vAlign w:val="bottom"/>
            <w:tcBorders>
              <w:bottom w:val="single" w:sz="8" w:color="F79646"/>
            </w:tcBorders>
            <w:shd w:val="clear" w:color="auto" w:fill="F79646"/>
          </w:tcPr>
          <w:p>
            <w:pPr>
              <w:spacing w:after="0"/>
              <w:rPr>
                <w:sz w:val="9"/>
                <w:szCs w:val="9"/>
                <w:color w:val="auto"/>
              </w:rPr>
            </w:pPr>
          </w:p>
        </w:tc>
        <w:tc>
          <w:tcPr>
            <w:tcW w:w="60" w:type="dxa"/>
            <w:vAlign w:val="bottom"/>
            <w:tcBorders>
              <w:bottom w:val="single" w:sz="8" w:color="F79646"/>
            </w:tcBorders>
            <w:shd w:val="clear" w:color="auto" w:fill="F79646"/>
          </w:tcPr>
          <w:p>
            <w:pPr>
              <w:spacing w:after="0"/>
              <w:rPr>
                <w:sz w:val="9"/>
                <w:szCs w:val="9"/>
                <w:color w:val="auto"/>
              </w:rPr>
            </w:pPr>
          </w:p>
        </w:tc>
        <w:tc>
          <w:tcPr>
            <w:tcW w:w="600" w:type="dxa"/>
            <w:vAlign w:val="bottom"/>
            <w:tcBorders>
              <w:bottom w:val="single" w:sz="8" w:color="F79646"/>
            </w:tcBorders>
            <w:shd w:val="clear" w:color="auto" w:fill="F79646"/>
          </w:tcPr>
          <w:p>
            <w:pPr>
              <w:spacing w:after="0"/>
              <w:rPr>
                <w:sz w:val="9"/>
                <w:szCs w:val="9"/>
                <w:color w:val="auto"/>
              </w:rPr>
            </w:pPr>
          </w:p>
        </w:tc>
        <w:tc>
          <w:tcPr>
            <w:tcW w:w="60" w:type="dxa"/>
            <w:vAlign w:val="bottom"/>
            <w:tcBorders>
              <w:bottom w:val="single" w:sz="8" w:color="F79646"/>
            </w:tcBorders>
            <w:shd w:val="clear" w:color="auto" w:fill="F79646"/>
          </w:tcPr>
          <w:p>
            <w:pPr>
              <w:spacing w:after="0"/>
              <w:rPr>
                <w:sz w:val="9"/>
                <w:szCs w:val="9"/>
                <w:color w:val="auto"/>
              </w:rPr>
            </w:pPr>
          </w:p>
        </w:tc>
        <w:tc>
          <w:tcPr>
            <w:tcW w:w="500" w:type="dxa"/>
            <w:vAlign w:val="bottom"/>
            <w:tcBorders>
              <w:bottom w:val="single" w:sz="8" w:color="auto"/>
            </w:tcBorders>
            <w:shd w:val="clear" w:color="auto" w:fill="F79646"/>
          </w:tcPr>
          <w:p>
            <w:pPr>
              <w:spacing w:after="0"/>
              <w:rPr>
                <w:sz w:val="9"/>
                <w:szCs w:val="9"/>
                <w:color w:val="auto"/>
              </w:rPr>
            </w:pPr>
          </w:p>
        </w:tc>
        <w:tc>
          <w:tcPr>
            <w:tcW w:w="760" w:type="dxa"/>
            <w:vAlign w:val="bottom"/>
            <w:tcBorders>
              <w:bottom w:val="single" w:sz="8" w:color="auto"/>
            </w:tcBorders>
            <w:gridSpan w:val="4"/>
            <w:vMerge w:val="continue"/>
            <w:shd w:val="clear" w:color="auto" w:fill="F79646"/>
          </w:tcPr>
          <w:p>
            <w:pPr>
              <w:spacing w:after="0"/>
              <w:rPr>
                <w:sz w:val="9"/>
                <w:szCs w:val="9"/>
                <w:color w:val="auto"/>
              </w:rPr>
            </w:pPr>
          </w:p>
        </w:tc>
        <w:tc>
          <w:tcPr>
            <w:tcW w:w="560" w:type="dxa"/>
            <w:vAlign w:val="bottom"/>
            <w:tcBorders>
              <w:bottom w:val="single" w:sz="8" w:color="auto"/>
            </w:tcBorders>
            <w:shd w:val="clear" w:color="auto" w:fill="F79646"/>
          </w:tcPr>
          <w:p>
            <w:pPr>
              <w:spacing w:after="0"/>
              <w:rPr>
                <w:sz w:val="9"/>
                <w:szCs w:val="9"/>
                <w:color w:val="auto"/>
              </w:rPr>
            </w:pPr>
          </w:p>
        </w:tc>
        <w:tc>
          <w:tcPr>
            <w:tcW w:w="40" w:type="dxa"/>
            <w:vAlign w:val="bottom"/>
            <w:tcBorders>
              <w:bottom w:val="single" w:sz="8" w:color="F79646"/>
            </w:tcBorders>
            <w:shd w:val="clear" w:color="auto" w:fill="F79646"/>
          </w:tcPr>
          <w:p>
            <w:pPr>
              <w:spacing w:after="0"/>
              <w:rPr>
                <w:sz w:val="9"/>
                <w:szCs w:val="9"/>
                <w:color w:val="auto"/>
              </w:rPr>
            </w:pPr>
          </w:p>
        </w:tc>
        <w:tc>
          <w:tcPr>
            <w:tcW w:w="1100" w:type="dxa"/>
            <w:vAlign w:val="bottom"/>
            <w:tcBorders>
              <w:bottom w:val="single" w:sz="8" w:color="auto"/>
            </w:tcBorders>
            <w:gridSpan w:val="4"/>
            <w:vMerge w:val="continue"/>
            <w:shd w:val="clear" w:color="auto" w:fill="F79646"/>
          </w:tcPr>
          <w:p>
            <w:pPr>
              <w:spacing w:after="0"/>
              <w:rPr>
                <w:sz w:val="9"/>
                <w:szCs w:val="9"/>
                <w:color w:val="auto"/>
              </w:rPr>
            </w:pPr>
          </w:p>
        </w:tc>
        <w:tc>
          <w:tcPr>
            <w:tcW w:w="480" w:type="dxa"/>
            <w:vAlign w:val="bottom"/>
            <w:tcBorders>
              <w:bottom w:val="single" w:sz="8" w:color="auto"/>
            </w:tcBorders>
            <w:shd w:val="clear" w:color="auto" w:fill="F79646"/>
          </w:tcPr>
          <w:p>
            <w:pPr>
              <w:spacing w:after="0"/>
              <w:rPr>
                <w:sz w:val="9"/>
                <w:szCs w:val="9"/>
                <w:color w:val="auto"/>
              </w:rPr>
            </w:pPr>
          </w:p>
        </w:tc>
        <w:tc>
          <w:tcPr>
            <w:tcW w:w="60" w:type="dxa"/>
            <w:vAlign w:val="bottom"/>
            <w:tcBorders>
              <w:bottom w:val="single" w:sz="8" w:color="F79646"/>
            </w:tcBorders>
            <w:shd w:val="clear" w:color="auto" w:fill="F79646"/>
          </w:tcPr>
          <w:p>
            <w:pPr>
              <w:spacing w:after="0"/>
              <w:rPr>
                <w:sz w:val="9"/>
                <w:szCs w:val="9"/>
                <w:color w:val="auto"/>
              </w:rPr>
            </w:pPr>
          </w:p>
        </w:tc>
        <w:tc>
          <w:tcPr>
            <w:tcW w:w="800" w:type="dxa"/>
            <w:vAlign w:val="bottom"/>
            <w:tcBorders>
              <w:bottom w:val="single" w:sz="8" w:color="F79646"/>
            </w:tcBorders>
            <w:gridSpan w:val="2"/>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w w:val="99"/>
              </w:rPr>
              <w:t>Stock or</w:t>
            </w:r>
          </w:p>
        </w:tc>
        <w:tc>
          <w:tcPr>
            <w:tcW w:w="740" w:type="dxa"/>
            <w:vAlign w:val="bottom"/>
            <w:tcBorders>
              <w:bottom w:val="single" w:sz="8" w:color="F79646"/>
              <w:right w:val="single" w:sz="8" w:color="F79646"/>
            </w:tcBorders>
            <w:gridSpan w:val="2"/>
            <w:shd w:val="clear" w:color="auto" w:fill="F79646"/>
          </w:tcPr>
          <w:p>
            <w:pPr>
              <w:jc w:val="center"/>
              <w:ind w:right="120"/>
              <w:spacing w:after="0"/>
              <w:rPr>
                <w:sz w:val="20"/>
                <w:szCs w:val="20"/>
                <w:color w:val="auto"/>
              </w:rPr>
            </w:pPr>
            <w:r>
              <w:rPr>
                <w:rFonts w:ascii="Arial" w:cs="Arial" w:eastAsia="Arial" w:hAnsi="Arial"/>
                <w:sz w:val="10"/>
                <w:szCs w:val="10"/>
                <w:b w:val="1"/>
                <w:bCs w:val="1"/>
                <w:color w:val="FFFFFE"/>
              </w:rPr>
              <w:t>and Option</w:t>
            </w:r>
          </w:p>
        </w:tc>
        <w:tc>
          <w:tcPr>
            <w:tcW w:w="0" w:type="dxa"/>
            <w:vAlign w:val="bottom"/>
          </w:tcPr>
          <w:p>
            <w:pPr>
              <w:spacing w:after="0"/>
              <w:rPr>
                <w:sz w:val="1"/>
                <w:szCs w:val="1"/>
                <w:color w:val="auto"/>
              </w:rPr>
            </w:pPr>
          </w:p>
        </w:tc>
      </w:tr>
      <w:tr>
        <w:trPr>
          <w:trHeight w:val="183"/>
        </w:trPr>
        <w:tc>
          <w:tcPr>
            <w:tcW w:w="140" w:type="dxa"/>
            <w:vAlign w:val="bottom"/>
            <w:tcBorders>
              <w:left w:val="single" w:sz="8" w:color="F79646"/>
            </w:tcBorders>
            <w:shd w:val="clear" w:color="auto" w:fill="F79646"/>
          </w:tcPr>
          <w:p>
            <w:pPr>
              <w:spacing w:after="0"/>
              <w:rPr>
                <w:sz w:val="15"/>
                <w:szCs w:val="15"/>
                <w:color w:val="auto"/>
              </w:rPr>
            </w:pPr>
          </w:p>
        </w:tc>
        <w:tc>
          <w:tcPr>
            <w:tcW w:w="940" w:type="dxa"/>
            <w:vAlign w:val="bottom"/>
            <w:shd w:val="clear" w:color="auto" w:fill="F79646"/>
          </w:tcPr>
          <w:p>
            <w:pPr>
              <w:spacing w:after="0"/>
              <w:rPr>
                <w:sz w:val="15"/>
                <w:szCs w:val="15"/>
                <w:color w:val="auto"/>
              </w:rPr>
            </w:pPr>
          </w:p>
        </w:tc>
        <w:tc>
          <w:tcPr>
            <w:tcW w:w="16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660" w:type="dxa"/>
            <w:vAlign w:val="bottom"/>
            <w:gridSpan w:val="2"/>
            <w:shd w:val="clear" w:color="auto" w:fill="F79646"/>
          </w:tcPr>
          <w:p>
            <w:pPr>
              <w:ind w:left="160"/>
              <w:spacing w:after="0"/>
              <w:rPr>
                <w:sz w:val="20"/>
                <w:szCs w:val="20"/>
                <w:color w:val="auto"/>
              </w:rPr>
            </w:pPr>
            <w:r>
              <w:rPr>
                <w:rFonts w:ascii="Arial" w:cs="Arial" w:eastAsia="Arial" w:hAnsi="Arial"/>
                <w:sz w:val="10"/>
                <w:szCs w:val="10"/>
                <w:b w:val="1"/>
                <w:bCs w:val="1"/>
                <w:color w:val="FFFFFE"/>
              </w:rPr>
              <w:t>Grant</w:t>
            </w:r>
          </w:p>
        </w:tc>
        <w:tc>
          <w:tcPr>
            <w:tcW w:w="50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w w:val="99"/>
              </w:rPr>
              <w:t>Threshold</w:t>
            </w:r>
          </w:p>
        </w:tc>
        <w:tc>
          <w:tcPr>
            <w:tcW w:w="60" w:type="dxa"/>
            <w:vAlign w:val="bottom"/>
            <w:shd w:val="clear" w:color="auto" w:fill="F79646"/>
          </w:tcPr>
          <w:p>
            <w:pPr>
              <w:spacing w:after="0"/>
              <w:rPr>
                <w:sz w:val="15"/>
                <w:szCs w:val="15"/>
                <w:color w:val="auto"/>
              </w:rPr>
            </w:pPr>
          </w:p>
        </w:tc>
        <w:tc>
          <w:tcPr>
            <w:tcW w:w="700" w:type="dxa"/>
            <w:vAlign w:val="bottom"/>
            <w:gridSpan w:val="3"/>
            <w:shd w:val="clear" w:color="auto" w:fill="F79646"/>
          </w:tcPr>
          <w:p>
            <w:pPr>
              <w:ind w:left="140"/>
              <w:spacing w:after="0"/>
              <w:rPr>
                <w:sz w:val="20"/>
                <w:szCs w:val="20"/>
                <w:color w:val="auto"/>
              </w:rPr>
            </w:pPr>
            <w:r>
              <w:rPr>
                <w:rFonts w:ascii="Arial" w:cs="Arial" w:eastAsia="Arial" w:hAnsi="Arial"/>
                <w:sz w:val="10"/>
                <w:szCs w:val="10"/>
                <w:b w:val="1"/>
                <w:bCs w:val="1"/>
                <w:color w:val="FFFFFE"/>
              </w:rPr>
              <w:t>Target</w:t>
            </w:r>
          </w:p>
        </w:tc>
        <w:tc>
          <w:tcPr>
            <w:tcW w:w="560" w:type="dxa"/>
            <w:vAlign w:val="bottom"/>
            <w:shd w:val="clear" w:color="auto" w:fill="F79646"/>
          </w:tcPr>
          <w:p>
            <w:pPr>
              <w:jc w:val="right"/>
              <w:ind w:right="29"/>
              <w:spacing w:after="0"/>
              <w:rPr>
                <w:sz w:val="20"/>
                <w:szCs w:val="20"/>
                <w:color w:val="auto"/>
              </w:rPr>
            </w:pPr>
            <w:r>
              <w:rPr>
                <w:rFonts w:ascii="Arial" w:cs="Arial" w:eastAsia="Arial" w:hAnsi="Arial"/>
                <w:sz w:val="10"/>
                <w:szCs w:val="10"/>
                <w:b w:val="1"/>
                <w:bCs w:val="1"/>
                <w:color w:val="FFFFFE"/>
                <w:w w:val="99"/>
              </w:rPr>
              <w:t>Maximum</w:t>
            </w:r>
          </w:p>
        </w:tc>
        <w:tc>
          <w:tcPr>
            <w:tcW w:w="40" w:type="dxa"/>
            <w:vAlign w:val="bottom"/>
            <w:shd w:val="clear" w:color="auto" w:fill="F79646"/>
          </w:tcPr>
          <w:p>
            <w:pPr>
              <w:spacing w:after="0"/>
              <w:rPr>
                <w:sz w:val="15"/>
                <w:szCs w:val="15"/>
                <w:color w:val="auto"/>
              </w:rPr>
            </w:pPr>
          </w:p>
        </w:tc>
        <w:tc>
          <w:tcPr>
            <w:tcW w:w="500" w:type="dxa"/>
            <w:vAlign w:val="bottom"/>
            <w:shd w:val="clear" w:color="auto" w:fill="F79646"/>
          </w:tcPr>
          <w:p>
            <w:pPr>
              <w:ind w:left="20"/>
              <w:spacing w:after="0"/>
              <w:rPr>
                <w:sz w:val="20"/>
                <w:szCs w:val="20"/>
                <w:color w:val="auto"/>
              </w:rPr>
            </w:pPr>
            <w:r>
              <w:rPr>
                <w:rFonts w:ascii="Arial" w:cs="Arial" w:eastAsia="Arial" w:hAnsi="Arial"/>
                <w:sz w:val="10"/>
                <w:szCs w:val="10"/>
                <w:b w:val="1"/>
                <w:bCs w:val="1"/>
                <w:color w:val="FFFFFE"/>
                <w:w w:val="95"/>
              </w:rPr>
              <w:t>Threshold</w:t>
            </w:r>
          </w:p>
        </w:tc>
        <w:tc>
          <w:tcPr>
            <w:tcW w:w="60" w:type="dxa"/>
            <w:vAlign w:val="bottom"/>
            <w:shd w:val="clear" w:color="auto" w:fill="F79646"/>
          </w:tcPr>
          <w:p>
            <w:pPr>
              <w:spacing w:after="0"/>
              <w:rPr>
                <w:sz w:val="15"/>
                <w:szCs w:val="15"/>
                <w:color w:val="auto"/>
              </w:rPr>
            </w:pPr>
          </w:p>
        </w:tc>
        <w:tc>
          <w:tcPr>
            <w:tcW w:w="540" w:type="dxa"/>
            <w:vAlign w:val="bottom"/>
            <w:gridSpan w:val="2"/>
            <w:shd w:val="clear" w:color="auto" w:fill="F79646"/>
          </w:tcPr>
          <w:p>
            <w:pPr>
              <w:jc w:val="right"/>
              <w:ind w:right="160"/>
              <w:spacing w:after="0"/>
              <w:rPr>
                <w:sz w:val="20"/>
                <w:szCs w:val="20"/>
                <w:color w:val="auto"/>
              </w:rPr>
            </w:pPr>
            <w:r>
              <w:rPr>
                <w:rFonts w:ascii="Arial" w:cs="Arial" w:eastAsia="Arial" w:hAnsi="Arial"/>
                <w:sz w:val="10"/>
                <w:szCs w:val="10"/>
                <w:b w:val="1"/>
                <w:bCs w:val="1"/>
                <w:color w:val="FFFFFE"/>
              </w:rPr>
              <w:t>Target</w:t>
            </w:r>
          </w:p>
        </w:tc>
        <w:tc>
          <w:tcPr>
            <w:tcW w:w="48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w w:val="99"/>
              </w:rPr>
              <w:t>Maximum</w:t>
            </w:r>
          </w:p>
        </w:tc>
        <w:tc>
          <w:tcPr>
            <w:tcW w:w="60" w:type="dxa"/>
            <w:vAlign w:val="bottom"/>
            <w:shd w:val="clear" w:color="auto" w:fill="F79646"/>
          </w:tcPr>
          <w:p>
            <w:pPr>
              <w:spacing w:after="0"/>
              <w:rPr>
                <w:sz w:val="15"/>
                <w:szCs w:val="15"/>
                <w:color w:val="auto"/>
              </w:rPr>
            </w:pPr>
          </w:p>
        </w:tc>
        <w:tc>
          <w:tcPr>
            <w:tcW w:w="800" w:type="dxa"/>
            <w:vAlign w:val="bottom"/>
            <w:gridSpan w:val="2"/>
            <w:shd w:val="clear" w:color="auto" w:fill="F79646"/>
          </w:tcPr>
          <w:p>
            <w:pPr>
              <w:jc w:val="right"/>
              <w:ind w:right="340"/>
              <w:spacing w:after="0"/>
              <w:rPr>
                <w:sz w:val="20"/>
                <w:szCs w:val="20"/>
                <w:color w:val="auto"/>
              </w:rPr>
            </w:pPr>
            <w:r>
              <w:rPr>
                <w:rFonts w:ascii="Arial" w:cs="Arial" w:eastAsia="Arial" w:hAnsi="Arial"/>
                <w:sz w:val="10"/>
                <w:szCs w:val="10"/>
                <w:b w:val="1"/>
                <w:bCs w:val="1"/>
                <w:color w:val="FFFFFE"/>
              </w:rPr>
              <w:t>Units</w:t>
            </w:r>
          </w:p>
        </w:tc>
        <w:tc>
          <w:tcPr>
            <w:tcW w:w="740" w:type="dxa"/>
            <w:vAlign w:val="bottom"/>
            <w:tcBorders>
              <w:right w:val="single" w:sz="8" w:color="F79646"/>
            </w:tcBorders>
            <w:gridSpan w:val="2"/>
            <w:shd w:val="clear" w:color="auto" w:fill="F79646"/>
          </w:tcPr>
          <w:p>
            <w:pPr>
              <w:ind w:left="60"/>
              <w:spacing w:after="0"/>
              <w:rPr>
                <w:sz w:val="20"/>
                <w:szCs w:val="20"/>
                <w:color w:val="auto"/>
              </w:rPr>
            </w:pPr>
            <w:r>
              <w:rPr>
                <w:rFonts w:ascii="Arial" w:cs="Arial" w:eastAsia="Arial" w:hAnsi="Arial"/>
                <w:sz w:val="10"/>
                <w:szCs w:val="10"/>
                <w:b w:val="1"/>
                <w:bCs w:val="1"/>
                <w:color w:val="FFFFFE"/>
              </w:rPr>
              <w:t>Awards</w:t>
            </w:r>
            <w:r>
              <w:rPr>
                <w:rFonts w:ascii="Arial" w:cs="Arial" w:eastAsia="Arial" w:hAnsi="Arial"/>
                <w:sz w:val="15"/>
                <w:szCs w:val="15"/>
                <w:b w:val="1"/>
                <w:bCs w:val="1"/>
                <w:color w:val="FFFFFE"/>
                <w:vertAlign w:val="superscript"/>
              </w:rPr>
              <w:t>(5)</w:t>
            </w:r>
          </w:p>
        </w:tc>
        <w:tc>
          <w:tcPr>
            <w:tcW w:w="0" w:type="dxa"/>
            <w:vAlign w:val="bottom"/>
          </w:tcPr>
          <w:p>
            <w:pPr>
              <w:spacing w:after="0"/>
              <w:rPr>
                <w:sz w:val="1"/>
                <w:szCs w:val="1"/>
                <w:color w:val="auto"/>
              </w:rPr>
            </w:pPr>
          </w:p>
        </w:tc>
      </w:tr>
      <w:tr>
        <w:trPr>
          <w:trHeight w:val="139"/>
        </w:trPr>
        <w:tc>
          <w:tcPr>
            <w:tcW w:w="140" w:type="dxa"/>
            <w:vAlign w:val="bottom"/>
            <w:tcBorders>
              <w:left w:val="single" w:sz="8" w:color="F79646"/>
              <w:bottom w:val="single" w:sz="8" w:color="F79646"/>
            </w:tcBorders>
            <w:shd w:val="clear" w:color="auto" w:fill="F79646"/>
          </w:tcPr>
          <w:p>
            <w:pPr>
              <w:spacing w:after="0"/>
              <w:rPr>
                <w:sz w:val="12"/>
                <w:szCs w:val="12"/>
                <w:color w:val="auto"/>
              </w:rPr>
            </w:pPr>
          </w:p>
        </w:tc>
        <w:tc>
          <w:tcPr>
            <w:tcW w:w="1100" w:type="dxa"/>
            <w:vAlign w:val="bottom"/>
            <w:tcBorders>
              <w:bottom w:val="single" w:sz="8" w:color="auto"/>
            </w:tcBorders>
            <w:gridSpan w:val="2"/>
            <w:shd w:val="clear" w:color="auto" w:fill="F79646"/>
          </w:tcPr>
          <w:p>
            <w:pPr>
              <w:ind w:left="400"/>
              <w:spacing w:after="0"/>
              <w:rPr>
                <w:sz w:val="20"/>
                <w:szCs w:val="20"/>
                <w:color w:val="auto"/>
              </w:rPr>
            </w:pPr>
            <w:r>
              <w:rPr>
                <w:rFonts w:ascii="Arial" w:cs="Arial" w:eastAsia="Arial" w:hAnsi="Arial"/>
                <w:sz w:val="10"/>
                <w:szCs w:val="10"/>
                <w:b w:val="1"/>
                <w:bCs w:val="1"/>
                <w:color w:val="FFFFFE"/>
              </w:rPr>
              <w:t>Name</w:t>
            </w:r>
          </w:p>
        </w:tc>
        <w:tc>
          <w:tcPr>
            <w:tcW w:w="60" w:type="dxa"/>
            <w:vAlign w:val="bottom"/>
            <w:tcBorders>
              <w:bottom w:val="single" w:sz="8" w:color="F79646"/>
            </w:tcBorders>
            <w:shd w:val="clear" w:color="auto" w:fill="F79646"/>
          </w:tcPr>
          <w:p>
            <w:pPr>
              <w:spacing w:after="0"/>
              <w:rPr>
                <w:sz w:val="12"/>
                <w:szCs w:val="12"/>
                <w:color w:val="auto"/>
              </w:rPr>
            </w:pPr>
          </w:p>
        </w:tc>
        <w:tc>
          <w:tcPr>
            <w:tcW w:w="600" w:type="dxa"/>
            <w:vAlign w:val="bottom"/>
            <w:tcBorders>
              <w:bottom w:val="single" w:sz="8" w:color="auto"/>
            </w:tcBorders>
            <w:shd w:val="clear" w:color="auto" w:fill="F79646"/>
          </w:tcPr>
          <w:p>
            <w:pPr>
              <w:ind w:left="180"/>
              <w:spacing w:after="0"/>
              <w:rPr>
                <w:sz w:val="20"/>
                <w:szCs w:val="20"/>
                <w:color w:val="auto"/>
              </w:rPr>
            </w:pPr>
            <w:r>
              <w:rPr>
                <w:rFonts w:ascii="Arial" w:cs="Arial" w:eastAsia="Arial" w:hAnsi="Arial"/>
                <w:sz w:val="10"/>
                <w:szCs w:val="10"/>
                <w:b w:val="1"/>
                <w:bCs w:val="1"/>
                <w:color w:val="FFFFFE"/>
              </w:rPr>
              <w:t>Date</w:t>
            </w:r>
          </w:p>
        </w:tc>
        <w:tc>
          <w:tcPr>
            <w:tcW w:w="60" w:type="dxa"/>
            <w:vAlign w:val="bottom"/>
            <w:tcBorders>
              <w:bottom w:val="single" w:sz="8" w:color="F79646"/>
            </w:tcBorders>
            <w:shd w:val="clear" w:color="auto" w:fill="F79646"/>
          </w:tcPr>
          <w:p>
            <w:pPr>
              <w:spacing w:after="0"/>
              <w:rPr>
                <w:sz w:val="12"/>
                <w:szCs w:val="12"/>
                <w:color w:val="auto"/>
              </w:rPr>
            </w:pPr>
          </w:p>
        </w:tc>
        <w:tc>
          <w:tcPr>
            <w:tcW w:w="500" w:type="dxa"/>
            <w:vAlign w:val="bottom"/>
            <w:tcBorders>
              <w:bottom w:val="single" w:sz="8" w:color="auto"/>
            </w:tcBorders>
            <w:shd w:val="clear" w:color="auto" w:fill="F79646"/>
          </w:tcPr>
          <w:p>
            <w:pPr>
              <w:jc w:val="right"/>
              <w:ind w:right="149"/>
              <w:spacing w:after="0"/>
              <w:rPr>
                <w:sz w:val="20"/>
                <w:szCs w:val="20"/>
                <w:color w:val="auto"/>
              </w:rPr>
            </w:pPr>
            <w:r>
              <w:rPr>
                <w:rFonts w:ascii="Arial" w:cs="Arial" w:eastAsia="Arial" w:hAnsi="Arial"/>
                <w:sz w:val="10"/>
                <w:szCs w:val="10"/>
                <w:b w:val="1"/>
                <w:bCs w:val="1"/>
                <w:color w:val="FFFFFE"/>
              </w:rPr>
              <w:t>($)</w:t>
            </w:r>
          </w:p>
        </w:tc>
        <w:tc>
          <w:tcPr>
            <w:tcW w:w="60" w:type="dxa"/>
            <w:vAlign w:val="bottom"/>
            <w:tcBorders>
              <w:bottom w:val="single" w:sz="8" w:color="F79646"/>
            </w:tcBorders>
            <w:shd w:val="clear" w:color="auto" w:fill="F79646"/>
          </w:tcPr>
          <w:p>
            <w:pPr>
              <w:spacing w:after="0"/>
              <w:rPr>
                <w:sz w:val="12"/>
                <w:szCs w:val="12"/>
                <w:color w:val="auto"/>
              </w:rPr>
            </w:pPr>
          </w:p>
        </w:tc>
        <w:tc>
          <w:tcPr>
            <w:tcW w:w="60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60" w:type="dxa"/>
            <w:vAlign w:val="bottom"/>
            <w:tcBorders>
              <w:bottom w:val="single" w:sz="8" w:color="F79646"/>
            </w:tcBorders>
            <w:shd w:val="clear" w:color="auto" w:fill="F79646"/>
          </w:tcPr>
          <w:p>
            <w:pPr>
              <w:spacing w:after="0"/>
              <w:rPr>
                <w:sz w:val="12"/>
                <w:szCs w:val="12"/>
                <w:color w:val="auto"/>
              </w:rPr>
            </w:pPr>
          </w:p>
        </w:tc>
        <w:tc>
          <w:tcPr>
            <w:tcW w:w="40" w:type="dxa"/>
            <w:vAlign w:val="bottom"/>
            <w:tcBorders>
              <w:bottom w:val="single" w:sz="8" w:color="auto"/>
            </w:tcBorders>
            <w:shd w:val="clear" w:color="auto" w:fill="F79646"/>
          </w:tcPr>
          <w:p>
            <w:pPr>
              <w:spacing w:after="0"/>
              <w:rPr>
                <w:sz w:val="12"/>
                <w:szCs w:val="12"/>
                <w:color w:val="auto"/>
              </w:rPr>
            </w:pPr>
          </w:p>
        </w:tc>
        <w:tc>
          <w:tcPr>
            <w:tcW w:w="56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40" w:type="dxa"/>
            <w:vAlign w:val="bottom"/>
            <w:tcBorders>
              <w:bottom w:val="single" w:sz="8" w:color="F79646"/>
            </w:tcBorders>
            <w:shd w:val="clear" w:color="auto" w:fill="F79646"/>
          </w:tcPr>
          <w:p>
            <w:pPr>
              <w:spacing w:after="0"/>
              <w:rPr>
                <w:sz w:val="12"/>
                <w:szCs w:val="12"/>
                <w:color w:val="auto"/>
              </w:rPr>
            </w:pPr>
          </w:p>
        </w:tc>
        <w:tc>
          <w:tcPr>
            <w:tcW w:w="500" w:type="dxa"/>
            <w:vAlign w:val="bottom"/>
            <w:tcBorders>
              <w:bottom w:val="single" w:sz="8" w:color="auto"/>
            </w:tcBorders>
            <w:shd w:val="clear" w:color="auto" w:fill="F79646"/>
          </w:tcPr>
          <w:p>
            <w:pPr>
              <w:ind w:left="180"/>
              <w:spacing w:after="0"/>
              <w:rPr>
                <w:sz w:val="20"/>
                <w:szCs w:val="20"/>
                <w:color w:val="auto"/>
              </w:rPr>
            </w:pPr>
            <w:r>
              <w:rPr>
                <w:rFonts w:ascii="Arial" w:cs="Arial" w:eastAsia="Arial" w:hAnsi="Arial"/>
                <w:sz w:val="10"/>
                <w:szCs w:val="10"/>
                <w:b w:val="1"/>
                <w:bCs w:val="1"/>
                <w:color w:val="FFFFFE"/>
              </w:rPr>
              <w:t>(#)</w:t>
            </w:r>
          </w:p>
        </w:tc>
        <w:tc>
          <w:tcPr>
            <w:tcW w:w="60" w:type="dxa"/>
            <w:vAlign w:val="bottom"/>
            <w:tcBorders>
              <w:bottom w:val="single" w:sz="8" w:color="F79646"/>
            </w:tcBorders>
            <w:shd w:val="clear" w:color="auto" w:fill="F79646"/>
          </w:tcPr>
          <w:p>
            <w:pPr>
              <w:spacing w:after="0"/>
              <w:rPr>
                <w:sz w:val="12"/>
                <w:szCs w:val="12"/>
                <w:color w:val="auto"/>
              </w:rPr>
            </w:pPr>
          </w:p>
        </w:tc>
        <w:tc>
          <w:tcPr>
            <w:tcW w:w="440" w:type="dxa"/>
            <w:vAlign w:val="bottom"/>
            <w:tcBorders>
              <w:bottom w:val="single" w:sz="8" w:color="auto"/>
            </w:tcBorders>
            <w:shd w:val="clear" w:color="auto" w:fill="F79646"/>
          </w:tcPr>
          <w:p>
            <w:pPr>
              <w:jc w:val="right"/>
              <w:ind w:right="12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2"/>
                <w:szCs w:val="12"/>
                <w:color w:val="auto"/>
              </w:rPr>
            </w:pPr>
          </w:p>
        </w:tc>
        <w:tc>
          <w:tcPr>
            <w:tcW w:w="480" w:type="dxa"/>
            <w:vAlign w:val="bottom"/>
            <w:tcBorders>
              <w:bottom w:val="single" w:sz="8" w:color="auto"/>
            </w:tcBorders>
            <w:shd w:val="clear" w:color="auto" w:fill="F79646"/>
          </w:tcPr>
          <w:p>
            <w:pPr>
              <w:jc w:val="right"/>
              <w:ind w:right="149"/>
              <w:spacing w:after="0"/>
              <w:rPr>
                <w:sz w:val="20"/>
                <w:szCs w:val="20"/>
                <w:color w:val="auto"/>
              </w:rPr>
            </w:pPr>
            <w:r>
              <w:rPr>
                <w:rFonts w:ascii="Arial" w:cs="Arial" w:eastAsia="Arial" w:hAnsi="Arial"/>
                <w:sz w:val="10"/>
                <w:szCs w:val="10"/>
                <w:b w:val="1"/>
                <w:bCs w:val="1"/>
                <w:color w:val="FFFFFE"/>
              </w:rPr>
              <w:t>(#)</w:t>
            </w:r>
          </w:p>
        </w:tc>
        <w:tc>
          <w:tcPr>
            <w:tcW w:w="60" w:type="dxa"/>
            <w:vAlign w:val="bottom"/>
            <w:tcBorders>
              <w:bottom w:val="single" w:sz="8" w:color="F79646"/>
            </w:tcBorders>
            <w:shd w:val="clear" w:color="auto" w:fill="F79646"/>
          </w:tcPr>
          <w:p>
            <w:pPr>
              <w:spacing w:after="0"/>
              <w:rPr>
                <w:sz w:val="12"/>
                <w:szCs w:val="12"/>
                <w:color w:val="auto"/>
              </w:rPr>
            </w:pPr>
          </w:p>
        </w:tc>
        <w:tc>
          <w:tcPr>
            <w:tcW w:w="660" w:type="dxa"/>
            <w:vAlign w:val="bottom"/>
            <w:tcBorders>
              <w:bottom w:val="single" w:sz="8" w:color="auto"/>
            </w:tcBorders>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w:t>
            </w:r>
          </w:p>
        </w:tc>
        <w:tc>
          <w:tcPr>
            <w:tcW w:w="140" w:type="dxa"/>
            <w:vAlign w:val="bottom"/>
            <w:tcBorders>
              <w:bottom w:val="single" w:sz="8" w:color="F79646"/>
            </w:tcBorders>
            <w:shd w:val="clear" w:color="auto" w:fill="F79646"/>
          </w:tcPr>
          <w:p>
            <w:pPr>
              <w:spacing w:after="0"/>
              <w:rPr>
                <w:sz w:val="12"/>
                <w:szCs w:val="12"/>
                <w:color w:val="auto"/>
              </w:rPr>
            </w:pPr>
          </w:p>
        </w:tc>
        <w:tc>
          <w:tcPr>
            <w:tcW w:w="60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140" w:type="dxa"/>
            <w:vAlign w:val="bottom"/>
            <w:tcBorders>
              <w:bottom w:val="single" w:sz="8" w:color="F79646"/>
              <w:right w:val="single" w:sz="8" w:color="F79646"/>
            </w:tcBorders>
            <w:shd w:val="clear" w:color="auto" w:fill="F79646"/>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40" w:type="dxa"/>
            <w:vAlign w:val="bottom"/>
            <w:tcBorders>
              <w:left w:val="single" w:sz="8" w:color="F79646"/>
              <w:bottom w:val="single" w:sz="8" w:color="FCDEC5"/>
            </w:tcBorders>
            <w:gridSpan w:val="3"/>
          </w:tcPr>
          <w:p>
            <w:pPr>
              <w:ind w:left="140"/>
              <w:spacing w:after="0"/>
              <w:rPr>
                <w:sz w:val="20"/>
                <w:szCs w:val="20"/>
                <w:color w:val="auto"/>
              </w:rPr>
            </w:pPr>
            <w:r>
              <w:rPr>
                <w:rFonts w:ascii="Arial" w:cs="Arial" w:eastAsia="Arial" w:hAnsi="Arial"/>
                <w:sz w:val="10"/>
                <w:szCs w:val="10"/>
                <w:b w:val="1"/>
                <w:bCs w:val="1"/>
                <w:color w:val="auto"/>
              </w:rPr>
              <w:t>Rohit Kapoor</w:t>
            </w:r>
          </w:p>
        </w:tc>
        <w:tc>
          <w:tcPr>
            <w:tcW w:w="60" w:type="dxa"/>
            <w:vAlign w:val="bottom"/>
            <w:tcBorders>
              <w:bottom w:val="single" w:sz="8" w:color="FCDEC5"/>
            </w:tcBorders>
          </w:tcPr>
          <w:p>
            <w:pPr>
              <w:spacing w:after="0"/>
              <w:rPr>
                <w:sz w:val="12"/>
                <w:szCs w:val="12"/>
                <w:color w:val="auto"/>
              </w:rPr>
            </w:pPr>
          </w:p>
        </w:tc>
        <w:tc>
          <w:tcPr>
            <w:tcW w:w="600" w:type="dxa"/>
            <w:vAlign w:val="bottom"/>
            <w:tcBorders>
              <w:bottom w:val="single" w:sz="8" w:color="FCDEC5"/>
            </w:tcBorders>
          </w:tcPr>
          <w:p>
            <w:pPr>
              <w:spacing w:after="0"/>
              <w:rPr>
                <w:sz w:val="12"/>
                <w:szCs w:val="12"/>
                <w:color w:val="auto"/>
              </w:rPr>
            </w:pPr>
          </w:p>
        </w:tc>
        <w:tc>
          <w:tcPr>
            <w:tcW w:w="60" w:type="dxa"/>
            <w:vAlign w:val="bottom"/>
            <w:tcBorders>
              <w:bottom w:val="single" w:sz="8" w:color="FCDEC5"/>
            </w:tcBorders>
          </w:tcPr>
          <w:p>
            <w:pPr>
              <w:spacing w:after="0"/>
              <w:rPr>
                <w:sz w:val="12"/>
                <w:szCs w:val="12"/>
                <w:color w:val="auto"/>
              </w:rPr>
            </w:pPr>
          </w:p>
        </w:tc>
        <w:tc>
          <w:tcPr>
            <w:tcW w:w="500" w:type="dxa"/>
            <w:vAlign w:val="bottom"/>
            <w:tcBorders>
              <w:bottom w:val="single" w:sz="8" w:color="FCDEC5"/>
            </w:tcBorders>
          </w:tcPr>
          <w:p>
            <w:pPr>
              <w:spacing w:after="0"/>
              <w:rPr>
                <w:sz w:val="12"/>
                <w:szCs w:val="12"/>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1,080,000</w:t>
            </w:r>
          </w:p>
        </w:tc>
        <w:tc>
          <w:tcPr>
            <w:tcW w:w="60" w:type="dxa"/>
            <w:vAlign w:val="bottom"/>
            <w:tcBorders>
              <w:bottom w:val="single" w:sz="8" w:color="FCDEC5"/>
            </w:tcBorders>
          </w:tcPr>
          <w:p>
            <w:pPr>
              <w:spacing w:after="0"/>
              <w:rPr>
                <w:sz w:val="12"/>
                <w:szCs w:val="12"/>
                <w:color w:val="auto"/>
              </w:rPr>
            </w:pPr>
          </w:p>
        </w:tc>
        <w:tc>
          <w:tcPr>
            <w:tcW w:w="40" w:type="dxa"/>
            <w:vAlign w:val="bottom"/>
            <w:tcBorders>
              <w:bottom w:val="single" w:sz="8" w:color="FCDEC5"/>
            </w:tcBorders>
          </w:tcPr>
          <w:p>
            <w:pPr>
              <w:spacing w:after="0"/>
              <w:rPr>
                <w:sz w:val="12"/>
                <w:szCs w:val="12"/>
                <w:color w:val="auto"/>
              </w:rPr>
            </w:pPr>
          </w:p>
        </w:tc>
        <w:tc>
          <w:tcPr>
            <w:tcW w:w="56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2,160,000</w:t>
            </w:r>
          </w:p>
        </w:tc>
        <w:tc>
          <w:tcPr>
            <w:tcW w:w="40" w:type="dxa"/>
            <w:vAlign w:val="bottom"/>
            <w:tcBorders>
              <w:bottom w:val="single" w:sz="8" w:color="FCDEC5"/>
            </w:tcBorders>
          </w:tcPr>
          <w:p>
            <w:pPr>
              <w:spacing w:after="0"/>
              <w:rPr>
                <w:sz w:val="12"/>
                <w:szCs w:val="12"/>
                <w:color w:val="auto"/>
              </w:rPr>
            </w:pPr>
          </w:p>
        </w:tc>
        <w:tc>
          <w:tcPr>
            <w:tcW w:w="500" w:type="dxa"/>
            <w:vAlign w:val="bottom"/>
            <w:tcBorders>
              <w:bottom w:val="single" w:sz="8" w:color="FCDEC5"/>
            </w:tcBorders>
          </w:tcPr>
          <w:p>
            <w:pPr>
              <w:spacing w:after="0"/>
              <w:rPr>
                <w:sz w:val="12"/>
                <w:szCs w:val="12"/>
                <w:color w:val="auto"/>
              </w:rPr>
            </w:pPr>
          </w:p>
        </w:tc>
        <w:tc>
          <w:tcPr>
            <w:tcW w:w="60" w:type="dxa"/>
            <w:vAlign w:val="bottom"/>
            <w:tcBorders>
              <w:bottom w:val="single" w:sz="8" w:color="FCDEC5"/>
            </w:tcBorders>
          </w:tcPr>
          <w:p>
            <w:pPr>
              <w:spacing w:after="0"/>
              <w:rPr>
                <w:sz w:val="12"/>
                <w:szCs w:val="12"/>
                <w:color w:val="auto"/>
              </w:rPr>
            </w:pPr>
          </w:p>
        </w:tc>
        <w:tc>
          <w:tcPr>
            <w:tcW w:w="440" w:type="dxa"/>
            <w:vAlign w:val="bottom"/>
            <w:tcBorders>
              <w:bottom w:val="single" w:sz="8" w:color="FCDEC5"/>
            </w:tcBorders>
          </w:tcPr>
          <w:p>
            <w:pPr>
              <w:spacing w:after="0"/>
              <w:rPr>
                <w:sz w:val="12"/>
                <w:szCs w:val="12"/>
                <w:color w:val="auto"/>
              </w:rPr>
            </w:pPr>
          </w:p>
        </w:tc>
        <w:tc>
          <w:tcPr>
            <w:tcW w:w="100" w:type="dxa"/>
            <w:vAlign w:val="bottom"/>
            <w:tcBorders>
              <w:bottom w:val="single" w:sz="8" w:color="FCDEC5"/>
            </w:tcBorders>
          </w:tcPr>
          <w:p>
            <w:pPr>
              <w:spacing w:after="0"/>
              <w:rPr>
                <w:sz w:val="12"/>
                <w:szCs w:val="12"/>
                <w:color w:val="auto"/>
              </w:rPr>
            </w:pPr>
          </w:p>
        </w:tc>
        <w:tc>
          <w:tcPr>
            <w:tcW w:w="480" w:type="dxa"/>
            <w:vAlign w:val="bottom"/>
            <w:tcBorders>
              <w:bottom w:val="single" w:sz="8" w:color="FCDEC5"/>
            </w:tcBorders>
          </w:tcPr>
          <w:p>
            <w:pPr>
              <w:spacing w:after="0"/>
              <w:rPr>
                <w:sz w:val="12"/>
                <w:szCs w:val="12"/>
                <w:color w:val="auto"/>
              </w:rPr>
            </w:pPr>
          </w:p>
        </w:tc>
        <w:tc>
          <w:tcPr>
            <w:tcW w:w="60" w:type="dxa"/>
            <w:vAlign w:val="bottom"/>
            <w:tcBorders>
              <w:bottom w:val="single" w:sz="8" w:color="FCDEC5"/>
            </w:tcBorders>
          </w:tcPr>
          <w:p>
            <w:pPr>
              <w:spacing w:after="0"/>
              <w:rPr>
                <w:sz w:val="12"/>
                <w:szCs w:val="12"/>
                <w:color w:val="auto"/>
              </w:rPr>
            </w:pPr>
          </w:p>
        </w:tc>
        <w:tc>
          <w:tcPr>
            <w:tcW w:w="660" w:type="dxa"/>
            <w:vAlign w:val="bottom"/>
            <w:tcBorders>
              <w:bottom w:val="single" w:sz="8" w:color="FCDEC5"/>
            </w:tcBorders>
          </w:tcPr>
          <w:p>
            <w:pPr>
              <w:spacing w:after="0"/>
              <w:rPr>
                <w:sz w:val="12"/>
                <w:szCs w:val="12"/>
                <w:color w:val="auto"/>
              </w:rPr>
            </w:pPr>
          </w:p>
        </w:tc>
        <w:tc>
          <w:tcPr>
            <w:tcW w:w="140" w:type="dxa"/>
            <w:vAlign w:val="bottom"/>
            <w:tcBorders>
              <w:bottom w:val="single" w:sz="8" w:color="FCDEC5"/>
            </w:tcBorders>
          </w:tcPr>
          <w:p>
            <w:pPr>
              <w:spacing w:after="0"/>
              <w:rPr>
                <w:sz w:val="12"/>
                <w:szCs w:val="12"/>
                <w:color w:val="auto"/>
              </w:rPr>
            </w:pPr>
          </w:p>
        </w:tc>
        <w:tc>
          <w:tcPr>
            <w:tcW w:w="600" w:type="dxa"/>
            <w:vAlign w:val="bottom"/>
            <w:tcBorders>
              <w:bottom w:val="single" w:sz="8" w:color="FCDEC5"/>
            </w:tcBorders>
          </w:tcPr>
          <w:p>
            <w:pPr>
              <w:spacing w:after="0"/>
              <w:rPr>
                <w:sz w:val="12"/>
                <w:szCs w:val="12"/>
                <w:color w:val="auto"/>
              </w:rPr>
            </w:pPr>
          </w:p>
        </w:tc>
        <w:tc>
          <w:tcPr>
            <w:tcW w:w="140" w:type="dxa"/>
            <w:vAlign w:val="bottom"/>
            <w:tcBorders>
              <w:bottom w:val="single" w:sz="8" w:color="FCDEC5"/>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15,003</w:t>
            </w:r>
            <w:r>
              <w:rPr>
                <w:rFonts w:ascii="Arial" w:cs="Arial" w:eastAsia="Arial" w:hAnsi="Arial"/>
                <w:sz w:val="15"/>
                <w:szCs w:val="15"/>
                <w:color w:val="auto"/>
                <w:vertAlign w:val="superscript"/>
              </w:rPr>
              <w:t>(2)</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30,006</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908,882</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15,002</w:t>
            </w:r>
            <w:r>
              <w:rPr>
                <w:rFonts w:ascii="Arial" w:cs="Arial" w:eastAsia="Arial" w:hAnsi="Arial"/>
                <w:sz w:val="15"/>
                <w:szCs w:val="15"/>
                <w:color w:val="auto"/>
                <w:vertAlign w:val="superscript"/>
              </w:rPr>
              <w:t>(3)</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30,004</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1,064,692</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79646"/>
            </w:tcBorders>
          </w:tcPr>
          <w:p>
            <w:pPr>
              <w:spacing w:after="0"/>
              <w:rPr>
                <w:sz w:val="11"/>
                <w:szCs w:val="11"/>
                <w:color w:val="auto"/>
              </w:rPr>
            </w:pPr>
          </w:p>
        </w:tc>
        <w:tc>
          <w:tcPr>
            <w:tcW w:w="940" w:type="dxa"/>
            <w:vAlign w:val="bottom"/>
            <w:tcBorders>
              <w:bottom w:val="single" w:sz="8" w:color="F79646"/>
            </w:tcBorders>
          </w:tcPr>
          <w:p>
            <w:pPr>
              <w:spacing w:after="0"/>
              <w:rPr>
                <w:sz w:val="11"/>
                <w:szCs w:val="11"/>
                <w:color w:val="auto"/>
              </w:rPr>
            </w:pPr>
          </w:p>
        </w:tc>
        <w:tc>
          <w:tcPr>
            <w:tcW w:w="160" w:type="dxa"/>
            <w:vAlign w:val="bottom"/>
            <w:tcBorders>
              <w:bottom w:val="single" w:sz="8" w:color="F79646"/>
            </w:tcBorders>
          </w:tcPr>
          <w:p>
            <w:pPr>
              <w:spacing w:after="0"/>
              <w:rPr>
                <w:sz w:val="11"/>
                <w:szCs w:val="11"/>
                <w:color w:val="auto"/>
              </w:rPr>
            </w:pPr>
          </w:p>
        </w:tc>
        <w:tc>
          <w:tcPr>
            <w:tcW w:w="6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6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4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480" w:type="dxa"/>
            <w:vAlign w:val="bottom"/>
            <w:tcBorders>
              <w:bottom w:val="single" w:sz="8" w:color="F79646"/>
            </w:tcBorders>
          </w:tcPr>
          <w:p>
            <w:pPr>
              <w:spacing w:after="0"/>
              <w:rPr>
                <w:sz w:val="11"/>
                <w:szCs w:val="11"/>
                <w:color w:val="auto"/>
              </w:rPr>
            </w:pPr>
          </w:p>
        </w:tc>
        <w:tc>
          <w:tcPr>
            <w:tcW w:w="860" w:type="dxa"/>
            <w:vAlign w:val="bottom"/>
            <w:tcBorders>
              <w:bottom w:val="single" w:sz="8" w:color="F79646"/>
            </w:tcBorders>
            <w:gridSpan w:val="3"/>
          </w:tcPr>
          <w:p>
            <w:pPr>
              <w:jc w:val="right"/>
              <w:ind w:right="40"/>
              <w:spacing w:after="0" w:line="134" w:lineRule="exact"/>
              <w:rPr>
                <w:sz w:val="20"/>
                <w:szCs w:val="20"/>
                <w:color w:val="auto"/>
              </w:rPr>
            </w:pPr>
            <w:r>
              <w:rPr>
                <w:rFonts w:ascii="Arial" w:cs="Arial" w:eastAsia="Arial" w:hAnsi="Arial"/>
                <w:sz w:val="10"/>
                <w:szCs w:val="10"/>
                <w:color w:val="auto"/>
              </w:rPr>
              <w:t>30,005</w:t>
            </w:r>
            <w:r>
              <w:rPr>
                <w:rFonts w:ascii="Arial" w:cs="Arial" w:eastAsia="Arial" w:hAnsi="Arial"/>
                <w:sz w:val="15"/>
                <w:szCs w:val="15"/>
                <w:color w:val="auto"/>
                <w:vertAlign w:val="superscript"/>
              </w:rPr>
              <w:t>(4)</w:t>
            </w:r>
          </w:p>
        </w:tc>
        <w:tc>
          <w:tcPr>
            <w:tcW w:w="60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1,817,703</w:t>
            </w:r>
          </w:p>
        </w:tc>
        <w:tc>
          <w:tcPr>
            <w:tcW w:w="140" w:type="dxa"/>
            <w:vAlign w:val="bottom"/>
            <w:tcBorders>
              <w:bottom w:val="single" w:sz="8" w:color="F796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1100" w:type="dxa"/>
            <w:vAlign w:val="bottom"/>
            <w:tcBorders>
              <w:bottom w:val="single" w:sz="8" w:color="F79646"/>
            </w:tcBorders>
            <w:gridSpan w:val="2"/>
            <w:shd w:val="clear" w:color="auto" w:fill="FCDEC5"/>
          </w:tcPr>
          <w:p>
            <w:pPr>
              <w:spacing w:after="0" w:line="105" w:lineRule="exact"/>
              <w:rPr>
                <w:sz w:val="20"/>
                <w:szCs w:val="20"/>
                <w:color w:val="auto"/>
              </w:rPr>
            </w:pPr>
            <w:r>
              <w:rPr>
                <w:rFonts w:ascii="Arial" w:cs="Arial" w:eastAsia="Arial" w:hAnsi="Arial"/>
                <w:sz w:val="10"/>
                <w:szCs w:val="10"/>
                <w:b w:val="1"/>
                <w:bCs w:val="1"/>
                <w:color w:val="auto"/>
              </w:rPr>
              <w:t>Vishal Chhibbar</w:t>
            </w: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313,459</w:t>
            </w: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626,918</w:t>
            </w: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40" w:type="dxa"/>
            <w:vAlign w:val="bottom"/>
            <w:tcBorders>
              <w:bottom w:val="single" w:sz="8" w:color="F79646"/>
            </w:tcBorders>
            <w:shd w:val="clear" w:color="auto" w:fill="FCDEC5"/>
          </w:tcPr>
          <w:p>
            <w:pPr>
              <w:spacing w:after="0"/>
              <w:rPr>
                <w:sz w:val="9"/>
                <w:szCs w:val="9"/>
                <w:color w:val="auto"/>
              </w:rPr>
            </w:pPr>
          </w:p>
        </w:tc>
        <w:tc>
          <w:tcPr>
            <w:tcW w:w="100" w:type="dxa"/>
            <w:vAlign w:val="bottom"/>
            <w:tcBorders>
              <w:bottom w:val="single" w:sz="8" w:color="F79646"/>
            </w:tcBorders>
            <w:shd w:val="clear" w:color="auto" w:fill="FCDEC5"/>
          </w:tcPr>
          <w:p>
            <w:pPr>
              <w:spacing w:after="0"/>
              <w:rPr>
                <w:sz w:val="9"/>
                <w:szCs w:val="9"/>
                <w:color w:val="auto"/>
              </w:rPr>
            </w:pPr>
          </w:p>
        </w:tc>
        <w:tc>
          <w:tcPr>
            <w:tcW w:w="48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gridSpan w:val="3"/>
            <w:shd w:val="clear" w:color="auto" w:fill="FCDEC5"/>
          </w:tcPr>
          <w:p>
            <w:pPr>
              <w:jc w:val="right"/>
              <w:ind w:right="20"/>
              <w:spacing w:after="0" w:line="105" w:lineRule="exact"/>
              <w:rPr>
                <w:sz w:val="20"/>
                <w:szCs w:val="20"/>
                <w:color w:val="auto"/>
              </w:rPr>
            </w:pPr>
            <w:r>
              <w:rPr>
                <w:rFonts w:ascii="Arial" w:cs="Arial" w:eastAsia="Arial" w:hAnsi="Arial"/>
                <w:sz w:val="8"/>
                <w:szCs w:val="8"/>
                <w:color w:val="auto"/>
              </w:rPr>
              <w:t>3,675</w:t>
            </w:r>
            <w:r>
              <w:rPr>
                <w:rFonts w:ascii="Arial" w:cs="Arial" w:eastAsia="Arial" w:hAnsi="Arial"/>
                <w:sz w:val="12"/>
                <w:szCs w:val="12"/>
                <w:color w:val="auto"/>
                <w:vertAlign w:val="superscript"/>
              </w:rPr>
              <w:t>(2)</w:t>
            </w:r>
          </w:p>
        </w:tc>
        <w:tc>
          <w:tcPr>
            <w:tcW w:w="48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7,350</w:t>
            </w: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222,632</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gridSpan w:val="3"/>
            <w:shd w:val="clear" w:color="auto" w:fill="FCDEC5"/>
          </w:tcPr>
          <w:p>
            <w:pPr>
              <w:jc w:val="right"/>
              <w:ind w:right="20"/>
              <w:spacing w:after="0" w:line="105" w:lineRule="exact"/>
              <w:rPr>
                <w:sz w:val="20"/>
                <w:szCs w:val="20"/>
                <w:color w:val="auto"/>
              </w:rPr>
            </w:pPr>
            <w:r>
              <w:rPr>
                <w:rFonts w:ascii="Arial" w:cs="Arial" w:eastAsia="Arial" w:hAnsi="Arial"/>
                <w:sz w:val="8"/>
                <w:szCs w:val="8"/>
                <w:color w:val="auto"/>
              </w:rPr>
              <w:t>3,675</w:t>
            </w:r>
            <w:r>
              <w:rPr>
                <w:rFonts w:ascii="Arial" w:cs="Arial" w:eastAsia="Arial" w:hAnsi="Arial"/>
                <w:sz w:val="12"/>
                <w:szCs w:val="12"/>
                <w:color w:val="auto"/>
                <w:vertAlign w:val="superscript"/>
              </w:rPr>
              <w:t>(3)</w:t>
            </w:r>
          </w:p>
        </w:tc>
        <w:tc>
          <w:tcPr>
            <w:tcW w:w="48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7,350</w:t>
            </w: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260,815</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40" w:type="dxa"/>
            <w:vAlign w:val="bottom"/>
            <w:tcBorders>
              <w:bottom w:val="single" w:sz="8" w:color="F79646"/>
            </w:tcBorders>
            <w:shd w:val="clear" w:color="auto" w:fill="FCDEC5"/>
          </w:tcPr>
          <w:p>
            <w:pPr>
              <w:spacing w:after="0"/>
              <w:rPr>
                <w:sz w:val="9"/>
                <w:szCs w:val="9"/>
                <w:color w:val="auto"/>
              </w:rPr>
            </w:pPr>
          </w:p>
        </w:tc>
        <w:tc>
          <w:tcPr>
            <w:tcW w:w="100" w:type="dxa"/>
            <w:vAlign w:val="bottom"/>
            <w:tcBorders>
              <w:bottom w:val="single" w:sz="8" w:color="F79646"/>
            </w:tcBorders>
            <w:shd w:val="clear" w:color="auto" w:fill="FCDEC5"/>
          </w:tcPr>
          <w:p>
            <w:pPr>
              <w:spacing w:after="0"/>
              <w:rPr>
                <w:sz w:val="9"/>
                <w:szCs w:val="9"/>
                <w:color w:val="auto"/>
              </w:rPr>
            </w:pPr>
          </w:p>
        </w:tc>
        <w:tc>
          <w:tcPr>
            <w:tcW w:w="480" w:type="dxa"/>
            <w:vAlign w:val="bottom"/>
            <w:tcBorders>
              <w:bottom w:val="single" w:sz="8" w:color="F79646"/>
            </w:tcBorders>
            <w:shd w:val="clear" w:color="auto" w:fill="FCDEC5"/>
          </w:tcPr>
          <w:p>
            <w:pPr>
              <w:spacing w:after="0"/>
              <w:rPr>
                <w:sz w:val="9"/>
                <w:szCs w:val="9"/>
                <w:color w:val="auto"/>
              </w:rPr>
            </w:pPr>
          </w:p>
        </w:tc>
        <w:tc>
          <w:tcPr>
            <w:tcW w:w="860" w:type="dxa"/>
            <w:vAlign w:val="bottom"/>
            <w:tcBorders>
              <w:bottom w:val="single" w:sz="8" w:color="F79646"/>
            </w:tcBorders>
            <w:gridSpan w:val="3"/>
            <w:shd w:val="clear" w:color="auto" w:fill="FCDEC5"/>
          </w:tcPr>
          <w:p>
            <w:pPr>
              <w:jc w:val="right"/>
              <w:ind w:right="40"/>
              <w:spacing w:after="0" w:line="105" w:lineRule="exact"/>
              <w:rPr>
                <w:sz w:val="20"/>
                <w:szCs w:val="20"/>
                <w:color w:val="auto"/>
              </w:rPr>
            </w:pPr>
            <w:r>
              <w:rPr>
                <w:rFonts w:ascii="Arial" w:cs="Arial" w:eastAsia="Arial" w:hAnsi="Arial"/>
                <w:sz w:val="8"/>
                <w:szCs w:val="8"/>
                <w:color w:val="auto"/>
              </w:rPr>
              <w:t>7,350</w:t>
            </w:r>
            <w:r>
              <w:rPr>
                <w:rFonts w:ascii="Arial" w:cs="Arial" w:eastAsia="Arial" w:hAnsi="Arial"/>
                <w:sz w:val="12"/>
                <w:szCs w:val="12"/>
                <w:color w:val="auto"/>
                <w:vertAlign w:val="superscript"/>
              </w:rPr>
              <w:t>(4)</w:t>
            </w: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445,263</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240" w:type="dxa"/>
            <w:vAlign w:val="bottom"/>
            <w:tcBorders>
              <w:left w:val="single" w:sz="8" w:color="F79646"/>
              <w:bottom w:val="single" w:sz="8" w:color="FCDEC5"/>
            </w:tcBorders>
            <w:gridSpan w:val="3"/>
          </w:tcPr>
          <w:p>
            <w:pPr>
              <w:ind w:left="140"/>
              <w:spacing w:after="0"/>
              <w:rPr>
                <w:sz w:val="20"/>
                <w:szCs w:val="20"/>
                <w:color w:val="auto"/>
              </w:rPr>
            </w:pPr>
            <w:r>
              <w:rPr>
                <w:rFonts w:ascii="Arial" w:cs="Arial" w:eastAsia="Arial" w:hAnsi="Arial"/>
                <w:sz w:val="10"/>
                <w:szCs w:val="10"/>
                <w:b w:val="1"/>
                <w:bCs w:val="1"/>
                <w:color w:val="auto"/>
              </w:rPr>
              <w:t>Pavan Bagai</w:t>
            </w: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271,538</w:t>
            </w: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543,076</w:t>
            </w: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40" w:type="dxa"/>
            <w:vAlign w:val="bottom"/>
            <w:tcBorders>
              <w:bottom w:val="single" w:sz="8" w:color="FCDEC5"/>
            </w:tcBorders>
          </w:tcPr>
          <w:p>
            <w:pPr>
              <w:spacing w:after="0"/>
              <w:rPr>
                <w:sz w:val="11"/>
                <w:szCs w:val="11"/>
                <w:color w:val="auto"/>
              </w:rPr>
            </w:pPr>
          </w:p>
        </w:tc>
        <w:tc>
          <w:tcPr>
            <w:tcW w:w="100" w:type="dxa"/>
            <w:vAlign w:val="bottom"/>
            <w:tcBorders>
              <w:bottom w:val="single" w:sz="8" w:color="FCDEC5"/>
            </w:tcBorders>
          </w:tcPr>
          <w:p>
            <w:pPr>
              <w:spacing w:after="0"/>
              <w:rPr>
                <w:sz w:val="11"/>
                <w:szCs w:val="11"/>
                <w:color w:val="auto"/>
              </w:rPr>
            </w:pPr>
          </w:p>
        </w:tc>
        <w:tc>
          <w:tcPr>
            <w:tcW w:w="48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5,300</w:t>
            </w:r>
            <w:r>
              <w:rPr>
                <w:rFonts w:ascii="Arial" w:cs="Arial" w:eastAsia="Arial" w:hAnsi="Arial"/>
                <w:sz w:val="15"/>
                <w:szCs w:val="15"/>
                <w:color w:val="auto"/>
                <w:vertAlign w:val="superscript"/>
              </w:rPr>
              <w:t>(2)</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10,600</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321,074</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5,300</w:t>
            </w:r>
            <w:r>
              <w:rPr>
                <w:rFonts w:ascii="Arial" w:cs="Arial" w:eastAsia="Arial" w:hAnsi="Arial"/>
                <w:sz w:val="15"/>
                <w:szCs w:val="15"/>
                <w:color w:val="auto"/>
                <w:vertAlign w:val="superscript"/>
              </w:rPr>
              <w:t>(3)</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10,600</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376,141</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79646"/>
            </w:tcBorders>
          </w:tcPr>
          <w:p>
            <w:pPr>
              <w:spacing w:after="0"/>
              <w:rPr>
                <w:sz w:val="11"/>
                <w:szCs w:val="11"/>
                <w:color w:val="auto"/>
              </w:rPr>
            </w:pPr>
          </w:p>
        </w:tc>
        <w:tc>
          <w:tcPr>
            <w:tcW w:w="940" w:type="dxa"/>
            <w:vAlign w:val="bottom"/>
            <w:tcBorders>
              <w:bottom w:val="single" w:sz="8" w:color="F79646"/>
            </w:tcBorders>
          </w:tcPr>
          <w:p>
            <w:pPr>
              <w:spacing w:after="0"/>
              <w:rPr>
                <w:sz w:val="11"/>
                <w:szCs w:val="11"/>
                <w:color w:val="auto"/>
              </w:rPr>
            </w:pPr>
          </w:p>
        </w:tc>
        <w:tc>
          <w:tcPr>
            <w:tcW w:w="160" w:type="dxa"/>
            <w:vAlign w:val="bottom"/>
            <w:tcBorders>
              <w:bottom w:val="single" w:sz="8" w:color="F79646"/>
            </w:tcBorders>
          </w:tcPr>
          <w:p>
            <w:pPr>
              <w:spacing w:after="0"/>
              <w:rPr>
                <w:sz w:val="11"/>
                <w:szCs w:val="11"/>
                <w:color w:val="auto"/>
              </w:rPr>
            </w:pPr>
          </w:p>
        </w:tc>
        <w:tc>
          <w:tcPr>
            <w:tcW w:w="6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6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4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480" w:type="dxa"/>
            <w:vAlign w:val="bottom"/>
            <w:tcBorders>
              <w:bottom w:val="single" w:sz="8" w:color="F79646"/>
            </w:tcBorders>
          </w:tcPr>
          <w:p>
            <w:pPr>
              <w:spacing w:after="0"/>
              <w:rPr>
                <w:sz w:val="11"/>
                <w:szCs w:val="11"/>
                <w:color w:val="auto"/>
              </w:rPr>
            </w:pPr>
          </w:p>
        </w:tc>
        <w:tc>
          <w:tcPr>
            <w:tcW w:w="860" w:type="dxa"/>
            <w:vAlign w:val="bottom"/>
            <w:tcBorders>
              <w:bottom w:val="single" w:sz="8" w:color="F79646"/>
            </w:tcBorders>
            <w:gridSpan w:val="3"/>
          </w:tcPr>
          <w:p>
            <w:pPr>
              <w:jc w:val="right"/>
              <w:ind w:right="40"/>
              <w:spacing w:after="0" w:line="134" w:lineRule="exact"/>
              <w:rPr>
                <w:sz w:val="20"/>
                <w:szCs w:val="20"/>
                <w:color w:val="auto"/>
              </w:rPr>
            </w:pPr>
            <w:r>
              <w:rPr>
                <w:rFonts w:ascii="Arial" w:cs="Arial" w:eastAsia="Arial" w:hAnsi="Arial"/>
                <w:sz w:val="10"/>
                <w:szCs w:val="10"/>
                <w:color w:val="auto"/>
              </w:rPr>
              <w:t>10,600</w:t>
            </w:r>
            <w:r>
              <w:rPr>
                <w:rFonts w:ascii="Arial" w:cs="Arial" w:eastAsia="Arial" w:hAnsi="Arial"/>
                <w:sz w:val="15"/>
                <w:szCs w:val="15"/>
                <w:color w:val="auto"/>
                <w:vertAlign w:val="superscript"/>
              </w:rPr>
              <w:t>(4)</w:t>
            </w:r>
          </w:p>
        </w:tc>
        <w:tc>
          <w:tcPr>
            <w:tcW w:w="60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642,148</w:t>
            </w:r>
          </w:p>
        </w:tc>
        <w:tc>
          <w:tcPr>
            <w:tcW w:w="140" w:type="dxa"/>
            <w:vAlign w:val="bottom"/>
            <w:tcBorders>
              <w:bottom w:val="single" w:sz="8" w:color="F796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1100" w:type="dxa"/>
            <w:vAlign w:val="bottom"/>
            <w:tcBorders>
              <w:bottom w:val="single" w:sz="8" w:color="F79646"/>
            </w:tcBorders>
            <w:gridSpan w:val="2"/>
            <w:shd w:val="clear" w:color="auto" w:fill="FCDEC5"/>
          </w:tcPr>
          <w:p>
            <w:pPr>
              <w:spacing w:after="0" w:line="105" w:lineRule="exact"/>
              <w:rPr>
                <w:sz w:val="20"/>
                <w:szCs w:val="20"/>
                <w:color w:val="auto"/>
              </w:rPr>
            </w:pPr>
            <w:r>
              <w:rPr>
                <w:rFonts w:ascii="Arial" w:cs="Arial" w:eastAsia="Arial" w:hAnsi="Arial"/>
                <w:sz w:val="10"/>
                <w:szCs w:val="10"/>
                <w:b w:val="1"/>
                <w:bCs w:val="1"/>
                <w:color w:val="auto"/>
              </w:rPr>
              <w:t>Nagaraja Srivatsan</w:t>
            </w: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331,027</w:t>
            </w: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662,055</w:t>
            </w: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40" w:type="dxa"/>
            <w:vAlign w:val="bottom"/>
            <w:tcBorders>
              <w:bottom w:val="single" w:sz="8" w:color="F79646"/>
            </w:tcBorders>
            <w:shd w:val="clear" w:color="auto" w:fill="FCDEC5"/>
          </w:tcPr>
          <w:p>
            <w:pPr>
              <w:spacing w:after="0"/>
              <w:rPr>
                <w:sz w:val="9"/>
                <w:szCs w:val="9"/>
                <w:color w:val="auto"/>
              </w:rPr>
            </w:pPr>
          </w:p>
        </w:tc>
        <w:tc>
          <w:tcPr>
            <w:tcW w:w="100" w:type="dxa"/>
            <w:vAlign w:val="bottom"/>
            <w:tcBorders>
              <w:bottom w:val="single" w:sz="8" w:color="F79646"/>
            </w:tcBorders>
            <w:shd w:val="clear" w:color="auto" w:fill="FCDEC5"/>
          </w:tcPr>
          <w:p>
            <w:pPr>
              <w:spacing w:after="0"/>
              <w:rPr>
                <w:sz w:val="9"/>
                <w:szCs w:val="9"/>
                <w:color w:val="auto"/>
              </w:rPr>
            </w:pPr>
          </w:p>
        </w:tc>
        <w:tc>
          <w:tcPr>
            <w:tcW w:w="48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gridSpan w:val="3"/>
            <w:shd w:val="clear" w:color="auto" w:fill="FCDEC5"/>
          </w:tcPr>
          <w:p>
            <w:pPr>
              <w:jc w:val="right"/>
              <w:ind w:right="20"/>
              <w:spacing w:after="0" w:line="105" w:lineRule="exact"/>
              <w:rPr>
                <w:sz w:val="20"/>
                <w:szCs w:val="20"/>
                <w:color w:val="auto"/>
              </w:rPr>
            </w:pPr>
            <w:r>
              <w:rPr>
                <w:rFonts w:ascii="Arial" w:cs="Arial" w:eastAsia="Arial" w:hAnsi="Arial"/>
                <w:sz w:val="8"/>
                <w:szCs w:val="8"/>
                <w:color w:val="auto"/>
              </w:rPr>
              <w:t>2,980</w:t>
            </w:r>
            <w:r>
              <w:rPr>
                <w:rFonts w:ascii="Arial" w:cs="Arial" w:eastAsia="Arial" w:hAnsi="Arial"/>
                <w:sz w:val="12"/>
                <w:szCs w:val="12"/>
                <w:color w:val="auto"/>
                <w:vertAlign w:val="superscript"/>
              </w:rPr>
              <w:t>(2)</w:t>
            </w:r>
          </w:p>
        </w:tc>
        <w:tc>
          <w:tcPr>
            <w:tcW w:w="48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5,960</w:t>
            </w: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180,528</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gridSpan w:val="3"/>
            <w:shd w:val="clear" w:color="auto" w:fill="FCDEC5"/>
          </w:tcPr>
          <w:p>
            <w:pPr>
              <w:jc w:val="right"/>
              <w:ind w:right="20"/>
              <w:spacing w:after="0" w:line="105" w:lineRule="exact"/>
              <w:rPr>
                <w:sz w:val="20"/>
                <w:szCs w:val="20"/>
                <w:color w:val="auto"/>
              </w:rPr>
            </w:pPr>
            <w:r>
              <w:rPr>
                <w:rFonts w:ascii="Arial" w:cs="Arial" w:eastAsia="Arial" w:hAnsi="Arial"/>
                <w:sz w:val="8"/>
                <w:szCs w:val="8"/>
                <w:color w:val="auto"/>
              </w:rPr>
              <w:t>2,980</w:t>
            </w:r>
            <w:r>
              <w:rPr>
                <w:rFonts w:ascii="Arial" w:cs="Arial" w:eastAsia="Arial" w:hAnsi="Arial"/>
                <w:sz w:val="12"/>
                <w:szCs w:val="12"/>
                <w:color w:val="auto"/>
                <w:vertAlign w:val="superscript"/>
              </w:rPr>
              <w:t>(3)</w:t>
            </w:r>
          </w:p>
        </w:tc>
        <w:tc>
          <w:tcPr>
            <w:tcW w:w="48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5,960</w:t>
            </w:r>
          </w:p>
        </w:tc>
        <w:tc>
          <w:tcPr>
            <w:tcW w:w="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shd w:val="clear" w:color="auto" w:fill="FCDEC5"/>
          </w:tcPr>
          <w:p>
            <w:pPr>
              <w:spacing w:after="0"/>
              <w:rPr>
                <w:sz w:val="9"/>
                <w:szCs w:val="9"/>
                <w:color w:val="auto"/>
              </w:rPr>
            </w:pPr>
          </w:p>
        </w:tc>
        <w:tc>
          <w:tcPr>
            <w:tcW w:w="14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211,491</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0" w:type="dxa"/>
            <w:vAlign w:val="bottom"/>
            <w:tcBorders>
              <w:left w:val="single" w:sz="8" w:color="F79646"/>
              <w:bottom w:val="single" w:sz="8" w:color="F79646"/>
            </w:tcBorders>
            <w:shd w:val="clear" w:color="auto" w:fill="FCDEC5"/>
          </w:tcPr>
          <w:p>
            <w:pPr>
              <w:spacing w:after="0"/>
              <w:rPr>
                <w:sz w:val="9"/>
                <w:szCs w:val="9"/>
                <w:color w:val="auto"/>
              </w:rPr>
            </w:pPr>
          </w:p>
        </w:tc>
        <w:tc>
          <w:tcPr>
            <w:tcW w:w="940" w:type="dxa"/>
            <w:vAlign w:val="bottom"/>
            <w:tcBorders>
              <w:bottom w:val="single" w:sz="8" w:color="F79646"/>
            </w:tcBorders>
            <w:shd w:val="clear" w:color="auto" w:fill="FCDEC5"/>
          </w:tcPr>
          <w:p>
            <w:pPr>
              <w:spacing w:after="0"/>
              <w:rPr>
                <w:sz w:val="9"/>
                <w:szCs w:val="9"/>
                <w:color w:val="auto"/>
              </w:rPr>
            </w:pPr>
          </w:p>
        </w:tc>
        <w:tc>
          <w:tcPr>
            <w:tcW w:w="160" w:type="dxa"/>
            <w:vAlign w:val="bottom"/>
            <w:tcBorders>
              <w:bottom w:val="single" w:sz="8" w:color="F79646"/>
            </w:tcBorders>
            <w:shd w:val="clear" w:color="auto" w:fill="FCDEC5"/>
          </w:tcPr>
          <w:p>
            <w:pPr>
              <w:spacing w:after="0"/>
              <w:rPr>
                <w:sz w:val="9"/>
                <w:szCs w:val="9"/>
                <w:color w:val="auto"/>
              </w:rPr>
            </w:pPr>
          </w:p>
        </w:tc>
        <w:tc>
          <w:tcPr>
            <w:tcW w:w="660" w:type="dxa"/>
            <w:vAlign w:val="bottom"/>
            <w:tcBorders>
              <w:bottom w:val="single" w:sz="8" w:color="F79646"/>
            </w:tcBorders>
            <w:gridSpan w:val="2"/>
            <w:shd w:val="clear" w:color="auto" w:fill="FCDEC5"/>
          </w:tcPr>
          <w:p>
            <w:pPr>
              <w:jc w:val="right"/>
              <w:spacing w:after="0" w:line="105" w:lineRule="exact"/>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6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60" w:type="dxa"/>
            <w:vAlign w:val="bottom"/>
            <w:tcBorders>
              <w:bottom w:val="single" w:sz="8" w:color="F79646"/>
            </w:tcBorders>
            <w:shd w:val="clear" w:color="auto" w:fill="FCDEC5"/>
          </w:tcPr>
          <w:p>
            <w:pPr>
              <w:spacing w:after="0"/>
              <w:rPr>
                <w:sz w:val="9"/>
                <w:szCs w:val="9"/>
                <w:color w:val="auto"/>
              </w:rPr>
            </w:pPr>
          </w:p>
        </w:tc>
        <w:tc>
          <w:tcPr>
            <w:tcW w:w="40" w:type="dxa"/>
            <w:vAlign w:val="bottom"/>
            <w:tcBorders>
              <w:bottom w:val="single" w:sz="8" w:color="F79646"/>
            </w:tcBorders>
            <w:shd w:val="clear" w:color="auto" w:fill="FCDEC5"/>
          </w:tcPr>
          <w:p>
            <w:pPr>
              <w:spacing w:after="0"/>
              <w:rPr>
                <w:sz w:val="9"/>
                <w:szCs w:val="9"/>
                <w:color w:val="auto"/>
              </w:rPr>
            </w:pPr>
          </w:p>
        </w:tc>
        <w:tc>
          <w:tcPr>
            <w:tcW w:w="500" w:type="dxa"/>
            <w:vAlign w:val="bottom"/>
            <w:tcBorders>
              <w:bottom w:val="single" w:sz="8" w:color="F79646"/>
            </w:tcBorders>
            <w:shd w:val="clear" w:color="auto" w:fill="FCDEC5"/>
          </w:tcPr>
          <w:p>
            <w:pPr>
              <w:spacing w:after="0"/>
              <w:rPr>
                <w:sz w:val="9"/>
                <w:szCs w:val="9"/>
                <w:color w:val="auto"/>
              </w:rPr>
            </w:pPr>
          </w:p>
        </w:tc>
        <w:tc>
          <w:tcPr>
            <w:tcW w:w="60" w:type="dxa"/>
            <w:vAlign w:val="bottom"/>
            <w:tcBorders>
              <w:bottom w:val="single" w:sz="8" w:color="F79646"/>
            </w:tcBorders>
            <w:shd w:val="clear" w:color="auto" w:fill="FCDEC5"/>
          </w:tcPr>
          <w:p>
            <w:pPr>
              <w:spacing w:after="0"/>
              <w:rPr>
                <w:sz w:val="9"/>
                <w:szCs w:val="9"/>
                <w:color w:val="auto"/>
              </w:rPr>
            </w:pPr>
          </w:p>
        </w:tc>
        <w:tc>
          <w:tcPr>
            <w:tcW w:w="440" w:type="dxa"/>
            <w:vAlign w:val="bottom"/>
            <w:tcBorders>
              <w:bottom w:val="single" w:sz="8" w:color="F79646"/>
            </w:tcBorders>
            <w:shd w:val="clear" w:color="auto" w:fill="FCDEC5"/>
          </w:tcPr>
          <w:p>
            <w:pPr>
              <w:spacing w:after="0"/>
              <w:rPr>
                <w:sz w:val="9"/>
                <w:szCs w:val="9"/>
                <w:color w:val="auto"/>
              </w:rPr>
            </w:pPr>
          </w:p>
        </w:tc>
        <w:tc>
          <w:tcPr>
            <w:tcW w:w="100" w:type="dxa"/>
            <w:vAlign w:val="bottom"/>
            <w:tcBorders>
              <w:bottom w:val="single" w:sz="8" w:color="F79646"/>
            </w:tcBorders>
            <w:shd w:val="clear" w:color="auto" w:fill="FCDEC5"/>
          </w:tcPr>
          <w:p>
            <w:pPr>
              <w:spacing w:after="0"/>
              <w:rPr>
                <w:sz w:val="9"/>
                <w:szCs w:val="9"/>
                <w:color w:val="auto"/>
              </w:rPr>
            </w:pPr>
          </w:p>
        </w:tc>
        <w:tc>
          <w:tcPr>
            <w:tcW w:w="480" w:type="dxa"/>
            <w:vAlign w:val="bottom"/>
            <w:tcBorders>
              <w:bottom w:val="single" w:sz="8" w:color="F79646"/>
            </w:tcBorders>
            <w:shd w:val="clear" w:color="auto" w:fill="FCDEC5"/>
          </w:tcPr>
          <w:p>
            <w:pPr>
              <w:spacing w:after="0"/>
              <w:rPr>
                <w:sz w:val="9"/>
                <w:szCs w:val="9"/>
                <w:color w:val="auto"/>
              </w:rPr>
            </w:pPr>
          </w:p>
        </w:tc>
        <w:tc>
          <w:tcPr>
            <w:tcW w:w="860" w:type="dxa"/>
            <w:vAlign w:val="bottom"/>
            <w:tcBorders>
              <w:bottom w:val="single" w:sz="8" w:color="F79646"/>
            </w:tcBorders>
            <w:gridSpan w:val="3"/>
            <w:shd w:val="clear" w:color="auto" w:fill="FCDEC5"/>
          </w:tcPr>
          <w:p>
            <w:pPr>
              <w:jc w:val="right"/>
              <w:ind w:right="40"/>
              <w:spacing w:after="0" w:line="105" w:lineRule="exact"/>
              <w:rPr>
                <w:sz w:val="20"/>
                <w:szCs w:val="20"/>
                <w:color w:val="auto"/>
              </w:rPr>
            </w:pPr>
            <w:r>
              <w:rPr>
                <w:rFonts w:ascii="Arial" w:cs="Arial" w:eastAsia="Arial" w:hAnsi="Arial"/>
                <w:sz w:val="8"/>
                <w:szCs w:val="8"/>
                <w:color w:val="auto"/>
              </w:rPr>
              <w:t>5,960</w:t>
            </w:r>
            <w:r>
              <w:rPr>
                <w:rFonts w:ascii="Arial" w:cs="Arial" w:eastAsia="Arial" w:hAnsi="Arial"/>
                <w:sz w:val="12"/>
                <w:szCs w:val="12"/>
                <w:color w:val="auto"/>
                <w:vertAlign w:val="superscript"/>
              </w:rPr>
              <w:t>(4)</w:t>
            </w:r>
          </w:p>
        </w:tc>
        <w:tc>
          <w:tcPr>
            <w:tcW w:w="600" w:type="dxa"/>
            <w:vAlign w:val="bottom"/>
            <w:tcBorders>
              <w:bottom w:val="single" w:sz="8" w:color="F79646"/>
            </w:tcBorders>
            <w:shd w:val="clear" w:color="auto" w:fill="FCDEC5"/>
          </w:tcPr>
          <w:p>
            <w:pPr>
              <w:jc w:val="right"/>
              <w:spacing w:after="0" w:line="105" w:lineRule="exact"/>
              <w:rPr>
                <w:sz w:val="20"/>
                <w:szCs w:val="20"/>
                <w:color w:val="auto"/>
              </w:rPr>
            </w:pPr>
            <w:r>
              <w:rPr>
                <w:rFonts w:ascii="Arial" w:cs="Arial" w:eastAsia="Arial" w:hAnsi="Arial"/>
                <w:sz w:val="10"/>
                <w:szCs w:val="10"/>
                <w:color w:val="auto"/>
              </w:rPr>
              <w:t>361,057</w:t>
            </w:r>
          </w:p>
        </w:tc>
        <w:tc>
          <w:tcPr>
            <w:tcW w:w="140" w:type="dxa"/>
            <w:vAlign w:val="bottom"/>
            <w:tcBorders>
              <w:bottom w:val="single" w:sz="8" w:color="F79646"/>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240" w:type="dxa"/>
            <w:vAlign w:val="bottom"/>
            <w:tcBorders>
              <w:left w:val="single" w:sz="8" w:color="F79646"/>
              <w:bottom w:val="single" w:sz="8" w:color="FCDEC5"/>
            </w:tcBorders>
            <w:gridSpan w:val="3"/>
          </w:tcPr>
          <w:p>
            <w:pPr>
              <w:ind w:left="140"/>
              <w:spacing w:after="0"/>
              <w:rPr>
                <w:sz w:val="20"/>
                <w:szCs w:val="20"/>
                <w:color w:val="auto"/>
              </w:rPr>
            </w:pPr>
            <w:r>
              <w:rPr>
                <w:rFonts w:ascii="Arial" w:cs="Arial" w:eastAsia="Arial" w:hAnsi="Arial"/>
                <w:sz w:val="10"/>
                <w:szCs w:val="10"/>
                <w:b w:val="1"/>
                <w:bCs w:val="1"/>
                <w:color w:val="auto"/>
              </w:rPr>
              <w:t>Nalin Miglani</w:t>
            </w: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314,938</w:t>
            </w: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629,877</w:t>
            </w: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40" w:type="dxa"/>
            <w:vAlign w:val="bottom"/>
            <w:tcBorders>
              <w:bottom w:val="single" w:sz="8" w:color="FCDEC5"/>
            </w:tcBorders>
          </w:tcPr>
          <w:p>
            <w:pPr>
              <w:spacing w:after="0"/>
              <w:rPr>
                <w:sz w:val="11"/>
                <w:szCs w:val="11"/>
                <w:color w:val="auto"/>
              </w:rPr>
            </w:pPr>
          </w:p>
        </w:tc>
        <w:tc>
          <w:tcPr>
            <w:tcW w:w="100" w:type="dxa"/>
            <w:vAlign w:val="bottom"/>
            <w:tcBorders>
              <w:bottom w:val="single" w:sz="8" w:color="FCDEC5"/>
            </w:tcBorders>
          </w:tcPr>
          <w:p>
            <w:pPr>
              <w:spacing w:after="0"/>
              <w:rPr>
                <w:sz w:val="11"/>
                <w:szCs w:val="11"/>
                <w:color w:val="auto"/>
              </w:rPr>
            </w:pPr>
          </w:p>
        </w:tc>
        <w:tc>
          <w:tcPr>
            <w:tcW w:w="48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3,205</w:t>
            </w:r>
            <w:r>
              <w:rPr>
                <w:rFonts w:ascii="Arial" w:cs="Arial" w:eastAsia="Arial" w:hAnsi="Arial"/>
                <w:sz w:val="15"/>
                <w:szCs w:val="15"/>
                <w:color w:val="auto"/>
                <w:vertAlign w:val="superscript"/>
              </w:rPr>
              <w:t>(2)</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6,410</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194,159</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CDEC5"/>
            </w:tcBorders>
          </w:tcPr>
          <w:p>
            <w:pPr>
              <w:spacing w:after="0"/>
              <w:rPr>
                <w:sz w:val="11"/>
                <w:szCs w:val="11"/>
                <w:color w:val="auto"/>
              </w:rPr>
            </w:pPr>
          </w:p>
        </w:tc>
        <w:tc>
          <w:tcPr>
            <w:tcW w:w="940" w:type="dxa"/>
            <w:vAlign w:val="bottom"/>
            <w:tcBorders>
              <w:bottom w:val="single" w:sz="8" w:color="FCDEC5"/>
            </w:tcBorders>
          </w:tcPr>
          <w:p>
            <w:pPr>
              <w:spacing w:after="0"/>
              <w:rPr>
                <w:sz w:val="11"/>
                <w:szCs w:val="11"/>
                <w:color w:val="auto"/>
              </w:rPr>
            </w:pPr>
          </w:p>
        </w:tc>
        <w:tc>
          <w:tcPr>
            <w:tcW w:w="1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spacing w:after="0"/>
              <w:rPr>
                <w:sz w:val="11"/>
                <w:szCs w:val="11"/>
                <w:color w:val="auto"/>
              </w:rPr>
            </w:pPr>
          </w:p>
        </w:tc>
        <w:tc>
          <w:tcPr>
            <w:tcW w:w="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60" w:type="dxa"/>
            <w:vAlign w:val="bottom"/>
            <w:tcBorders>
              <w:bottom w:val="single" w:sz="8" w:color="FCDEC5"/>
            </w:tcBorders>
          </w:tcPr>
          <w:p>
            <w:pPr>
              <w:spacing w:after="0"/>
              <w:rPr>
                <w:sz w:val="11"/>
                <w:szCs w:val="11"/>
                <w:color w:val="auto"/>
              </w:rPr>
            </w:pPr>
          </w:p>
        </w:tc>
        <w:tc>
          <w:tcPr>
            <w:tcW w:w="40" w:type="dxa"/>
            <w:vAlign w:val="bottom"/>
            <w:tcBorders>
              <w:bottom w:val="single" w:sz="8" w:color="FCDEC5"/>
            </w:tcBorders>
          </w:tcPr>
          <w:p>
            <w:pPr>
              <w:spacing w:after="0"/>
              <w:rPr>
                <w:sz w:val="11"/>
                <w:szCs w:val="11"/>
                <w:color w:val="auto"/>
              </w:rPr>
            </w:pPr>
          </w:p>
        </w:tc>
        <w:tc>
          <w:tcPr>
            <w:tcW w:w="50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gridSpan w:val="3"/>
          </w:tcPr>
          <w:p>
            <w:pPr>
              <w:jc w:val="right"/>
              <w:ind w:right="20"/>
              <w:spacing w:after="0" w:line="134" w:lineRule="exact"/>
              <w:rPr>
                <w:sz w:val="20"/>
                <w:szCs w:val="20"/>
                <w:color w:val="auto"/>
              </w:rPr>
            </w:pPr>
            <w:r>
              <w:rPr>
                <w:rFonts w:ascii="Arial" w:cs="Arial" w:eastAsia="Arial" w:hAnsi="Arial"/>
                <w:sz w:val="10"/>
                <w:szCs w:val="10"/>
                <w:color w:val="auto"/>
              </w:rPr>
              <w:t>3,205</w:t>
            </w:r>
            <w:r>
              <w:rPr>
                <w:rFonts w:ascii="Arial" w:cs="Arial" w:eastAsia="Arial" w:hAnsi="Arial"/>
                <w:sz w:val="15"/>
                <w:szCs w:val="15"/>
                <w:color w:val="auto"/>
                <w:vertAlign w:val="superscript"/>
              </w:rPr>
              <w:t>(3)</w:t>
            </w:r>
          </w:p>
        </w:tc>
        <w:tc>
          <w:tcPr>
            <w:tcW w:w="48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6,410</w:t>
            </w:r>
          </w:p>
        </w:tc>
        <w:tc>
          <w:tcPr>
            <w:tcW w:w="60" w:type="dxa"/>
            <w:vAlign w:val="bottom"/>
            <w:tcBorders>
              <w:bottom w:val="single" w:sz="8" w:color="FCDEC5"/>
            </w:tcBorders>
          </w:tcPr>
          <w:p>
            <w:pPr>
              <w:spacing w:after="0"/>
              <w:rPr>
                <w:sz w:val="11"/>
                <w:szCs w:val="11"/>
                <w:color w:val="auto"/>
              </w:rPr>
            </w:pPr>
          </w:p>
        </w:tc>
        <w:tc>
          <w:tcPr>
            <w:tcW w:w="660" w:type="dxa"/>
            <w:vAlign w:val="bottom"/>
            <w:tcBorders>
              <w:bottom w:val="single" w:sz="8" w:color="FCDEC5"/>
            </w:tcBorders>
          </w:tcPr>
          <w:p>
            <w:pPr>
              <w:spacing w:after="0"/>
              <w:rPr>
                <w:sz w:val="11"/>
                <w:szCs w:val="11"/>
                <w:color w:val="auto"/>
              </w:rPr>
            </w:pPr>
          </w:p>
        </w:tc>
        <w:tc>
          <w:tcPr>
            <w:tcW w:w="140" w:type="dxa"/>
            <w:vAlign w:val="bottom"/>
            <w:tcBorders>
              <w:bottom w:val="single" w:sz="8" w:color="FCDEC5"/>
            </w:tcBorders>
          </w:tcPr>
          <w:p>
            <w:pPr>
              <w:spacing w:after="0"/>
              <w:rPr>
                <w:sz w:val="11"/>
                <w:szCs w:val="11"/>
                <w:color w:val="auto"/>
              </w:rPr>
            </w:pPr>
          </w:p>
        </w:tc>
        <w:tc>
          <w:tcPr>
            <w:tcW w:w="600" w:type="dxa"/>
            <w:vAlign w:val="bottom"/>
            <w:tcBorders>
              <w:bottom w:val="single" w:sz="8" w:color="FCDEC5"/>
            </w:tcBorders>
          </w:tcPr>
          <w:p>
            <w:pPr>
              <w:jc w:val="right"/>
              <w:spacing w:after="0"/>
              <w:rPr>
                <w:sz w:val="20"/>
                <w:szCs w:val="20"/>
                <w:color w:val="auto"/>
              </w:rPr>
            </w:pPr>
            <w:r>
              <w:rPr>
                <w:rFonts w:ascii="Arial" w:cs="Arial" w:eastAsia="Arial" w:hAnsi="Arial"/>
                <w:sz w:val="10"/>
                <w:szCs w:val="10"/>
                <w:color w:val="auto"/>
              </w:rPr>
              <w:t>227,459</w:t>
            </w:r>
          </w:p>
        </w:tc>
        <w:tc>
          <w:tcPr>
            <w:tcW w:w="140" w:type="dxa"/>
            <w:vAlign w:val="bottom"/>
            <w:tcBorders>
              <w:bottom w:val="single" w:sz="8" w:color="FCDEC5"/>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F79646"/>
              <w:bottom w:val="single" w:sz="8" w:color="F79646"/>
            </w:tcBorders>
          </w:tcPr>
          <w:p>
            <w:pPr>
              <w:spacing w:after="0"/>
              <w:rPr>
                <w:sz w:val="11"/>
                <w:szCs w:val="11"/>
                <w:color w:val="auto"/>
              </w:rPr>
            </w:pPr>
          </w:p>
        </w:tc>
        <w:tc>
          <w:tcPr>
            <w:tcW w:w="940" w:type="dxa"/>
            <w:vAlign w:val="bottom"/>
            <w:tcBorders>
              <w:bottom w:val="single" w:sz="8" w:color="F79646"/>
            </w:tcBorders>
          </w:tcPr>
          <w:p>
            <w:pPr>
              <w:spacing w:after="0"/>
              <w:rPr>
                <w:sz w:val="11"/>
                <w:szCs w:val="11"/>
                <w:color w:val="auto"/>
              </w:rPr>
            </w:pPr>
          </w:p>
        </w:tc>
        <w:tc>
          <w:tcPr>
            <w:tcW w:w="160" w:type="dxa"/>
            <w:vAlign w:val="bottom"/>
            <w:tcBorders>
              <w:bottom w:val="single" w:sz="8" w:color="F79646"/>
            </w:tcBorders>
          </w:tcPr>
          <w:p>
            <w:pPr>
              <w:spacing w:after="0"/>
              <w:rPr>
                <w:sz w:val="11"/>
                <w:szCs w:val="11"/>
                <w:color w:val="auto"/>
              </w:rPr>
            </w:pPr>
          </w:p>
        </w:tc>
        <w:tc>
          <w:tcPr>
            <w:tcW w:w="6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6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6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500" w:type="dxa"/>
            <w:vAlign w:val="bottom"/>
            <w:tcBorders>
              <w:bottom w:val="single" w:sz="8" w:color="F79646"/>
            </w:tcBorders>
          </w:tcPr>
          <w:p>
            <w:pPr>
              <w:spacing w:after="0"/>
              <w:rPr>
                <w:sz w:val="11"/>
                <w:szCs w:val="11"/>
                <w:color w:val="auto"/>
              </w:rPr>
            </w:pPr>
          </w:p>
        </w:tc>
        <w:tc>
          <w:tcPr>
            <w:tcW w:w="60" w:type="dxa"/>
            <w:vAlign w:val="bottom"/>
            <w:tcBorders>
              <w:bottom w:val="single" w:sz="8" w:color="F79646"/>
            </w:tcBorders>
          </w:tcPr>
          <w:p>
            <w:pPr>
              <w:spacing w:after="0"/>
              <w:rPr>
                <w:sz w:val="11"/>
                <w:szCs w:val="11"/>
                <w:color w:val="auto"/>
              </w:rPr>
            </w:pPr>
          </w:p>
        </w:tc>
        <w:tc>
          <w:tcPr>
            <w:tcW w:w="44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480" w:type="dxa"/>
            <w:vAlign w:val="bottom"/>
            <w:tcBorders>
              <w:bottom w:val="single" w:sz="8" w:color="F79646"/>
            </w:tcBorders>
          </w:tcPr>
          <w:p>
            <w:pPr>
              <w:spacing w:after="0"/>
              <w:rPr>
                <w:sz w:val="11"/>
                <w:szCs w:val="11"/>
                <w:color w:val="auto"/>
              </w:rPr>
            </w:pPr>
          </w:p>
        </w:tc>
        <w:tc>
          <w:tcPr>
            <w:tcW w:w="860" w:type="dxa"/>
            <w:vAlign w:val="bottom"/>
            <w:tcBorders>
              <w:bottom w:val="single" w:sz="8" w:color="F79646"/>
            </w:tcBorders>
            <w:gridSpan w:val="3"/>
          </w:tcPr>
          <w:p>
            <w:pPr>
              <w:jc w:val="right"/>
              <w:ind w:right="40"/>
              <w:spacing w:after="0" w:line="134" w:lineRule="exact"/>
              <w:rPr>
                <w:sz w:val="20"/>
                <w:szCs w:val="20"/>
                <w:color w:val="auto"/>
              </w:rPr>
            </w:pPr>
            <w:r>
              <w:rPr>
                <w:rFonts w:ascii="Arial" w:cs="Arial" w:eastAsia="Arial" w:hAnsi="Arial"/>
                <w:sz w:val="10"/>
                <w:szCs w:val="10"/>
                <w:color w:val="auto"/>
              </w:rPr>
              <w:t>6,410</w:t>
            </w:r>
            <w:r>
              <w:rPr>
                <w:rFonts w:ascii="Arial" w:cs="Arial" w:eastAsia="Arial" w:hAnsi="Arial"/>
                <w:sz w:val="15"/>
                <w:szCs w:val="15"/>
                <w:color w:val="auto"/>
                <w:vertAlign w:val="superscript"/>
              </w:rPr>
              <w:t>(4)</w:t>
            </w:r>
          </w:p>
        </w:tc>
        <w:tc>
          <w:tcPr>
            <w:tcW w:w="60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388,318</w:t>
            </w:r>
          </w:p>
        </w:tc>
        <w:tc>
          <w:tcPr>
            <w:tcW w:w="140" w:type="dxa"/>
            <w:vAlign w:val="bottom"/>
            <w:tcBorders>
              <w:bottom w:val="single" w:sz="8" w:color="F796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440" w:right="199" w:hanging="382"/>
        <w:spacing w:after="0" w:line="241" w:lineRule="auto"/>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These amounts reflect the target and maximum cash incentive bonuses set for 2018. For details of our annual incentive bonus program, see "Compensation Discussion and Analysis—Incentive Bonus" beginning on page 42.</w:t>
      </w:r>
    </w:p>
    <w:p>
      <w:pPr>
        <w:ind w:left="1440" w:hanging="382"/>
        <w:spacing w:after="0"/>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Represents annual awards of Revenue-Linked PRSUs granted under the 2015 Plan, subject to the vesting set forth in footnote 6.</w:t>
      </w:r>
    </w:p>
    <w:p>
      <w:pPr>
        <w:ind w:left="1440" w:hanging="382"/>
        <w:spacing w:after="0"/>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Represents annual awards of Relative TSR-Linked PRSUs granted under the 2015 Plan, subject to the vesting set forth in footnote 6.</w:t>
      </w:r>
    </w:p>
    <w:p>
      <w:pPr>
        <w:ind w:left="1440" w:hanging="382"/>
        <w:spacing w:after="0"/>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Represents annual awards of restricted stock units granted under the 2015 Plan, subject to the vesting set forth in footnote 6.</w:t>
      </w:r>
    </w:p>
    <w:p>
      <w:pPr>
        <w:ind w:left="1440" w:hanging="382"/>
        <w:spacing w:after="0"/>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The grant date fair value of the estimated future payouts for the Relative TSR-Linked PRSUs are based on the Monte Carlo value.</w:t>
      </w:r>
    </w:p>
    <w:p>
      <w:pPr>
        <w:ind w:left="1440" w:right="199" w:hanging="382"/>
        <w:spacing w:after="0" w:line="257" w:lineRule="auto"/>
        <w:tabs>
          <w:tab w:leader="none" w:pos="1440" w:val="left"/>
        </w:tabs>
        <w:numPr>
          <w:ilvl w:val="0"/>
          <w:numId w:val="78"/>
        </w:numPr>
        <w:rPr>
          <w:rFonts w:ascii="Arial" w:cs="Arial" w:eastAsia="Arial" w:hAnsi="Arial"/>
          <w:sz w:val="10"/>
          <w:szCs w:val="10"/>
          <w:color w:val="auto"/>
        </w:rPr>
      </w:pPr>
      <w:r>
        <w:rPr>
          <w:rFonts w:ascii="Arial" w:cs="Arial" w:eastAsia="Arial" w:hAnsi="Arial"/>
          <w:sz w:val="10"/>
          <w:szCs w:val="10"/>
          <w:color w:val="auto"/>
        </w:rPr>
        <w:t>The vesting schedules of the stock grants mentioned in the table are as follows for each named executive officer (subject to continued employment through each applicable vesting date):</w:t>
      </w:r>
    </w:p>
    <w:p>
      <w:pPr>
        <w:spacing w:after="0" w:line="135" w:lineRule="exact"/>
        <w:rPr>
          <w:sz w:val="20"/>
          <w:szCs w:val="20"/>
          <w:color w:val="auto"/>
        </w:rPr>
      </w:pPr>
    </w:p>
    <w:tbl>
      <w:tblPr>
        <w:tblLayout w:type="fixed"/>
        <w:tblInd w:w="1070" w:type="dxa"/>
        <w:tblCellMar>
          <w:top w:w="0" w:type="dxa"/>
          <w:left w:w="0" w:type="dxa"/>
          <w:bottom w:w="0" w:type="dxa"/>
          <w:right w:w="0" w:type="dxa"/>
        </w:tblCellMar>
      </w:tblPr>
      <w:tr>
        <w:trPr>
          <w:trHeight w:val="288"/>
        </w:trPr>
        <w:tc>
          <w:tcPr>
            <w:tcW w:w="220" w:type="dxa"/>
            <w:vAlign w:val="bottom"/>
            <w:tcBorders>
              <w:left w:val="single" w:sz="8" w:color="F79646"/>
              <w:bottom w:val="single" w:sz="8" w:color="F79646"/>
            </w:tcBorders>
            <w:shd w:val="clear" w:color="auto" w:fill="F79646"/>
          </w:tcPr>
          <w:p>
            <w:pPr>
              <w:spacing w:after="0"/>
              <w:rPr>
                <w:sz w:val="24"/>
                <w:szCs w:val="24"/>
                <w:color w:val="auto"/>
              </w:rPr>
            </w:pPr>
          </w:p>
        </w:tc>
        <w:tc>
          <w:tcPr>
            <w:tcW w:w="900" w:type="dxa"/>
            <w:vAlign w:val="bottom"/>
            <w:tcBorders>
              <w:bottom w:val="single" w:sz="8" w:color="auto"/>
            </w:tcBorders>
            <w:shd w:val="clear" w:color="auto" w:fill="F79646"/>
          </w:tcPr>
          <w:p>
            <w:pPr>
              <w:jc w:val="right"/>
              <w:ind w:right="77"/>
              <w:spacing w:after="0"/>
              <w:rPr>
                <w:sz w:val="20"/>
                <w:szCs w:val="20"/>
                <w:color w:val="auto"/>
              </w:rPr>
            </w:pPr>
            <w:r>
              <w:rPr>
                <w:rFonts w:ascii="Arial" w:cs="Arial" w:eastAsia="Arial" w:hAnsi="Arial"/>
                <w:sz w:val="13"/>
                <w:szCs w:val="13"/>
                <w:b w:val="1"/>
                <w:bCs w:val="1"/>
                <w:color w:val="FFFFFE"/>
              </w:rPr>
              <w:t>Grant Date</w:t>
            </w:r>
          </w:p>
        </w:tc>
        <w:tc>
          <w:tcPr>
            <w:tcW w:w="120" w:type="dxa"/>
            <w:vAlign w:val="bottom"/>
            <w:tcBorders>
              <w:bottom w:val="single" w:sz="8" w:color="F79646"/>
            </w:tcBorders>
            <w:shd w:val="clear" w:color="auto" w:fill="F79646"/>
          </w:tcPr>
          <w:p>
            <w:pPr>
              <w:spacing w:after="0"/>
              <w:rPr>
                <w:sz w:val="24"/>
                <w:szCs w:val="24"/>
                <w:color w:val="auto"/>
              </w:rPr>
            </w:pPr>
          </w:p>
        </w:tc>
        <w:tc>
          <w:tcPr>
            <w:tcW w:w="1300" w:type="dxa"/>
            <w:vAlign w:val="bottom"/>
            <w:tcBorders>
              <w:bottom w:val="single" w:sz="8" w:color="auto"/>
            </w:tcBorders>
            <w:shd w:val="clear" w:color="auto" w:fill="F79646"/>
          </w:tcPr>
          <w:p>
            <w:pPr>
              <w:ind w:left="100"/>
              <w:spacing w:after="0"/>
              <w:rPr>
                <w:sz w:val="20"/>
                <w:szCs w:val="20"/>
                <w:color w:val="auto"/>
              </w:rPr>
            </w:pPr>
            <w:r>
              <w:rPr>
                <w:rFonts w:ascii="Arial" w:cs="Arial" w:eastAsia="Arial" w:hAnsi="Arial"/>
                <w:sz w:val="13"/>
                <w:szCs w:val="13"/>
                <w:b w:val="1"/>
                <w:bCs w:val="1"/>
                <w:color w:val="FFFFFE"/>
              </w:rPr>
              <w:t>Vesting Start Date</w:t>
            </w:r>
          </w:p>
        </w:tc>
        <w:tc>
          <w:tcPr>
            <w:tcW w:w="120" w:type="dxa"/>
            <w:vAlign w:val="bottom"/>
            <w:tcBorders>
              <w:bottom w:val="single" w:sz="8" w:color="F79646"/>
            </w:tcBorders>
            <w:shd w:val="clear" w:color="auto" w:fill="F79646"/>
          </w:tcPr>
          <w:p>
            <w:pPr>
              <w:spacing w:after="0"/>
              <w:rPr>
                <w:sz w:val="24"/>
                <w:szCs w:val="24"/>
                <w:color w:val="auto"/>
              </w:rPr>
            </w:pPr>
          </w:p>
        </w:tc>
        <w:tc>
          <w:tcPr>
            <w:tcW w:w="4020" w:type="dxa"/>
            <w:vAlign w:val="bottom"/>
            <w:tcBorders>
              <w:bottom w:val="single" w:sz="8" w:color="auto"/>
            </w:tcBorders>
            <w:shd w:val="clear" w:color="auto" w:fill="F79646"/>
          </w:tcPr>
          <w:p>
            <w:pPr>
              <w:ind w:left="1480"/>
              <w:spacing w:after="0"/>
              <w:rPr>
                <w:sz w:val="20"/>
                <w:szCs w:val="20"/>
                <w:color w:val="auto"/>
              </w:rPr>
            </w:pPr>
            <w:r>
              <w:rPr>
                <w:rFonts w:ascii="Arial" w:cs="Arial" w:eastAsia="Arial" w:hAnsi="Arial"/>
                <w:sz w:val="13"/>
                <w:szCs w:val="13"/>
                <w:b w:val="1"/>
                <w:bCs w:val="1"/>
                <w:color w:val="FFFFFE"/>
              </w:rPr>
              <w:t>Vesting Schedule</w:t>
            </w:r>
          </w:p>
        </w:tc>
        <w:tc>
          <w:tcPr>
            <w:tcW w:w="240" w:type="dxa"/>
            <w:vAlign w:val="bottom"/>
            <w:tcBorders>
              <w:bottom w:val="single" w:sz="8" w:color="F79646"/>
              <w:right w:val="single" w:sz="8" w:color="F79646"/>
            </w:tcBorders>
            <w:shd w:val="clear" w:color="auto" w:fill="F79646"/>
          </w:tcPr>
          <w:p>
            <w:pPr>
              <w:spacing w:after="0"/>
              <w:rPr>
                <w:sz w:val="24"/>
                <w:szCs w:val="24"/>
                <w:color w:val="auto"/>
              </w:rPr>
            </w:pPr>
          </w:p>
        </w:tc>
      </w:tr>
      <w:tr>
        <w:trPr>
          <w:trHeight w:val="135"/>
        </w:trPr>
        <w:tc>
          <w:tcPr>
            <w:tcW w:w="1120" w:type="dxa"/>
            <w:vAlign w:val="bottom"/>
            <w:tcBorders>
              <w:left w:val="single" w:sz="8" w:color="F79646"/>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2/22/2018</w:t>
            </w:r>
          </w:p>
        </w:tc>
        <w:tc>
          <w:tcPr>
            <w:tcW w:w="120" w:type="dxa"/>
            <w:vAlign w:val="bottom"/>
          </w:tcPr>
          <w:p>
            <w:pPr>
              <w:spacing w:after="0"/>
              <w:rPr>
                <w:sz w:val="11"/>
                <w:szCs w:val="11"/>
                <w:color w:val="auto"/>
              </w:rPr>
            </w:pPr>
          </w:p>
        </w:tc>
        <w:tc>
          <w:tcPr>
            <w:tcW w:w="5680" w:type="dxa"/>
            <w:vAlign w:val="bottom"/>
            <w:tcBorders>
              <w:right w:val="single" w:sz="8" w:color="F79646"/>
            </w:tcBorders>
            <w:gridSpan w:val="4"/>
          </w:tcPr>
          <w:p>
            <w:pPr>
              <w:ind w:left="760"/>
              <w:spacing w:after="0" w:line="136" w:lineRule="exact"/>
              <w:rPr>
                <w:sz w:val="20"/>
                <w:szCs w:val="20"/>
                <w:color w:val="auto"/>
              </w:rPr>
            </w:pPr>
            <w:r>
              <w:rPr>
                <w:rFonts w:ascii="Arial" w:cs="Arial" w:eastAsia="Arial" w:hAnsi="Arial"/>
                <w:sz w:val="13"/>
                <w:szCs w:val="13"/>
                <w:color w:val="auto"/>
              </w:rPr>
              <w:t>2/22/2018  Revenue Linked PRSUs: 100% vesting on 12/31/2020</w:t>
            </w:r>
          </w:p>
        </w:tc>
      </w:tr>
      <w:tr>
        <w:trPr>
          <w:trHeight w:val="144"/>
        </w:trPr>
        <w:tc>
          <w:tcPr>
            <w:tcW w:w="1120" w:type="dxa"/>
            <w:vAlign w:val="bottom"/>
            <w:tcBorders>
              <w:left w:val="single" w:sz="8" w:color="F79646"/>
            </w:tcBorders>
            <w:gridSpan w:val="2"/>
            <w:shd w:val="clear" w:color="auto" w:fill="FCDEC5"/>
          </w:tcPr>
          <w:p>
            <w:pPr>
              <w:jc w:val="right"/>
              <w:spacing w:after="0" w:line="144" w:lineRule="exact"/>
              <w:rPr>
                <w:sz w:val="20"/>
                <w:szCs w:val="20"/>
                <w:color w:val="auto"/>
              </w:rPr>
            </w:pPr>
            <w:r>
              <w:rPr>
                <w:rFonts w:ascii="Arial" w:cs="Arial" w:eastAsia="Arial" w:hAnsi="Arial"/>
                <w:sz w:val="13"/>
                <w:szCs w:val="13"/>
                <w:b w:val="1"/>
                <w:bCs w:val="1"/>
                <w:color w:val="auto"/>
              </w:rPr>
              <w:t>2/22/2018</w:t>
            </w:r>
          </w:p>
        </w:tc>
        <w:tc>
          <w:tcPr>
            <w:tcW w:w="120" w:type="dxa"/>
            <w:vAlign w:val="bottom"/>
            <w:shd w:val="clear" w:color="auto" w:fill="FCDEC5"/>
          </w:tcPr>
          <w:p>
            <w:pPr>
              <w:spacing w:after="0"/>
              <w:rPr>
                <w:sz w:val="12"/>
                <w:szCs w:val="12"/>
                <w:color w:val="auto"/>
              </w:rPr>
            </w:pPr>
          </w:p>
        </w:tc>
        <w:tc>
          <w:tcPr>
            <w:tcW w:w="5680" w:type="dxa"/>
            <w:vAlign w:val="bottom"/>
            <w:tcBorders>
              <w:right w:val="single" w:sz="8" w:color="F79646"/>
            </w:tcBorders>
            <w:gridSpan w:val="4"/>
            <w:shd w:val="clear" w:color="auto" w:fill="FCDEC5"/>
          </w:tcPr>
          <w:p>
            <w:pPr>
              <w:ind w:left="760"/>
              <w:spacing w:after="0" w:line="144" w:lineRule="exact"/>
              <w:rPr>
                <w:sz w:val="20"/>
                <w:szCs w:val="20"/>
                <w:color w:val="auto"/>
              </w:rPr>
            </w:pPr>
            <w:r>
              <w:rPr>
                <w:rFonts w:ascii="Arial" w:cs="Arial" w:eastAsia="Arial" w:hAnsi="Arial"/>
                <w:sz w:val="13"/>
                <w:szCs w:val="13"/>
                <w:color w:val="auto"/>
              </w:rPr>
              <w:t>2/22/2018  Relative TSR-Linked PRSUs: 100% vesting on 12/31/2020</w:t>
            </w:r>
          </w:p>
        </w:tc>
      </w:tr>
      <w:tr>
        <w:trPr>
          <w:trHeight w:val="144"/>
        </w:trPr>
        <w:tc>
          <w:tcPr>
            <w:tcW w:w="1120" w:type="dxa"/>
            <w:vAlign w:val="bottom"/>
            <w:tcBorders>
              <w:left w:val="single" w:sz="8" w:color="F79646"/>
              <w:bottom w:val="single" w:sz="8" w:color="F79646"/>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2/22/2018</w:t>
            </w:r>
          </w:p>
        </w:tc>
        <w:tc>
          <w:tcPr>
            <w:tcW w:w="120" w:type="dxa"/>
            <w:vAlign w:val="bottom"/>
            <w:tcBorders>
              <w:bottom w:val="single" w:sz="8" w:color="F79646"/>
            </w:tcBorders>
          </w:tcPr>
          <w:p>
            <w:pPr>
              <w:spacing w:after="0"/>
              <w:rPr>
                <w:sz w:val="12"/>
                <w:szCs w:val="12"/>
                <w:color w:val="auto"/>
              </w:rPr>
            </w:pPr>
          </w:p>
        </w:tc>
        <w:tc>
          <w:tcPr>
            <w:tcW w:w="5680" w:type="dxa"/>
            <w:vAlign w:val="bottom"/>
            <w:tcBorders>
              <w:bottom w:val="single" w:sz="8" w:color="F79646"/>
              <w:right w:val="single" w:sz="8" w:color="F79646"/>
            </w:tcBorders>
            <w:gridSpan w:val="4"/>
          </w:tcPr>
          <w:p>
            <w:pPr>
              <w:ind w:left="760"/>
              <w:spacing w:after="0" w:line="144" w:lineRule="exact"/>
              <w:rPr>
                <w:sz w:val="20"/>
                <w:szCs w:val="20"/>
                <w:color w:val="auto"/>
              </w:rPr>
            </w:pPr>
            <w:r>
              <w:rPr>
                <w:rFonts w:ascii="Arial" w:cs="Arial" w:eastAsia="Arial" w:hAnsi="Arial"/>
                <w:sz w:val="13"/>
                <w:szCs w:val="13"/>
                <w:color w:val="auto"/>
              </w:rPr>
              <w:t>2/22/2018  Restricted Stock Units: Vesting over 4 years—25% each year</w:t>
            </w: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Employment Agreements</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In addition to the terms described below, the employment and severance agreements for each of our named executive officers include severance, termination and/or noncompetition</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provisions which are described below under "Potential Payments upon Termination or Change in Control at Fiscal 2018 Year-End" beginning on page 58.</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Rohit Kapoor</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Mr. Kapoor serves as our Vice Chairman and CEO, and is based at our executive offices in New York, New York. Our engagement of Mr. Kapoor has been under the terms of employment agreements for over 13 years. On September 19, 2017, we entered into an amended and restated employment agreement with Mr. Kapoor that became effective on January 1, 2018. That employment agreement provides for an initial term from January 1, 2018 until December 31, 2020, and automatically renews for successive one-year periods unless terminated with 120 days prior' notice.</w:t>
      </w:r>
    </w:p>
    <w:p>
      <w:pPr>
        <w:spacing w:after="0" w:line="137" w:lineRule="exact"/>
        <w:rPr>
          <w:sz w:val="20"/>
          <w:szCs w:val="20"/>
          <w:color w:val="auto"/>
        </w:rPr>
      </w:pPr>
    </w:p>
    <w:p>
      <w:pPr>
        <w:jc w:val="both"/>
        <w:ind w:left="200" w:right="179"/>
        <w:spacing w:after="0" w:line="237" w:lineRule="auto"/>
        <w:rPr>
          <w:sz w:val="20"/>
          <w:szCs w:val="20"/>
          <w:color w:val="auto"/>
        </w:rPr>
      </w:pPr>
      <w:r>
        <w:rPr>
          <w:rFonts w:ascii="Arial" w:cs="Arial" w:eastAsia="Arial" w:hAnsi="Arial"/>
          <w:sz w:val="13"/>
          <w:szCs w:val="13"/>
          <w:b w:val="1"/>
          <w:bCs w:val="1"/>
          <w:i w:val="1"/>
          <w:iCs w:val="1"/>
          <w:color w:val="auto"/>
        </w:rPr>
        <w:t xml:space="preserve">Salary, Bonus and Equity. </w:t>
      </w:r>
      <w:r>
        <w:rPr>
          <w:rFonts w:ascii="Arial" w:cs="Arial" w:eastAsia="Arial" w:hAnsi="Arial"/>
          <w:sz w:val="13"/>
          <w:szCs w:val="13"/>
          <w:color w:val="auto"/>
        </w:rPr>
        <w:t>Mr. Kapoor's base salary increased to $720,000, effective April 1, 2018. Mr. Kapoor's base salary can be increased at our sole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discretion and cannot be decreased unless a Company-wide decrease in pay is implemented. Mr. Kapoor can earn an annual cash bonus, with a target of 150% of base salary and a maximum of 300%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38" w:lineRule="exact"/>
        <w:rPr>
          <w:sz w:val="20"/>
          <w:szCs w:val="20"/>
          <w:color w:val="auto"/>
        </w:rPr>
      </w:pPr>
    </w:p>
    <w:p>
      <w:pPr>
        <w:jc w:val="both"/>
        <w:ind w:left="200" w:right="179"/>
        <w:spacing w:after="0" w:line="236" w:lineRule="auto"/>
        <w:rPr>
          <w:sz w:val="20"/>
          <w:szCs w:val="20"/>
          <w:color w:val="auto"/>
        </w:rPr>
      </w:pPr>
      <w:r>
        <w:rPr>
          <w:rFonts w:ascii="Arial" w:cs="Arial" w:eastAsia="Arial" w:hAnsi="Arial"/>
          <w:sz w:val="13"/>
          <w:szCs w:val="13"/>
          <w:b w:val="1"/>
          <w:bCs w:val="1"/>
          <w:i w:val="1"/>
          <w:iCs w:val="1"/>
          <w:color w:val="auto"/>
        </w:rPr>
        <w:t xml:space="preserve">Personal Benefits. </w:t>
      </w:r>
      <w:r>
        <w:rPr>
          <w:rFonts w:ascii="Arial" w:cs="Arial" w:eastAsia="Arial" w:hAnsi="Arial"/>
          <w:sz w:val="13"/>
          <w:szCs w:val="13"/>
          <w:color w:val="auto"/>
        </w:rPr>
        <w:t>We provide Mr. Kapoor with certain personal benefits, including certain club memberships, home office supplies, term life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policy (with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52"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Mr. Kapoor's employment agreement also includes severance, termination and noncompetition provisions which are described below under "Potential Payments upon Termination or Change in Control at Fiscal 2018 Year-End" beginning on page 58.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Vishal Chhibbar</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Mr. Chhibbar serves as our Executive Vice President and CFO, and was based in India until December 31, 2015. We entered into an employment agreement with him, effective January 1, 2016 which will continue throughout Mr. Chhibbar's employment with the Company.</w:t>
      </w:r>
    </w:p>
    <w:p>
      <w:pPr>
        <w:spacing w:after="0" w:line="136" w:lineRule="exact"/>
        <w:rPr>
          <w:sz w:val="20"/>
          <w:szCs w:val="20"/>
          <w:color w:val="auto"/>
        </w:rPr>
      </w:pPr>
    </w:p>
    <w:p>
      <w:pPr>
        <w:jc w:val="both"/>
        <w:ind w:left="200" w:right="179"/>
        <w:spacing w:after="0" w:line="291" w:lineRule="auto"/>
        <w:rPr>
          <w:sz w:val="20"/>
          <w:szCs w:val="20"/>
          <w:color w:val="auto"/>
        </w:rPr>
      </w:pPr>
      <w:r>
        <w:rPr>
          <w:rFonts w:ascii="Arial" w:cs="Arial" w:eastAsia="Arial" w:hAnsi="Arial"/>
          <w:sz w:val="11"/>
          <w:szCs w:val="11"/>
          <w:b w:val="1"/>
          <w:bCs w:val="1"/>
          <w:i w:val="1"/>
          <w:iCs w:val="1"/>
          <w:color w:val="auto"/>
        </w:rPr>
        <w:t xml:space="preserve">Salary, Bonus and Equity. </w:t>
      </w:r>
      <w:r>
        <w:rPr>
          <w:rFonts w:ascii="Arial" w:cs="Arial" w:eastAsia="Arial" w:hAnsi="Arial"/>
          <w:sz w:val="11"/>
          <w:szCs w:val="11"/>
          <w:color w:val="auto"/>
        </w:rPr>
        <w:t>Mr. Chhibbar's base salary was increased to $450,000, effective April 1, 2018. Mr. Chhibbar's base salary will be reviewed 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least annually and may be increased at the discretion of the Board. In addition, under his agreement, Mr. Chhibbar can earn an annual cash bonus, with a target of 75% of base salary and a maximum of 150% of base salary, based upon the attainment of performance criteria determined by our Compensation Committee. Mr. Chhibbar is also eligible, subject to performance and other conditions, to receive annual equity awards at the discretion of the Compensation Committee. Mr. Chhibbar was entitled to receive $100,000 in connection with his relocation from India to New York, New York in 2016.</w:t>
      </w:r>
    </w:p>
    <w:p>
      <w:pPr>
        <w:sectPr>
          <w:pgSz w:w="11900" w:h="16838" w:orient="portrait"/>
          <w:cols w:equalWidth="0" w:num="1">
            <w:col w:w="9019"/>
          </w:cols>
          <w:pgMar w:left="1440" w:top="295"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30" w:name="page31"/>
    <w:bookmarkEnd w:id="30"/>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Mr. Chhibbar's employment agreement also includes severance, termination and noncompetition provisions which are described below under "Potential Payments upon Termination or Change in Control at Fiscal 2018 Year-End" beginning on page 58.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Pavan Bagai</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Mr. Bagai serves as our President and Chief Operating Officer, and is based in India. We entered into an employment agreement with him, effective July 31, 2002 and a severance letter, effective March 15, 2011, each of which will continue throughout Mr. Bagai's employment with the Company.</w:t>
      </w:r>
    </w:p>
    <w:p>
      <w:pPr>
        <w:spacing w:after="0" w:line="136" w:lineRule="exact"/>
        <w:rPr>
          <w:sz w:val="20"/>
          <w:szCs w:val="20"/>
          <w:color w:val="auto"/>
        </w:rPr>
      </w:pPr>
    </w:p>
    <w:p>
      <w:pPr>
        <w:jc w:val="both"/>
        <w:ind w:left="200" w:right="179"/>
        <w:spacing w:after="0" w:line="236" w:lineRule="auto"/>
        <w:rPr>
          <w:sz w:val="20"/>
          <w:szCs w:val="20"/>
          <w:color w:val="auto"/>
        </w:rPr>
      </w:pPr>
      <w:r>
        <w:rPr>
          <w:rFonts w:ascii="Arial" w:cs="Arial" w:eastAsia="Arial" w:hAnsi="Arial"/>
          <w:sz w:val="13"/>
          <w:szCs w:val="13"/>
          <w:b w:val="1"/>
          <w:bCs w:val="1"/>
          <w:i w:val="1"/>
          <w:iCs w:val="1"/>
          <w:color w:val="auto"/>
        </w:rPr>
        <w:t xml:space="preserve">Salary, Bonus and Equity. </w:t>
      </w:r>
      <w:r>
        <w:rPr>
          <w:rFonts w:ascii="Arial" w:cs="Arial" w:eastAsia="Arial" w:hAnsi="Arial"/>
          <w:sz w:val="13"/>
          <w:szCs w:val="13"/>
          <w:color w:val="auto"/>
        </w:rPr>
        <w:t>Mr. Bagai's annual fixed compensation, measured in U.S. dollars rather than his home currency of Indian rupees (using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exchange rate of 63.87 INR to 1 USD, which was the exchange rate on December 31, 2017), was increased to $404,077 effective April 1, 2018.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Mr. Bagai's agreements also includes severance, termination and noncompetition provisions which are described below under "Potential Payments upon Termination or Change in Control at Fiscal 2018 Year-End" beginning on page 58.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Nagaraja Srivatsan</w:t>
      </w:r>
    </w:p>
    <w:p>
      <w:pPr>
        <w:spacing w:after="0" w:line="165" w:lineRule="exact"/>
        <w:rPr>
          <w:sz w:val="20"/>
          <w:szCs w:val="20"/>
          <w:color w:val="auto"/>
        </w:rPr>
      </w:pPr>
    </w:p>
    <w:p>
      <w:pPr>
        <w:jc w:val="both"/>
        <w:ind w:left="200" w:right="199"/>
        <w:spacing w:after="0" w:line="317" w:lineRule="auto"/>
        <w:rPr>
          <w:sz w:val="20"/>
          <w:szCs w:val="20"/>
          <w:color w:val="auto"/>
        </w:rPr>
      </w:pPr>
      <w:r>
        <w:rPr>
          <w:rFonts w:ascii="Arial" w:cs="Arial" w:eastAsia="Arial" w:hAnsi="Arial"/>
          <w:sz w:val="11"/>
          <w:szCs w:val="11"/>
          <w:color w:val="auto"/>
        </w:rPr>
        <w:t>Mr. Srivatsan serves as our Executive Vice President and Chief Growth Officer, and is based at our executive offices in New York, New York. We entered into an employment agreement with him, effective December 10, 2016, which will continue throughout Mr. Srivatsan's employment with the Company.</w:t>
      </w:r>
    </w:p>
    <w:p>
      <w:pPr>
        <w:spacing w:after="0" w:line="95" w:lineRule="exact"/>
        <w:rPr>
          <w:sz w:val="20"/>
          <w:szCs w:val="20"/>
          <w:color w:val="auto"/>
        </w:rPr>
      </w:pPr>
    </w:p>
    <w:p>
      <w:pPr>
        <w:jc w:val="both"/>
        <w:ind w:left="200" w:right="179"/>
        <w:spacing w:after="0" w:line="236" w:lineRule="auto"/>
        <w:rPr>
          <w:sz w:val="20"/>
          <w:szCs w:val="20"/>
          <w:color w:val="auto"/>
        </w:rPr>
      </w:pPr>
      <w:r>
        <w:rPr>
          <w:rFonts w:ascii="Arial" w:cs="Arial" w:eastAsia="Arial" w:hAnsi="Arial"/>
          <w:sz w:val="13"/>
          <w:szCs w:val="13"/>
          <w:b w:val="1"/>
          <w:bCs w:val="1"/>
          <w:i w:val="1"/>
          <w:iCs w:val="1"/>
          <w:color w:val="auto"/>
        </w:rPr>
        <w:t xml:space="preserve">Salary, Bonus and Equity. </w:t>
      </w:r>
      <w:r>
        <w:rPr>
          <w:rFonts w:ascii="Arial" w:cs="Arial" w:eastAsia="Arial" w:hAnsi="Arial"/>
          <w:sz w:val="13"/>
          <w:szCs w:val="13"/>
          <w:color w:val="auto"/>
        </w:rPr>
        <w:t>Mr. Srivatsan's base salary increased to $450,000, effective April 1, 2018. Mr. Srivatsan's base salary will be reviewed at least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annually and may be increased at the discretion of the Board. In addition, under his agreement, Mr. Srivatsan can earn an annual cash bonus, with a target of 75% of base salary and a maximum of 150% of base salary, based upon the attainment of performance criteria determined by our Compensation Committee. Mr. Srivatsan is also eligible, subject to performance and other conditions, to receive annual equity awards at the discretion of the Compensation Committee. Mr. Srivatsan's employment agreement provided for: (i) an initial equity award of 18,000 restricted stock units in 2017 that vest according to the schedule described below under "Outstanding Equity Awards at Fiscal 2018 Year-End" beginning on page 56 and (ii) a one-time joining bonus in 2017 of $200,000.</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Mr. Srivatsan's employment agreement also includes severance, termination and noncompetition provisions which are described below under "Potential Payments upon Termination or Change in Control at Fiscal 2018 Year-End" beginning on page 58.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Nalin Miglani</w:t>
      </w:r>
    </w:p>
    <w:p>
      <w:pPr>
        <w:spacing w:after="0" w:line="165" w:lineRule="exact"/>
        <w:rPr>
          <w:sz w:val="20"/>
          <w:szCs w:val="20"/>
          <w:color w:val="auto"/>
        </w:rPr>
      </w:pPr>
    </w:p>
    <w:p>
      <w:pPr>
        <w:jc w:val="both"/>
        <w:ind w:left="200" w:right="199"/>
        <w:spacing w:after="0" w:line="317" w:lineRule="auto"/>
        <w:rPr>
          <w:sz w:val="20"/>
          <w:szCs w:val="20"/>
          <w:color w:val="auto"/>
        </w:rPr>
      </w:pPr>
      <w:r>
        <w:rPr>
          <w:rFonts w:ascii="Arial" w:cs="Arial" w:eastAsia="Arial" w:hAnsi="Arial"/>
          <w:sz w:val="11"/>
          <w:szCs w:val="11"/>
          <w:color w:val="auto"/>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b w:val="1"/>
          <w:bCs w:val="1"/>
          <w:i w:val="1"/>
          <w:iCs w:val="1"/>
          <w:color w:val="auto"/>
        </w:rPr>
        <w:t xml:space="preserve">Salary, Bonus and Equity. </w:t>
      </w:r>
      <w:r>
        <w:rPr>
          <w:rFonts w:ascii="Arial" w:cs="Arial" w:eastAsia="Arial" w:hAnsi="Arial"/>
          <w:sz w:val="13"/>
          <w:szCs w:val="13"/>
          <w:color w:val="auto"/>
        </w:rPr>
        <w:t>Mr. Miglani's base salary increased to $450,000, effective April 1, 2018 and may be further increased from time to time by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While employed, Mr. Miglani can earn an annual cash bonus, with a target of 75% of base salary and a maximum of 150%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2018 Year-End" beginning on page 56 and (ii) a one-time joining bonus of $200,000 half of which was paid on the commencement of his employment and the other half paid in March 2015, based on his continued service with the Company. Mr. Miglani received $100,000 in connection with his relocation from Amsterdam to New York in 2014.</w:t>
      </w:r>
    </w:p>
    <w:p>
      <w:pPr>
        <w:spacing w:after="0" w:line="152"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Mr. Miglani's employment agreement also includes severance, termination and noncompetition provisions which are described below under "Potential Payments upon Termination or Change in Control at Fiscal 2018 Year-End" beginning on page 58.</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31" w:name="page32"/>
    <w:bookmarkEnd w:id="31"/>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Outstanding Equity Awards at Fiscal 2018 Year-End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following table sets forth the equity awards we have made to our named executive officers that were outstanding as of December 31, 2018:</w:t>
      </w:r>
    </w:p>
    <w:p>
      <w:pPr>
        <w:spacing w:after="0" w:line="147" w:lineRule="exact"/>
        <w:rPr>
          <w:sz w:val="20"/>
          <w:szCs w:val="20"/>
          <w:color w:val="auto"/>
        </w:rPr>
      </w:pPr>
    </w:p>
    <w:tbl>
      <w:tblPr>
        <w:tblLayout w:type="fixed"/>
        <w:tblInd w:w="1070" w:type="dxa"/>
        <w:tblCellMar>
          <w:top w:w="0" w:type="dxa"/>
          <w:left w:w="0" w:type="dxa"/>
          <w:bottom w:w="0" w:type="dxa"/>
          <w:right w:w="0" w:type="dxa"/>
        </w:tblCellMar>
      </w:tblPr>
      <w:tr>
        <w:trPr>
          <w:trHeight w:val="227"/>
        </w:trPr>
        <w:tc>
          <w:tcPr>
            <w:tcW w:w="120" w:type="dxa"/>
            <w:vAlign w:val="bottom"/>
            <w:tcBorders>
              <w:left w:val="single" w:sz="8" w:color="F79646"/>
              <w:bottom w:val="single" w:sz="8" w:color="F79646"/>
            </w:tcBorders>
            <w:shd w:val="clear" w:color="auto" w:fill="F79646"/>
          </w:tcPr>
          <w:p>
            <w:pPr>
              <w:spacing w:after="0"/>
              <w:rPr>
                <w:sz w:val="19"/>
                <w:szCs w:val="19"/>
                <w:color w:val="auto"/>
              </w:rPr>
            </w:pPr>
          </w:p>
        </w:tc>
        <w:tc>
          <w:tcPr>
            <w:tcW w:w="440" w:type="dxa"/>
            <w:vAlign w:val="bottom"/>
            <w:tcBorders>
              <w:bottom w:val="single" w:sz="8" w:color="F79646"/>
            </w:tcBorders>
            <w:shd w:val="clear" w:color="auto" w:fill="F79646"/>
          </w:tcPr>
          <w:p>
            <w:pPr>
              <w:spacing w:after="0"/>
              <w:rPr>
                <w:sz w:val="19"/>
                <w:szCs w:val="19"/>
                <w:color w:val="auto"/>
              </w:rPr>
            </w:pPr>
          </w:p>
        </w:tc>
        <w:tc>
          <w:tcPr>
            <w:tcW w:w="40" w:type="dxa"/>
            <w:vAlign w:val="bottom"/>
            <w:tcBorders>
              <w:bottom w:val="single" w:sz="8" w:color="F79646"/>
            </w:tcBorders>
            <w:shd w:val="clear" w:color="auto" w:fill="F79646"/>
          </w:tcPr>
          <w:p>
            <w:pPr>
              <w:spacing w:after="0"/>
              <w:rPr>
                <w:sz w:val="19"/>
                <w:szCs w:val="19"/>
                <w:color w:val="auto"/>
              </w:rPr>
            </w:pPr>
          </w:p>
        </w:tc>
        <w:tc>
          <w:tcPr>
            <w:tcW w:w="480" w:type="dxa"/>
            <w:vAlign w:val="bottom"/>
            <w:tcBorders>
              <w:bottom w:val="single" w:sz="8" w:color="auto"/>
            </w:tcBorders>
            <w:shd w:val="clear" w:color="auto" w:fill="F79646"/>
          </w:tcPr>
          <w:p>
            <w:pPr>
              <w:spacing w:after="0"/>
              <w:rPr>
                <w:sz w:val="19"/>
                <w:szCs w:val="19"/>
                <w:color w:val="auto"/>
              </w:rPr>
            </w:pPr>
          </w:p>
        </w:tc>
        <w:tc>
          <w:tcPr>
            <w:tcW w:w="120" w:type="dxa"/>
            <w:vAlign w:val="bottom"/>
            <w:tcBorders>
              <w:bottom w:val="single" w:sz="8" w:color="auto"/>
            </w:tcBorders>
            <w:shd w:val="clear" w:color="auto" w:fill="F79646"/>
          </w:tcPr>
          <w:p>
            <w:pPr>
              <w:spacing w:after="0"/>
              <w:rPr>
                <w:sz w:val="19"/>
                <w:szCs w:val="19"/>
                <w:color w:val="auto"/>
              </w:rPr>
            </w:pPr>
          </w:p>
        </w:tc>
        <w:tc>
          <w:tcPr>
            <w:tcW w:w="60" w:type="dxa"/>
            <w:vAlign w:val="bottom"/>
            <w:tcBorders>
              <w:bottom w:val="single" w:sz="8" w:color="auto"/>
            </w:tcBorders>
            <w:shd w:val="clear" w:color="auto" w:fill="F79646"/>
          </w:tcPr>
          <w:p>
            <w:pPr>
              <w:spacing w:after="0"/>
              <w:rPr>
                <w:sz w:val="19"/>
                <w:szCs w:val="19"/>
                <w:color w:val="auto"/>
              </w:rPr>
            </w:pPr>
          </w:p>
        </w:tc>
        <w:tc>
          <w:tcPr>
            <w:tcW w:w="1580" w:type="dxa"/>
            <w:vAlign w:val="bottom"/>
            <w:tcBorders>
              <w:bottom w:val="single" w:sz="8" w:color="auto"/>
            </w:tcBorders>
            <w:gridSpan w:val="3"/>
            <w:shd w:val="clear" w:color="auto" w:fill="F79646"/>
          </w:tcPr>
          <w:p>
            <w:pPr>
              <w:ind w:left="640"/>
              <w:spacing w:after="0"/>
              <w:rPr>
                <w:sz w:val="20"/>
                <w:szCs w:val="20"/>
                <w:color w:val="auto"/>
              </w:rPr>
            </w:pPr>
            <w:r>
              <w:rPr>
                <w:rFonts w:ascii="Arial" w:cs="Arial" w:eastAsia="Arial" w:hAnsi="Arial"/>
                <w:sz w:val="10"/>
                <w:szCs w:val="10"/>
                <w:b w:val="1"/>
                <w:bCs w:val="1"/>
                <w:color w:val="FFFFFE"/>
              </w:rPr>
              <w:t>Option Awards</w:t>
            </w:r>
          </w:p>
        </w:tc>
        <w:tc>
          <w:tcPr>
            <w:tcW w:w="60" w:type="dxa"/>
            <w:vAlign w:val="bottom"/>
            <w:tcBorders>
              <w:bottom w:val="single" w:sz="8" w:color="auto"/>
            </w:tcBorders>
            <w:shd w:val="clear" w:color="auto" w:fill="F79646"/>
          </w:tcPr>
          <w:p>
            <w:pPr>
              <w:spacing w:after="0"/>
              <w:rPr>
                <w:sz w:val="19"/>
                <w:szCs w:val="19"/>
                <w:color w:val="auto"/>
              </w:rPr>
            </w:pPr>
          </w:p>
        </w:tc>
        <w:tc>
          <w:tcPr>
            <w:tcW w:w="480" w:type="dxa"/>
            <w:vAlign w:val="bottom"/>
            <w:tcBorders>
              <w:bottom w:val="single" w:sz="8" w:color="auto"/>
            </w:tcBorders>
            <w:shd w:val="clear" w:color="auto" w:fill="F79646"/>
          </w:tcPr>
          <w:p>
            <w:pPr>
              <w:spacing w:after="0"/>
              <w:rPr>
                <w:sz w:val="19"/>
                <w:szCs w:val="19"/>
                <w:color w:val="auto"/>
              </w:rPr>
            </w:pPr>
          </w:p>
        </w:tc>
        <w:tc>
          <w:tcPr>
            <w:tcW w:w="60" w:type="dxa"/>
            <w:vAlign w:val="bottom"/>
            <w:tcBorders>
              <w:bottom w:val="single" w:sz="8" w:color="auto"/>
            </w:tcBorders>
            <w:shd w:val="clear" w:color="auto" w:fill="F79646"/>
          </w:tcPr>
          <w:p>
            <w:pPr>
              <w:spacing w:after="0"/>
              <w:rPr>
                <w:sz w:val="19"/>
                <w:szCs w:val="19"/>
                <w:color w:val="auto"/>
              </w:rPr>
            </w:pPr>
          </w:p>
        </w:tc>
        <w:tc>
          <w:tcPr>
            <w:tcW w:w="540" w:type="dxa"/>
            <w:vAlign w:val="bottom"/>
            <w:tcBorders>
              <w:bottom w:val="single" w:sz="8" w:color="auto"/>
            </w:tcBorders>
            <w:shd w:val="clear" w:color="auto" w:fill="F79646"/>
          </w:tcPr>
          <w:p>
            <w:pPr>
              <w:spacing w:after="0"/>
              <w:rPr>
                <w:sz w:val="19"/>
                <w:szCs w:val="19"/>
                <w:color w:val="auto"/>
              </w:rPr>
            </w:pPr>
          </w:p>
        </w:tc>
        <w:tc>
          <w:tcPr>
            <w:tcW w:w="60" w:type="dxa"/>
            <w:vAlign w:val="bottom"/>
            <w:tcBorders>
              <w:bottom w:val="single" w:sz="8" w:color="F79646"/>
            </w:tcBorders>
            <w:shd w:val="clear" w:color="auto" w:fill="F79646"/>
          </w:tcPr>
          <w:p>
            <w:pPr>
              <w:spacing w:after="0"/>
              <w:rPr>
                <w:sz w:val="19"/>
                <w:szCs w:val="19"/>
                <w:color w:val="auto"/>
              </w:rPr>
            </w:pPr>
          </w:p>
        </w:tc>
        <w:tc>
          <w:tcPr>
            <w:tcW w:w="480" w:type="dxa"/>
            <w:vAlign w:val="bottom"/>
            <w:tcBorders>
              <w:bottom w:val="single" w:sz="8" w:color="auto"/>
            </w:tcBorders>
            <w:shd w:val="clear" w:color="auto" w:fill="F79646"/>
          </w:tcPr>
          <w:p>
            <w:pPr>
              <w:spacing w:after="0"/>
              <w:rPr>
                <w:sz w:val="19"/>
                <w:szCs w:val="19"/>
                <w:color w:val="auto"/>
              </w:rPr>
            </w:pPr>
          </w:p>
        </w:tc>
        <w:tc>
          <w:tcPr>
            <w:tcW w:w="100" w:type="dxa"/>
            <w:vAlign w:val="bottom"/>
            <w:tcBorders>
              <w:bottom w:val="single" w:sz="8" w:color="auto"/>
            </w:tcBorders>
            <w:shd w:val="clear" w:color="auto" w:fill="F79646"/>
          </w:tcPr>
          <w:p>
            <w:pPr>
              <w:spacing w:after="0"/>
              <w:rPr>
                <w:sz w:val="19"/>
                <w:szCs w:val="19"/>
                <w:color w:val="auto"/>
              </w:rPr>
            </w:pPr>
          </w:p>
        </w:tc>
        <w:tc>
          <w:tcPr>
            <w:tcW w:w="1420" w:type="dxa"/>
            <w:vAlign w:val="bottom"/>
            <w:tcBorders>
              <w:bottom w:val="single" w:sz="8" w:color="auto"/>
            </w:tcBorders>
            <w:gridSpan w:val="4"/>
            <w:shd w:val="clear" w:color="auto" w:fill="F79646"/>
          </w:tcPr>
          <w:p>
            <w:pPr>
              <w:jc w:val="right"/>
              <w:ind w:right="280"/>
              <w:spacing w:after="0"/>
              <w:rPr>
                <w:sz w:val="20"/>
                <w:szCs w:val="20"/>
                <w:color w:val="auto"/>
              </w:rPr>
            </w:pPr>
            <w:r>
              <w:rPr>
                <w:rFonts w:ascii="Arial" w:cs="Arial" w:eastAsia="Arial" w:hAnsi="Arial"/>
                <w:sz w:val="10"/>
                <w:szCs w:val="10"/>
                <w:b w:val="1"/>
                <w:bCs w:val="1"/>
                <w:color w:val="FFFFFE"/>
              </w:rPr>
              <w:t>Stock Awards</w:t>
            </w:r>
          </w:p>
        </w:tc>
        <w:tc>
          <w:tcPr>
            <w:tcW w:w="820" w:type="dxa"/>
            <w:vAlign w:val="bottom"/>
            <w:tcBorders>
              <w:bottom w:val="single" w:sz="8" w:color="auto"/>
            </w:tcBorders>
            <w:shd w:val="clear" w:color="auto" w:fill="F79646"/>
          </w:tcPr>
          <w:p>
            <w:pPr>
              <w:spacing w:after="0"/>
              <w:rPr>
                <w:sz w:val="19"/>
                <w:szCs w:val="19"/>
                <w:color w:val="auto"/>
              </w:rPr>
            </w:pPr>
          </w:p>
        </w:tc>
        <w:tc>
          <w:tcPr>
            <w:tcW w:w="140" w:type="dxa"/>
            <w:vAlign w:val="bottom"/>
            <w:tcBorders>
              <w:bottom w:val="single" w:sz="8" w:color="F79646"/>
              <w:right w:val="single" w:sz="8" w:color="F79646"/>
            </w:tcBorders>
            <w:shd w:val="clear" w:color="auto" w:fill="F79646"/>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F79646"/>
            </w:tcBorders>
            <w:shd w:val="clear" w:color="auto" w:fill="F79646"/>
          </w:tcPr>
          <w:p>
            <w:pPr>
              <w:spacing w:after="0"/>
              <w:rPr>
                <w:sz w:val="12"/>
                <w:szCs w:val="12"/>
                <w:color w:val="auto"/>
              </w:rPr>
            </w:pPr>
          </w:p>
        </w:tc>
        <w:tc>
          <w:tcPr>
            <w:tcW w:w="44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4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76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78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48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54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48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56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8"/>
              </w:rPr>
              <w:t>Equity</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Equity</w:t>
            </w:r>
          </w:p>
        </w:tc>
        <w:tc>
          <w:tcPr>
            <w:tcW w:w="140" w:type="dxa"/>
            <w:vAlign w:val="bottom"/>
            <w:tcBorders>
              <w:right w:val="single" w:sz="8" w:color="F79646"/>
            </w:tcBorders>
            <w:shd w:val="clear" w:color="auto" w:fill="F79646"/>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Number</w:t>
            </w:r>
          </w:p>
        </w:tc>
        <w:tc>
          <w:tcPr>
            <w:tcW w:w="56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Incentive</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Incentive Plan</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84"/>
              </w:rPr>
              <w:t>of</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9"/>
              </w:rPr>
              <w:t>Market</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Plan Awards:</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Awards: Market</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80"/>
              <w:spacing w:after="0"/>
              <w:rPr>
                <w:sz w:val="20"/>
                <w:szCs w:val="20"/>
                <w:color w:val="auto"/>
              </w:rPr>
            </w:pPr>
            <w:r>
              <w:rPr>
                <w:rFonts w:ascii="Arial" w:cs="Arial" w:eastAsia="Arial" w:hAnsi="Arial"/>
                <w:sz w:val="10"/>
                <w:szCs w:val="10"/>
                <w:b w:val="1"/>
                <w:bCs w:val="1"/>
                <w:color w:val="FFFFFE"/>
              </w:rPr>
              <w:t>Shares</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Value of</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9"/>
              </w:rPr>
              <w:t>Number of</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or Payout</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or Units</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Shares or</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9"/>
              </w:rPr>
              <w:t>Unearned</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Value of</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Number of</w:t>
            </w: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9"/>
              </w:rPr>
              <w:t>Number of</w:t>
            </w: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of Stock</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Units of</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Shares, Units</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Unearned</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Securities</w:t>
            </w: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Securities</w:t>
            </w: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4"/>
              </w:rPr>
              <w:t>That</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Stock</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or Other</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Shares, Units or</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600" w:type="dxa"/>
            <w:vAlign w:val="bottom"/>
            <w:gridSpan w:val="2"/>
            <w:shd w:val="clear" w:color="auto" w:fill="F79646"/>
          </w:tcPr>
          <w:p>
            <w:pPr>
              <w:jc w:val="center"/>
              <w:spacing w:after="0"/>
              <w:rPr>
                <w:sz w:val="20"/>
                <w:szCs w:val="20"/>
                <w:color w:val="auto"/>
              </w:rPr>
            </w:pPr>
            <w:r>
              <w:rPr>
                <w:rFonts w:ascii="Arial" w:cs="Arial" w:eastAsia="Arial" w:hAnsi="Arial"/>
                <w:sz w:val="10"/>
                <w:szCs w:val="10"/>
                <w:b w:val="1"/>
                <w:bCs w:val="1"/>
                <w:color w:val="FFFFFE"/>
              </w:rPr>
              <w:t>Option /</w:t>
            </w: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Underlying</w:t>
            </w: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Underlying</w:t>
            </w: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spacing w:after="0"/>
              <w:rPr>
                <w:sz w:val="10"/>
                <w:szCs w:val="10"/>
                <w:color w:val="auto"/>
              </w:rPr>
            </w:pP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Have</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That Have</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Rights That</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Other Rights</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shd w:val="clear" w:color="auto" w:fill="F79646"/>
          </w:tcPr>
          <w:p>
            <w:pPr>
              <w:spacing w:after="0"/>
              <w:rPr>
                <w:sz w:val="10"/>
                <w:szCs w:val="10"/>
                <w:color w:val="auto"/>
              </w:rPr>
            </w:pPr>
          </w:p>
        </w:tc>
        <w:tc>
          <w:tcPr>
            <w:tcW w:w="440" w:type="dxa"/>
            <w:vAlign w:val="bottom"/>
            <w:shd w:val="clear" w:color="auto" w:fill="F79646"/>
          </w:tcPr>
          <w:p>
            <w:pPr>
              <w:spacing w:after="0"/>
              <w:rPr>
                <w:sz w:val="10"/>
                <w:szCs w:val="10"/>
                <w:color w:val="auto"/>
              </w:rPr>
            </w:pPr>
          </w:p>
        </w:tc>
        <w:tc>
          <w:tcPr>
            <w:tcW w:w="40" w:type="dxa"/>
            <w:vAlign w:val="bottom"/>
            <w:shd w:val="clear" w:color="auto" w:fill="F79646"/>
          </w:tcPr>
          <w:p>
            <w:pPr>
              <w:spacing w:after="0"/>
              <w:rPr>
                <w:sz w:val="10"/>
                <w:szCs w:val="10"/>
                <w:color w:val="auto"/>
              </w:rPr>
            </w:pPr>
          </w:p>
        </w:tc>
        <w:tc>
          <w:tcPr>
            <w:tcW w:w="600" w:type="dxa"/>
            <w:vAlign w:val="bottom"/>
            <w:gridSpan w:val="2"/>
            <w:shd w:val="clear" w:color="auto" w:fill="F79646"/>
          </w:tcPr>
          <w:p>
            <w:pPr>
              <w:jc w:val="center"/>
              <w:spacing w:after="0"/>
              <w:rPr>
                <w:sz w:val="20"/>
                <w:szCs w:val="20"/>
                <w:color w:val="auto"/>
              </w:rPr>
            </w:pPr>
            <w:r>
              <w:rPr>
                <w:rFonts w:ascii="Arial" w:cs="Arial" w:eastAsia="Arial" w:hAnsi="Arial"/>
                <w:sz w:val="10"/>
                <w:szCs w:val="10"/>
                <w:b w:val="1"/>
                <w:bCs w:val="1"/>
                <w:color w:val="FFFFFE"/>
              </w:rPr>
              <w:t>Stock</w:t>
            </w:r>
          </w:p>
        </w:tc>
        <w:tc>
          <w:tcPr>
            <w:tcW w:w="6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Unexercised</w:t>
            </w:r>
          </w:p>
        </w:tc>
        <w:tc>
          <w:tcPr>
            <w:tcW w:w="40" w:type="dxa"/>
            <w:vAlign w:val="bottom"/>
            <w:shd w:val="clear" w:color="auto" w:fill="F79646"/>
          </w:tcPr>
          <w:p>
            <w:pPr>
              <w:spacing w:after="0"/>
              <w:rPr>
                <w:sz w:val="10"/>
                <w:szCs w:val="10"/>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Unexercised</w:t>
            </w:r>
          </w:p>
        </w:tc>
        <w:tc>
          <w:tcPr>
            <w:tcW w:w="60" w:type="dxa"/>
            <w:vAlign w:val="bottom"/>
            <w:shd w:val="clear" w:color="auto" w:fill="F79646"/>
          </w:tcPr>
          <w:p>
            <w:pPr>
              <w:spacing w:after="0"/>
              <w:rPr>
                <w:sz w:val="10"/>
                <w:szCs w:val="10"/>
                <w:color w:val="auto"/>
              </w:rPr>
            </w:pPr>
          </w:p>
        </w:tc>
        <w:tc>
          <w:tcPr>
            <w:tcW w:w="480" w:type="dxa"/>
            <w:vAlign w:val="bottom"/>
            <w:shd w:val="clear" w:color="auto" w:fill="F79646"/>
          </w:tcPr>
          <w:p>
            <w:pPr>
              <w:jc w:val="right"/>
              <w:ind w:right="29"/>
              <w:spacing w:after="0"/>
              <w:rPr>
                <w:sz w:val="20"/>
                <w:szCs w:val="20"/>
                <w:color w:val="auto"/>
              </w:rPr>
            </w:pPr>
            <w:r>
              <w:rPr>
                <w:rFonts w:ascii="Arial" w:cs="Arial" w:eastAsia="Arial" w:hAnsi="Arial"/>
                <w:sz w:val="10"/>
                <w:szCs w:val="10"/>
                <w:b w:val="1"/>
                <w:bCs w:val="1"/>
                <w:color w:val="FFFFFE"/>
              </w:rPr>
              <w:t>Option</w:t>
            </w:r>
          </w:p>
        </w:tc>
        <w:tc>
          <w:tcPr>
            <w:tcW w:w="60" w:type="dxa"/>
            <w:vAlign w:val="bottom"/>
            <w:shd w:val="clear" w:color="auto" w:fill="F79646"/>
          </w:tcPr>
          <w:p>
            <w:pPr>
              <w:spacing w:after="0"/>
              <w:rPr>
                <w:sz w:val="10"/>
                <w:szCs w:val="10"/>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Option</w:t>
            </w:r>
          </w:p>
        </w:tc>
        <w:tc>
          <w:tcPr>
            <w:tcW w:w="60" w:type="dxa"/>
            <w:vAlign w:val="bottom"/>
            <w:shd w:val="clear" w:color="auto" w:fill="F79646"/>
          </w:tcPr>
          <w:p>
            <w:pPr>
              <w:spacing w:after="0"/>
              <w:rPr>
                <w:sz w:val="10"/>
                <w:szCs w:val="10"/>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5"/>
              </w:rPr>
              <w:t>Not</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5"/>
              </w:rPr>
              <w:t>Not</w:t>
            </w:r>
          </w:p>
        </w:tc>
        <w:tc>
          <w:tcPr>
            <w:tcW w:w="60" w:type="dxa"/>
            <w:vAlign w:val="bottom"/>
            <w:shd w:val="clear" w:color="auto" w:fill="F79646"/>
          </w:tcPr>
          <w:p>
            <w:pPr>
              <w:spacing w:after="0"/>
              <w:rPr>
                <w:sz w:val="10"/>
                <w:szCs w:val="10"/>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Have Not</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That Have Not</w:t>
            </w:r>
          </w:p>
        </w:tc>
        <w:tc>
          <w:tcPr>
            <w:tcW w:w="1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shd w:val="clear" w:color="auto" w:fill="F79646"/>
          </w:tcPr>
          <w:p>
            <w:pPr>
              <w:spacing w:after="0"/>
              <w:rPr>
                <w:sz w:val="11"/>
                <w:szCs w:val="11"/>
                <w:color w:val="auto"/>
              </w:rPr>
            </w:pPr>
          </w:p>
        </w:tc>
        <w:tc>
          <w:tcPr>
            <w:tcW w:w="440" w:type="dxa"/>
            <w:vAlign w:val="bottom"/>
            <w:shd w:val="clear" w:color="auto" w:fill="F79646"/>
          </w:tcPr>
          <w:p>
            <w:pPr>
              <w:spacing w:after="0"/>
              <w:rPr>
                <w:sz w:val="11"/>
                <w:szCs w:val="11"/>
                <w:color w:val="auto"/>
              </w:rPr>
            </w:pPr>
          </w:p>
        </w:tc>
        <w:tc>
          <w:tcPr>
            <w:tcW w:w="40" w:type="dxa"/>
            <w:vAlign w:val="bottom"/>
            <w:shd w:val="clear" w:color="auto" w:fill="F79646"/>
          </w:tcPr>
          <w:p>
            <w:pPr>
              <w:spacing w:after="0"/>
              <w:rPr>
                <w:sz w:val="11"/>
                <w:szCs w:val="11"/>
                <w:color w:val="auto"/>
              </w:rPr>
            </w:pPr>
          </w:p>
        </w:tc>
        <w:tc>
          <w:tcPr>
            <w:tcW w:w="600" w:type="dxa"/>
            <w:vAlign w:val="bottom"/>
            <w:gridSpan w:val="2"/>
            <w:shd w:val="clear" w:color="auto" w:fill="F79646"/>
          </w:tcPr>
          <w:p>
            <w:pPr>
              <w:jc w:val="center"/>
              <w:spacing w:after="0"/>
              <w:rPr>
                <w:sz w:val="20"/>
                <w:szCs w:val="20"/>
                <w:color w:val="auto"/>
              </w:rPr>
            </w:pPr>
            <w:r>
              <w:rPr>
                <w:rFonts w:ascii="Arial" w:cs="Arial" w:eastAsia="Arial" w:hAnsi="Arial"/>
                <w:sz w:val="10"/>
                <w:szCs w:val="10"/>
                <w:b w:val="1"/>
                <w:bCs w:val="1"/>
                <w:color w:val="FFFFFE"/>
              </w:rPr>
              <w:t>Award</w:t>
            </w:r>
          </w:p>
        </w:tc>
        <w:tc>
          <w:tcPr>
            <w:tcW w:w="60" w:type="dxa"/>
            <w:vAlign w:val="bottom"/>
            <w:shd w:val="clear" w:color="auto" w:fill="F79646"/>
          </w:tcPr>
          <w:p>
            <w:pPr>
              <w:spacing w:after="0"/>
              <w:rPr>
                <w:sz w:val="11"/>
                <w:szCs w:val="11"/>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Options (#)</w:t>
            </w:r>
          </w:p>
        </w:tc>
        <w:tc>
          <w:tcPr>
            <w:tcW w:w="40" w:type="dxa"/>
            <w:vAlign w:val="bottom"/>
            <w:shd w:val="clear" w:color="auto" w:fill="F79646"/>
          </w:tcPr>
          <w:p>
            <w:pPr>
              <w:spacing w:after="0"/>
              <w:rPr>
                <w:sz w:val="11"/>
                <w:szCs w:val="11"/>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Options (#)</w:t>
            </w:r>
          </w:p>
        </w:tc>
        <w:tc>
          <w:tcPr>
            <w:tcW w:w="60" w:type="dxa"/>
            <w:vAlign w:val="bottom"/>
            <w:shd w:val="clear" w:color="auto" w:fill="F79646"/>
          </w:tcPr>
          <w:p>
            <w:pPr>
              <w:spacing w:after="0"/>
              <w:rPr>
                <w:sz w:val="11"/>
                <w:szCs w:val="11"/>
                <w:color w:val="auto"/>
              </w:rPr>
            </w:pPr>
          </w:p>
        </w:tc>
        <w:tc>
          <w:tcPr>
            <w:tcW w:w="48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Exercise</w:t>
            </w:r>
          </w:p>
        </w:tc>
        <w:tc>
          <w:tcPr>
            <w:tcW w:w="60" w:type="dxa"/>
            <w:vAlign w:val="bottom"/>
            <w:shd w:val="clear" w:color="auto" w:fill="F79646"/>
          </w:tcPr>
          <w:p>
            <w:pPr>
              <w:spacing w:after="0"/>
              <w:rPr>
                <w:sz w:val="11"/>
                <w:szCs w:val="11"/>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Expiration</w:t>
            </w:r>
          </w:p>
        </w:tc>
        <w:tc>
          <w:tcPr>
            <w:tcW w:w="60" w:type="dxa"/>
            <w:vAlign w:val="bottom"/>
            <w:shd w:val="clear" w:color="auto" w:fill="F79646"/>
          </w:tcPr>
          <w:p>
            <w:pPr>
              <w:spacing w:after="0"/>
              <w:rPr>
                <w:sz w:val="11"/>
                <w:szCs w:val="11"/>
                <w:color w:val="auto"/>
              </w:rPr>
            </w:pPr>
          </w:p>
        </w:tc>
        <w:tc>
          <w:tcPr>
            <w:tcW w:w="58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w w:val="97"/>
              </w:rPr>
              <w:t>Vested</w:t>
            </w: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7"/>
              </w:rPr>
              <w:t>Vested</w:t>
            </w:r>
          </w:p>
        </w:tc>
        <w:tc>
          <w:tcPr>
            <w:tcW w:w="60" w:type="dxa"/>
            <w:vAlign w:val="bottom"/>
            <w:shd w:val="clear" w:color="auto" w:fill="F79646"/>
          </w:tcPr>
          <w:p>
            <w:pPr>
              <w:spacing w:after="0"/>
              <w:rPr>
                <w:sz w:val="11"/>
                <w:szCs w:val="11"/>
                <w:color w:val="auto"/>
              </w:rPr>
            </w:pPr>
          </w:p>
        </w:tc>
        <w:tc>
          <w:tcPr>
            <w:tcW w:w="80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Vested</w:t>
            </w:r>
          </w:p>
        </w:tc>
        <w:tc>
          <w:tcPr>
            <w:tcW w:w="8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7"/>
              </w:rPr>
              <w:t>Vested</w:t>
            </w:r>
          </w:p>
        </w:tc>
        <w:tc>
          <w:tcPr>
            <w:tcW w:w="140" w:type="dxa"/>
            <w:vAlign w:val="bottom"/>
            <w:tcBorders>
              <w:right w:val="single" w:sz="8" w:color="F79646"/>
            </w:tcBorders>
            <w:shd w:val="clear" w:color="auto" w:fill="F79646"/>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0" w:type="dxa"/>
            <w:vAlign w:val="bottom"/>
            <w:tcBorders>
              <w:left w:val="single" w:sz="8" w:color="F79646"/>
            </w:tcBorders>
            <w:shd w:val="clear" w:color="auto" w:fill="F79646"/>
          </w:tcPr>
          <w:p>
            <w:pPr>
              <w:spacing w:after="0"/>
              <w:rPr>
                <w:sz w:val="14"/>
                <w:szCs w:val="14"/>
                <w:color w:val="auto"/>
              </w:rPr>
            </w:pPr>
          </w:p>
        </w:tc>
        <w:tc>
          <w:tcPr>
            <w:tcW w:w="440" w:type="dxa"/>
            <w:vAlign w:val="bottom"/>
            <w:shd w:val="clear" w:color="auto" w:fill="F79646"/>
          </w:tcPr>
          <w:p>
            <w:pPr>
              <w:ind w:left="60"/>
              <w:spacing w:after="0"/>
              <w:rPr>
                <w:sz w:val="20"/>
                <w:szCs w:val="20"/>
                <w:color w:val="auto"/>
              </w:rPr>
            </w:pPr>
            <w:r>
              <w:rPr>
                <w:rFonts w:ascii="Arial" w:cs="Arial" w:eastAsia="Arial" w:hAnsi="Arial"/>
                <w:sz w:val="10"/>
                <w:szCs w:val="10"/>
                <w:b w:val="1"/>
                <w:bCs w:val="1"/>
                <w:color w:val="FFFFFE"/>
              </w:rPr>
              <w:t>Name</w:t>
            </w:r>
          </w:p>
        </w:tc>
        <w:tc>
          <w:tcPr>
            <w:tcW w:w="40" w:type="dxa"/>
            <w:vAlign w:val="bottom"/>
            <w:shd w:val="clear" w:color="auto" w:fill="F79646"/>
          </w:tcPr>
          <w:p>
            <w:pPr>
              <w:spacing w:after="0"/>
              <w:rPr>
                <w:sz w:val="14"/>
                <w:szCs w:val="14"/>
                <w:color w:val="auto"/>
              </w:rPr>
            </w:pPr>
          </w:p>
        </w:tc>
        <w:tc>
          <w:tcPr>
            <w:tcW w:w="600" w:type="dxa"/>
            <w:vAlign w:val="bottom"/>
            <w:gridSpan w:val="2"/>
            <w:shd w:val="clear" w:color="auto" w:fill="F79646"/>
          </w:tcPr>
          <w:p>
            <w:pPr>
              <w:jc w:val="right"/>
              <w:ind w:right="60"/>
              <w:spacing w:after="0"/>
              <w:rPr>
                <w:sz w:val="20"/>
                <w:szCs w:val="20"/>
                <w:color w:val="auto"/>
              </w:rPr>
            </w:pPr>
            <w:r>
              <w:rPr>
                <w:rFonts w:ascii="Arial" w:cs="Arial" w:eastAsia="Arial" w:hAnsi="Arial"/>
                <w:sz w:val="10"/>
                <w:szCs w:val="10"/>
                <w:b w:val="1"/>
                <w:bCs w:val="1"/>
                <w:color w:val="FFFFFE"/>
              </w:rPr>
              <w:t>Grant Date</w:t>
            </w:r>
          </w:p>
        </w:tc>
        <w:tc>
          <w:tcPr>
            <w:tcW w:w="60" w:type="dxa"/>
            <w:vAlign w:val="bottom"/>
            <w:shd w:val="clear" w:color="auto" w:fill="F79646"/>
          </w:tcPr>
          <w:p>
            <w:pPr>
              <w:spacing w:after="0"/>
              <w:rPr>
                <w:sz w:val="14"/>
                <w:szCs w:val="14"/>
                <w:color w:val="auto"/>
              </w:rPr>
            </w:pPr>
          </w:p>
        </w:tc>
        <w:tc>
          <w:tcPr>
            <w:tcW w:w="760" w:type="dxa"/>
            <w:vAlign w:val="bottom"/>
            <w:shd w:val="clear" w:color="auto" w:fill="F79646"/>
          </w:tcPr>
          <w:p>
            <w:pPr>
              <w:jc w:val="right"/>
              <w:ind w:right="29"/>
              <w:spacing w:after="0" w:line="163" w:lineRule="exact"/>
              <w:rPr>
                <w:sz w:val="20"/>
                <w:szCs w:val="20"/>
                <w:color w:val="auto"/>
              </w:rPr>
            </w:pPr>
            <w:r>
              <w:rPr>
                <w:rFonts w:ascii="Arial" w:cs="Arial" w:eastAsia="Arial" w:hAnsi="Arial"/>
                <w:sz w:val="10"/>
                <w:szCs w:val="10"/>
                <w:b w:val="1"/>
                <w:bCs w:val="1"/>
                <w:color w:val="FFFFFE"/>
                <w:w w:val="97"/>
              </w:rPr>
              <w:t>Exercisable</w:t>
            </w:r>
            <w:r>
              <w:rPr>
                <w:rFonts w:ascii="Arial" w:cs="Arial" w:eastAsia="Arial" w:hAnsi="Arial"/>
                <w:sz w:val="15"/>
                <w:szCs w:val="15"/>
                <w:b w:val="1"/>
                <w:bCs w:val="1"/>
                <w:color w:val="FFFFFE"/>
                <w:w w:val="97"/>
                <w:vertAlign w:val="superscript"/>
              </w:rPr>
              <w:t>(1)</w:t>
            </w:r>
          </w:p>
        </w:tc>
        <w:tc>
          <w:tcPr>
            <w:tcW w:w="40" w:type="dxa"/>
            <w:vAlign w:val="bottom"/>
            <w:shd w:val="clear" w:color="auto" w:fill="F79646"/>
          </w:tcPr>
          <w:p>
            <w:pPr>
              <w:spacing w:after="0"/>
              <w:rPr>
                <w:sz w:val="14"/>
                <w:szCs w:val="14"/>
                <w:color w:val="auto"/>
              </w:rPr>
            </w:pPr>
          </w:p>
        </w:tc>
        <w:tc>
          <w:tcPr>
            <w:tcW w:w="1320" w:type="dxa"/>
            <w:vAlign w:val="bottom"/>
            <w:gridSpan w:val="3"/>
            <w:shd w:val="clear" w:color="auto" w:fill="F79646"/>
          </w:tcPr>
          <w:p>
            <w:pPr>
              <w:jc w:val="right"/>
              <w:ind w:right="9"/>
              <w:spacing w:after="0"/>
              <w:rPr>
                <w:sz w:val="20"/>
                <w:szCs w:val="20"/>
                <w:color w:val="auto"/>
              </w:rPr>
            </w:pPr>
            <w:r>
              <w:rPr>
                <w:rFonts w:ascii="Arial" w:cs="Arial" w:eastAsia="Arial" w:hAnsi="Arial"/>
                <w:sz w:val="10"/>
                <w:szCs w:val="10"/>
                <w:b w:val="1"/>
                <w:bCs w:val="1"/>
                <w:color w:val="FFFFFE"/>
              </w:rPr>
              <w:t>Unexercisable   Price ($)</w:t>
            </w:r>
          </w:p>
        </w:tc>
        <w:tc>
          <w:tcPr>
            <w:tcW w:w="60" w:type="dxa"/>
            <w:vAlign w:val="bottom"/>
            <w:shd w:val="clear" w:color="auto" w:fill="F79646"/>
          </w:tcPr>
          <w:p>
            <w:pPr>
              <w:spacing w:after="0"/>
              <w:rPr>
                <w:sz w:val="14"/>
                <w:szCs w:val="14"/>
                <w:color w:val="auto"/>
              </w:rPr>
            </w:pPr>
          </w:p>
        </w:tc>
        <w:tc>
          <w:tcPr>
            <w:tcW w:w="540" w:type="dxa"/>
            <w:vAlign w:val="bottom"/>
            <w:shd w:val="clear" w:color="auto" w:fill="F79646"/>
          </w:tcPr>
          <w:p>
            <w:pPr>
              <w:ind w:left="140"/>
              <w:spacing w:after="0"/>
              <w:rPr>
                <w:sz w:val="20"/>
                <w:szCs w:val="20"/>
                <w:color w:val="auto"/>
              </w:rPr>
            </w:pPr>
            <w:r>
              <w:rPr>
                <w:rFonts w:ascii="Arial" w:cs="Arial" w:eastAsia="Arial" w:hAnsi="Arial"/>
                <w:sz w:val="10"/>
                <w:szCs w:val="10"/>
                <w:b w:val="1"/>
                <w:bCs w:val="1"/>
                <w:color w:val="FFFFFE"/>
              </w:rPr>
              <w:t>Date</w:t>
            </w:r>
          </w:p>
        </w:tc>
        <w:tc>
          <w:tcPr>
            <w:tcW w:w="60" w:type="dxa"/>
            <w:vAlign w:val="bottom"/>
            <w:shd w:val="clear" w:color="auto" w:fill="F79646"/>
          </w:tcPr>
          <w:p>
            <w:pPr>
              <w:spacing w:after="0"/>
              <w:rPr>
                <w:sz w:val="14"/>
                <w:szCs w:val="14"/>
                <w:color w:val="auto"/>
              </w:rPr>
            </w:pPr>
          </w:p>
        </w:tc>
        <w:tc>
          <w:tcPr>
            <w:tcW w:w="480" w:type="dxa"/>
            <w:vAlign w:val="bottom"/>
            <w:shd w:val="clear" w:color="auto" w:fill="F79646"/>
          </w:tcPr>
          <w:p>
            <w:pPr>
              <w:jc w:val="right"/>
              <w:ind w:right="10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(2)</w:t>
            </w:r>
          </w:p>
        </w:tc>
        <w:tc>
          <w:tcPr>
            <w:tcW w:w="100" w:type="dxa"/>
            <w:vAlign w:val="bottom"/>
            <w:shd w:val="clear" w:color="auto" w:fill="F79646"/>
          </w:tcPr>
          <w:p>
            <w:pPr>
              <w:spacing w:after="0"/>
              <w:rPr>
                <w:sz w:val="14"/>
                <w:szCs w:val="14"/>
                <w:color w:val="auto"/>
              </w:rPr>
            </w:pPr>
          </w:p>
        </w:tc>
        <w:tc>
          <w:tcPr>
            <w:tcW w:w="560" w:type="dxa"/>
            <w:vAlign w:val="bottom"/>
            <w:shd w:val="clear" w:color="auto" w:fill="F79646"/>
          </w:tcPr>
          <w:p>
            <w:pPr>
              <w:jc w:val="right"/>
              <w:ind w:right="12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(4)</w:t>
            </w:r>
          </w:p>
        </w:tc>
        <w:tc>
          <w:tcPr>
            <w:tcW w:w="760" w:type="dxa"/>
            <w:vAlign w:val="bottom"/>
            <w:gridSpan w:val="2"/>
            <w:shd w:val="clear" w:color="auto" w:fill="F79646"/>
          </w:tcPr>
          <w:p>
            <w:pPr>
              <w:jc w:val="right"/>
              <w:ind w:right="20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(3)</w:t>
            </w:r>
          </w:p>
        </w:tc>
        <w:tc>
          <w:tcPr>
            <w:tcW w:w="100" w:type="dxa"/>
            <w:vAlign w:val="bottom"/>
            <w:shd w:val="clear" w:color="auto" w:fill="F79646"/>
          </w:tcPr>
          <w:p>
            <w:pPr>
              <w:spacing w:after="0"/>
              <w:rPr>
                <w:sz w:val="14"/>
                <w:szCs w:val="14"/>
                <w:color w:val="auto"/>
              </w:rPr>
            </w:pPr>
          </w:p>
        </w:tc>
        <w:tc>
          <w:tcPr>
            <w:tcW w:w="820" w:type="dxa"/>
            <w:vAlign w:val="bottom"/>
            <w:shd w:val="clear" w:color="auto" w:fill="F79646"/>
          </w:tcPr>
          <w:p>
            <w:pPr>
              <w:jc w:val="right"/>
              <w:ind w:right="269"/>
              <w:spacing w:after="0" w:line="163" w:lineRule="exact"/>
              <w:rPr>
                <w:sz w:val="20"/>
                <w:szCs w:val="20"/>
                <w:color w:val="auto"/>
              </w:rPr>
            </w:pPr>
            <w:r>
              <w:rPr>
                <w:rFonts w:ascii="Arial" w:cs="Arial" w:eastAsia="Arial" w:hAnsi="Arial"/>
                <w:sz w:val="10"/>
                <w:szCs w:val="10"/>
                <w:b w:val="1"/>
                <w:bCs w:val="1"/>
                <w:color w:val="FFFFFE"/>
              </w:rPr>
              <w:t>($)</w:t>
            </w:r>
            <w:r>
              <w:rPr>
                <w:rFonts w:ascii="Arial" w:cs="Arial" w:eastAsia="Arial" w:hAnsi="Arial"/>
                <w:sz w:val="15"/>
                <w:szCs w:val="15"/>
                <w:b w:val="1"/>
                <w:bCs w:val="1"/>
                <w:color w:val="FFFFFE"/>
                <w:vertAlign w:val="superscript"/>
              </w:rPr>
              <w:t>(4)</w:t>
            </w:r>
          </w:p>
        </w:tc>
        <w:tc>
          <w:tcPr>
            <w:tcW w:w="14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20" w:type="dxa"/>
            <w:vAlign w:val="bottom"/>
            <w:tcBorders>
              <w:top w:val="single" w:sz="8" w:color="F79646"/>
              <w:left w:val="single" w:sz="8" w:color="F79646"/>
            </w:tcBorders>
            <w:shd w:val="clear" w:color="auto" w:fill="FCDEC5"/>
          </w:tcPr>
          <w:p>
            <w:pPr>
              <w:spacing w:after="0"/>
              <w:rPr>
                <w:sz w:val="19"/>
                <w:szCs w:val="19"/>
                <w:color w:val="auto"/>
              </w:rPr>
            </w:pPr>
          </w:p>
        </w:tc>
        <w:tc>
          <w:tcPr>
            <w:tcW w:w="440" w:type="dxa"/>
            <w:vAlign w:val="bottom"/>
            <w:tcBorders>
              <w:top w:val="single" w:sz="8" w:color="auto"/>
            </w:tcBorders>
            <w:shd w:val="clear" w:color="auto" w:fill="FCDEC5"/>
          </w:tcPr>
          <w:p>
            <w:pPr>
              <w:spacing w:after="0"/>
              <w:rPr>
                <w:sz w:val="20"/>
                <w:szCs w:val="20"/>
                <w:color w:val="auto"/>
              </w:rPr>
            </w:pPr>
            <w:r>
              <w:rPr>
                <w:rFonts w:ascii="Arial" w:cs="Arial" w:eastAsia="Arial" w:hAnsi="Arial"/>
                <w:sz w:val="10"/>
                <w:szCs w:val="10"/>
                <w:color w:val="auto"/>
              </w:rPr>
              <w:t>Rohit</w:t>
            </w:r>
          </w:p>
        </w:tc>
        <w:tc>
          <w:tcPr>
            <w:tcW w:w="40" w:type="dxa"/>
            <w:vAlign w:val="bottom"/>
            <w:tcBorders>
              <w:top w:val="single" w:sz="8" w:color="F79646"/>
            </w:tcBorders>
            <w:shd w:val="clear" w:color="auto" w:fill="FCDEC5"/>
          </w:tcPr>
          <w:p>
            <w:pPr>
              <w:spacing w:after="0"/>
              <w:rPr>
                <w:sz w:val="19"/>
                <w:szCs w:val="19"/>
                <w:color w:val="auto"/>
              </w:rPr>
            </w:pPr>
          </w:p>
        </w:tc>
        <w:tc>
          <w:tcPr>
            <w:tcW w:w="600" w:type="dxa"/>
            <w:vAlign w:val="bottom"/>
            <w:tcBorders>
              <w:top w:val="single" w:sz="8" w:color="auto"/>
            </w:tcBorders>
            <w:gridSpan w:val="2"/>
            <w:shd w:val="clear" w:color="auto" w:fill="FCDEC5"/>
          </w:tcPr>
          <w:p>
            <w:pPr>
              <w:jc w:val="right"/>
              <w:spacing w:after="0"/>
              <w:rPr>
                <w:sz w:val="20"/>
                <w:szCs w:val="20"/>
                <w:color w:val="auto"/>
              </w:rPr>
            </w:pPr>
            <w:r>
              <w:rPr>
                <w:rFonts w:ascii="Arial" w:cs="Arial" w:eastAsia="Arial" w:hAnsi="Arial"/>
                <w:sz w:val="10"/>
                <w:szCs w:val="10"/>
                <w:color w:val="auto"/>
              </w:rPr>
              <w:t>2/7/2012</w:t>
            </w:r>
          </w:p>
        </w:tc>
        <w:tc>
          <w:tcPr>
            <w:tcW w:w="60" w:type="dxa"/>
            <w:vAlign w:val="bottom"/>
            <w:tcBorders>
              <w:top w:val="single" w:sz="8" w:color="F79646"/>
            </w:tcBorders>
            <w:shd w:val="clear" w:color="auto" w:fill="FCDEC5"/>
          </w:tcPr>
          <w:p>
            <w:pPr>
              <w:spacing w:after="0"/>
              <w:rPr>
                <w:sz w:val="19"/>
                <w:szCs w:val="19"/>
                <w:color w:val="auto"/>
              </w:rPr>
            </w:pPr>
          </w:p>
        </w:tc>
        <w:tc>
          <w:tcPr>
            <w:tcW w:w="760" w:type="dxa"/>
            <w:vAlign w:val="bottom"/>
            <w:tcBorders>
              <w:top w:val="single" w:sz="8" w:color="auto"/>
            </w:tcBorders>
            <w:shd w:val="clear" w:color="auto" w:fill="FCDEC5"/>
          </w:tcPr>
          <w:p>
            <w:pPr>
              <w:jc w:val="right"/>
              <w:spacing w:after="0"/>
              <w:rPr>
                <w:sz w:val="20"/>
                <w:szCs w:val="20"/>
                <w:color w:val="auto"/>
              </w:rPr>
            </w:pPr>
            <w:r>
              <w:rPr>
                <w:rFonts w:ascii="Arial" w:cs="Arial" w:eastAsia="Arial" w:hAnsi="Arial"/>
                <w:sz w:val="10"/>
                <w:szCs w:val="10"/>
                <w:color w:val="auto"/>
              </w:rPr>
              <w:t>47,500</w:t>
            </w:r>
          </w:p>
        </w:tc>
        <w:tc>
          <w:tcPr>
            <w:tcW w:w="40" w:type="dxa"/>
            <w:vAlign w:val="bottom"/>
            <w:tcBorders>
              <w:top w:val="single" w:sz="8" w:color="F79646"/>
            </w:tcBorders>
            <w:shd w:val="clear" w:color="auto" w:fill="FCDEC5"/>
          </w:tcPr>
          <w:p>
            <w:pPr>
              <w:spacing w:after="0"/>
              <w:rPr>
                <w:sz w:val="19"/>
                <w:szCs w:val="19"/>
                <w:color w:val="auto"/>
              </w:rPr>
            </w:pPr>
          </w:p>
        </w:tc>
        <w:tc>
          <w:tcPr>
            <w:tcW w:w="780" w:type="dxa"/>
            <w:vAlign w:val="bottom"/>
            <w:tcBorders>
              <w:top w:val="single" w:sz="8" w:color="auto"/>
            </w:tcBorders>
            <w:shd w:val="clear" w:color="auto" w:fill="FCDEC5"/>
          </w:tcPr>
          <w:p>
            <w:pPr>
              <w:ind w:left="680"/>
              <w:spacing w:after="0"/>
              <w:rPr>
                <w:sz w:val="20"/>
                <w:szCs w:val="20"/>
                <w:color w:val="auto"/>
              </w:rPr>
            </w:pPr>
            <w:r>
              <w:rPr>
                <w:rFonts w:ascii="Arial" w:cs="Arial" w:eastAsia="Arial" w:hAnsi="Arial"/>
                <w:sz w:val="10"/>
                <w:szCs w:val="10"/>
                <w:color w:val="auto"/>
                <w:w w:val="79"/>
              </w:rPr>
              <w:t>—</w:t>
            </w:r>
          </w:p>
        </w:tc>
        <w:tc>
          <w:tcPr>
            <w:tcW w:w="60" w:type="dxa"/>
            <w:vAlign w:val="bottom"/>
            <w:tcBorders>
              <w:top w:val="single" w:sz="8" w:color="F79646"/>
            </w:tcBorders>
            <w:shd w:val="clear" w:color="auto" w:fill="FCDEC5"/>
          </w:tcPr>
          <w:p>
            <w:pPr>
              <w:spacing w:after="0"/>
              <w:rPr>
                <w:sz w:val="19"/>
                <w:szCs w:val="19"/>
                <w:color w:val="auto"/>
              </w:rPr>
            </w:pPr>
          </w:p>
        </w:tc>
        <w:tc>
          <w:tcPr>
            <w:tcW w:w="480" w:type="dxa"/>
            <w:vAlign w:val="bottom"/>
            <w:tcBorders>
              <w:top w:val="single" w:sz="8" w:color="auto"/>
            </w:tcBorders>
            <w:shd w:val="clear" w:color="auto" w:fill="FCDEC5"/>
          </w:tcPr>
          <w:p>
            <w:pPr>
              <w:jc w:val="right"/>
              <w:spacing w:after="0"/>
              <w:rPr>
                <w:sz w:val="20"/>
                <w:szCs w:val="20"/>
                <w:color w:val="auto"/>
              </w:rPr>
            </w:pPr>
            <w:r>
              <w:rPr>
                <w:rFonts w:ascii="Arial" w:cs="Arial" w:eastAsia="Arial" w:hAnsi="Arial"/>
                <w:sz w:val="10"/>
                <w:szCs w:val="10"/>
                <w:color w:val="auto"/>
              </w:rPr>
              <w:t>24.77</w:t>
            </w:r>
          </w:p>
        </w:tc>
        <w:tc>
          <w:tcPr>
            <w:tcW w:w="60" w:type="dxa"/>
            <w:vAlign w:val="bottom"/>
            <w:tcBorders>
              <w:top w:val="single" w:sz="8" w:color="F79646"/>
            </w:tcBorders>
            <w:shd w:val="clear" w:color="auto" w:fill="FCDEC5"/>
          </w:tcPr>
          <w:p>
            <w:pPr>
              <w:spacing w:after="0"/>
              <w:rPr>
                <w:sz w:val="19"/>
                <w:szCs w:val="19"/>
                <w:color w:val="auto"/>
              </w:rPr>
            </w:pPr>
          </w:p>
        </w:tc>
        <w:tc>
          <w:tcPr>
            <w:tcW w:w="540" w:type="dxa"/>
            <w:vAlign w:val="bottom"/>
            <w:tcBorders>
              <w:top w:val="single" w:sz="8" w:color="auto"/>
            </w:tcBorders>
            <w:shd w:val="clear" w:color="auto" w:fill="FCDEC5"/>
          </w:tcPr>
          <w:p>
            <w:pPr>
              <w:ind w:left="140"/>
              <w:spacing w:after="0"/>
              <w:rPr>
                <w:sz w:val="20"/>
                <w:szCs w:val="20"/>
                <w:color w:val="auto"/>
              </w:rPr>
            </w:pPr>
            <w:r>
              <w:rPr>
                <w:rFonts w:ascii="Arial" w:cs="Arial" w:eastAsia="Arial" w:hAnsi="Arial"/>
                <w:sz w:val="10"/>
                <w:szCs w:val="10"/>
                <w:color w:val="auto"/>
                <w:w w:val="97"/>
              </w:rPr>
              <w:t>2/7/2022</w:t>
            </w:r>
          </w:p>
        </w:tc>
        <w:tc>
          <w:tcPr>
            <w:tcW w:w="60" w:type="dxa"/>
            <w:vAlign w:val="bottom"/>
            <w:tcBorders>
              <w:top w:val="single" w:sz="8" w:color="F79646"/>
            </w:tcBorders>
            <w:shd w:val="clear" w:color="auto" w:fill="FCDEC5"/>
          </w:tcPr>
          <w:p>
            <w:pPr>
              <w:spacing w:after="0"/>
              <w:rPr>
                <w:sz w:val="19"/>
                <w:szCs w:val="19"/>
                <w:color w:val="auto"/>
              </w:rPr>
            </w:pPr>
          </w:p>
        </w:tc>
        <w:tc>
          <w:tcPr>
            <w:tcW w:w="480" w:type="dxa"/>
            <w:vAlign w:val="bottom"/>
            <w:tcBorders>
              <w:top w:val="single" w:sz="8" w:color="auto"/>
            </w:tcBorders>
            <w:shd w:val="clear" w:color="auto" w:fill="FCDEC5"/>
          </w:tcPr>
          <w:p>
            <w:pPr>
              <w:spacing w:after="0"/>
              <w:rPr>
                <w:sz w:val="19"/>
                <w:szCs w:val="19"/>
                <w:color w:val="auto"/>
              </w:rPr>
            </w:pPr>
          </w:p>
        </w:tc>
        <w:tc>
          <w:tcPr>
            <w:tcW w:w="100" w:type="dxa"/>
            <w:vAlign w:val="bottom"/>
            <w:tcBorders>
              <w:top w:val="single" w:sz="8" w:color="F79646"/>
            </w:tcBorders>
            <w:shd w:val="clear" w:color="auto" w:fill="FCDEC5"/>
          </w:tcPr>
          <w:p>
            <w:pPr>
              <w:spacing w:after="0"/>
              <w:rPr>
                <w:sz w:val="19"/>
                <w:szCs w:val="19"/>
                <w:color w:val="auto"/>
              </w:rPr>
            </w:pPr>
          </w:p>
        </w:tc>
        <w:tc>
          <w:tcPr>
            <w:tcW w:w="560" w:type="dxa"/>
            <w:vAlign w:val="bottom"/>
            <w:tcBorders>
              <w:top w:val="single" w:sz="8" w:color="auto"/>
            </w:tcBorders>
            <w:shd w:val="clear" w:color="auto" w:fill="FCDEC5"/>
          </w:tcPr>
          <w:p>
            <w:pPr>
              <w:spacing w:after="0"/>
              <w:rPr>
                <w:sz w:val="19"/>
                <w:szCs w:val="19"/>
                <w:color w:val="auto"/>
              </w:rPr>
            </w:pPr>
          </w:p>
        </w:tc>
        <w:tc>
          <w:tcPr>
            <w:tcW w:w="60" w:type="dxa"/>
            <w:vAlign w:val="bottom"/>
            <w:tcBorders>
              <w:top w:val="single" w:sz="8" w:color="F79646"/>
            </w:tcBorders>
            <w:shd w:val="clear" w:color="auto" w:fill="FCDEC5"/>
          </w:tcPr>
          <w:p>
            <w:pPr>
              <w:spacing w:after="0"/>
              <w:rPr>
                <w:sz w:val="19"/>
                <w:szCs w:val="19"/>
                <w:color w:val="auto"/>
              </w:rPr>
            </w:pPr>
          </w:p>
        </w:tc>
        <w:tc>
          <w:tcPr>
            <w:tcW w:w="700" w:type="dxa"/>
            <w:vAlign w:val="bottom"/>
            <w:tcBorders>
              <w:top w:val="single" w:sz="8" w:color="auto"/>
            </w:tcBorders>
            <w:shd w:val="clear" w:color="auto" w:fill="FCDEC5"/>
          </w:tcPr>
          <w:p>
            <w:pPr>
              <w:spacing w:after="0"/>
              <w:rPr>
                <w:sz w:val="19"/>
                <w:szCs w:val="19"/>
                <w:color w:val="auto"/>
              </w:rPr>
            </w:pPr>
          </w:p>
        </w:tc>
        <w:tc>
          <w:tcPr>
            <w:tcW w:w="100" w:type="dxa"/>
            <w:vAlign w:val="bottom"/>
            <w:tcBorders>
              <w:top w:val="single" w:sz="8" w:color="F79646"/>
            </w:tcBorders>
            <w:shd w:val="clear" w:color="auto" w:fill="FCDEC5"/>
          </w:tcPr>
          <w:p>
            <w:pPr>
              <w:spacing w:after="0"/>
              <w:rPr>
                <w:sz w:val="19"/>
                <w:szCs w:val="19"/>
                <w:color w:val="auto"/>
              </w:rPr>
            </w:pPr>
          </w:p>
        </w:tc>
        <w:tc>
          <w:tcPr>
            <w:tcW w:w="820" w:type="dxa"/>
            <w:vAlign w:val="bottom"/>
            <w:tcBorders>
              <w:top w:val="single" w:sz="8" w:color="auto"/>
            </w:tcBorders>
            <w:shd w:val="clear" w:color="auto" w:fill="FCDEC5"/>
          </w:tcPr>
          <w:p>
            <w:pPr>
              <w:spacing w:after="0"/>
              <w:rPr>
                <w:sz w:val="19"/>
                <w:szCs w:val="19"/>
                <w:color w:val="auto"/>
              </w:rPr>
            </w:pPr>
          </w:p>
        </w:tc>
        <w:tc>
          <w:tcPr>
            <w:tcW w:w="140" w:type="dxa"/>
            <w:vAlign w:val="bottom"/>
            <w:tcBorders>
              <w:top w:val="single" w:sz="8" w:color="F79646"/>
              <w:right w:val="single" w:sz="8" w:color="F79646"/>
            </w:tcBorders>
            <w:shd w:val="clear" w:color="auto" w:fill="FCDEC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r>
              <w:rPr>
                <w:rFonts w:ascii="Arial" w:cs="Arial" w:eastAsia="Arial" w:hAnsi="Arial"/>
                <w:sz w:val="10"/>
                <w:szCs w:val="10"/>
                <w:color w:val="auto"/>
              </w:rPr>
              <w:t>Kapoor</w:t>
            </w: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2/26/2015</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9,375</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493,313</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2/24/2016</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18,750</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986,625</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23,917</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1,258,513</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ind w:right="20"/>
              <w:spacing w:after="0"/>
              <w:rPr>
                <w:sz w:val="20"/>
                <w:szCs w:val="20"/>
                <w:color w:val="auto"/>
              </w:rPr>
            </w:pPr>
            <w:r>
              <w:rPr>
                <w:rFonts w:ascii="Arial" w:cs="Arial" w:eastAsia="Arial" w:hAnsi="Arial"/>
                <w:sz w:val="10"/>
                <w:szCs w:val="10"/>
                <w:color w:val="auto"/>
              </w:rPr>
              <w:t>31,890</w:t>
            </w:r>
            <w:r>
              <w:rPr>
                <w:rFonts w:ascii="Arial" w:cs="Arial" w:eastAsia="Arial" w:hAnsi="Arial"/>
                <w:sz w:val="15"/>
                <w:szCs w:val="15"/>
                <w:color w:val="auto"/>
                <w:vertAlign w:val="superscript"/>
              </w:rPr>
              <w:t>(c)</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1,678,052</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31,888</w:t>
            </w:r>
            <w:r>
              <w:rPr>
                <w:rFonts w:ascii="Arial" w:cs="Arial" w:eastAsia="Arial" w:hAnsi="Arial"/>
                <w:sz w:val="15"/>
                <w:szCs w:val="15"/>
                <w:color w:val="auto"/>
                <w:vertAlign w:val="superscript"/>
              </w:rPr>
              <w:t>(d)</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1,677,947</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30,005</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1,578,863</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15,003</w:t>
            </w:r>
            <w:r>
              <w:rPr>
                <w:rFonts w:ascii="Arial" w:cs="Arial" w:eastAsia="Arial" w:hAnsi="Arial"/>
                <w:sz w:val="15"/>
                <w:szCs w:val="15"/>
                <w:color w:val="auto"/>
                <w:vertAlign w:val="superscript"/>
              </w:rPr>
              <w:t>(e)</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789,458</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15,002</w:t>
            </w:r>
            <w:r>
              <w:rPr>
                <w:rFonts w:ascii="Arial" w:cs="Arial" w:eastAsia="Arial" w:hAnsi="Arial"/>
                <w:sz w:val="15"/>
                <w:szCs w:val="15"/>
                <w:color w:val="auto"/>
                <w:vertAlign w:val="superscript"/>
              </w:rPr>
              <w:t>(e)</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789,405</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F79646"/>
            </w:tcBorders>
            <w:gridSpan w:val="3"/>
          </w:tcPr>
          <w:p>
            <w:pPr>
              <w:ind w:left="120"/>
              <w:spacing w:after="0"/>
              <w:rPr>
                <w:sz w:val="20"/>
                <w:szCs w:val="20"/>
                <w:color w:val="auto"/>
              </w:rPr>
            </w:pPr>
            <w:r>
              <w:rPr>
                <w:rFonts w:ascii="Arial" w:cs="Arial" w:eastAsia="Arial" w:hAnsi="Arial"/>
                <w:sz w:val="10"/>
                <w:szCs w:val="10"/>
                <w:color w:val="auto"/>
              </w:rPr>
              <w:t>Vishal</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6/1/2009</w:t>
            </w: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33,000</w:t>
            </w:r>
          </w:p>
        </w:tc>
        <w:tc>
          <w:tcPr>
            <w:tcW w:w="40" w:type="dxa"/>
            <w:vAlign w:val="bottom"/>
          </w:tcPr>
          <w:p>
            <w:pPr>
              <w:spacing w:after="0"/>
              <w:rPr>
                <w:sz w:val="10"/>
                <w:szCs w:val="10"/>
                <w:color w:val="auto"/>
              </w:rPr>
            </w:pPr>
          </w:p>
        </w:tc>
        <w:tc>
          <w:tcPr>
            <w:tcW w:w="780" w:type="dxa"/>
            <w:vAlign w:val="bottom"/>
          </w:tcPr>
          <w:p>
            <w:pPr>
              <w:ind w:left="680"/>
              <w:spacing w:after="0"/>
              <w:rPr>
                <w:sz w:val="20"/>
                <w:szCs w:val="20"/>
                <w:color w:val="auto"/>
              </w:rPr>
            </w:pPr>
            <w:r>
              <w:rPr>
                <w:rFonts w:ascii="Arial" w:cs="Arial" w:eastAsia="Arial" w:hAnsi="Arial"/>
                <w:sz w:val="10"/>
                <w:szCs w:val="10"/>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9.59</w:t>
            </w:r>
          </w:p>
        </w:tc>
        <w:tc>
          <w:tcPr>
            <w:tcW w:w="600" w:type="dxa"/>
            <w:vAlign w:val="bottom"/>
            <w:gridSpan w:val="2"/>
          </w:tcPr>
          <w:p>
            <w:pPr>
              <w:ind w:left="200"/>
              <w:spacing w:after="0"/>
              <w:rPr>
                <w:sz w:val="20"/>
                <w:szCs w:val="20"/>
                <w:color w:val="auto"/>
              </w:rPr>
            </w:pPr>
            <w:r>
              <w:rPr>
                <w:rFonts w:ascii="Arial" w:cs="Arial" w:eastAsia="Arial" w:hAnsi="Arial"/>
                <w:sz w:val="10"/>
                <w:szCs w:val="10"/>
                <w:color w:val="auto"/>
                <w:w w:val="97"/>
              </w:rPr>
              <w:t>6/1/2019</w:t>
            </w:r>
          </w:p>
        </w:tc>
        <w:tc>
          <w:tcPr>
            <w:tcW w:w="6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rPr>
              <w:t>3,000</w:t>
            </w:r>
            <w:r>
              <w:rPr>
                <w:rFonts w:ascii="Arial" w:cs="Arial" w:eastAsia="Arial" w:hAnsi="Arial"/>
                <w:sz w:val="15"/>
                <w:szCs w:val="15"/>
                <w:color w:val="auto"/>
                <w:vertAlign w:val="superscript"/>
              </w:rPr>
              <w:t>(b)</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F79646"/>
            </w:tcBorders>
            <w:gridSpan w:val="3"/>
          </w:tcPr>
          <w:p>
            <w:pPr>
              <w:ind w:left="120"/>
              <w:spacing w:after="0" w:line="93" w:lineRule="exact"/>
              <w:rPr>
                <w:sz w:val="20"/>
                <w:szCs w:val="20"/>
                <w:color w:val="auto"/>
              </w:rPr>
            </w:pPr>
            <w:r>
              <w:rPr>
                <w:rFonts w:ascii="Arial" w:cs="Arial" w:eastAsia="Arial" w:hAnsi="Arial"/>
                <w:sz w:val="10"/>
                <w:szCs w:val="10"/>
                <w:color w:val="auto"/>
              </w:rPr>
              <w:t>Chhibbar</w:t>
            </w:r>
          </w:p>
        </w:tc>
        <w:tc>
          <w:tcPr>
            <w:tcW w:w="6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2/26/2015</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60" w:type="dxa"/>
            <w:vAlign w:val="bottom"/>
          </w:tcPr>
          <w:p>
            <w:pPr>
              <w:jc w:val="right"/>
              <w:spacing w:after="0" w:line="93" w:lineRule="exact"/>
              <w:rPr>
                <w:sz w:val="20"/>
                <w:szCs w:val="20"/>
                <w:color w:val="auto"/>
              </w:rPr>
            </w:pPr>
            <w:r>
              <w:rPr>
                <w:rFonts w:ascii="Arial" w:cs="Arial" w:eastAsia="Arial" w:hAnsi="Arial"/>
                <w:sz w:val="10"/>
                <w:szCs w:val="10"/>
                <w:color w:val="auto"/>
              </w:rPr>
              <w:t>157,860</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2/24/2016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spacing w:after="0" w:line="116" w:lineRule="exact"/>
              <w:rPr>
                <w:sz w:val="20"/>
                <w:szCs w:val="20"/>
                <w:color w:val="auto"/>
              </w:rPr>
            </w:pPr>
            <w:r>
              <w:rPr>
                <w:rFonts w:ascii="Arial" w:cs="Arial" w:eastAsia="Arial" w:hAnsi="Arial"/>
                <w:sz w:val="9"/>
                <w:szCs w:val="9"/>
                <w:color w:val="auto"/>
              </w:rPr>
              <w:t>3,500</w:t>
            </w:r>
            <w:r>
              <w:rPr>
                <w:rFonts w:ascii="Arial" w:cs="Arial" w:eastAsia="Arial" w:hAnsi="Arial"/>
                <w:sz w:val="13"/>
                <w:szCs w:val="13"/>
                <w:color w:val="auto"/>
                <w:vertAlign w:val="superscript"/>
              </w:rPr>
              <w:t>(a)</w:t>
            </w:r>
          </w:p>
        </w:tc>
        <w:tc>
          <w:tcPr>
            <w:tcW w:w="560" w:type="dxa"/>
            <w:vAlign w:val="bottom"/>
          </w:tcPr>
          <w:p>
            <w:pPr>
              <w:jc w:val="right"/>
              <w:spacing w:after="0"/>
              <w:rPr>
                <w:sz w:val="20"/>
                <w:szCs w:val="20"/>
                <w:color w:val="auto"/>
              </w:rPr>
            </w:pPr>
            <w:r>
              <w:rPr>
                <w:rFonts w:ascii="Arial" w:cs="Arial" w:eastAsia="Arial" w:hAnsi="Arial"/>
                <w:sz w:val="10"/>
                <w:szCs w:val="10"/>
                <w:color w:val="auto"/>
              </w:rPr>
              <w:t>184,170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0" w:type="dxa"/>
            <w:vAlign w:val="bottom"/>
            <w:tcBorders>
              <w:left w:val="single" w:sz="8" w:color="F79646"/>
            </w:tcBorders>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5,457</w:t>
            </w:r>
            <w:r>
              <w:rPr>
                <w:rFonts w:ascii="Arial" w:cs="Arial" w:eastAsia="Arial" w:hAnsi="Arial"/>
                <w:sz w:val="15"/>
                <w:szCs w:val="15"/>
                <w:color w:val="auto"/>
                <w:vertAlign w:val="superscript"/>
              </w:rPr>
              <w:t>(a)</w:t>
            </w:r>
          </w:p>
        </w:tc>
        <w:tc>
          <w:tcPr>
            <w:tcW w:w="560" w:type="dxa"/>
            <w:vAlign w:val="bottom"/>
          </w:tcPr>
          <w:p>
            <w:pPr>
              <w:jc w:val="right"/>
              <w:spacing w:after="0"/>
              <w:rPr>
                <w:sz w:val="20"/>
                <w:szCs w:val="20"/>
                <w:color w:val="auto"/>
              </w:rPr>
            </w:pPr>
            <w:r>
              <w:rPr>
                <w:rFonts w:ascii="Arial" w:cs="Arial" w:eastAsia="Arial" w:hAnsi="Arial"/>
                <w:sz w:val="10"/>
                <w:szCs w:val="10"/>
                <w:color w:val="auto"/>
              </w:rPr>
              <w:t>287,147</w:t>
            </w:r>
          </w:p>
        </w:tc>
        <w:tc>
          <w:tcPr>
            <w:tcW w:w="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7,276</w:t>
            </w:r>
            <w:r>
              <w:rPr>
                <w:rFonts w:ascii="Arial" w:cs="Arial" w:eastAsia="Arial" w:hAnsi="Arial"/>
                <w:sz w:val="15"/>
                <w:szCs w:val="15"/>
                <w:color w:val="auto"/>
                <w:vertAlign w:val="superscript"/>
              </w:rPr>
              <w:t>(c)</w:t>
            </w:r>
          </w:p>
        </w:tc>
        <w:tc>
          <w:tcPr>
            <w:tcW w:w="820" w:type="dxa"/>
            <w:vAlign w:val="bottom"/>
          </w:tcPr>
          <w:p>
            <w:pPr>
              <w:spacing w:after="0"/>
              <w:rPr>
                <w:sz w:val="12"/>
                <w:szCs w:val="12"/>
                <w:color w:val="auto"/>
              </w:rPr>
            </w:pPr>
          </w:p>
        </w:tc>
        <w:tc>
          <w:tcPr>
            <w:tcW w:w="14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20" w:type="dxa"/>
            <w:vAlign w:val="bottom"/>
            <w:tcBorders>
              <w:left w:val="single" w:sz="8" w:color="F79646"/>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2/23/2017</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jc w:val="right"/>
              <w:spacing w:after="0" w:line="93" w:lineRule="exact"/>
              <w:rPr>
                <w:sz w:val="20"/>
                <w:szCs w:val="20"/>
                <w:color w:val="auto"/>
              </w:rPr>
            </w:pPr>
            <w:r>
              <w:rPr>
                <w:rFonts w:ascii="Arial" w:cs="Arial" w:eastAsia="Arial" w:hAnsi="Arial"/>
                <w:sz w:val="10"/>
                <w:szCs w:val="10"/>
                <w:color w:val="auto"/>
              </w:rPr>
              <w:t>382,863</w:t>
            </w: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20" w:type="dxa"/>
            <w:vAlign w:val="bottom"/>
            <w:tcBorders>
              <w:left w:val="single" w:sz="8" w:color="F79646"/>
            </w:tcBorders>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rPr>
              <w:t>7,350</w:t>
            </w:r>
            <w:r>
              <w:rPr>
                <w:rFonts w:ascii="Arial" w:cs="Arial" w:eastAsia="Arial" w:hAnsi="Arial"/>
                <w:sz w:val="15"/>
                <w:szCs w:val="15"/>
                <w:color w:val="auto"/>
                <w:vertAlign w:val="superscript"/>
              </w:rPr>
              <w:t>(a)</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7,274</w:t>
            </w:r>
            <w:r>
              <w:rPr>
                <w:rFonts w:ascii="Arial" w:cs="Arial" w:eastAsia="Arial" w:hAnsi="Arial"/>
                <w:sz w:val="15"/>
                <w:szCs w:val="15"/>
                <w:color w:val="auto"/>
                <w:vertAlign w:val="superscript"/>
              </w:rPr>
              <w:t>(d)</w:t>
            </w:r>
          </w:p>
        </w:tc>
        <w:tc>
          <w:tcPr>
            <w:tcW w:w="820" w:type="dxa"/>
            <w:vAlign w:val="bottom"/>
          </w:tcPr>
          <w:p>
            <w:pPr>
              <w:jc w:val="right"/>
              <w:spacing w:after="0"/>
              <w:rPr>
                <w:sz w:val="20"/>
                <w:szCs w:val="20"/>
                <w:color w:val="auto"/>
              </w:rPr>
            </w:pPr>
            <w:r>
              <w:rPr>
                <w:rFonts w:ascii="Arial" w:cs="Arial" w:eastAsia="Arial" w:hAnsi="Arial"/>
                <w:sz w:val="10"/>
                <w:szCs w:val="10"/>
                <w:color w:val="auto"/>
              </w:rPr>
              <w:t>382,758</w:t>
            </w:r>
          </w:p>
        </w:tc>
        <w:tc>
          <w:tcPr>
            <w:tcW w:w="14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386,757</w:t>
            </w:r>
          </w:p>
        </w:tc>
        <w:tc>
          <w:tcPr>
            <w:tcW w:w="6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0"/>
                <w:szCs w:val="10"/>
                <w:color w:val="auto"/>
              </w:rPr>
              <w:t>3,675</w:t>
            </w:r>
            <w:r>
              <w:rPr>
                <w:rFonts w:ascii="Arial" w:cs="Arial" w:eastAsia="Arial" w:hAnsi="Arial"/>
                <w:sz w:val="15"/>
                <w:szCs w:val="15"/>
                <w:color w:val="auto"/>
                <w:vertAlign w:val="superscript"/>
              </w:rPr>
              <w:t>(e)</w:t>
            </w:r>
          </w:p>
        </w:tc>
        <w:tc>
          <w:tcPr>
            <w:tcW w:w="820" w:type="dxa"/>
            <w:vAlign w:val="bottom"/>
          </w:tcPr>
          <w:p>
            <w:pPr>
              <w:spacing w:after="0"/>
              <w:rPr>
                <w:sz w:val="10"/>
                <w:szCs w:val="10"/>
                <w:color w:val="auto"/>
              </w:rPr>
            </w:pPr>
          </w:p>
        </w:tc>
        <w:tc>
          <w:tcPr>
            <w:tcW w:w="14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 w:type="dxa"/>
            <w:vAlign w:val="bottom"/>
            <w:tcBorders>
              <w:left w:val="single" w:sz="8" w:color="F79646"/>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2/22/2018</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jc w:val="right"/>
              <w:spacing w:after="0" w:line="93" w:lineRule="exact"/>
              <w:rPr>
                <w:sz w:val="20"/>
                <w:szCs w:val="20"/>
                <w:color w:val="auto"/>
              </w:rPr>
            </w:pPr>
            <w:r>
              <w:rPr>
                <w:rFonts w:ascii="Arial" w:cs="Arial" w:eastAsia="Arial" w:hAnsi="Arial"/>
                <w:sz w:val="10"/>
                <w:szCs w:val="10"/>
                <w:color w:val="auto"/>
              </w:rPr>
              <w:t>193,379</w:t>
            </w: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0"/>
                <w:szCs w:val="10"/>
                <w:color w:val="auto"/>
              </w:rPr>
              <w:t>3,675</w:t>
            </w:r>
            <w:r>
              <w:rPr>
                <w:rFonts w:ascii="Arial" w:cs="Arial" w:eastAsia="Arial" w:hAnsi="Arial"/>
                <w:sz w:val="15"/>
                <w:szCs w:val="15"/>
                <w:color w:val="auto"/>
                <w:vertAlign w:val="superscript"/>
              </w:rPr>
              <w:t>(e)</w:t>
            </w:r>
          </w:p>
        </w:tc>
        <w:tc>
          <w:tcPr>
            <w:tcW w:w="820" w:type="dxa"/>
            <w:vAlign w:val="bottom"/>
          </w:tcPr>
          <w:p>
            <w:pPr>
              <w:jc w:val="right"/>
              <w:spacing w:after="0"/>
              <w:rPr>
                <w:sz w:val="20"/>
                <w:szCs w:val="20"/>
                <w:color w:val="auto"/>
              </w:rPr>
            </w:pPr>
            <w:r>
              <w:rPr>
                <w:rFonts w:ascii="Arial" w:cs="Arial" w:eastAsia="Arial" w:hAnsi="Arial"/>
                <w:sz w:val="10"/>
                <w:szCs w:val="10"/>
                <w:color w:val="auto"/>
              </w:rPr>
              <w:t>193,379</w:t>
            </w:r>
          </w:p>
        </w:tc>
        <w:tc>
          <w:tcPr>
            <w:tcW w:w="140" w:type="dxa"/>
            <w:vAlign w:val="bottom"/>
            <w:tcBorders>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80" w:type="dxa"/>
            <w:vAlign w:val="bottom"/>
            <w:gridSpan w:val="2"/>
            <w:shd w:val="clear" w:color="auto" w:fill="FCDEC5"/>
          </w:tcPr>
          <w:p>
            <w:pPr>
              <w:spacing w:after="0"/>
              <w:rPr>
                <w:sz w:val="20"/>
                <w:szCs w:val="20"/>
                <w:color w:val="auto"/>
              </w:rPr>
            </w:pPr>
            <w:r>
              <w:rPr>
                <w:rFonts w:ascii="Arial" w:cs="Arial" w:eastAsia="Arial" w:hAnsi="Arial"/>
                <w:sz w:val="10"/>
                <w:szCs w:val="10"/>
                <w:color w:val="auto"/>
              </w:rPr>
              <w:t>Pavan</w:t>
            </w: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2/26/2015</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5,000</w:t>
            </w:r>
            <w:r>
              <w:rPr>
                <w:rFonts w:ascii="Arial" w:cs="Arial" w:eastAsia="Arial" w:hAnsi="Arial"/>
                <w:sz w:val="15"/>
                <w:szCs w:val="15"/>
                <w:color w:val="auto"/>
                <w:vertAlign w:val="superscript"/>
              </w:rPr>
              <w:t>(b)</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263,100</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r>
              <w:rPr>
                <w:rFonts w:ascii="Arial" w:cs="Arial" w:eastAsia="Arial" w:hAnsi="Arial"/>
                <w:sz w:val="10"/>
                <w:szCs w:val="10"/>
                <w:color w:val="auto"/>
              </w:rPr>
              <w:t>Bagai</w:t>
            </w: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2/24/2016</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328,875</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8,625</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453,848</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ind w:right="20"/>
              <w:spacing w:after="0"/>
              <w:rPr>
                <w:sz w:val="20"/>
                <w:szCs w:val="20"/>
                <w:color w:val="auto"/>
              </w:rPr>
            </w:pPr>
            <w:r>
              <w:rPr>
                <w:rFonts w:ascii="Arial" w:cs="Arial" w:eastAsia="Arial" w:hAnsi="Arial"/>
                <w:sz w:val="10"/>
                <w:szCs w:val="10"/>
                <w:color w:val="auto"/>
              </w:rPr>
              <w:t>11,500</w:t>
            </w:r>
            <w:r>
              <w:rPr>
                <w:rFonts w:ascii="Arial" w:cs="Arial" w:eastAsia="Arial" w:hAnsi="Arial"/>
                <w:sz w:val="15"/>
                <w:szCs w:val="15"/>
                <w:color w:val="auto"/>
                <w:vertAlign w:val="superscript"/>
              </w:rPr>
              <w:t>(c)</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605,130</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11,500</w:t>
            </w:r>
            <w:r>
              <w:rPr>
                <w:rFonts w:ascii="Arial" w:cs="Arial" w:eastAsia="Arial" w:hAnsi="Arial"/>
                <w:sz w:val="15"/>
                <w:szCs w:val="15"/>
                <w:color w:val="auto"/>
                <w:vertAlign w:val="superscript"/>
              </w:rPr>
              <w:t>(d)</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605,130</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10,600</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557,772</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5,300</w:t>
            </w:r>
            <w:r>
              <w:rPr>
                <w:rFonts w:ascii="Arial" w:cs="Arial" w:eastAsia="Arial" w:hAnsi="Arial"/>
                <w:sz w:val="15"/>
                <w:szCs w:val="15"/>
                <w:color w:val="auto"/>
                <w:vertAlign w:val="superscript"/>
              </w:rPr>
              <w:t>(e)</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278,886</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5,300</w:t>
            </w:r>
            <w:r>
              <w:rPr>
                <w:rFonts w:ascii="Arial" w:cs="Arial" w:eastAsia="Arial" w:hAnsi="Arial"/>
                <w:sz w:val="15"/>
                <w:szCs w:val="15"/>
                <w:color w:val="auto"/>
                <w:vertAlign w:val="superscript"/>
              </w:rPr>
              <w:t>(e)</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278,886</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600" w:type="dxa"/>
            <w:vAlign w:val="bottom"/>
            <w:tcBorders>
              <w:left w:val="single" w:sz="8" w:color="F79646"/>
            </w:tcBorders>
            <w:gridSpan w:val="3"/>
          </w:tcPr>
          <w:p>
            <w:pPr>
              <w:ind w:left="120"/>
              <w:spacing w:after="0" w:line="96" w:lineRule="exact"/>
              <w:rPr>
                <w:sz w:val="20"/>
                <w:szCs w:val="20"/>
                <w:color w:val="auto"/>
              </w:rPr>
            </w:pPr>
            <w:r>
              <w:rPr>
                <w:rFonts w:ascii="Arial" w:cs="Arial" w:eastAsia="Arial" w:hAnsi="Arial"/>
                <w:sz w:val="10"/>
                <w:szCs w:val="10"/>
                <w:color w:val="auto"/>
              </w:rPr>
              <w:t>Nagaraja</w:t>
            </w:r>
          </w:p>
        </w:tc>
        <w:tc>
          <w:tcPr>
            <w:tcW w:w="600" w:type="dxa"/>
            <w:vAlign w:val="bottom"/>
            <w:gridSpan w:val="2"/>
          </w:tcPr>
          <w:p>
            <w:pPr>
              <w:jc w:val="right"/>
              <w:spacing w:after="0" w:line="96" w:lineRule="exact"/>
              <w:rPr>
                <w:sz w:val="20"/>
                <w:szCs w:val="20"/>
                <w:color w:val="auto"/>
              </w:rPr>
            </w:pPr>
            <w:r>
              <w:rPr>
                <w:rFonts w:ascii="Arial" w:cs="Arial" w:eastAsia="Arial" w:hAnsi="Arial"/>
                <w:sz w:val="10"/>
                <w:szCs w:val="10"/>
                <w:color w:val="auto"/>
              </w:rPr>
              <w:t>12/15/2016</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spacing w:after="0" w:line="96" w:lineRule="exact"/>
              <w:rPr>
                <w:sz w:val="20"/>
                <w:szCs w:val="20"/>
                <w:color w:val="auto"/>
              </w:rPr>
            </w:pPr>
            <w:r>
              <w:rPr>
                <w:rFonts w:ascii="Arial" w:cs="Arial" w:eastAsia="Arial" w:hAnsi="Arial"/>
                <w:sz w:val="8"/>
                <w:szCs w:val="8"/>
                <w:color w:val="auto"/>
              </w:rPr>
              <w:t>9,000</w:t>
            </w:r>
            <w:r>
              <w:rPr>
                <w:rFonts w:ascii="Arial" w:cs="Arial" w:eastAsia="Arial" w:hAnsi="Arial"/>
                <w:sz w:val="11"/>
                <w:szCs w:val="11"/>
                <w:color w:val="auto"/>
                <w:vertAlign w:val="superscript"/>
              </w:rPr>
              <w:t>(a)</w:t>
            </w:r>
          </w:p>
        </w:tc>
        <w:tc>
          <w:tcPr>
            <w:tcW w:w="560" w:type="dxa"/>
            <w:vAlign w:val="bottom"/>
          </w:tcPr>
          <w:p>
            <w:pPr>
              <w:jc w:val="right"/>
              <w:spacing w:after="0" w:line="96" w:lineRule="exact"/>
              <w:rPr>
                <w:sz w:val="20"/>
                <w:szCs w:val="20"/>
                <w:color w:val="auto"/>
              </w:rPr>
            </w:pPr>
            <w:r>
              <w:rPr>
                <w:rFonts w:ascii="Arial" w:cs="Arial" w:eastAsia="Arial" w:hAnsi="Arial"/>
                <w:sz w:val="10"/>
                <w:szCs w:val="10"/>
                <w:color w:val="auto"/>
              </w:rPr>
              <w:t>473,580</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600" w:type="dxa"/>
            <w:vAlign w:val="bottom"/>
            <w:tcBorders>
              <w:left w:val="single" w:sz="8" w:color="F79646"/>
            </w:tcBorders>
            <w:gridSpan w:val="3"/>
          </w:tcPr>
          <w:p>
            <w:pPr>
              <w:ind w:left="120"/>
              <w:spacing w:after="0"/>
              <w:rPr>
                <w:sz w:val="20"/>
                <w:szCs w:val="20"/>
                <w:color w:val="auto"/>
              </w:rPr>
            </w:pPr>
            <w:r>
              <w:rPr>
                <w:rFonts w:ascii="Arial" w:cs="Arial" w:eastAsia="Arial" w:hAnsi="Arial"/>
                <w:sz w:val="10"/>
                <w:szCs w:val="10"/>
                <w:color w:val="auto"/>
              </w:rPr>
              <w:t>Srivatsan</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4,950</w:t>
            </w:r>
            <w:r>
              <w:rPr>
                <w:rFonts w:ascii="Arial" w:cs="Arial" w:eastAsia="Arial" w:hAnsi="Arial"/>
                <w:sz w:val="15"/>
                <w:szCs w:val="15"/>
                <w:color w:val="auto"/>
                <w:vertAlign w:val="superscript"/>
              </w:rPr>
              <w:t>(a)</w:t>
            </w:r>
          </w:p>
        </w:tc>
        <w:tc>
          <w:tcPr>
            <w:tcW w:w="560" w:type="dxa"/>
            <w:vAlign w:val="bottom"/>
          </w:tcPr>
          <w:p>
            <w:pPr>
              <w:jc w:val="right"/>
              <w:spacing w:after="0"/>
              <w:rPr>
                <w:sz w:val="20"/>
                <w:szCs w:val="20"/>
                <w:color w:val="auto"/>
              </w:rPr>
            </w:pPr>
            <w:r>
              <w:rPr>
                <w:rFonts w:ascii="Arial" w:cs="Arial" w:eastAsia="Arial" w:hAnsi="Arial"/>
                <w:sz w:val="10"/>
                <w:szCs w:val="10"/>
                <w:color w:val="auto"/>
              </w:rPr>
              <w:t>260,469</w:t>
            </w:r>
          </w:p>
        </w:tc>
        <w:tc>
          <w:tcPr>
            <w:tcW w:w="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6,600</w:t>
            </w:r>
            <w:r>
              <w:rPr>
                <w:rFonts w:ascii="Arial" w:cs="Arial" w:eastAsia="Arial" w:hAnsi="Arial"/>
                <w:sz w:val="15"/>
                <w:szCs w:val="15"/>
                <w:color w:val="auto"/>
                <w:vertAlign w:val="superscript"/>
              </w:rPr>
              <w:t>(c)</w:t>
            </w:r>
          </w:p>
        </w:tc>
        <w:tc>
          <w:tcPr>
            <w:tcW w:w="820" w:type="dxa"/>
            <w:vAlign w:val="bottom"/>
          </w:tcPr>
          <w:p>
            <w:pPr>
              <w:spacing w:after="0"/>
              <w:rPr>
                <w:sz w:val="12"/>
                <w:szCs w:val="12"/>
                <w:color w:val="auto"/>
              </w:rPr>
            </w:pPr>
          </w:p>
        </w:tc>
        <w:tc>
          <w:tcPr>
            <w:tcW w:w="14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20" w:type="dxa"/>
            <w:vAlign w:val="bottom"/>
            <w:tcBorders>
              <w:left w:val="single" w:sz="8" w:color="F79646"/>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2/23/2017</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jc w:val="right"/>
              <w:spacing w:after="0" w:line="93" w:lineRule="exact"/>
              <w:rPr>
                <w:sz w:val="20"/>
                <w:szCs w:val="20"/>
                <w:color w:val="auto"/>
              </w:rPr>
            </w:pPr>
            <w:r>
              <w:rPr>
                <w:rFonts w:ascii="Arial" w:cs="Arial" w:eastAsia="Arial" w:hAnsi="Arial"/>
                <w:sz w:val="10"/>
                <w:szCs w:val="10"/>
                <w:color w:val="auto"/>
              </w:rPr>
              <w:t>347,292</w:t>
            </w: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20" w:type="dxa"/>
            <w:vAlign w:val="bottom"/>
            <w:tcBorders>
              <w:left w:val="single" w:sz="8" w:color="F79646"/>
            </w:tcBorders>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rPr>
              <w:t>5,960</w:t>
            </w:r>
            <w:r>
              <w:rPr>
                <w:rFonts w:ascii="Arial" w:cs="Arial" w:eastAsia="Arial" w:hAnsi="Arial"/>
                <w:sz w:val="15"/>
                <w:szCs w:val="15"/>
                <w:color w:val="auto"/>
                <w:vertAlign w:val="superscript"/>
              </w:rPr>
              <w:t>(a)</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6,600</w:t>
            </w:r>
            <w:r>
              <w:rPr>
                <w:rFonts w:ascii="Arial" w:cs="Arial" w:eastAsia="Arial" w:hAnsi="Arial"/>
                <w:sz w:val="15"/>
                <w:szCs w:val="15"/>
                <w:color w:val="auto"/>
                <w:vertAlign w:val="superscript"/>
              </w:rPr>
              <w:t>(d)</w:t>
            </w:r>
          </w:p>
        </w:tc>
        <w:tc>
          <w:tcPr>
            <w:tcW w:w="820" w:type="dxa"/>
            <w:vAlign w:val="bottom"/>
          </w:tcPr>
          <w:p>
            <w:pPr>
              <w:jc w:val="right"/>
              <w:spacing w:after="0"/>
              <w:rPr>
                <w:sz w:val="20"/>
                <w:szCs w:val="20"/>
                <w:color w:val="auto"/>
              </w:rPr>
            </w:pPr>
            <w:r>
              <w:rPr>
                <w:rFonts w:ascii="Arial" w:cs="Arial" w:eastAsia="Arial" w:hAnsi="Arial"/>
                <w:sz w:val="10"/>
                <w:szCs w:val="10"/>
                <w:color w:val="auto"/>
              </w:rPr>
              <w:t>347,292</w:t>
            </w:r>
          </w:p>
        </w:tc>
        <w:tc>
          <w:tcPr>
            <w:tcW w:w="14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F79646"/>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313,615</w:t>
            </w:r>
          </w:p>
        </w:tc>
        <w:tc>
          <w:tcPr>
            <w:tcW w:w="6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0"/>
                <w:szCs w:val="10"/>
                <w:color w:val="auto"/>
              </w:rPr>
              <w:t>2,980</w:t>
            </w:r>
            <w:r>
              <w:rPr>
                <w:rFonts w:ascii="Arial" w:cs="Arial" w:eastAsia="Arial" w:hAnsi="Arial"/>
                <w:sz w:val="15"/>
                <w:szCs w:val="15"/>
                <w:color w:val="auto"/>
                <w:vertAlign w:val="superscript"/>
              </w:rPr>
              <w:t>(e)</w:t>
            </w:r>
          </w:p>
        </w:tc>
        <w:tc>
          <w:tcPr>
            <w:tcW w:w="820" w:type="dxa"/>
            <w:vAlign w:val="bottom"/>
          </w:tcPr>
          <w:p>
            <w:pPr>
              <w:spacing w:after="0"/>
              <w:rPr>
                <w:sz w:val="10"/>
                <w:szCs w:val="10"/>
                <w:color w:val="auto"/>
              </w:rPr>
            </w:pPr>
          </w:p>
        </w:tc>
        <w:tc>
          <w:tcPr>
            <w:tcW w:w="14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 w:type="dxa"/>
            <w:vAlign w:val="bottom"/>
            <w:tcBorders>
              <w:left w:val="single" w:sz="8" w:color="F79646"/>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spacing w:after="0" w:line="93" w:lineRule="exact"/>
              <w:rPr>
                <w:sz w:val="20"/>
                <w:szCs w:val="20"/>
                <w:color w:val="auto"/>
              </w:rPr>
            </w:pPr>
            <w:r>
              <w:rPr>
                <w:rFonts w:ascii="Arial" w:cs="Arial" w:eastAsia="Arial" w:hAnsi="Arial"/>
                <w:sz w:val="10"/>
                <w:szCs w:val="10"/>
                <w:color w:val="auto"/>
              </w:rPr>
              <w:t>2/22/2018</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jc w:val="right"/>
              <w:spacing w:after="0" w:line="93" w:lineRule="exact"/>
              <w:rPr>
                <w:sz w:val="20"/>
                <w:szCs w:val="20"/>
                <w:color w:val="auto"/>
              </w:rPr>
            </w:pPr>
            <w:r>
              <w:rPr>
                <w:rFonts w:ascii="Arial" w:cs="Arial" w:eastAsia="Arial" w:hAnsi="Arial"/>
                <w:sz w:val="10"/>
                <w:szCs w:val="10"/>
                <w:color w:val="auto"/>
              </w:rPr>
              <w:t>156,808</w:t>
            </w:r>
          </w:p>
        </w:tc>
        <w:tc>
          <w:tcPr>
            <w:tcW w:w="140" w:type="dxa"/>
            <w:vAlign w:val="bottom"/>
            <w:tcBorders>
              <w:right w:val="single" w:sz="8" w:color="F79646"/>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0"/>
                <w:szCs w:val="10"/>
                <w:color w:val="auto"/>
              </w:rPr>
              <w:t>2,980</w:t>
            </w:r>
            <w:r>
              <w:rPr>
                <w:rFonts w:ascii="Arial" w:cs="Arial" w:eastAsia="Arial" w:hAnsi="Arial"/>
                <w:sz w:val="15"/>
                <w:szCs w:val="15"/>
                <w:color w:val="auto"/>
                <w:vertAlign w:val="superscript"/>
              </w:rPr>
              <w:t>(e)</w:t>
            </w:r>
          </w:p>
        </w:tc>
        <w:tc>
          <w:tcPr>
            <w:tcW w:w="820" w:type="dxa"/>
            <w:vAlign w:val="bottom"/>
          </w:tcPr>
          <w:p>
            <w:pPr>
              <w:jc w:val="right"/>
              <w:spacing w:after="0"/>
              <w:rPr>
                <w:sz w:val="20"/>
                <w:szCs w:val="20"/>
                <w:color w:val="auto"/>
              </w:rPr>
            </w:pPr>
            <w:r>
              <w:rPr>
                <w:rFonts w:ascii="Arial" w:cs="Arial" w:eastAsia="Arial" w:hAnsi="Arial"/>
                <w:sz w:val="10"/>
                <w:szCs w:val="10"/>
                <w:color w:val="auto"/>
              </w:rPr>
              <w:t>156,808</w:t>
            </w:r>
          </w:p>
        </w:tc>
        <w:tc>
          <w:tcPr>
            <w:tcW w:w="140" w:type="dxa"/>
            <w:vAlign w:val="bottom"/>
            <w:tcBorders>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80" w:type="dxa"/>
            <w:vAlign w:val="bottom"/>
            <w:gridSpan w:val="2"/>
            <w:shd w:val="clear" w:color="auto" w:fill="FCDEC5"/>
          </w:tcPr>
          <w:p>
            <w:pPr>
              <w:spacing w:after="0"/>
              <w:rPr>
                <w:sz w:val="20"/>
                <w:szCs w:val="20"/>
                <w:color w:val="auto"/>
              </w:rPr>
            </w:pPr>
            <w:r>
              <w:rPr>
                <w:rFonts w:ascii="Arial" w:cs="Arial" w:eastAsia="Arial" w:hAnsi="Arial"/>
                <w:sz w:val="10"/>
                <w:szCs w:val="10"/>
                <w:color w:val="auto"/>
              </w:rPr>
              <w:t>Nalin</w:t>
            </w: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2/26/2015</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2,400</w:t>
            </w:r>
            <w:r>
              <w:rPr>
                <w:rFonts w:ascii="Arial" w:cs="Arial" w:eastAsia="Arial" w:hAnsi="Arial"/>
                <w:sz w:val="15"/>
                <w:szCs w:val="15"/>
                <w:color w:val="auto"/>
                <w:vertAlign w:val="superscript"/>
              </w:rPr>
              <w:t>(b)</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126,288</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r>
              <w:rPr>
                <w:rFonts w:ascii="Arial" w:cs="Arial" w:eastAsia="Arial" w:hAnsi="Arial"/>
                <w:sz w:val="10"/>
                <w:szCs w:val="10"/>
                <w:color w:val="auto"/>
              </w:rPr>
              <w:t>Miglani</w:t>
            </w: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2/24/2016</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3,000</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157,860</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5,363</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282,201</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ind w:right="20"/>
              <w:spacing w:after="0"/>
              <w:rPr>
                <w:sz w:val="20"/>
                <w:szCs w:val="20"/>
                <w:color w:val="auto"/>
              </w:rPr>
            </w:pPr>
            <w:r>
              <w:rPr>
                <w:rFonts w:ascii="Arial" w:cs="Arial" w:eastAsia="Arial" w:hAnsi="Arial"/>
                <w:sz w:val="10"/>
                <w:szCs w:val="10"/>
                <w:color w:val="auto"/>
              </w:rPr>
              <w:t>7,150</w:t>
            </w:r>
            <w:r>
              <w:rPr>
                <w:rFonts w:ascii="Arial" w:cs="Arial" w:eastAsia="Arial" w:hAnsi="Arial"/>
                <w:sz w:val="15"/>
                <w:szCs w:val="15"/>
                <w:color w:val="auto"/>
                <w:vertAlign w:val="superscript"/>
              </w:rPr>
              <w:t>(c)</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376,233</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2/23/2017</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7,150</w:t>
            </w:r>
            <w:r>
              <w:rPr>
                <w:rFonts w:ascii="Arial" w:cs="Arial" w:eastAsia="Arial" w:hAnsi="Arial"/>
                <w:sz w:val="15"/>
                <w:szCs w:val="15"/>
                <w:color w:val="auto"/>
                <w:vertAlign w:val="superscript"/>
              </w:rPr>
              <w:t>(d)</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376,233</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6.410</w:t>
            </w:r>
            <w:r>
              <w:rPr>
                <w:rFonts w:ascii="Arial" w:cs="Arial" w:eastAsia="Arial" w:hAnsi="Arial"/>
                <w:sz w:val="15"/>
                <w:szCs w:val="15"/>
                <w:color w:val="auto"/>
                <w:vertAlign w:val="superscript"/>
              </w:rPr>
              <w:t>(a)</w:t>
            </w:r>
          </w:p>
        </w:tc>
        <w:tc>
          <w:tcPr>
            <w:tcW w:w="5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337,294</w:t>
            </w:r>
          </w:p>
        </w:tc>
        <w:tc>
          <w:tcPr>
            <w:tcW w:w="60" w:type="dxa"/>
            <w:vAlign w:val="bottom"/>
            <w:shd w:val="clear" w:color="auto" w:fill="FCDEC5"/>
          </w:tcPr>
          <w:p>
            <w:pPr>
              <w:spacing w:after="0"/>
              <w:rPr>
                <w:sz w:val="20"/>
                <w:szCs w:val="20"/>
                <w:color w:val="auto"/>
              </w:rPr>
            </w:pPr>
          </w:p>
        </w:tc>
        <w:tc>
          <w:tcPr>
            <w:tcW w:w="70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820" w:type="dxa"/>
            <w:vAlign w:val="bottom"/>
            <w:shd w:val="clear" w:color="auto" w:fill="FCDEC5"/>
          </w:tcPr>
          <w:p>
            <w:pPr>
              <w:spacing w:after="0"/>
              <w:rPr>
                <w:sz w:val="20"/>
                <w:szCs w:val="20"/>
                <w:color w:val="auto"/>
              </w:rPr>
            </w:pP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tcBorders>
            <w:shd w:val="clear" w:color="auto" w:fill="FCDEC5"/>
          </w:tcPr>
          <w:p>
            <w:pPr>
              <w:spacing w:after="0"/>
              <w:rPr>
                <w:sz w:val="20"/>
                <w:szCs w:val="20"/>
                <w:color w:val="auto"/>
              </w:rPr>
            </w:pPr>
          </w:p>
        </w:tc>
        <w:tc>
          <w:tcPr>
            <w:tcW w:w="44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6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shd w:val="clear" w:color="auto" w:fill="FCDEC5"/>
          </w:tcPr>
          <w:p>
            <w:pPr>
              <w:spacing w:after="0"/>
              <w:rPr>
                <w:sz w:val="20"/>
                <w:szCs w:val="20"/>
                <w:color w:val="auto"/>
              </w:rPr>
            </w:pPr>
          </w:p>
        </w:tc>
        <w:tc>
          <w:tcPr>
            <w:tcW w:w="760" w:type="dxa"/>
            <w:vAlign w:val="bottom"/>
            <w:shd w:val="clear" w:color="auto" w:fill="FCDEC5"/>
          </w:tcPr>
          <w:p>
            <w:pPr>
              <w:spacing w:after="0"/>
              <w:rPr>
                <w:sz w:val="20"/>
                <w:szCs w:val="20"/>
                <w:color w:val="auto"/>
              </w:rPr>
            </w:pPr>
          </w:p>
        </w:tc>
        <w:tc>
          <w:tcPr>
            <w:tcW w:w="40" w:type="dxa"/>
            <w:vAlign w:val="bottom"/>
            <w:shd w:val="clear" w:color="auto" w:fill="FCDEC5"/>
          </w:tcPr>
          <w:p>
            <w:pPr>
              <w:spacing w:after="0"/>
              <w:rPr>
                <w:sz w:val="20"/>
                <w:szCs w:val="20"/>
                <w:color w:val="auto"/>
              </w:rPr>
            </w:pPr>
          </w:p>
        </w:tc>
        <w:tc>
          <w:tcPr>
            <w:tcW w:w="7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54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480" w:type="dxa"/>
            <w:vAlign w:val="bottom"/>
            <w:shd w:val="clear" w:color="auto" w:fill="FCDEC5"/>
          </w:tcPr>
          <w:p>
            <w:pPr>
              <w:spacing w:after="0"/>
              <w:rPr>
                <w:sz w:val="20"/>
                <w:szCs w:val="20"/>
                <w:color w:val="auto"/>
              </w:rPr>
            </w:pPr>
          </w:p>
        </w:tc>
        <w:tc>
          <w:tcPr>
            <w:tcW w:w="100" w:type="dxa"/>
            <w:vAlign w:val="bottom"/>
            <w:shd w:val="clear" w:color="auto" w:fill="FCDEC5"/>
          </w:tcPr>
          <w:p>
            <w:pPr>
              <w:spacing w:after="0"/>
              <w:rPr>
                <w:sz w:val="20"/>
                <w:szCs w:val="20"/>
                <w:color w:val="auto"/>
              </w:rPr>
            </w:pPr>
          </w:p>
        </w:tc>
        <w:tc>
          <w:tcPr>
            <w:tcW w:w="560" w:type="dxa"/>
            <w:vAlign w:val="bottom"/>
            <w:shd w:val="clear" w:color="auto" w:fill="FCDEC5"/>
          </w:tcPr>
          <w:p>
            <w:pPr>
              <w:spacing w:after="0"/>
              <w:rPr>
                <w:sz w:val="20"/>
                <w:szCs w:val="20"/>
                <w:color w:val="auto"/>
              </w:rPr>
            </w:pPr>
          </w:p>
        </w:tc>
        <w:tc>
          <w:tcPr>
            <w:tcW w:w="60" w:type="dxa"/>
            <w:vAlign w:val="bottom"/>
            <w:shd w:val="clear" w:color="auto" w:fill="FCDEC5"/>
          </w:tcPr>
          <w:p>
            <w:pPr>
              <w:spacing w:after="0"/>
              <w:rPr>
                <w:sz w:val="20"/>
                <w:szCs w:val="20"/>
                <w:color w:val="auto"/>
              </w:rPr>
            </w:pPr>
          </w:p>
        </w:tc>
        <w:tc>
          <w:tcPr>
            <w:tcW w:w="80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3,205</w:t>
            </w:r>
            <w:r>
              <w:rPr>
                <w:rFonts w:ascii="Arial" w:cs="Arial" w:eastAsia="Arial" w:hAnsi="Arial"/>
                <w:sz w:val="15"/>
                <w:szCs w:val="15"/>
                <w:color w:val="auto"/>
                <w:vertAlign w:val="superscript"/>
              </w:rPr>
              <w:t>(e)</w:t>
            </w:r>
          </w:p>
        </w:tc>
        <w:tc>
          <w:tcPr>
            <w:tcW w:w="82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168,647</w:t>
            </w:r>
          </w:p>
        </w:tc>
        <w:tc>
          <w:tcPr>
            <w:tcW w:w="140" w:type="dxa"/>
            <w:vAlign w:val="bottom"/>
            <w:tcBorders>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F79646"/>
              <w:bottom w:val="single" w:sz="8" w:color="F79646"/>
            </w:tcBorders>
            <w:shd w:val="clear" w:color="auto" w:fill="FCDEC5"/>
          </w:tcPr>
          <w:p>
            <w:pPr>
              <w:spacing w:after="0"/>
              <w:rPr>
                <w:sz w:val="20"/>
                <w:szCs w:val="20"/>
                <w:color w:val="auto"/>
              </w:rPr>
            </w:pPr>
          </w:p>
        </w:tc>
        <w:tc>
          <w:tcPr>
            <w:tcW w:w="440" w:type="dxa"/>
            <w:vAlign w:val="bottom"/>
            <w:tcBorders>
              <w:bottom w:val="single" w:sz="8" w:color="F79646"/>
            </w:tcBorders>
            <w:shd w:val="clear" w:color="auto" w:fill="FCDEC5"/>
          </w:tcPr>
          <w:p>
            <w:pPr>
              <w:spacing w:after="0"/>
              <w:rPr>
                <w:sz w:val="20"/>
                <w:szCs w:val="20"/>
                <w:color w:val="auto"/>
              </w:rPr>
            </w:pPr>
          </w:p>
        </w:tc>
        <w:tc>
          <w:tcPr>
            <w:tcW w:w="40" w:type="dxa"/>
            <w:vAlign w:val="bottom"/>
            <w:tcBorders>
              <w:bottom w:val="single" w:sz="8" w:color="F79646"/>
            </w:tcBorders>
            <w:shd w:val="clear" w:color="auto" w:fill="FCDEC5"/>
          </w:tcPr>
          <w:p>
            <w:pPr>
              <w:spacing w:after="0"/>
              <w:rPr>
                <w:sz w:val="20"/>
                <w:szCs w:val="20"/>
                <w:color w:val="auto"/>
              </w:rPr>
            </w:pPr>
          </w:p>
        </w:tc>
        <w:tc>
          <w:tcPr>
            <w:tcW w:w="60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2/22/2018</w:t>
            </w:r>
          </w:p>
        </w:tc>
        <w:tc>
          <w:tcPr>
            <w:tcW w:w="60" w:type="dxa"/>
            <w:vAlign w:val="bottom"/>
            <w:tcBorders>
              <w:bottom w:val="single" w:sz="8" w:color="F79646"/>
            </w:tcBorders>
            <w:shd w:val="clear" w:color="auto" w:fill="FCDEC5"/>
          </w:tcPr>
          <w:p>
            <w:pPr>
              <w:spacing w:after="0"/>
              <w:rPr>
                <w:sz w:val="20"/>
                <w:szCs w:val="20"/>
                <w:color w:val="auto"/>
              </w:rPr>
            </w:pPr>
          </w:p>
        </w:tc>
        <w:tc>
          <w:tcPr>
            <w:tcW w:w="760" w:type="dxa"/>
            <w:vAlign w:val="bottom"/>
            <w:tcBorders>
              <w:bottom w:val="single" w:sz="8" w:color="F79646"/>
            </w:tcBorders>
            <w:shd w:val="clear" w:color="auto" w:fill="FCDEC5"/>
          </w:tcPr>
          <w:p>
            <w:pPr>
              <w:spacing w:after="0"/>
              <w:rPr>
                <w:sz w:val="20"/>
                <w:szCs w:val="20"/>
                <w:color w:val="auto"/>
              </w:rPr>
            </w:pPr>
          </w:p>
        </w:tc>
        <w:tc>
          <w:tcPr>
            <w:tcW w:w="40" w:type="dxa"/>
            <w:vAlign w:val="bottom"/>
            <w:tcBorders>
              <w:bottom w:val="single" w:sz="8" w:color="F79646"/>
            </w:tcBorders>
            <w:shd w:val="clear" w:color="auto" w:fill="FCDEC5"/>
          </w:tcPr>
          <w:p>
            <w:pPr>
              <w:spacing w:after="0"/>
              <w:rPr>
                <w:sz w:val="20"/>
                <w:szCs w:val="20"/>
                <w:color w:val="auto"/>
              </w:rPr>
            </w:pPr>
          </w:p>
        </w:tc>
        <w:tc>
          <w:tcPr>
            <w:tcW w:w="780" w:type="dxa"/>
            <w:vAlign w:val="bottom"/>
            <w:tcBorders>
              <w:bottom w:val="single" w:sz="8" w:color="F79646"/>
            </w:tcBorders>
            <w:shd w:val="clear" w:color="auto" w:fill="FCDEC5"/>
          </w:tcPr>
          <w:p>
            <w:pPr>
              <w:spacing w:after="0"/>
              <w:rPr>
                <w:sz w:val="20"/>
                <w:szCs w:val="20"/>
                <w:color w:val="auto"/>
              </w:rPr>
            </w:pPr>
          </w:p>
        </w:tc>
        <w:tc>
          <w:tcPr>
            <w:tcW w:w="60" w:type="dxa"/>
            <w:vAlign w:val="bottom"/>
            <w:tcBorders>
              <w:bottom w:val="single" w:sz="8" w:color="F79646"/>
            </w:tcBorders>
            <w:shd w:val="clear" w:color="auto" w:fill="FCDEC5"/>
          </w:tcPr>
          <w:p>
            <w:pPr>
              <w:spacing w:after="0"/>
              <w:rPr>
                <w:sz w:val="20"/>
                <w:szCs w:val="20"/>
                <w:color w:val="auto"/>
              </w:rPr>
            </w:pPr>
          </w:p>
        </w:tc>
        <w:tc>
          <w:tcPr>
            <w:tcW w:w="480" w:type="dxa"/>
            <w:vAlign w:val="bottom"/>
            <w:tcBorders>
              <w:bottom w:val="single" w:sz="8" w:color="F79646"/>
            </w:tcBorders>
            <w:shd w:val="clear" w:color="auto" w:fill="FCDEC5"/>
          </w:tcPr>
          <w:p>
            <w:pPr>
              <w:spacing w:after="0"/>
              <w:rPr>
                <w:sz w:val="20"/>
                <w:szCs w:val="20"/>
                <w:color w:val="auto"/>
              </w:rPr>
            </w:pPr>
          </w:p>
        </w:tc>
        <w:tc>
          <w:tcPr>
            <w:tcW w:w="60" w:type="dxa"/>
            <w:vAlign w:val="bottom"/>
            <w:tcBorders>
              <w:bottom w:val="single" w:sz="8" w:color="F79646"/>
            </w:tcBorders>
            <w:shd w:val="clear" w:color="auto" w:fill="FCDEC5"/>
          </w:tcPr>
          <w:p>
            <w:pPr>
              <w:spacing w:after="0"/>
              <w:rPr>
                <w:sz w:val="20"/>
                <w:szCs w:val="20"/>
                <w:color w:val="auto"/>
              </w:rPr>
            </w:pPr>
          </w:p>
        </w:tc>
        <w:tc>
          <w:tcPr>
            <w:tcW w:w="540" w:type="dxa"/>
            <w:vAlign w:val="bottom"/>
            <w:tcBorders>
              <w:bottom w:val="single" w:sz="8" w:color="F79646"/>
            </w:tcBorders>
            <w:shd w:val="clear" w:color="auto" w:fill="FCDEC5"/>
          </w:tcPr>
          <w:p>
            <w:pPr>
              <w:spacing w:after="0"/>
              <w:rPr>
                <w:sz w:val="20"/>
                <w:szCs w:val="20"/>
                <w:color w:val="auto"/>
              </w:rPr>
            </w:pPr>
          </w:p>
        </w:tc>
        <w:tc>
          <w:tcPr>
            <w:tcW w:w="60" w:type="dxa"/>
            <w:vAlign w:val="bottom"/>
            <w:tcBorders>
              <w:bottom w:val="single" w:sz="8" w:color="F79646"/>
            </w:tcBorders>
            <w:shd w:val="clear" w:color="auto" w:fill="FCDEC5"/>
          </w:tcPr>
          <w:p>
            <w:pPr>
              <w:spacing w:after="0"/>
              <w:rPr>
                <w:sz w:val="20"/>
                <w:szCs w:val="20"/>
                <w:color w:val="auto"/>
              </w:rPr>
            </w:pPr>
          </w:p>
        </w:tc>
        <w:tc>
          <w:tcPr>
            <w:tcW w:w="480" w:type="dxa"/>
            <w:vAlign w:val="bottom"/>
            <w:tcBorders>
              <w:bottom w:val="single" w:sz="8" w:color="F79646"/>
            </w:tcBorders>
            <w:shd w:val="clear" w:color="auto" w:fill="FCDEC5"/>
          </w:tcPr>
          <w:p>
            <w:pPr>
              <w:spacing w:after="0"/>
              <w:rPr>
                <w:sz w:val="20"/>
                <w:szCs w:val="20"/>
                <w:color w:val="auto"/>
              </w:rPr>
            </w:pPr>
          </w:p>
        </w:tc>
        <w:tc>
          <w:tcPr>
            <w:tcW w:w="100" w:type="dxa"/>
            <w:vAlign w:val="bottom"/>
            <w:tcBorders>
              <w:bottom w:val="single" w:sz="8" w:color="F79646"/>
            </w:tcBorders>
            <w:shd w:val="clear" w:color="auto" w:fill="FCDEC5"/>
          </w:tcPr>
          <w:p>
            <w:pPr>
              <w:spacing w:after="0"/>
              <w:rPr>
                <w:sz w:val="20"/>
                <w:szCs w:val="20"/>
                <w:color w:val="auto"/>
              </w:rPr>
            </w:pPr>
          </w:p>
        </w:tc>
        <w:tc>
          <w:tcPr>
            <w:tcW w:w="560" w:type="dxa"/>
            <w:vAlign w:val="bottom"/>
            <w:tcBorders>
              <w:bottom w:val="single" w:sz="8" w:color="F79646"/>
            </w:tcBorders>
            <w:shd w:val="clear" w:color="auto" w:fill="FCDEC5"/>
          </w:tcPr>
          <w:p>
            <w:pPr>
              <w:spacing w:after="0"/>
              <w:rPr>
                <w:sz w:val="20"/>
                <w:szCs w:val="20"/>
                <w:color w:val="auto"/>
              </w:rPr>
            </w:pPr>
          </w:p>
        </w:tc>
        <w:tc>
          <w:tcPr>
            <w:tcW w:w="60" w:type="dxa"/>
            <w:vAlign w:val="bottom"/>
            <w:tcBorders>
              <w:bottom w:val="single" w:sz="8" w:color="F79646"/>
            </w:tcBorders>
            <w:shd w:val="clear" w:color="auto" w:fill="FCDEC5"/>
          </w:tcPr>
          <w:p>
            <w:pPr>
              <w:spacing w:after="0"/>
              <w:rPr>
                <w:sz w:val="20"/>
                <w:szCs w:val="20"/>
                <w:color w:val="auto"/>
              </w:rPr>
            </w:pPr>
          </w:p>
        </w:tc>
        <w:tc>
          <w:tcPr>
            <w:tcW w:w="80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3,205</w:t>
            </w:r>
            <w:r>
              <w:rPr>
                <w:rFonts w:ascii="Arial" w:cs="Arial" w:eastAsia="Arial" w:hAnsi="Arial"/>
                <w:sz w:val="15"/>
                <w:szCs w:val="15"/>
                <w:color w:val="auto"/>
                <w:vertAlign w:val="superscript"/>
              </w:rPr>
              <w:t>(e)</w:t>
            </w:r>
          </w:p>
        </w:tc>
        <w:tc>
          <w:tcPr>
            <w:tcW w:w="82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168,647</w:t>
            </w:r>
          </w:p>
        </w:tc>
        <w:tc>
          <w:tcPr>
            <w:tcW w:w="140" w:type="dxa"/>
            <w:vAlign w:val="bottom"/>
            <w:tcBorders>
              <w:bottom w:val="single" w:sz="8" w:color="F79646"/>
              <w:right w:val="single" w:sz="8" w:color="F79646"/>
            </w:tcBorders>
            <w:shd w:val="clear" w:color="auto" w:fill="FCDEC5"/>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440" w:right="199" w:hanging="382"/>
        <w:spacing w:after="0" w:line="245" w:lineRule="auto"/>
        <w:tabs>
          <w:tab w:leader="none" w:pos="1440" w:val="left"/>
        </w:tabs>
        <w:numPr>
          <w:ilvl w:val="0"/>
          <w:numId w:val="79"/>
        </w:numPr>
        <w:rPr>
          <w:rFonts w:ascii="Arial" w:cs="Arial" w:eastAsia="Arial" w:hAnsi="Arial"/>
          <w:sz w:val="10"/>
          <w:szCs w:val="10"/>
          <w:color w:val="auto"/>
        </w:rPr>
      </w:pPr>
      <w:r>
        <w:rPr>
          <w:rFonts w:ascii="Arial" w:cs="Arial" w:eastAsia="Arial" w:hAnsi="Arial"/>
          <w:sz w:val="10"/>
          <w:szCs w:val="10"/>
          <w:color w:val="auto"/>
        </w:rPr>
        <w:t>The stock option awards for Mr. Kapoor became vested in increments of 25% on each of the first, second, third and fourth anniversaries of the grant date, generally subject to continued employment through each applicable vesting date. For Mr. Chhibbar, 10% of the options vested on the first anniversary of the grant date, an additional 20% of the options vested on the second anniversary of the grant date, an additional 30% of the options vested on the third anniversary of the grant date and the remaining 40% of the options vested on the fourth anniversary of the grant date, generally subject to continued employment through each applicable vesting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32" w:name="page33"/>
    <w:bookmarkEnd w:id="32"/>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ind w:left="1440" w:right="199" w:hanging="382"/>
        <w:spacing w:after="0" w:line="257" w:lineRule="auto"/>
        <w:tabs>
          <w:tab w:leader="none" w:pos="1440"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restricted stock unit awards in this table vest and convert to shares in accordance with the following schedules (generally subject to continued employment through each applicable vesting date):</w:t>
      </w:r>
    </w:p>
    <w:p>
      <w:pPr>
        <w:spacing w:after="0" w:line="138" w:lineRule="exact"/>
        <w:rPr>
          <w:rFonts w:ascii="Arial" w:cs="Arial" w:eastAsia="Arial" w:hAnsi="Arial"/>
          <w:sz w:val="10"/>
          <w:szCs w:val="10"/>
          <w:color w:val="auto"/>
        </w:rPr>
      </w:pPr>
    </w:p>
    <w:p>
      <w:pPr>
        <w:ind w:left="1820" w:hanging="377"/>
        <w:spacing w:after="0"/>
        <w:tabs>
          <w:tab w:leader="none" w:pos="1820" w:val="left"/>
        </w:tabs>
        <w:numPr>
          <w:ilvl w:val="1"/>
          <w:numId w:val="80"/>
        </w:numPr>
        <w:rPr>
          <w:rFonts w:ascii="Arial" w:cs="Arial" w:eastAsia="Arial" w:hAnsi="Arial"/>
          <w:sz w:val="10"/>
          <w:szCs w:val="10"/>
          <w:color w:val="auto"/>
        </w:rPr>
      </w:pPr>
      <w:r>
        <w:rPr>
          <w:rFonts w:ascii="Arial" w:cs="Arial" w:eastAsia="Arial" w:hAnsi="Arial"/>
          <w:sz w:val="10"/>
          <w:szCs w:val="10"/>
          <w:color w:val="auto"/>
        </w:rPr>
        <w:t>25% of the restricted stock units vest on each of the first, second, third and fourth anniversaries of the grant date.</w:t>
      </w:r>
    </w:p>
    <w:p>
      <w:pPr>
        <w:jc w:val="both"/>
        <w:ind w:left="1820" w:right="179" w:hanging="377"/>
        <w:spacing w:after="0" w:line="249" w:lineRule="auto"/>
        <w:tabs>
          <w:tab w:leader="none" w:pos="1820" w:val="left"/>
        </w:tabs>
        <w:numPr>
          <w:ilvl w:val="1"/>
          <w:numId w:val="80"/>
        </w:numPr>
        <w:rPr>
          <w:rFonts w:ascii="Arial" w:cs="Arial" w:eastAsia="Arial" w:hAnsi="Arial"/>
          <w:sz w:val="10"/>
          <w:szCs w:val="10"/>
          <w:color w:val="auto"/>
        </w:rPr>
      </w:pPr>
      <w:r>
        <w:rPr>
          <w:rFonts w:ascii="Arial" w:cs="Arial" w:eastAsia="Arial" w:hAnsi="Arial"/>
          <w:sz w:val="10"/>
          <w:szCs w:val="10"/>
          <w:color w:val="auto"/>
        </w:rPr>
        <w:t>10% of the restricted stock units vest on the first anniversary of the grant date, an additional 20% of the options vest on the second anniversary of the grant date, an additional 30% of the options vest on the third anniversary of the grant date and the remaining 40% of the options vest on the fourth anniversary of the grant date.</w:t>
      </w:r>
    </w:p>
    <w:p>
      <w:pPr>
        <w:spacing w:after="0" w:line="142" w:lineRule="exact"/>
        <w:rPr>
          <w:rFonts w:ascii="Arial" w:cs="Arial" w:eastAsia="Arial" w:hAnsi="Arial"/>
          <w:sz w:val="10"/>
          <w:szCs w:val="10"/>
          <w:color w:val="auto"/>
        </w:rPr>
      </w:pPr>
    </w:p>
    <w:p>
      <w:pPr>
        <w:ind w:left="1440" w:right="199" w:hanging="382"/>
        <w:spacing w:after="0" w:line="257" w:lineRule="auto"/>
        <w:tabs>
          <w:tab w:leader="none" w:pos="1440"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38" w:lineRule="exact"/>
        <w:rPr>
          <w:rFonts w:ascii="Arial" w:cs="Arial" w:eastAsia="Arial" w:hAnsi="Arial"/>
          <w:sz w:val="10"/>
          <w:szCs w:val="10"/>
          <w:color w:val="auto"/>
        </w:rPr>
      </w:pPr>
    </w:p>
    <w:p>
      <w:pPr>
        <w:ind w:left="1820" w:right="179" w:hanging="377"/>
        <w:spacing w:after="0" w:line="241" w:lineRule="auto"/>
        <w:tabs>
          <w:tab w:leader="none" w:pos="1820" w:val="left"/>
        </w:tabs>
        <w:numPr>
          <w:ilvl w:val="1"/>
          <w:numId w:val="81"/>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2019. This amount represents the 2017 Revenue-Linked PRSUs and reflects maximum performance.</w:t>
      </w:r>
    </w:p>
    <w:p>
      <w:pPr>
        <w:spacing w:after="0" w:line="115" w:lineRule="exact"/>
        <w:rPr>
          <w:rFonts w:ascii="Arial" w:cs="Arial" w:eastAsia="Arial" w:hAnsi="Arial"/>
          <w:sz w:val="10"/>
          <w:szCs w:val="10"/>
          <w:color w:val="auto"/>
        </w:rPr>
      </w:pPr>
    </w:p>
    <w:p>
      <w:pPr>
        <w:ind w:left="1820" w:right="199" w:hanging="377"/>
        <w:spacing w:after="0" w:line="241" w:lineRule="auto"/>
        <w:tabs>
          <w:tab w:leader="none" w:pos="1820" w:val="left"/>
        </w:tabs>
        <w:numPr>
          <w:ilvl w:val="1"/>
          <w:numId w:val="81"/>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2019. This amount represents the 2017 Relative TSR-Linked PRSUs and reflects maximum performance.</w:t>
      </w:r>
    </w:p>
    <w:p>
      <w:pPr>
        <w:ind w:left="1820" w:hanging="377"/>
        <w:spacing w:after="0"/>
        <w:tabs>
          <w:tab w:leader="none" w:pos="1820" w:val="left"/>
        </w:tabs>
        <w:numPr>
          <w:ilvl w:val="1"/>
          <w:numId w:val="81"/>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2020. This amount represents 2018 performance-based PRSUs and reflects target performance.</w:t>
      </w:r>
    </w:p>
    <w:p>
      <w:pPr>
        <w:spacing w:after="0" w:line="154" w:lineRule="exact"/>
        <w:rPr>
          <w:rFonts w:ascii="Arial" w:cs="Arial" w:eastAsia="Arial" w:hAnsi="Arial"/>
          <w:sz w:val="10"/>
          <w:szCs w:val="10"/>
          <w:color w:val="auto"/>
        </w:rPr>
      </w:pPr>
    </w:p>
    <w:p>
      <w:pPr>
        <w:ind w:left="1440" w:hanging="382"/>
        <w:spacing w:after="0"/>
        <w:tabs>
          <w:tab w:leader="none" w:pos="1440" w:val="left"/>
        </w:tabs>
        <w:numPr>
          <w:ilvl w:val="0"/>
          <w:numId w:val="82"/>
        </w:numPr>
        <w:rPr>
          <w:rFonts w:ascii="Arial" w:cs="Arial" w:eastAsia="Arial" w:hAnsi="Arial"/>
          <w:sz w:val="10"/>
          <w:szCs w:val="10"/>
          <w:color w:val="auto"/>
        </w:rPr>
      </w:pPr>
      <w:r>
        <w:rPr>
          <w:rFonts w:ascii="Arial" w:cs="Arial" w:eastAsia="Arial" w:hAnsi="Arial"/>
          <w:sz w:val="10"/>
          <w:szCs w:val="10"/>
          <w:color w:val="auto"/>
        </w:rPr>
        <w:t>The price used in determining the market values set forth in this table is $52.62, which was the closing price of our stock on December 31, 2018.</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Option Exercises and Stock Vested During Fiscal Year 2018</w:t>
      </w:r>
    </w:p>
    <w:p>
      <w:pPr>
        <w:spacing w:after="0" w:line="165"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The following table provides additional information about the value realized by our named executive officers on option award exercises and stock award vesting during fiscal year 2018:</w:t>
      </w:r>
    </w:p>
    <w:p>
      <w:pPr>
        <w:spacing w:after="0" w:line="148" w:lineRule="exact"/>
        <w:rPr>
          <w:sz w:val="20"/>
          <w:szCs w:val="20"/>
          <w:color w:val="auto"/>
        </w:rPr>
      </w:pPr>
    </w:p>
    <w:tbl>
      <w:tblPr>
        <w:tblLayout w:type="fixed"/>
        <w:tblInd w:w="1070" w:type="dxa"/>
        <w:tblCellMar>
          <w:top w:w="0" w:type="dxa"/>
          <w:left w:w="0" w:type="dxa"/>
          <w:bottom w:w="0" w:type="dxa"/>
          <w:right w:w="0" w:type="dxa"/>
        </w:tblCellMar>
      </w:tblPr>
      <w:tr>
        <w:trPr>
          <w:trHeight w:val="154"/>
        </w:trPr>
        <w:tc>
          <w:tcPr>
            <w:tcW w:w="220" w:type="dxa"/>
            <w:vAlign w:val="bottom"/>
            <w:tcBorders>
              <w:left w:val="single" w:sz="8" w:color="F79646"/>
            </w:tcBorders>
            <w:shd w:val="clear" w:color="auto" w:fill="F79646"/>
          </w:tcPr>
          <w:p>
            <w:pPr>
              <w:spacing w:after="0"/>
              <w:rPr>
                <w:sz w:val="13"/>
                <w:szCs w:val="13"/>
                <w:color w:val="auto"/>
              </w:rPr>
            </w:pPr>
          </w:p>
        </w:tc>
        <w:tc>
          <w:tcPr>
            <w:tcW w:w="188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2240" w:type="dxa"/>
            <w:vAlign w:val="bottom"/>
            <w:gridSpan w:val="3"/>
            <w:shd w:val="clear" w:color="auto" w:fill="F79646"/>
          </w:tcPr>
          <w:p>
            <w:pPr>
              <w:jc w:val="right"/>
              <w:ind w:right="597"/>
              <w:spacing w:after="0"/>
              <w:rPr>
                <w:sz w:val="20"/>
                <w:szCs w:val="20"/>
                <w:color w:val="auto"/>
              </w:rPr>
            </w:pPr>
            <w:r>
              <w:rPr>
                <w:rFonts w:ascii="Arial" w:cs="Arial" w:eastAsia="Arial" w:hAnsi="Arial"/>
                <w:sz w:val="13"/>
                <w:szCs w:val="13"/>
                <w:b w:val="1"/>
                <w:bCs w:val="1"/>
                <w:color w:val="FFFFFE"/>
              </w:rPr>
              <w:t>Option Awards</w:t>
            </w:r>
          </w:p>
        </w:tc>
        <w:tc>
          <w:tcPr>
            <w:tcW w:w="120" w:type="dxa"/>
            <w:vAlign w:val="bottom"/>
            <w:shd w:val="clear" w:color="auto" w:fill="F79646"/>
          </w:tcPr>
          <w:p>
            <w:pPr>
              <w:spacing w:after="0"/>
              <w:rPr>
                <w:sz w:val="13"/>
                <w:szCs w:val="13"/>
                <w:color w:val="auto"/>
              </w:rPr>
            </w:pPr>
          </w:p>
        </w:tc>
        <w:tc>
          <w:tcPr>
            <w:tcW w:w="2420" w:type="dxa"/>
            <w:vAlign w:val="bottom"/>
            <w:tcBorders>
              <w:right w:val="single" w:sz="8" w:color="F79646"/>
            </w:tcBorders>
            <w:gridSpan w:val="4"/>
            <w:shd w:val="clear" w:color="auto" w:fill="F79646"/>
          </w:tcPr>
          <w:p>
            <w:pPr>
              <w:ind w:left="700"/>
              <w:spacing w:after="0"/>
              <w:rPr>
                <w:sz w:val="20"/>
                <w:szCs w:val="20"/>
                <w:color w:val="auto"/>
              </w:rPr>
            </w:pPr>
            <w:r>
              <w:rPr>
                <w:rFonts w:ascii="Arial" w:cs="Arial" w:eastAsia="Arial" w:hAnsi="Arial"/>
                <w:sz w:val="13"/>
                <w:szCs w:val="13"/>
                <w:b w:val="1"/>
                <w:bCs w:val="1"/>
                <w:color w:val="FFFFFE"/>
              </w:rPr>
              <w:t>Stock Awards</w:t>
            </w:r>
          </w:p>
        </w:tc>
      </w:tr>
      <w:tr>
        <w:trPr>
          <w:trHeight w:val="226"/>
        </w:trPr>
        <w:tc>
          <w:tcPr>
            <w:tcW w:w="220" w:type="dxa"/>
            <w:vAlign w:val="bottom"/>
            <w:tcBorders>
              <w:top w:val="single" w:sz="8" w:color="F79646"/>
              <w:left w:val="single" w:sz="8" w:color="F79646"/>
            </w:tcBorders>
            <w:shd w:val="clear" w:color="auto" w:fill="F79646"/>
          </w:tcPr>
          <w:p>
            <w:pPr>
              <w:spacing w:after="0"/>
              <w:rPr>
                <w:sz w:val="19"/>
                <w:szCs w:val="19"/>
                <w:color w:val="auto"/>
              </w:rPr>
            </w:pPr>
          </w:p>
        </w:tc>
        <w:tc>
          <w:tcPr>
            <w:tcW w:w="1880" w:type="dxa"/>
            <w:vAlign w:val="bottom"/>
            <w:tcBorders>
              <w:top w:val="single" w:sz="8" w:color="F79646"/>
            </w:tcBorders>
            <w:shd w:val="clear" w:color="auto" w:fill="F79646"/>
          </w:tcPr>
          <w:p>
            <w:pPr>
              <w:spacing w:after="0"/>
              <w:rPr>
                <w:sz w:val="19"/>
                <w:szCs w:val="19"/>
                <w:color w:val="auto"/>
              </w:rPr>
            </w:pPr>
          </w:p>
        </w:tc>
        <w:tc>
          <w:tcPr>
            <w:tcW w:w="120" w:type="dxa"/>
            <w:vAlign w:val="bottom"/>
            <w:tcBorders>
              <w:top w:val="single" w:sz="8" w:color="F79646"/>
            </w:tcBorders>
            <w:shd w:val="clear" w:color="auto" w:fill="F79646"/>
          </w:tcPr>
          <w:p>
            <w:pPr>
              <w:spacing w:after="0"/>
              <w:rPr>
                <w:sz w:val="19"/>
                <w:szCs w:val="19"/>
                <w:color w:val="auto"/>
              </w:rPr>
            </w:pPr>
          </w:p>
        </w:tc>
        <w:tc>
          <w:tcPr>
            <w:tcW w:w="1220" w:type="dxa"/>
            <w:vAlign w:val="bottom"/>
            <w:tcBorders>
              <w:top w:val="single" w:sz="8" w:color="auto"/>
            </w:tcBorders>
            <w:shd w:val="clear" w:color="auto" w:fill="F79646"/>
          </w:tcPr>
          <w:p>
            <w:pPr>
              <w:jc w:val="center"/>
              <w:spacing w:after="0"/>
              <w:rPr>
                <w:sz w:val="20"/>
                <w:szCs w:val="20"/>
                <w:color w:val="auto"/>
              </w:rPr>
            </w:pPr>
            <w:r>
              <w:rPr>
                <w:rFonts w:ascii="Arial" w:cs="Arial" w:eastAsia="Arial" w:hAnsi="Arial"/>
                <w:sz w:val="13"/>
                <w:szCs w:val="13"/>
                <w:b w:val="1"/>
                <w:bCs w:val="1"/>
                <w:color w:val="FFFFFE"/>
                <w:w w:val="96"/>
              </w:rPr>
              <w:t>Number of Shares</w:t>
            </w:r>
          </w:p>
        </w:tc>
        <w:tc>
          <w:tcPr>
            <w:tcW w:w="120" w:type="dxa"/>
            <w:vAlign w:val="bottom"/>
            <w:tcBorders>
              <w:top w:val="single" w:sz="8" w:color="auto"/>
            </w:tcBorders>
            <w:shd w:val="clear" w:color="auto" w:fill="F79646"/>
          </w:tcPr>
          <w:p>
            <w:pPr>
              <w:spacing w:after="0"/>
              <w:rPr>
                <w:sz w:val="19"/>
                <w:szCs w:val="19"/>
                <w:color w:val="auto"/>
              </w:rPr>
            </w:pPr>
          </w:p>
        </w:tc>
        <w:tc>
          <w:tcPr>
            <w:tcW w:w="900" w:type="dxa"/>
            <w:vAlign w:val="bottom"/>
            <w:tcBorders>
              <w:top w:val="single" w:sz="8" w:color="auto"/>
            </w:tcBorders>
            <w:shd w:val="clear" w:color="auto" w:fill="F79646"/>
          </w:tcPr>
          <w:p>
            <w:pPr>
              <w:spacing w:after="0"/>
              <w:rPr>
                <w:sz w:val="19"/>
                <w:szCs w:val="19"/>
                <w:color w:val="auto"/>
              </w:rPr>
            </w:pPr>
          </w:p>
        </w:tc>
        <w:tc>
          <w:tcPr>
            <w:tcW w:w="120" w:type="dxa"/>
            <w:vAlign w:val="bottom"/>
            <w:tcBorders>
              <w:top w:val="single" w:sz="8" w:color="F79646"/>
            </w:tcBorders>
            <w:shd w:val="clear" w:color="auto" w:fill="F79646"/>
          </w:tcPr>
          <w:p>
            <w:pPr>
              <w:spacing w:after="0"/>
              <w:rPr>
                <w:sz w:val="19"/>
                <w:szCs w:val="19"/>
                <w:color w:val="auto"/>
              </w:rPr>
            </w:pPr>
          </w:p>
        </w:tc>
        <w:tc>
          <w:tcPr>
            <w:tcW w:w="1180" w:type="dxa"/>
            <w:vAlign w:val="bottom"/>
            <w:tcBorders>
              <w:top w:val="single" w:sz="8" w:color="auto"/>
            </w:tcBorders>
            <w:shd w:val="clear" w:color="auto" w:fill="F79646"/>
          </w:tcPr>
          <w:p>
            <w:pPr>
              <w:jc w:val="center"/>
              <w:spacing w:after="0"/>
              <w:rPr>
                <w:sz w:val="20"/>
                <w:szCs w:val="20"/>
                <w:color w:val="auto"/>
              </w:rPr>
            </w:pPr>
            <w:r>
              <w:rPr>
                <w:rFonts w:ascii="Arial" w:cs="Arial" w:eastAsia="Arial" w:hAnsi="Arial"/>
                <w:sz w:val="13"/>
                <w:szCs w:val="13"/>
                <w:b w:val="1"/>
                <w:bCs w:val="1"/>
                <w:color w:val="FFFFFE"/>
                <w:w w:val="96"/>
              </w:rPr>
              <w:t>Number of Shares</w:t>
            </w:r>
          </w:p>
        </w:tc>
        <w:tc>
          <w:tcPr>
            <w:tcW w:w="120" w:type="dxa"/>
            <w:vAlign w:val="bottom"/>
            <w:tcBorders>
              <w:top w:val="single" w:sz="8" w:color="auto"/>
            </w:tcBorders>
            <w:shd w:val="clear" w:color="auto" w:fill="F79646"/>
          </w:tcPr>
          <w:p>
            <w:pPr>
              <w:spacing w:after="0"/>
              <w:rPr>
                <w:sz w:val="19"/>
                <w:szCs w:val="19"/>
                <w:color w:val="auto"/>
              </w:rPr>
            </w:pPr>
          </w:p>
        </w:tc>
        <w:tc>
          <w:tcPr>
            <w:tcW w:w="880" w:type="dxa"/>
            <w:vAlign w:val="bottom"/>
            <w:tcBorders>
              <w:top w:val="single" w:sz="8" w:color="auto"/>
            </w:tcBorders>
            <w:shd w:val="clear" w:color="auto" w:fill="F79646"/>
          </w:tcPr>
          <w:p>
            <w:pPr>
              <w:spacing w:after="0"/>
              <w:rPr>
                <w:sz w:val="19"/>
                <w:szCs w:val="19"/>
                <w:color w:val="auto"/>
              </w:rPr>
            </w:pPr>
          </w:p>
        </w:tc>
        <w:tc>
          <w:tcPr>
            <w:tcW w:w="240" w:type="dxa"/>
            <w:vAlign w:val="bottom"/>
            <w:tcBorders>
              <w:top w:val="single" w:sz="8" w:color="F79646"/>
              <w:right w:val="single" w:sz="8" w:color="F79646"/>
            </w:tcBorders>
            <w:shd w:val="clear" w:color="auto" w:fill="F79646"/>
          </w:tcPr>
          <w:p>
            <w:pPr>
              <w:spacing w:after="0"/>
              <w:rPr>
                <w:sz w:val="19"/>
                <w:szCs w:val="19"/>
                <w:color w:val="auto"/>
              </w:rPr>
            </w:pPr>
          </w:p>
        </w:tc>
      </w:tr>
      <w:tr>
        <w:trPr>
          <w:trHeight w:val="144"/>
        </w:trPr>
        <w:tc>
          <w:tcPr>
            <w:tcW w:w="220" w:type="dxa"/>
            <w:vAlign w:val="bottom"/>
            <w:tcBorders>
              <w:left w:val="single" w:sz="8" w:color="F79646"/>
            </w:tcBorders>
            <w:shd w:val="clear" w:color="auto" w:fill="F79646"/>
          </w:tcPr>
          <w:p>
            <w:pPr>
              <w:spacing w:after="0"/>
              <w:rPr>
                <w:sz w:val="12"/>
                <w:szCs w:val="12"/>
                <w:color w:val="auto"/>
              </w:rPr>
            </w:pPr>
          </w:p>
        </w:tc>
        <w:tc>
          <w:tcPr>
            <w:tcW w:w="18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22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7"/>
              </w:rPr>
              <w:t>Acquired on</w:t>
            </w:r>
          </w:p>
        </w:tc>
        <w:tc>
          <w:tcPr>
            <w:tcW w:w="120" w:type="dxa"/>
            <w:vAlign w:val="bottom"/>
            <w:shd w:val="clear" w:color="auto" w:fill="F79646"/>
          </w:tcPr>
          <w:p>
            <w:pPr>
              <w:spacing w:after="0"/>
              <w:rPr>
                <w:sz w:val="12"/>
                <w:szCs w:val="12"/>
                <w:color w:val="auto"/>
              </w:rPr>
            </w:pPr>
          </w:p>
        </w:tc>
        <w:tc>
          <w:tcPr>
            <w:tcW w:w="900" w:type="dxa"/>
            <w:vAlign w:val="bottom"/>
            <w:shd w:val="clear" w:color="auto" w:fill="F79646"/>
          </w:tcPr>
          <w:p>
            <w:pPr>
              <w:jc w:val="right"/>
              <w:spacing w:after="0" w:line="144" w:lineRule="exact"/>
              <w:rPr>
                <w:sz w:val="20"/>
                <w:szCs w:val="20"/>
                <w:color w:val="auto"/>
              </w:rPr>
            </w:pPr>
            <w:r>
              <w:rPr>
                <w:rFonts w:ascii="Arial" w:cs="Arial" w:eastAsia="Arial" w:hAnsi="Arial"/>
                <w:sz w:val="13"/>
                <w:szCs w:val="13"/>
                <w:b w:val="1"/>
                <w:bCs w:val="1"/>
                <w:color w:val="FFFFFE"/>
                <w:w w:val="94"/>
              </w:rPr>
              <w:t>Value Realized</w:t>
            </w:r>
          </w:p>
        </w:tc>
        <w:tc>
          <w:tcPr>
            <w:tcW w:w="120" w:type="dxa"/>
            <w:vAlign w:val="bottom"/>
            <w:shd w:val="clear" w:color="auto" w:fill="F79646"/>
          </w:tcPr>
          <w:p>
            <w:pPr>
              <w:spacing w:after="0"/>
              <w:rPr>
                <w:sz w:val="12"/>
                <w:szCs w:val="12"/>
                <w:color w:val="auto"/>
              </w:rPr>
            </w:pPr>
          </w:p>
        </w:tc>
        <w:tc>
          <w:tcPr>
            <w:tcW w:w="118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5"/>
              </w:rPr>
              <w:t>Acquired</w:t>
            </w:r>
          </w:p>
        </w:tc>
        <w:tc>
          <w:tcPr>
            <w:tcW w:w="120" w:type="dxa"/>
            <w:vAlign w:val="bottom"/>
            <w:shd w:val="clear" w:color="auto" w:fill="F79646"/>
          </w:tcPr>
          <w:p>
            <w:pPr>
              <w:spacing w:after="0"/>
              <w:rPr>
                <w:sz w:val="12"/>
                <w:szCs w:val="12"/>
                <w:color w:val="auto"/>
              </w:rPr>
            </w:pPr>
          </w:p>
        </w:tc>
        <w:tc>
          <w:tcPr>
            <w:tcW w:w="880" w:type="dxa"/>
            <w:vAlign w:val="bottom"/>
            <w:shd w:val="clear" w:color="auto" w:fill="F79646"/>
          </w:tcPr>
          <w:p>
            <w:pPr>
              <w:jc w:val="right"/>
              <w:spacing w:after="0" w:line="144" w:lineRule="exact"/>
              <w:rPr>
                <w:sz w:val="20"/>
                <w:szCs w:val="20"/>
                <w:color w:val="auto"/>
              </w:rPr>
            </w:pPr>
            <w:r>
              <w:rPr>
                <w:rFonts w:ascii="Arial" w:cs="Arial" w:eastAsia="Arial" w:hAnsi="Arial"/>
                <w:sz w:val="13"/>
                <w:szCs w:val="13"/>
                <w:b w:val="1"/>
                <w:bCs w:val="1"/>
                <w:color w:val="FFFFFE"/>
                <w:w w:val="94"/>
              </w:rPr>
              <w:t>Value Realized</w:t>
            </w:r>
          </w:p>
        </w:tc>
        <w:tc>
          <w:tcPr>
            <w:tcW w:w="240" w:type="dxa"/>
            <w:vAlign w:val="bottom"/>
            <w:tcBorders>
              <w:right w:val="single" w:sz="8" w:color="F79646"/>
            </w:tcBorders>
            <w:shd w:val="clear" w:color="auto" w:fill="F79646"/>
          </w:tcPr>
          <w:p>
            <w:pPr>
              <w:spacing w:after="0"/>
              <w:rPr>
                <w:sz w:val="12"/>
                <w:szCs w:val="12"/>
                <w:color w:val="auto"/>
              </w:rPr>
            </w:pPr>
          </w:p>
        </w:tc>
      </w:tr>
      <w:tr>
        <w:trPr>
          <w:trHeight w:val="164"/>
        </w:trPr>
        <w:tc>
          <w:tcPr>
            <w:tcW w:w="220" w:type="dxa"/>
            <w:vAlign w:val="bottom"/>
            <w:tcBorders>
              <w:left w:val="single" w:sz="8" w:color="F79646"/>
            </w:tcBorders>
            <w:shd w:val="clear" w:color="auto" w:fill="F79646"/>
          </w:tcPr>
          <w:p>
            <w:pPr>
              <w:spacing w:after="0"/>
              <w:rPr>
                <w:sz w:val="14"/>
                <w:szCs w:val="14"/>
                <w:color w:val="auto"/>
              </w:rPr>
            </w:pPr>
          </w:p>
        </w:tc>
        <w:tc>
          <w:tcPr>
            <w:tcW w:w="188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22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3"/>
              </w:rPr>
              <w:t>Exercise</w:t>
            </w:r>
          </w:p>
        </w:tc>
        <w:tc>
          <w:tcPr>
            <w:tcW w:w="120" w:type="dxa"/>
            <w:vAlign w:val="bottom"/>
            <w:shd w:val="clear" w:color="auto" w:fill="F79646"/>
          </w:tcPr>
          <w:p>
            <w:pPr>
              <w:spacing w:after="0"/>
              <w:rPr>
                <w:sz w:val="14"/>
                <w:szCs w:val="14"/>
                <w:color w:val="auto"/>
              </w:rPr>
            </w:pPr>
          </w:p>
        </w:tc>
        <w:tc>
          <w:tcPr>
            <w:tcW w:w="900" w:type="dxa"/>
            <w:vAlign w:val="bottom"/>
            <w:shd w:val="clear" w:color="auto" w:fill="F79646"/>
          </w:tcPr>
          <w:p>
            <w:pPr>
              <w:jc w:val="right"/>
              <w:ind w:right="37"/>
              <w:spacing w:after="0"/>
              <w:rPr>
                <w:sz w:val="20"/>
                <w:szCs w:val="20"/>
                <w:color w:val="auto"/>
              </w:rPr>
            </w:pPr>
            <w:r>
              <w:rPr>
                <w:rFonts w:ascii="Arial" w:cs="Arial" w:eastAsia="Arial" w:hAnsi="Arial"/>
                <w:sz w:val="13"/>
                <w:szCs w:val="13"/>
                <w:b w:val="1"/>
                <w:bCs w:val="1"/>
                <w:color w:val="FFFFFE"/>
              </w:rPr>
              <w:t>on Exercise</w:t>
            </w:r>
          </w:p>
        </w:tc>
        <w:tc>
          <w:tcPr>
            <w:tcW w:w="120" w:type="dxa"/>
            <w:vAlign w:val="bottom"/>
            <w:shd w:val="clear" w:color="auto" w:fill="F79646"/>
          </w:tcPr>
          <w:p>
            <w:pPr>
              <w:spacing w:after="0"/>
              <w:rPr>
                <w:sz w:val="14"/>
                <w:szCs w:val="14"/>
                <w:color w:val="auto"/>
              </w:rPr>
            </w:pPr>
          </w:p>
        </w:tc>
        <w:tc>
          <w:tcPr>
            <w:tcW w:w="118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6"/>
              </w:rPr>
              <w:t>on Vesting</w:t>
            </w:r>
          </w:p>
        </w:tc>
        <w:tc>
          <w:tcPr>
            <w:tcW w:w="120" w:type="dxa"/>
            <w:vAlign w:val="bottom"/>
            <w:shd w:val="clear" w:color="auto" w:fill="F79646"/>
          </w:tcPr>
          <w:p>
            <w:pPr>
              <w:spacing w:after="0"/>
              <w:rPr>
                <w:sz w:val="14"/>
                <w:szCs w:val="14"/>
                <w:color w:val="auto"/>
              </w:rPr>
            </w:pPr>
          </w:p>
        </w:tc>
        <w:tc>
          <w:tcPr>
            <w:tcW w:w="880" w:type="dxa"/>
            <w:vAlign w:val="bottom"/>
            <w:shd w:val="clear" w:color="auto" w:fill="F79646"/>
          </w:tcPr>
          <w:p>
            <w:pPr>
              <w:jc w:val="right"/>
              <w:ind w:right="57"/>
              <w:spacing w:after="0"/>
              <w:rPr>
                <w:sz w:val="20"/>
                <w:szCs w:val="20"/>
                <w:color w:val="auto"/>
              </w:rPr>
            </w:pPr>
            <w:r>
              <w:rPr>
                <w:rFonts w:ascii="Arial" w:cs="Arial" w:eastAsia="Arial" w:hAnsi="Arial"/>
                <w:sz w:val="13"/>
                <w:szCs w:val="13"/>
                <w:b w:val="1"/>
                <w:bCs w:val="1"/>
                <w:color w:val="FFFFFE"/>
              </w:rPr>
              <w:t>on Vesting</w:t>
            </w:r>
          </w:p>
        </w:tc>
        <w:tc>
          <w:tcPr>
            <w:tcW w:w="240" w:type="dxa"/>
            <w:vAlign w:val="bottom"/>
            <w:tcBorders>
              <w:right w:val="single" w:sz="8" w:color="F79646"/>
            </w:tcBorders>
            <w:shd w:val="clear" w:color="auto" w:fill="F79646"/>
          </w:tcPr>
          <w:p>
            <w:pPr>
              <w:spacing w:after="0"/>
              <w:rPr>
                <w:sz w:val="14"/>
                <w:szCs w:val="14"/>
                <w:color w:val="auto"/>
              </w:rPr>
            </w:pPr>
          </w:p>
        </w:tc>
      </w:tr>
      <w:tr>
        <w:trPr>
          <w:trHeight w:val="166"/>
        </w:trPr>
        <w:tc>
          <w:tcPr>
            <w:tcW w:w="220" w:type="dxa"/>
            <w:vAlign w:val="bottom"/>
            <w:tcBorders>
              <w:left w:val="single" w:sz="8" w:color="F79646"/>
              <w:bottom w:val="single" w:sz="8" w:color="F79646"/>
            </w:tcBorders>
            <w:shd w:val="clear" w:color="auto" w:fill="F79646"/>
          </w:tcPr>
          <w:p>
            <w:pPr>
              <w:spacing w:after="0"/>
              <w:rPr>
                <w:sz w:val="14"/>
                <w:szCs w:val="14"/>
                <w:color w:val="auto"/>
              </w:rPr>
            </w:pPr>
          </w:p>
        </w:tc>
        <w:tc>
          <w:tcPr>
            <w:tcW w:w="1880" w:type="dxa"/>
            <w:vAlign w:val="bottom"/>
            <w:tcBorders>
              <w:bottom w:val="single" w:sz="8" w:color="auto"/>
            </w:tcBorders>
            <w:shd w:val="clear" w:color="auto" w:fill="F79646"/>
          </w:tcPr>
          <w:p>
            <w:pPr>
              <w:ind w:left="760"/>
              <w:spacing w:after="0"/>
              <w:rPr>
                <w:sz w:val="20"/>
                <w:szCs w:val="20"/>
                <w:color w:val="auto"/>
              </w:rPr>
            </w:pPr>
            <w:r>
              <w:rPr>
                <w:rFonts w:ascii="Arial" w:cs="Arial" w:eastAsia="Arial" w:hAnsi="Arial"/>
                <w:sz w:val="13"/>
                <w:szCs w:val="13"/>
                <w:b w:val="1"/>
                <w:bCs w:val="1"/>
                <w:color w:val="FFFFFE"/>
              </w:rPr>
              <w:t>Name</w:t>
            </w:r>
          </w:p>
        </w:tc>
        <w:tc>
          <w:tcPr>
            <w:tcW w:w="120" w:type="dxa"/>
            <w:vAlign w:val="bottom"/>
            <w:tcBorders>
              <w:bottom w:val="single" w:sz="8" w:color="F79646"/>
            </w:tcBorders>
            <w:shd w:val="clear" w:color="auto" w:fill="F79646"/>
          </w:tcPr>
          <w:p>
            <w:pPr>
              <w:spacing w:after="0"/>
              <w:rPr>
                <w:sz w:val="14"/>
                <w:szCs w:val="14"/>
                <w:color w:val="auto"/>
              </w:rPr>
            </w:pPr>
          </w:p>
        </w:tc>
        <w:tc>
          <w:tcPr>
            <w:tcW w:w="1220" w:type="dxa"/>
            <w:vAlign w:val="bottom"/>
            <w:tcBorders>
              <w:bottom w:val="single" w:sz="8" w:color="auto"/>
            </w:tcBorders>
            <w:shd w:val="clear" w:color="auto" w:fill="F79646"/>
          </w:tcPr>
          <w:p>
            <w:pPr>
              <w:jc w:val="right"/>
              <w:ind w:right="497"/>
              <w:spacing w:after="0"/>
              <w:rPr>
                <w:sz w:val="20"/>
                <w:szCs w:val="20"/>
                <w:color w:val="auto"/>
              </w:rPr>
            </w:pPr>
            <w:r>
              <w:rPr>
                <w:rFonts w:ascii="Arial" w:cs="Arial" w:eastAsia="Arial" w:hAnsi="Arial"/>
                <w:sz w:val="13"/>
                <w:szCs w:val="13"/>
                <w:b w:val="1"/>
                <w:bCs w:val="1"/>
                <w:color w:val="FFFFFE"/>
              </w:rPr>
              <w:t>(#)</w:t>
            </w:r>
          </w:p>
        </w:tc>
        <w:tc>
          <w:tcPr>
            <w:tcW w:w="120" w:type="dxa"/>
            <w:vAlign w:val="bottom"/>
            <w:tcBorders>
              <w:bottom w:val="single" w:sz="8" w:color="F79646"/>
            </w:tcBorders>
            <w:shd w:val="clear" w:color="auto" w:fill="F79646"/>
          </w:tcPr>
          <w:p>
            <w:pPr>
              <w:spacing w:after="0"/>
              <w:rPr>
                <w:sz w:val="14"/>
                <w:szCs w:val="14"/>
                <w:color w:val="auto"/>
              </w:rPr>
            </w:pPr>
          </w:p>
        </w:tc>
        <w:tc>
          <w:tcPr>
            <w:tcW w:w="900" w:type="dxa"/>
            <w:vAlign w:val="bottom"/>
            <w:tcBorders>
              <w:bottom w:val="single" w:sz="8" w:color="auto"/>
            </w:tcBorders>
            <w:shd w:val="clear" w:color="auto" w:fill="F79646"/>
          </w:tcPr>
          <w:p>
            <w:pPr>
              <w:jc w:val="right"/>
              <w:ind w:right="337"/>
              <w:spacing w:after="0"/>
              <w:rPr>
                <w:sz w:val="20"/>
                <w:szCs w:val="20"/>
                <w:color w:val="auto"/>
              </w:rPr>
            </w:pPr>
            <w:r>
              <w:rPr>
                <w:rFonts w:ascii="Arial" w:cs="Arial" w:eastAsia="Arial" w:hAnsi="Arial"/>
                <w:sz w:val="13"/>
                <w:szCs w:val="13"/>
                <w:b w:val="1"/>
                <w:bCs w:val="1"/>
                <w:color w:val="FFFFFE"/>
              </w:rPr>
              <w:t>($)</w:t>
            </w:r>
          </w:p>
        </w:tc>
        <w:tc>
          <w:tcPr>
            <w:tcW w:w="120" w:type="dxa"/>
            <w:vAlign w:val="bottom"/>
            <w:tcBorders>
              <w:bottom w:val="single" w:sz="8" w:color="F79646"/>
            </w:tcBorders>
            <w:shd w:val="clear" w:color="auto" w:fill="F79646"/>
          </w:tcPr>
          <w:p>
            <w:pPr>
              <w:spacing w:after="0"/>
              <w:rPr>
                <w:sz w:val="14"/>
                <w:szCs w:val="14"/>
                <w:color w:val="auto"/>
              </w:rPr>
            </w:pPr>
          </w:p>
        </w:tc>
        <w:tc>
          <w:tcPr>
            <w:tcW w:w="1180" w:type="dxa"/>
            <w:vAlign w:val="bottom"/>
            <w:tcBorders>
              <w:bottom w:val="single" w:sz="8" w:color="auto"/>
            </w:tcBorders>
            <w:shd w:val="clear" w:color="auto" w:fill="F79646"/>
          </w:tcPr>
          <w:p>
            <w:pPr>
              <w:jc w:val="right"/>
              <w:ind w:right="477"/>
              <w:spacing w:after="0"/>
              <w:rPr>
                <w:sz w:val="20"/>
                <w:szCs w:val="20"/>
                <w:color w:val="auto"/>
              </w:rPr>
            </w:pPr>
            <w:r>
              <w:rPr>
                <w:rFonts w:ascii="Arial" w:cs="Arial" w:eastAsia="Arial" w:hAnsi="Arial"/>
                <w:sz w:val="13"/>
                <w:szCs w:val="13"/>
                <w:b w:val="1"/>
                <w:bCs w:val="1"/>
                <w:color w:val="FFFFFE"/>
              </w:rPr>
              <w:t>(#)</w:t>
            </w:r>
          </w:p>
        </w:tc>
        <w:tc>
          <w:tcPr>
            <w:tcW w:w="120" w:type="dxa"/>
            <w:vAlign w:val="bottom"/>
            <w:tcBorders>
              <w:bottom w:val="single" w:sz="8" w:color="F79646"/>
            </w:tcBorders>
            <w:shd w:val="clear" w:color="auto" w:fill="F79646"/>
          </w:tcPr>
          <w:p>
            <w:pPr>
              <w:spacing w:after="0"/>
              <w:rPr>
                <w:sz w:val="14"/>
                <w:szCs w:val="14"/>
                <w:color w:val="auto"/>
              </w:rPr>
            </w:pPr>
          </w:p>
        </w:tc>
        <w:tc>
          <w:tcPr>
            <w:tcW w:w="880" w:type="dxa"/>
            <w:vAlign w:val="bottom"/>
            <w:tcBorders>
              <w:bottom w:val="single" w:sz="8" w:color="auto"/>
            </w:tcBorders>
            <w:shd w:val="clear" w:color="auto" w:fill="F79646"/>
          </w:tcPr>
          <w:p>
            <w:pPr>
              <w:jc w:val="right"/>
              <w:ind w:right="317"/>
              <w:spacing w:after="0"/>
              <w:rPr>
                <w:sz w:val="20"/>
                <w:szCs w:val="20"/>
                <w:color w:val="auto"/>
              </w:rPr>
            </w:pPr>
            <w:r>
              <w:rPr>
                <w:rFonts w:ascii="Arial" w:cs="Arial" w:eastAsia="Arial" w:hAnsi="Arial"/>
                <w:sz w:val="13"/>
                <w:szCs w:val="13"/>
                <w:b w:val="1"/>
                <w:bCs w:val="1"/>
                <w:color w:val="FFFFFE"/>
              </w:rPr>
              <w:t>($)</w:t>
            </w:r>
          </w:p>
        </w:tc>
        <w:tc>
          <w:tcPr>
            <w:tcW w:w="240" w:type="dxa"/>
            <w:vAlign w:val="bottom"/>
            <w:tcBorders>
              <w:bottom w:val="single" w:sz="8" w:color="F79646"/>
              <w:right w:val="single" w:sz="8" w:color="F79646"/>
            </w:tcBorders>
            <w:shd w:val="clear" w:color="auto" w:fill="F79646"/>
          </w:tcPr>
          <w:p>
            <w:pPr>
              <w:spacing w:after="0"/>
              <w:rPr>
                <w:sz w:val="14"/>
                <w:szCs w:val="14"/>
                <w:color w:val="auto"/>
              </w:rPr>
            </w:pPr>
          </w:p>
        </w:tc>
      </w:tr>
      <w:tr>
        <w:trPr>
          <w:trHeight w:val="135"/>
        </w:trPr>
        <w:tc>
          <w:tcPr>
            <w:tcW w:w="2100" w:type="dxa"/>
            <w:vAlign w:val="bottom"/>
            <w:tcBorders>
              <w:left w:val="single" w:sz="8" w:color="F79646"/>
            </w:tcBorders>
            <w:gridSpan w:val="2"/>
            <w:shd w:val="clear" w:color="auto" w:fill="FCDEC5"/>
          </w:tcPr>
          <w:p>
            <w:pPr>
              <w:ind w:left="220"/>
              <w:spacing w:after="0" w:line="136" w:lineRule="exact"/>
              <w:rPr>
                <w:sz w:val="20"/>
                <w:szCs w:val="20"/>
                <w:color w:val="auto"/>
              </w:rPr>
            </w:pPr>
            <w:r>
              <w:rPr>
                <w:rFonts w:ascii="Arial" w:cs="Arial" w:eastAsia="Arial" w:hAnsi="Arial"/>
                <w:sz w:val="13"/>
                <w:szCs w:val="13"/>
                <w:color w:val="auto"/>
              </w:rPr>
              <w:t>Rohit Kapoor</w:t>
            </w:r>
          </w:p>
        </w:tc>
        <w:tc>
          <w:tcPr>
            <w:tcW w:w="120" w:type="dxa"/>
            <w:vAlign w:val="bottom"/>
            <w:shd w:val="clear" w:color="auto" w:fill="FCDEC5"/>
          </w:tcPr>
          <w:p>
            <w:pPr>
              <w:spacing w:after="0"/>
              <w:rPr>
                <w:sz w:val="11"/>
                <w:szCs w:val="11"/>
                <w:color w:val="auto"/>
              </w:rPr>
            </w:pPr>
          </w:p>
        </w:tc>
        <w:tc>
          <w:tcPr>
            <w:tcW w:w="1220" w:type="dxa"/>
            <w:vAlign w:val="bottom"/>
            <w:shd w:val="clear" w:color="auto" w:fill="FCDEC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FCDEC5"/>
          </w:tcPr>
          <w:p>
            <w:pPr>
              <w:spacing w:after="0"/>
              <w:rPr>
                <w:sz w:val="11"/>
                <w:szCs w:val="11"/>
                <w:color w:val="auto"/>
              </w:rPr>
            </w:pPr>
          </w:p>
        </w:tc>
        <w:tc>
          <w:tcPr>
            <w:tcW w:w="900" w:type="dxa"/>
            <w:vAlign w:val="bottom"/>
            <w:shd w:val="clear" w:color="auto" w:fill="FCDEC5"/>
          </w:tcPr>
          <w:p>
            <w:pPr>
              <w:jc w:val="right"/>
              <w:spacing w:after="0" w:line="136"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FCDEC5"/>
          </w:tcPr>
          <w:p>
            <w:pPr>
              <w:jc w:val="right"/>
              <w:spacing w:after="0" w:line="136" w:lineRule="exact"/>
              <w:rPr>
                <w:sz w:val="20"/>
                <w:szCs w:val="20"/>
                <w:color w:val="auto"/>
              </w:rPr>
            </w:pPr>
            <w:r>
              <w:rPr>
                <w:rFonts w:ascii="Arial" w:cs="Arial" w:eastAsia="Arial" w:hAnsi="Arial"/>
                <w:sz w:val="13"/>
                <w:szCs w:val="13"/>
                <w:color w:val="auto"/>
              </w:rPr>
              <w:t>49,877</w:t>
            </w:r>
          </w:p>
        </w:tc>
        <w:tc>
          <w:tcPr>
            <w:tcW w:w="1000" w:type="dxa"/>
            <w:vAlign w:val="bottom"/>
            <w:gridSpan w:val="2"/>
            <w:shd w:val="clear" w:color="auto" w:fill="FCDEC5"/>
          </w:tcPr>
          <w:p>
            <w:pPr>
              <w:jc w:val="right"/>
              <w:spacing w:after="0" w:line="136" w:lineRule="exact"/>
              <w:rPr>
                <w:sz w:val="20"/>
                <w:szCs w:val="20"/>
                <w:color w:val="auto"/>
              </w:rPr>
            </w:pPr>
            <w:r>
              <w:rPr>
                <w:rFonts w:ascii="Arial" w:cs="Arial" w:eastAsia="Arial" w:hAnsi="Arial"/>
                <w:sz w:val="13"/>
                <w:szCs w:val="13"/>
                <w:color w:val="auto"/>
              </w:rPr>
              <w:t>2,960,150</w:t>
            </w:r>
          </w:p>
        </w:tc>
        <w:tc>
          <w:tcPr>
            <w:tcW w:w="240" w:type="dxa"/>
            <w:vAlign w:val="bottom"/>
            <w:tcBorders>
              <w:right w:val="single" w:sz="8" w:color="F79646"/>
            </w:tcBorders>
            <w:shd w:val="clear" w:color="auto" w:fill="FCDEC5"/>
          </w:tcPr>
          <w:p>
            <w:pPr>
              <w:spacing w:after="0"/>
              <w:rPr>
                <w:sz w:val="11"/>
                <w:szCs w:val="11"/>
                <w:color w:val="auto"/>
              </w:rPr>
            </w:pPr>
          </w:p>
        </w:tc>
      </w:tr>
      <w:tr>
        <w:trPr>
          <w:trHeight w:val="144"/>
        </w:trPr>
        <w:tc>
          <w:tcPr>
            <w:tcW w:w="210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color w:val="auto"/>
              </w:rPr>
              <w:t>Vishal Chhibbar</w:t>
            </w:r>
          </w:p>
        </w:tc>
        <w:tc>
          <w:tcPr>
            <w:tcW w:w="13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9,000</w:t>
            </w:r>
          </w:p>
        </w:tc>
        <w:tc>
          <w:tcPr>
            <w:tcW w:w="10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470,850</w:t>
            </w:r>
          </w:p>
        </w:tc>
        <w:tc>
          <w:tcPr>
            <w:tcW w:w="13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11,190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663,948</w:t>
            </w:r>
          </w:p>
        </w:tc>
        <w:tc>
          <w:tcPr>
            <w:tcW w:w="240" w:type="dxa"/>
            <w:vAlign w:val="bottom"/>
            <w:tcBorders>
              <w:right w:val="single" w:sz="8" w:color="F79646"/>
            </w:tcBorders>
          </w:tcPr>
          <w:p>
            <w:pPr>
              <w:spacing w:after="0"/>
              <w:rPr>
                <w:sz w:val="12"/>
                <w:szCs w:val="12"/>
                <w:color w:val="auto"/>
              </w:rPr>
            </w:pPr>
          </w:p>
        </w:tc>
      </w:tr>
      <w:tr>
        <w:trPr>
          <w:trHeight w:val="144"/>
        </w:trPr>
        <w:tc>
          <w:tcPr>
            <w:tcW w:w="2100" w:type="dxa"/>
            <w:vAlign w:val="bottom"/>
            <w:tcBorders>
              <w:left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color w:val="auto"/>
              </w:rPr>
              <w:t>Pavan Bagai</w:t>
            </w:r>
          </w:p>
        </w:tc>
        <w:tc>
          <w:tcPr>
            <w:tcW w:w="120" w:type="dxa"/>
            <w:vAlign w:val="bottom"/>
            <w:shd w:val="clear" w:color="auto" w:fill="FCDEC5"/>
          </w:tcPr>
          <w:p>
            <w:pPr>
              <w:spacing w:after="0"/>
              <w:rPr>
                <w:sz w:val="12"/>
                <w:szCs w:val="12"/>
                <w:color w:val="auto"/>
              </w:rPr>
            </w:pPr>
          </w:p>
        </w:tc>
        <w:tc>
          <w:tcPr>
            <w:tcW w:w="122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FCDEC5"/>
          </w:tcPr>
          <w:p>
            <w:pPr>
              <w:spacing w:after="0"/>
              <w:rPr>
                <w:sz w:val="12"/>
                <w:szCs w:val="12"/>
                <w:color w:val="auto"/>
              </w:rPr>
            </w:pPr>
          </w:p>
        </w:tc>
        <w:tc>
          <w:tcPr>
            <w:tcW w:w="90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18,944</w:t>
            </w:r>
          </w:p>
        </w:tc>
        <w:tc>
          <w:tcPr>
            <w:tcW w:w="100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1,123,512</w:t>
            </w:r>
          </w:p>
        </w:tc>
        <w:tc>
          <w:tcPr>
            <w:tcW w:w="240" w:type="dxa"/>
            <w:vAlign w:val="bottom"/>
            <w:tcBorders>
              <w:right w:val="single" w:sz="8" w:color="F79646"/>
            </w:tcBorders>
            <w:shd w:val="clear" w:color="auto" w:fill="FCDEC5"/>
          </w:tcPr>
          <w:p>
            <w:pPr>
              <w:spacing w:after="0"/>
              <w:rPr>
                <w:sz w:val="12"/>
                <w:szCs w:val="12"/>
                <w:color w:val="auto"/>
              </w:rPr>
            </w:pPr>
          </w:p>
        </w:tc>
      </w:tr>
      <w:tr>
        <w:trPr>
          <w:trHeight w:val="144"/>
        </w:trPr>
        <w:tc>
          <w:tcPr>
            <w:tcW w:w="2100" w:type="dxa"/>
            <w:vAlign w:val="bottom"/>
            <w:tcBorders>
              <w:left w:val="single" w:sz="8" w:color="F79646"/>
            </w:tcBorders>
            <w:gridSpan w:val="2"/>
          </w:tcPr>
          <w:p>
            <w:pPr>
              <w:ind w:left="220"/>
              <w:spacing w:after="0" w:line="144" w:lineRule="exact"/>
              <w:rPr>
                <w:sz w:val="20"/>
                <w:szCs w:val="20"/>
                <w:color w:val="auto"/>
              </w:rPr>
            </w:pPr>
            <w:r>
              <w:rPr>
                <w:rFonts w:ascii="Arial" w:cs="Arial" w:eastAsia="Arial" w:hAnsi="Arial"/>
                <w:sz w:val="13"/>
                <w:szCs w:val="13"/>
                <w:color w:val="auto"/>
              </w:rPr>
              <w:t>Nagaraja Srivatsan</w:t>
            </w:r>
          </w:p>
        </w:tc>
        <w:tc>
          <w:tcPr>
            <w:tcW w:w="120" w:type="dxa"/>
            <w:vAlign w:val="bottom"/>
          </w:tcPr>
          <w:p>
            <w:pPr>
              <w:spacing w:after="0"/>
              <w:rPr>
                <w:sz w:val="12"/>
                <w:szCs w:val="12"/>
                <w:color w:val="auto"/>
              </w:rPr>
            </w:pP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6,150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347,969</w:t>
            </w:r>
          </w:p>
        </w:tc>
        <w:tc>
          <w:tcPr>
            <w:tcW w:w="240" w:type="dxa"/>
            <w:vAlign w:val="bottom"/>
            <w:tcBorders>
              <w:right w:val="single" w:sz="8" w:color="F79646"/>
            </w:tcBorders>
          </w:tcPr>
          <w:p>
            <w:pPr>
              <w:spacing w:after="0"/>
              <w:rPr>
                <w:sz w:val="12"/>
                <w:szCs w:val="12"/>
                <w:color w:val="auto"/>
              </w:rPr>
            </w:pPr>
          </w:p>
        </w:tc>
      </w:tr>
      <w:tr>
        <w:trPr>
          <w:trHeight w:val="144"/>
        </w:trPr>
        <w:tc>
          <w:tcPr>
            <w:tcW w:w="2100" w:type="dxa"/>
            <w:vAlign w:val="bottom"/>
            <w:tcBorders>
              <w:left w:val="single" w:sz="8" w:color="F79646"/>
              <w:bottom w:val="single" w:sz="8" w:color="F79646"/>
            </w:tcBorders>
            <w:gridSpan w:val="2"/>
            <w:shd w:val="clear" w:color="auto" w:fill="FCDEC5"/>
          </w:tcPr>
          <w:p>
            <w:pPr>
              <w:ind w:left="220"/>
              <w:spacing w:after="0" w:line="144" w:lineRule="exact"/>
              <w:rPr>
                <w:sz w:val="20"/>
                <w:szCs w:val="20"/>
                <w:color w:val="auto"/>
              </w:rPr>
            </w:pPr>
            <w:r>
              <w:rPr>
                <w:rFonts w:ascii="Arial" w:cs="Arial" w:eastAsia="Arial" w:hAnsi="Arial"/>
                <w:sz w:val="13"/>
                <w:szCs w:val="13"/>
                <w:color w:val="auto"/>
              </w:rPr>
              <w:t>Nalin Miglani</w:t>
            </w:r>
          </w:p>
        </w:tc>
        <w:tc>
          <w:tcPr>
            <w:tcW w:w="120" w:type="dxa"/>
            <w:vAlign w:val="bottom"/>
            <w:tcBorders>
              <w:bottom w:val="single" w:sz="8" w:color="F79646"/>
            </w:tcBorders>
            <w:shd w:val="clear" w:color="auto" w:fill="FCDEC5"/>
          </w:tcPr>
          <w:p>
            <w:pPr>
              <w:spacing w:after="0"/>
              <w:rPr>
                <w:sz w:val="12"/>
                <w:szCs w:val="12"/>
                <w:color w:val="auto"/>
              </w:rPr>
            </w:pPr>
          </w:p>
        </w:tc>
        <w:tc>
          <w:tcPr>
            <w:tcW w:w="1220" w:type="dxa"/>
            <w:vAlign w:val="bottom"/>
            <w:tcBorders>
              <w:bottom w:val="single" w:sz="8" w:color="F79646"/>
            </w:tcBorders>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F79646"/>
            </w:tcBorders>
            <w:shd w:val="clear" w:color="auto" w:fill="FCDEC5"/>
          </w:tcPr>
          <w:p>
            <w:pPr>
              <w:spacing w:after="0"/>
              <w:rPr>
                <w:sz w:val="12"/>
                <w:szCs w:val="12"/>
                <w:color w:val="auto"/>
              </w:rPr>
            </w:pPr>
          </w:p>
        </w:tc>
        <w:tc>
          <w:tcPr>
            <w:tcW w:w="900" w:type="dxa"/>
            <w:vAlign w:val="bottom"/>
            <w:tcBorders>
              <w:bottom w:val="single" w:sz="8" w:color="F79646"/>
            </w:tcBorders>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F79646"/>
            </w:tcBorders>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15,292</w:t>
            </w:r>
          </w:p>
        </w:tc>
        <w:tc>
          <w:tcPr>
            <w:tcW w:w="1000" w:type="dxa"/>
            <w:vAlign w:val="bottom"/>
            <w:tcBorders>
              <w:bottom w:val="single" w:sz="8" w:color="F79646"/>
            </w:tcBorders>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900,960</w:t>
            </w:r>
          </w:p>
        </w:tc>
        <w:tc>
          <w:tcPr>
            <w:tcW w:w="240" w:type="dxa"/>
            <w:vAlign w:val="bottom"/>
            <w:tcBorders>
              <w:bottom w:val="single" w:sz="8" w:color="F79646"/>
              <w:right w:val="single" w:sz="8" w:color="F79646"/>
            </w:tcBorders>
            <w:shd w:val="clear" w:color="auto" w:fill="FCDEC5"/>
          </w:tcPr>
          <w:p>
            <w:pPr>
              <w:spacing w:after="0"/>
              <w:rPr>
                <w:sz w:val="12"/>
                <w:szCs w:val="12"/>
                <w:color w:val="auto"/>
              </w:rPr>
            </w:pP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Pension Benefits For Fiscal Year 2018</w:t>
      </w:r>
    </w:p>
    <w:p>
      <w:pPr>
        <w:spacing w:after="0" w:line="165" w:lineRule="exact"/>
        <w:rPr>
          <w:sz w:val="20"/>
          <w:szCs w:val="20"/>
          <w:color w:val="auto"/>
        </w:rPr>
      </w:pPr>
    </w:p>
    <w:p>
      <w:pPr>
        <w:ind w:left="200" w:right="179"/>
        <w:spacing w:after="0" w:line="235" w:lineRule="auto"/>
        <w:rPr>
          <w:sz w:val="20"/>
          <w:szCs w:val="20"/>
          <w:color w:val="auto"/>
        </w:rPr>
      </w:pPr>
      <w:r>
        <w:rPr>
          <w:rFonts w:ascii="Arial" w:cs="Arial" w:eastAsia="Arial" w:hAnsi="Arial"/>
          <w:sz w:val="13"/>
          <w:szCs w:val="13"/>
          <w:color w:val="auto"/>
        </w:rPr>
        <w:t>The following table discloses the present value of accumulated benefits payable to each of the named executive officers and the years of service credited to each named executive under the Gratuity Plan for Indian Employees as of December 31, 2018:</w:t>
      </w:r>
    </w:p>
    <w:p>
      <w:pPr>
        <w:spacing w:after="0" w:line="139" w:lineRule="exact"/>
        <w:rPr>
          <w:sz w:val="20"/>
          <w:szCs w:val="20"/>
          <w:color w:val="auto"/>
        </w:rPr>
      </w:pPr>
    </w:p>
    <w:tbl>
      <w:tblPr>
        <w:tblLayout w:type="fixed"/>
        <w:tblInd w:w="1070" w:type="dxa"/>
        <w:tblCellMar>
          <w:top w:w="0" w:type="dxa"/>
          <w:left w:w="0" w:type="dxa"/>
          <w:bottom w:w="0" w:type="dxa"/>
          <w:right w:w="0" w:type="dxa"/>
        </w:tblCellMar>
      </w:tblPr>
      <w:tr>
        <w:trPr>
          <w:trHeight w:val="149"/>
        </w:trPr>
        <w:tc>
          <w:tcPr>
            <w:tcW w:w="200" w:type="dxa"/>
            <w:vAlign w:val="bottom"/>
            <w:tcBorders>
              <w:left w:val="single" w:sz="8" w:color="F79646"/>
            </w:tcBorders>
            <w:shd w:val="clear" w:color="auto" w:fill="F79646"/>
          </w:tcPr>
          <w:p>
            <w:pPr>
              <w:spacing w:after="0"/>
              <w:rPr>
                <w:sz w:val="13"/>
                <w:szCs w:val="13"/>
                <w:color w:val="auto"/>
              </w:rPr>
            </w:pPr>
          </w:p>
        </w:tc>
        <w:tc>
          <w:tcPr>
            <w:tcW w:w="840" w:type="dxa"/>
            <w:vAlign w:val="bottom"/>
            <w:shd w:val="clear" w:color="auto" w:fill="F79646"/>
          </w:tcPr>
          <w:p>
            <w:pPr>
              <w:spacing w:after="0"/>
              <w:rPr>
                <w:sz w:val="13"/>
                <w:szCs w:val="13"/>
                <w:color w:val="auto"/>
              </w:rPr>
            </w:pPr>
          </w:p>
        </w:tc>
        <w:tc>
          <w:tcPr>
            <w:tcW w:w="40" w:type="dxa"/>
            <w:vAlign w:val="bottom"/>
            <w:shd w:val="clear" w:color="auto" w:fill="F79646"/>
          </w:tcPr>
          <w:p>
            <w:pPr>
              <w:spacing w:after="0"/>
              <w:rPr>
                <w:sz w:val="13"/>
                <w:szCs w:val="13"/>
                <w:color w:val="auto"/>
              </w:rPr>
            </w:pPr>
          </w:p>
        </w:tc>
        <w:tc>
          <w:tcPr>
            <w:tcW w:w="80" w:type="dxa"/>
            <w:vAlign w:val="bottom"/>
            <w:shd w:val="clear" w:color="auto" w:fill="F79646"/>
          </w:tcPr>
          <w:p>
            <w:pPr>
              <w:spacing w:after="0"/>
              <w:rPr>
                <w:sz w:val="13"/>
                <w:szCs w:val="13"/>
                <w:color w:val="auto"/>
              </w:rPr>
            </w:pPr>
          </w:p>
        </w:tc>
        <w:tc>
          <w:tcPr>
            <w:tcW w:w="248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800" w:type="dxa"/>
            <w:vAlign w:val="bottom"/>
            <w:shd w:val="clear" w:color="auto" w:fill="F79646"/>
          </w:tcPr>
          <w:p>
            <w:pPr>
              <w:jc w:val="center"/>
              <w:ind w:left="80"/>
              <w:spacing w:after="0"/>
              <w:rPr>
                <w:sz w:val="20"/>
                <w:szCs w:val="20"/>
                <w:color w:val="auto"/>
              </w:rPr>
            </w:pPr>
            <w:r>
              <w:rPr>
                <w:rFonts w:ascii="Arial" w:cs="Arial" w:eastAsia="Arial" w:hAnsi="Arial"/>
                <w:sz w:val="13"/>
                <w:szCs w:val="13"/>
                <w:b w:val="1"/>
                <w:bCs w:val="1"/>
                <w:color w:val="FFFFFE"/>
                <w:w w:val="95"/>
              </w:rPr>
              <w:t>Number of</w:t>
            </w:r>
          </w:p>
        </w:tc>
        <w:tc>
          <w:tcPr>
            <w:tcW w:w="14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92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1140" w:type="dxa"/>
            <w:vAlign w:val="bottom"/>
            <w:tcBorders>
              <w:right w:val="single" w:sz="8" w:color="F79646"/>
            </w:tcBorders>
            <w:gridSpan w:val="2"/>
            <w:shd w:val="clear" w:color="auto" w:fill="F79646"/>
          </w:tcPr>
          <w:p>
            <w:pPr>
              <w:jc w:val="center"/>
              <w:ind w:right="220"/>
              <w:spacing w:after="0"/>
              <w:rPr>
                <w:sz w:val="20"/>
                <w:szCs w:val="20"/>
                <w:color w:val="auto"/>
              </w:rPr>
            </w:pPr>
            <w:r>
              <w:rPr>
                <w:rFonts w:ascii="Arial" w:cs="Arial" w:eastAsia="Arial" w:hAnsi="Arial"/>
                <w:sz w:val="13"/>
                <w:szCs w:val="13"/>
                <w:b w:val="1"/>
                <w:bCs w:val="1"/>
                <w:color w:val="FFFFFE"/>
                <w:w w:val="97"/>
              </w:rPr>
              <w:t>Payments</w:t>
            </w:r>
          </w:p>
        </w:tc>
      </w:tr>
      <w:tr>
        <w:trPr>
          <w:trHeight w:val="144"/>
        </w:trPr>
        <w:tc>
          <w:tcPr>
            <w:tcW w:w="200" w:type="dxa"/>
            <w:vAlign w:val="bottom"/>
            <w:tcBorders>
              <w:left w:val="single" w:sz="8" w:color="F79646"/>
            </w:tcBorders>
            <w:shd w:val="clear" w:color="auto" w:fill="F79646"/>
          </w:tcPr>
          <w:p>
            <w:pPr>
              <w:spacing w:after="0"/>
              <w:rPr>
                <w:sz w:val="12"/>
                <w:szCs w:val="12"/>
                <w:color w:val="auto"/>
              </w:rPr>
            </w:pPr>
          </w:p>
        </w:tc>
        <w:tc>
          <w:tcPr>
            <w:tcW w:w="84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80" w:type="dxa"/>
            <w:vAlign w:val="bottom"/>
            <w:shd w:val="clear" w:color="auto" w:fill="F79646"/>
          </w:tcPr>
          <w:p>
            <w:pPr>
              <w:spacing w:after="0"/>
              <w:rPr>
                <w:sz w:val="12"/>
                <w:szCs w:val="12"/>
                <w:color w:val="auto"/>
              </w:rPr>
            </w:pPr>
          </w:p>
        </w:tc>
        <w:tc>
          <w:tcPr>
            <w:tcW w:w="24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800" w:type="dxa"/>
            <w:vAlign w:val="bottom"/>
            <w:shd w:val="clear" w:color="auto" w:fill="F79646"/>
          </w:tcPr>
          <w:p>
            <w:pPr>
              <w:jc w:val="center"/>
              <w:ind w:left="80"/>
              <w:spacing w:after="0" w:line="144" w:lineRule="exact"/>
              <w:rPr>
                <w:sz w:val="20"/>
                <w:szCs w:val="20"/>
                <w:color w:val="auto"/>
              </w:rPr>
            </w:pPr>
            <w:r>
              <w:rPr>
                <w:rFonts w:ascii="Arial" w:cs="Arial" w:eastAsia="Arial" w:hAnsi="Arial"/>
                <w:sz w:val="13"/>
                <w:szCs w:val="13"/>
                <w:b w:val="1"/>
                <w:bCs w:val="1"/>
                <w:color w:val="FFFFFE"/>
                <w:w w:val="95"/>
              </w:rPr>
              <w:t>Years</w:t>
            </w:r>
          </w:p>
        </w:tc>
        <w:tc>
          <w:tcPr>
            <w:tcW w:w="1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92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5"/>
              </w:rPr>
              <w:t>Present Value</w:t>
            </w:r>
          </w:p>
        </w:tc>
        <w:tc>
          <w:tcPr>
            <w:tcW w:w="120" w:type="dxa"/>
            <w:vAlign w:val="bottom"/>
            <w:shd w:val="clear" w:color="auto" w:fill="F79646"/>
          </w:tcPr>
          <w:p>
            <w:pPr>
              <w:spacing w:after="0"/>
              <w:rPr>
                <w:sz w:val="12"/>
                <w:szCs w:val="12"/>
                <w:color w:val="auto"/>
              </w:rPr>
            </w:pPr>
          </w:p>
        </w:tc>
        <w:tc>
          <w:tcPr>
            <w:tcW w:w="1140" w:type="dxa"/>
            <w:vAlign w:val="bottom"/>
            <w:tcBorders>
              <w:right w:val="single" w:sz="8" w:color="F79646"/>
            </w:tcBorders>
            <w:gridSpan w:val="2"/>
            <w:shd w:val="clear" w:color="auto" w:fill="F79646"/>
          </w:tcPr>
          <w:p>
            <w:pPr>
              <w:jc w:val="center"/>
              <w:ind w:right="220"/>
              <w:spacing w:after="0" w:line="144" w:lineRule="exact"/>
              <w:rPr>
                <w:sz w:val="20"/>
                <w:szCs w:val="20"/>
                <w:color w:val="auto"/>
              </w:rPr>
            </w:pPr>
            <w:r>
              <w:rPr>
                <w:rFonts w:ascii="Arial" w:cs="Arial" w:eastAsia="Arial" w:hAnsi="Arial"/>
                <w:sz w:val="13"/>
                <w:szCs w:val="13"/>
                <w:b w:val="1"/>
                <w:bCs w:val="1"/>
                <w:color w:val="FFFFFE"/>
                <w:w w:val="95"/>
              </w:rPr>
              <w:t>During</w:t>
            </w:r>
          </w:p>
        </w:tc>
      </w:tr>
      <w:tr>
        <w:trPr>
          <w:trHeight w:val="144"/>
        </w:trPr>
        <w:tc>
          <w:tcPr>
            <w:tcW w:w="200" w:type="dxa"/>
            <w:vAlign w:val="bottom"/>
            <w:tcBorders>
              <w:left w:val="single" w:sz="8" w:color="F79646"/>
            </w:tcBorders>
            <w:shd w:val="clear" w:color="auto" w:fill="F79646"/>
          </w:tcPr>
          <w:p>
            <w:pPr>
              <w:spacing w:after="0"/>
              <w:rPr>
                <w:sz w:val="12"/>
                <w:szCs w:val="12"/>
                <w:color w:val="auto"/>
              </w:rPr>
            </w:pPr>
          </w:p>
        </w:tc>
        <w:tc>
          <w:tcPr>
            <w:tcW w:w="84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80" w:type="dxa"/>
            <w:vAlign w:val="bottom"/>
            <w:shd w:val="clear" w:color="auto" w:fill="F79646"/>
          </w:tcPr>
          <w:p>
            <w:pPr>
              <w:spacing w:after="0"/>
              <w:rPr>
                <w:sz w:val="12"/>
                <w:szCs w:val="12"/>
                <w:color w:val="auto"/>
              </w:rPr>
            </w:pPr>
          </w:p>
        </w:tc>
        <w:tc>
          <w:tcPr>
            <w:tcW w:w="24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800" w:type="dxa"/>
            <w:vAlign w:val="bottom"/>
            <w:shd w:val="clear" w:color="auto" w:fill="F79646"/>
          </w:tcPr>
          <w:p>
            <w:pPr>
              <w:jc w:val="center"/>
              <w:ind w:left="80"/>
              <w:spacing w:after="0" w:line="144" w:lineRule="exact"/>
              <w:rPr>
                <w:sz w:val="20"/>
                <w:szCs w:val="20"/>
                <w:color w:val="auto"/>
              </w:rPr>
            </w:pPr>
            <w:r>
              <w:rPr>
                <w:rFonts w:ascii="Arial" w:cs="Arial" w:eastAsia="Arial" w:hAnsi="Arial"/>
                <w:sz w:val="13"/>
                <w:szCs w:val="13"/>
                <w:b w:val="1"/>
                <w:bCs w:val="1"/>
                <w:color w:val="FFFFFE"/>
                <w:w w:val="94"/>
              </w:rPr>
              <w:t>Credited</w:t>
            </w:r>
          </w:p>
        </w:tc>
        <w:tc>
          <w:tcPr>
            <w:tcW w:w="1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92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7"/>
              </w:rPr>
              <w:t>of</w:t>
            </w:r>
          </w:p>
        </w:tc>
        <w:tc>
          <w:tcPr>
            <w:tcW w:w="120" w:type="dxa"/>
            <w:vAlign w:val="bottom"/>
            <w:shd w:val="clear" w:color="auto" w:fill="F79646"/>
          </w:tcPr>
          <w:p>
            <w:pPr>
              <w:spacing w:after="0"/>
              <w:rPr>
                <w:sz w:val="12"/>
                <w:szCs w:val="12"/>
                <w:color w:val="auto"/>
              </w:rPr>
            </w:pPr>
          </w:p>
        </w:tc>
        <w:tc>
          <w:tcPr>
            <w:tcW w:w="1140" w:type="dxa"/>
            <w:vAlign w:val="bottom"/>
            <w:tcBorders>
              <w:right w:val="single" w:sz="8" w:color="F79646"/>
            </w:tcBorders>
            <w:gridSpan w:val="2"/>
            <w:shd w:val="clear" w:color="auto" w:fill="F79646"/>
          </w:tcPr>
          <w:p>
            <w:pPr>
              <w:jc w:val="center"/>
              <w:ind w:right="220"/>
              <w:spacing w:after="0" w:line="144" w:lineRule="exact"/>
              <w:rPr>
                <w:sz w:val="20"/>
                <w:szCs w:val="20"/>
                <w:color w:val="auto"/>
              </w:rPr>
            </w:pPr>
            <w:r>
              <w:rPr>
                <w:rFonts w:ascii="Arial" w:cs="Arial" w:eastAsia="Arial" w:hAnsi="Arial"/>
                <w:sz w:val="13"/>
                <w:szCs w:val="13"/>
                <w:b w:val="1"/>
                <w:bCs w:val="1"/>
                <w:color w:val="FFFFFE"/>
                <w:w w:val="95"/>
              </w:rPr>
              <w:t>Last Fiscal</w:t>
            </w:r>
          </w:p>
        </w:tc>
      </w:tr>
      <w:tr>
        <w:trPr>
          <w:trHeight w:val="148"/>
        </w:trPr>
        <w:tc>
          <w:tcPr>
            <w:tcW w:w="200" w:type="dxa"/>
            <w:vAlign w:val="bottom"/>
            <w:tcBorders>
              <w:left w:val="single" w:sz="8" w:color="F79646"/>
            </w:tcBorders>
            <w:shd w:val="clear" w:color="auto" w:fill="F79646"/>
          </w:tcPr>
          <w:p>
            <w:pPr>
              <w:spacing w:after="0"/>
              <w:rPr>
                <w:sz w:val="12"/>
                <w:szCs w:val="12"/>
                <w:color w:val="auto"/>
              </w:rPr>
            </w:pPr>
          </w:p>
        </w:tc>
        <w:tc>
          <w:tcPr>
            <w:tcW w:w="84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80" w:type="dxa"/>
            <w:vAlign w:val="bottom"/>
            <w:shd w:val="clear" w:color="auto" w:fill="F79646"/>
          </w:tcPr>
          <w:p>
            <w:pPr>
              <w:spacing w:after="0"/>
              <w:rPr>
                <w:sz w:val="12"/>
                <w:szCs w:val="12"/>
                <w:color w:val="auto"/>
              </w:rPr>
            </w:pPr>
          </w:p>
        </w:tc>
        <w:tc>
          <w:tcPr>
            <w:tcW w:w="248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800" w:type="dxa"/>
            <w:vAlign w:val="bottom"/>
            <w:shd w:val="clear" w:color="auto" w:fill="F79646"/>
          </w:tcPr>
          <w:p>
            <w:pPr>
              <w:jc w:val="center"/>
              <w:ind w:left="100"/>
              <w:spacing w:after="0" w:line="148" w:lineRule="exact"/>
              <w:rPr>
                <w:sz w:val="20"/>
                <w:szCs w:val="20"/>
                <w:color w:val="auto"/>
              </w:rPr>
            </w:pPr>
            <w:r>
              <w:rPr>
                <w:rFonts w:ascii="Arial" w:cs="Arial" w:eastAsia="Arial" w:hAnsi="Arial"/>
                <w:sz w:val="13"/>
                <w:szCs w:val="13"/>
                <w:b w:val="1"/>
                <w:bCs w:val="1"/>
                <w:color w:val="FFFFFE"/>
                <w:w w:val="95"/>
              </w:rPr>
              <w:t>Service</w:t>
            </w:r>
          </w:p>
        </w:tc>
        <w:tc>
          <w:tcPr>
            <w:tcW w:w="1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920" w:type="dxa"/>
            <w:vAlign w:val="bottom"/>
            <w:shd w:val="clear" w:color="auto" w:fill="F79646"/>
          </w:tcPr>
          <w:p>
            <w:pPr>
              <w:jc w:val="center"/>
              <w:spacing w:after="0" w:line="148" w:lineRule="exact"/>
              <w:rPr>
                <w:sz w:val="20"/>
                <w:szCs w:val="20"/>
                <w:color w:val="auto"/>
              </w:rPr>
            </w:pPr>
            <w:r>
              <w:rPr>
                <w:rFonts w:ascii="Arial" w:cs="Arial" w:eastAsia="Arial" w:hAnsi="Arial"/>
                <w:sz w:val="13"/>
                <w:szCs w:val="13"/>
                <w:b w:val="1"/>
                <w:bCs w:val="1"/>
                <w:color w:val="FFFFFE"/>
                <w:w w:val="97"/>
              </w:rPr>
              <w:t>Accumulated</w:t>
            </w:r>
          </w:p>
        </w:tc>
        <w:tc>
          <w:tcPr>
            <w:tcW w:w="120" w:type="dxa"/>
            <w:vAlign w:val="bottom"/>
            <w:shd w:val="clear" w:color="auto" w:fill="F79646"/>
          </w:tcPr>
          <w:p>
            <w:pPr>
              <w:spacing w:after="0"/>
              <w:rPr>
                <w:sz w:val="12"/>
                <w:szCs w:val="12"/>
                <w:color w:val="auto"/>
              </w:rPr>
            </w:pPr>
          </w:p>
        </w:tc>
        <w:tc>
          <w:tcPr>
            <w:tcW w:w="1140" w:type="dxa"/>
            <w:vAlign w:val="bottom"/>
            <w:tcBorders>
              <w:right w:val="single" w:sz="8" w:color="F79646"/>
            </w:tcBorders>
            <w:gridSpan w:val="2"/>
            <w:shd w:val="clear" w:color="auto" w:fill="F79646"/>
          </w:tcPr>
          <w:p>
            <w:pPr>
              <w:jc w:val="center"/>
              <w:ind w:right="220"/>
              <w:spacing w:after="0" w:line="148" w:lineRule="exact"/>
              <w:rPr>
                <w:sz w:val="20"/>
                <w:szCs w:val="20"/>
                <w:color w:val="auto"/>
              </w:rPr>
            </w:pPr>
            <w:r>
              <w:rPr>
                <w:rFonts w:ascii="Arial" w:cs="Arial" w:eastAsia="Arial" w:hAnsi="Arial"/>
                <w:sz w:val="13"/>
                <w:szCs w:val="13"/>
                <w:b w:val="1"/>
                <w:bCs w:val="1"/>
                <w:color w:val="FFFFFE"/>
                <w:w w:val="99"/>
              </w:rPr>
              <w:t>Year</w:t>
            </w:r>
          </w:p>
        </w:tc>
      </w:tr>
      <w:tr>
        <w:trPr>
          <w:trHeight w:val="193"/>
        </w:trPr>
        <w:tc>
          <w:tcPr>
            <w:tcW w:w="200" w:type="dxa"/>
            <w:vAlign w:val="bottom"/>
            <w:tcBorders>
              <w:left w:val="single" w:sz="8" w:color="F79646"/>
              <w:bottom w:val="single" w:sz="8" w:color="F79646"/>
            </w:tcBorders>
            <w:shd w:val="clear" w:color="auto" w:fill="F79646"/>
          </w:tcPr>
          <w:p>
            <w:pPr>
              <w:spacing w:after="0"/>
              <w:rPr>
                <w:sz w:val="16"/>
                <w:szCs w:val="16"/>
                <w:color w:val="auto"/>
              </w:rPr>
            </w:pPr>
          </w:p>
        </w:tc>
        <w:tc>
          <w:tcPr>
            <w:tcW w:w="840" w:type="dxa"/>
            <w:vAlign w:val="bottom"/>
            <w:tcBorders>
              <w:bottom w:val="single" w:sz="8" w:color="auto"/>
            </w:tcBorders>
            <w:shd w:val="clear" w:color="auto" w:fill="F79646"/>
          </w:tcPr>
          <w:p>
            <w:pPr>
              <w:ind w:left="240"/>
              <w:spacing w:after="0"/>
              <w:rPr>
                <w:sz w:val="20"/>
                <w:szCs w:val="20"/>
                <w:color w:val="auto"/>
              </w:rPr>
            </w:pPr>
            <w:r>
              <w:rPr>
                <w:rFonts w:ascii="Arial" w:cs="Arial" w:eastAsia="Arial" w:hAnsi="Arial"/>
                <w:sz w:val="13"/>
                <w:szCs w:val="13"/>
                <w:b w:val="1"/>
                <w:bCs w:val="1"/>
                <w:color w:val="FFFFFE"/>
              </w:rPr>
              <w:t>Name</w:t>
            </w:r>
          </w:p>
        </w:tc>
        <w:tc>
          <w:tcPr>
            <w:tcW w:w="40" w:type="dxa"/>
            <w:vAlign w:val="bottom"/>
            <w:tcBorders>
              <w:bottom w:val="single" w:sz="8" w:color="F79646"/>
            </w:tcBorders>
            <w:shd w:val="clear" w:color="auto" w:fill="F79646"/>
          </w:tcPr>
          <w:p>
            <w:pPr>
              <w:spacing w:after="0"/>
              <w:rPr>
                <w:sz w:val="16"/>
                <w:szCs w:val="16"/>
                <w:color w:val="auto"/>
              </w:rPr>
            </w:pPr>
          </w:p>
        </w:tc>
        <w:tc>
          <w:tcPr>
            <w:tcW w:w="80" w:type="dxa"/>
            <w:vAlign w:val="bottom"/>
            <w:tcBorders>
              <w:bottom w:val="single" w:sz="8" w:color="F79646"/>
            </w:tcBorders>
            <w:shd w:val="clear" w:color="auto" w:fill="F79646"/>
          </w:tcPr>
          <w:p>
            <w:pPr>
              <w:spacing w:after="0"/>
              <w:rPr>
                <w:sz w:val="16"/>
                <w:szCs w:val="16"/>
                <w:color w:val="auto"/>
              </w:rPr>
            </w:pPr>
          </w:p>
        </w:tc>
        <w:tc>
          <w:tcPr>
            <w:tcW w:w="2480" w:type="dxa"/>
            <w:vAlign w:val="bottom"/>
            <w:tcBorders>
              <w:bottom w:val="single" w:sz="8" w:color="auto"/>
            </w:tcBorders>
            <w:shd w:val="clear" w:color="auto" w:fill="F79646"/>
          </w:tcPr>
          <w:p>
            <w:pPr>
              <w:ind w:left="900"/>
              <w:spacing w:after="0"/>
              <w:rPr>
                <w:sz w:val="20"/>
                <w:szCs w:val="20"/>
                <w:color w:val="auto"/>
              </w:rPr>
            </w:pPr>
            <w:r>
              <w:rPr>
                <w:rFonts w:ascii="Arial" w:cs="Arial" w:eastAsia="Arial" w:hAnsi="Arial"/>
                <w:sz w:val="13"/>
                <w:szCs w:val="13"/>
                <w:b w:val="1"/>
                <w:bCs w:val="1"/>
                <w:color w:val="FFFFFE"/>
              </w:rPr>
              <w:t>Plan Name</w:t>
            </w:r>
          </w:p>
        </w:tc>
        <w:tc>
          <w:tcPr>
            <w:tcW w:w="120" w:type="dxa"/>
            <w:vAlign w:val="bottom"/>
            <w:tcBorders>
              <w:bottom w:val="single" w:sz="8" w:color="F79646"/>
            </w:tcBorders>
            <w:shd w:val="clear" w:color="auto" w:fill="F79646"/>
          </w:tcPr>
          <w:p>
            <w:pPr>
              <w:spacing w:after="0"/>
              <w:rPr>
                <w:sz w:val="16"/>
                <w:szCs w:val="16"/>
                <w:color w:val="auto"/>
              </w:rPr>
            </w:pPr>
          </w:p>
        </w:tc>
        <w:tc>
          <w:tcPr>
            <w:tcW w:w="800" w:type="dxa"/>
            <w:vAlign w:val="bottom"/>
            <w:tcBorders>
              <w:bottom w:val="single" w:sz="8" w:color="auto"/>
            </w:tcBorders>
            <w:shd w:val="clear" w:color="auto" w:fill="F79646"/>
          </w:tcPr>
          <w:p>
            <w:pPr>
              <w:jc w:val="right"/>
              <w:ind w:right="140"/>
              <w:spacing w:after="0" w:line="193" w:lineRule="exact"/>
              <w:rPr>
                <w:sz w:val="20"/>
                <w:szCs w:val="20"/>
                <w:color w:val="auto"/>
              </w:rPr>
            </w:pPr>
            <w:r>
              <w:rPr>
                <w:rFonts w:ascii="Arial" w:cs="Arial" w:eastAsia="Arial" w:hAnsi="Arial"/>
                <w:sz w:val="22"/>
                <w:szCs w:val="22"/>
                <w:b w:val="1"/>
                <w:bCs w:val="1"/>
                <w:color w:val="FFFFFE"/>
                <w:vertAlign w:val="subscript"/>
              </w:rPr>
              <w:t>(#)</w:t>
            </w:r>
            <w:r>
              <w:rPr>
                <w:rFonts w:ascii="Arial" w:cs="Arial" w:eastAsia="Arial" w:hAnsi="Arial"/>
                <w:sz w:val="10"/>
                <w:szCs w:val="10"/>
                <w:b w:val="1"/>
                <w:bCs w:val="1"/>
                <w:color w:val="FFFFFE"/>
              </w:rPr>
              <w:t>(1)</w:t>
            </w:r>
          </w:p>
        </w:tc>
        <w:tc>
          <w:tcPr>
            <w:tcW w:w="140" w:type="dxa"/>
            <w:vAlign w:val="bottom"/>
            <w:tcBorders>
              <w:bottom w:val="single" w:sz="8" w:color="auto"/>
            </w:tcBorders>
            <w:shd w:val="clear" w:color="auto" w:fill="F79646"/>
          </w:tcPr>
          <w:p>
            <w:pPr>
              <w:spacing w:after="0"/>
              <w:rPr>
                <w:sz w:val="16"/>
                <w:szCs w:val="16"/>
                <w:color w:val="auto"/>
              </w:rPr>
            </w:pPr>
          </w:p>
        </w:tc>
        <w:tc>
          <w:tcPr>
            <w:tcW w:w="120" w:type="dxa"/>
            <w:vAlign w:val="bottom"/>
            <w:tcBorders>
              <w:bottom w:val="single" w:sz="8" w:color="F79646"/>
            </w:tcBorders>
            <w:shd w:val="clear" w:color="auto" w:fill="F79646"/>
          </w:tcPr>
          <w:p>
            <w:pPr>
              <w:spacing w:after="0"/>
              <w:rPr>
                <w:sz w:val="16"/>
                <w:szCs w:val="16"/>
                <w:color w:val="auto"/>
              </w:rPr>
            </w:pPr>
          </w:p>
        </w:tc>
        <w:tc>
          <w:tcPr>
            <w:tcW w:w="920" w:type="dxa"/>
            <w:vAlign w:val="bottom"/>
            <w:tcBorders>
              <w:bottom w:val="single" w:sz="8" w:color="auto"/>
            </w:tcBorders>
            <w:shd w:val="clear" w:color="auto" w:fill="F79646"/>
          </w:tcPr>
          <w:p>
            <w:pPr>
              <w:jc w:val="right"/>
              <w:ind w:right="117"/>
              <w:spacing w:after="0"/>
              <w:rPr>
                <w:sz w:val="20"/>
                <w:szCs w:val="20"/>
                <w:color w:val="auto"/>
              </w:rPr>
            </w:pPr>
            <w:r>
              <w:rPr>
                <w:rFonts w:ascii="Arial" w:cs="Arial" w:eastAsia="Arial" w:hAnsi="Arial"/>
                <w:sz w:val="13"/>
                <w:szCs w:val="13"/>
                <w:b w:val="1"/>
                <w:bCs w:val="1"/>
                <w:color w:val="FFFFFE"/>
              </w:rPr>
              <w:t>Benefit ($)</w:t>
            </w:r>
          </w:p>
        </w:tc>
        <w:tc>
          <w:tcPr>
            <w:tcW w:w="120" w:type="dxa"/>
            <w:vAlign w:val="bottom"/>
            <w:tcBorders>
              <w:bottom w:val="single" w:sz="8" w:color="F79646"/>
            </w:tcBorders>
            <w:shd w:val="clear" w:color="auto" w:fill="F79646"/>
          </w:tcPr>
          <w:p>
            <w:pPr>
              <w:spacing w:after="0"/>
              <w:rPr>
                <w:sz w:val="16"/>
                <w:szCs w:val="16"/>
                <w:color w:val="auto"/>
              </w:rPr>
            </w:pPr>
          </w:p>
        </w:tc>
        <w:tc>
          <w:tcPr>
            <w:tcW w:w="940" w:type="dxa"/>
            <w:vAlign w:val="bottom"/>
            <w:tcBorders>
              <w:bottom w:val="single" w:sz="8" w:color="auto"/>
            </w:tcBorders>
            <w:shd w:val="clear" w:color="auto" w:fill="F79646"/>
          </w:tcPr>
          <w:p>
            <w:pPr>
              <w:jc w:val="right"/>
              <w:ind w:right="357"/>
              <w:spacing w:after="0"/>
              <w:rPr>
                <w:sz w:val="20"/>
                <w:szCs w:val="20"/>
                <w:color w:val="auto"/>
              </w:rPr>
            </w:pPr>
            <w:r>
              <w:rPr>
                <w:rFonts w:ascii="Arial" w:cs="Arial" w:eastAsia="Arial" w:hAnsi="Arial"/>
                <w:sz w:val="13"/>
                <w:szCs w:val="13"/>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6"/>
                <w:szCs w:val="16"/>
                <w:color w:val="auto"/>
              </w:rPr>
            </w:pPr>
          </w:p>
        </w:tc>
      </w:tr>
      <w:tr>
        <w:trPr>
          <w:trHeight w:val="163"/>
        </w:trPr>
        <w:tc>
          <w:tcPr>
            <w:tcW w:w="1040" w:type="dxa"/>
            <w:vAlign w:val="bottom"/>
            <w:tcBorders>
              <w:left w:val="single" w:sz="8" w:color="F79646"/>
              <w:bottom w:val="single" w:sz="8" w:color="F79646"/>
            </w:tcBorders>
            <w:gridSpan w:val="2"/>
            <w:shd w:val="clear" w:color="auto" w:fill="FCDEC5"/>
          </w:tcPr>
          <w:p>
            <w:pPr>
              <w:ind w:left="200"/>
              <w:spacing w:after="0"/>
              <w:rPr>
                <w:sz w:val="20"/>
                <w:szCs w:val="20"/>
                <w:color w:val="auto"/>
              </w:rPr>
            </w:pPr>
            <w:r>
              <w:rPr>
                <w:rFonts w:ascii="Arial" w:cs="Arial" w:eastAsia="Arial" w:hAnsi="Arial"/>
                <w:sz w:val="13"/>
                <w:szCs w:val="13"/>
                <w:color w:val="auto"/>
              </w:rPr>
              <w:t>Pavan Bagai</w:t>
            </w:r>
          </w:p>
        </w:tc>
        <w:tc>
          <w:tcPr>
            <w:tcW w:w="40" w:type="dxa"/>
            <w:vAlign w:val="bottom"/>
            <w:tcBorders>
              <w:bottom w:val="single" w:sz="8" w:color="F79646"/>
            </w:tcBorders>
            <w:shd w:val="clear" w:color="auto" w:fill="FCDEC5"/>
          </w:tcPr>
          <w:p>
            <w:pPr>
              <w:spacing w:after="0"/>
              <w:rPr>
                <w:sz w:val="14"/>
                <w:szCs w:val="14"/>
                <w:color w:val="auto"/>
              </w:rPr>
            </w:pPr>
          </w:p>
        </w:tc>
        <w:tc>
          <w:tcPr>
            <w:tcW w:w="80" w:type="dxa"/>
            <w:vAlign w:val="bottom"/>
            <w:tcBorders>
              <w:bottom w:val="single" w:sz="8" w:color="F79646"/>
            </w:tcBorders>
            <w:shd w:val="clear" w:color="auto" w:fill="FCDEC5"/>
          </w:tcPr>
          <w:p>
            <w:pPr>
              <w:spacing w:after="0"/>
              <w:rPr>
                <w:sz w:val="14"/>
                <w:szCs w:val="14"/>
                <w:color w:val="auto"/>
              </w:rPr>
            </w:pPr>
          </w:p>
        </w:tc>
        <w:tc>
          <w:tcPr>
            <w:tcW w:w="2480" w:type="dxa"/>
            <w:vAlign w:val="bottom"/>
            <w:tcBorders>
              <w:bottom w:val="single" w:sz="8" w:color="F79646"/>
            </w:tcBorders>
            <w:shd w:val="clear" w:color="auto" w:fill="FCDEC5"/>
          </w:tcPr>
          <w:p>
            <w:pPr>
              <w:ind w:left="220"/>
              <w:spacing w:after="0" w:line="163" w:lineRule="exact"/>
              <w:rPr>
                <w:sz w:val="20"/>
                <w:szCs w:val="20"/>
                <w:color w:val="auto"/>
              </w:rPr>
            </w:pPr>
            <w:r>
              <w:rPr>
                <w:rFonts w:ascii="Arial" w:cs="Arial" w:eastAsia="Arial" w:hAnsi="Arial"/>
                <w:sz w:val="11"/>
                <w:szCs w:val="11"/>
                <w:color w:val="auto"/>
              </w:rPr>
              <w:t>Gratuity Plan for Indian Employees</w:t>
            </w:r>
            <w:r>
              <w:rPr>
                <w:rFonts w:ascii="Arial" w:cs="Arial" w:eastAsia="Arial" w:hAnsi="Arial"/>
                <w:sz w:val="18"/>
                <w:szCs w:val="18"/>
                <w:color w:val="auto"/>
                <w:vertAlign w:val="superscript"/>
              </w:rPr>
              <w:t>(2)</w:t>
            </w:r>
          </w:p>
        </w:tc>
        <w:tc>
          <w:tcPr>
            <w:tcW w:w="120" w:type="dxa"/>
            <w:vAlign w:val="bottom"/>
            <w:tcBorders>
              <w:bottom w:val="single" w:sz="8" w:color="F79646"/>
            </w:tcBorders>
            <w:shd w:val="clear" w:color="auto" w:fill="FCDEC5"/>
          </w:tcPr>
          <w:p>
            <w:pPr>
              <w:spacing w:after="0"/>
              <w:rPr>
                <w:sz w:val="14"/>
                <w:szCs w:val="14"/>
                <w:color w:val="auto"/>
              </w:rPr>
            </w:pPr>
          </w:p>
        </w:tc>
        <w:tc>
          <w:tcPr>
            <w:tcW w:w="800" w:type="dxa"/>
            <w:vAlign w:val="bottom"/>
            <w:tcBorders>
              <w:bottom w:val="single" w:sz="8" w:color="F79646"/>
            </w:tcBorders>
            <w:shd w:val="clear" w:color="auto" w:fill="FCDEC5"/>
          </w:tcPr>
          <w:p>
            <w:pPr>
              <w:spacing w:after="0"/>
              <w:rPr>
                <w:sz w:val="14"/>
                <w:szCs w:val="14"/>
                <w:color w:val="auto"/>
              </w:rPr>
            </w:pPr>
          </w:p>
        </w:tc>
        <w:tc>
          <w:tcPr>
            <w:tcW w:w="14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3"/>
                <w:szCs w:val="13"/>
                <w:color w:val="auto"/>
                <w:w w:val="82"/>
              </w:rPr>
              <w:t>16</w:t>
            </w:r>
          </w:p>
        </w:tc>
        <w:tc>
          <w:tcPr>
            <w:tcW w:w="104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3"/>
                <w:szCs w:val="13"/>
                <w:color w:val="auto"/>
              </w:rPr>
              <w:t>100,330</w:t>
            </w:r>
          </w:p>
        </w:tc>
        <w:tc>
          <w:tcPr>
            <w:tcW w:w="120" w:type="dxa"/>
            <w:vAlign w:val="bottom"/>
            <w:tcBorders>
              <w:bottom w:val="single" w:sz="8" w:color="F79646"/>
            </w:tcBorders>
            <w:shd w:val="clear" w:color="auto" w:fill="FCDEC5"/>
          </w:tcPr>
          <w:p>
            <w:pPr>
              <w:spacing w:after="0"/>
              <w:rPr>
                <w:sz w:val="14"/>
                <w:szCs w:val="14"/>
                <w:color w:val="auto"/>
              </w:rPr>
            </w:pPr>
          </w:p>
        </w:tc>
        <w:tc>
          <w:tcPr>
            <w:tcW w:w="940" w:type="dxa"/>
            <w:vAlign w:val="bottom"/>
            <w:tcBorders>
              <w:bottom w:val="single" w:sz="8" w:color="F79646"/>
            </w:tcBorders>
            <w:shd w:val="clear" w:color="auto" w:fill="FCDEC5"/>
          </w:tcPr>
          <w:p>
            <w:pPr>
              <w:spacing w:after="0"/>
              <w:rPr>
                <w:sz w:val="14"/>
                <w:szCs w:val="14"/>
                <w:color w:val="auto"/>
              </w:rPr>
            </w:pPr>
          </w:p>
        </w:tc>
        <w:tc>
          <w:tcPr>
            <w:tcW w:w="200" w:type="dxa"/>
            <w:vAlign w:val="bottom"/>
            <w:tcBorders>
              <w:bottom w:val="single" w:sz="8" w:color="F79646"/>
              <w:right w:val="single" w:sz="8" w:color="F79646"/>
            </w:tcBorders>
            <w:shd w:val="clear" w:color="auto" w:fill="FCDEC5"/>
          </w:tcPr>
          <w:p>
            <w:pPr>
              <w:spacing w:after="0"/>
              <w:rPr>
                <w:sz w:val="14"/>
                <w:szCs w:val="14"/>
                <w:color w:val="auto"/>
              </w:rPr>
            </w:pPr>
          </w:p>
        </w:tc>
      </w:tr>
      <w:tr>
        <w:trPr>
          <w:trHeight w:val="67"/>
        </w:trPr>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r>
    </w:tbl>
    <w:p>
      <w:pPr>
        <w:spacing w:after="0" w:line="156" w:lineRule="exact"/>
        <w:rPr>
          <w:sz w:val="20"/>
          <w:szCs w:val="20"/>
          <w:color w:val="auto"/>
        </w:rPr>
      </w:pPr>
    </w:p>
    <w:p>
      <w:pPr>
        <w:jc w:val="both"/>
        <w:ind w:left="1440" w:right="199" w:hanging="382"/>
        <w:spacing w:after="0" w:line="234" w:lineRule="auto"/>
        <w:tabs>
          <w:tab w:leader="none" w:pos="1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the number of years of service credited as of December 31, 2018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5" w:lineRule="exact"/>
        <w:rPr>
          <w:rFonts w:ascii="Arial" w:cs="Arial" w:eastAsia="Arial" w:hAnsi="Arial"/>
          <w:sz w:val="13"/>
          <w:szCs w:val="13"/>
          <w:color w:val="auto"/>
        </w:rPr>
      </w:pPr>
    </w:p>
    <w:p>
      <w:pPr>
        <w:jc w:val="both"/>
        <w:ind w:left="1440" w:right="179" w:hanging="382"/>
        <w:spacing w:after="0" w:line="282" w:lineRule="auto"/>
        <w:tabs>
          <w:tab w:leader="none" w:pos="1440" w:val="left"/>
        </w:tabs>
        <w:numPr>
          <w:ilvl w:val="0"/>
          <w:numId w:val="83"/>
        </w:numPr>
        <w:rPr>
          <w:rFonts w:ascii="Arial" w:cs="Arial" w:eastAsia="Arial" w:hAnsi="Arial"/>
          <w:sz w:val="11"/>
          <w:szCs w:val="11"/>
          <w:color w:val="auto"/>
        </w:rPr>
      </w:pPr>
      <w:r>
        <w:rPr>
          <w:rFonts w:ascii="Arial" w:cs="Arial" w:eastAsia="Arial" w:hAnsi="Arial"/>
          <w:sz w:val="11"/>
          <w:szCs w:val="11"/>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21 to the audited financial statements for the fiscal year ended December 31, 2018 included in the 2018 Form 10-K.</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33" w:name="page34"/>
    <w:bookmarkEnd w:id="33"/>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Bagai's accumulated benefits has been determined based on his monthly basic salary rates in effect on December 31, 2018, which is approximately $10,869.</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Potential Payments upon Termination or Change in Control at Fiscal 2018 Year-End</w:t>
      </w:r>
    </w:p>
    <w:p>
      <w:pPr>
        <w:spacing w:after="0" w:line="165"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The following tables summarize the amounts payable to each named executive officer upon a change in control or termination of his employment with us on December 31, 2018. In calculating potential payments for purposes of this disclosure, we have quantified our equity-based payments using the closing stock price on December 31, 2018, which was $52.62. Certain defined terms used in the employment agreements for our named executive officers are defined following the description of Mr. Miglani's potential payments.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Rohit Kapoor</w:t>
      </w:r>
    </w:p>
    <w:p>
      <w:pPr>
        <w:spacing w:after="0" w:line="151"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3"/>
          <w:szCs w:val="13"/>
          <w:b w:val="1"/>
          <w:bCs w:val="1"/>
          <w:i w:val="1"/>
          <w:iCs w:val="1"/>
          <w:color w:val="auto"/>
        </w:rPr>
        <w:t xml:space="preserve">Cash Severance. </w:t>
      </w:r>
      <w:r>
        <w:rPr>
          <w:rFonts w:ascii="Arial" w:cs="Arial" w:eastAsia="Arial" w:hAnsi="Arial"/>
          <w:sz w:val="13"/>
          <w:szCs w:val="13"/>
          <w:color w:val="auto"/>
        </w:rPr>
        <w:t>If Mr. Kapoor's employment were terminated by us without "cause" or by the executive for "good reason" (in each case, as described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below) on December 31, 2018, he would have been entitled to cash severance consisting of:</w:t>
      </w:r>
    </w:p>
    <w:p>
      <w:pPr>
        <w:spacing w:after="0" w:line="141" w:lineRule="exact"/>
        <w:rPr>
          <w:sz w:val="20"/>
          <w:szCs w:val="20"/>
          <w:color w:val="auto"/>
        </w:rPr>
      </w:pPr>
    </w:p>
    <w:p>
      <w:pPr>
        <w:ind w:left="960" w:hanging="381"/>
        <w:spacing w:after="0"/>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continuation of his base salary for 24 months;</w:t>
      </w:r>
    </w:p>
    <w:p>
      <w:pPr>
        <w:spacing w:after="0" w:line="149" w:lineRule="exact"/>
        <w:rPr>
          <w:rFonts w:ascii="Arial" w:cs="Arial" w:eastAsia="Arial" w:hAnsi="Arial"/>
          <w:sz w:val="13"/>
          <w:szCs w:val="13"/>
          <w:color w:val="F79646"/>
        </w:rPr>
      </w:pPr>
    </w:p>
    <w:p>
      <w:pPr>
        <w:ind w:left="960" w:right="199" w:hanging="381"/>
        <w:spacing w:after="0" w:line="235" w:lineRule="auto"/>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his actual bonus, if any, earned for the year of termination, determined as if he had been employed for the full year of termination, paid ratably over the remaining period of base salary payments;</w:t>
      </w:r>
    </w:p>
    <w:p>
      <w:pPr>
        <w:spacing w:after="0" w:line="140" w:lineRule="exact"/>
        <w:rPr>
          <w:rFonts w:ascii="Arial" w:cs="Arial" w:eastAsia="Arial" w:hAnsi="Arial"/>
          <w:sz w:val="13"/>
          <w:szCs w:val="13"/>
          <w:color w:val="F79646"/>
        </w:rPr>
      </w:pPr>
    </w:p>
    <w:p>
      <w:pPr>
        <w:ind w:left="960" w:hanging="381"/>
        <w:spacing w:after="0"/>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any unpaid bonus amounts from prior periods;</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any accrued but unpaid base salary and vacation days or unreimbursed expenses;</w:t>
      </w:r>
    </w:p>
    <w:p>
      <w:pPr>
        <w:spacing w:after="0" w:line="149" w:lineRule="exact"/>
        <w:rPr>
          <w:rFonts w:ascii="Arial" w:cs="Arial" w:eastAsia="Arial" w:hAnsi="Arial"/>
          <w:sz w:val="13"/>
          <w:szCs w:val="13"/>
          <w:color w:val="F79646"/>
        </w:rPr>
      </w:pPr>
    </w:p>
    <w:p>
      <w:pPr>
        <w:jc w:val="both"/>
        <w:ind w:left="960" w:right="179" w:hanging="381"/>
        <w:spacing w:after="0" w:line="234" w:lineRule="auto"/>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40" w:lineRule="exact"/>
        <w:rPr>
          <w:rFonts w:ascii="Arial" w:cs="Arial" w:eastAsia="Arial" w:hAnsi="Arial"/>
          <w:sz w:val="13"/>
          <w:szCs w:val="13"/>
          <w:color w:val="F79646"/>
        </w:rPr>
      </w:pPr>
    </w:p>
    <w:p>
      <w:pPr>
        <w:ind w:left="960" w:right="179" w:hanging="381"/>
        <w:spacing w:after="0" w:line="235" w:lineRule="auto"/>
        <w:tabs>
          <w:tab w:leader="none" w:pos="960" w:val="left"/>
        </w:tabs>
        <w:numPr>
          <w:ilvl w:val="0"/>
          <w:numId w:val="84"/>
        </w:numPr>
        <w:rPr>
          <w:rFonts w:ascii="Arial" w:cs="Arial" w:eastAsia="Arial" w:hAnsi="Arial"/>
          <w:sz w:val="13"/>
          <w:szCs w:val="13"/>
          <w:color w:val="F79646"/>
        </w:rPr>
      </w:pPr>
      <w:r>
        <w:rPr>
          <w:rFonts w:ascii="Arial" w:cs="Arial" w:eastAsia="Arial" w:hAnsi="Arial"/>
          <w:sz w:val="13"/>
          <w:szCs w:val="13"/>
          <w:color w:val="auto"/>
        </w:rPr>
        <w:t>continuation of life insurance coverage until the earlier of (x) the 18-month anniversary of termination and (y) the date the executive commences employment with a subsequent employer.</w:t>
      </w:r>
    </w:p>
    <w:p>
      <w:pPr>
        <w:spacing w:after="0" w:line="136" w:lineRule="exact"/>
        <w:rPr>
          <w:sz w:val="20"/>
          <w:szCs w:val="20"/>
          <w:color w:val="auto"/>
        </w:rPr>
      </w:pPr>
    </w:p>
    <w:p>
      <w:pPr>
        <w:jc w:val="both"/>
        <w:ind w:left="200" w:right="179"/>
        <w:spacing w:after="0" w:line="297" w:lineRule="auto"/>
        <w:rPr>
          <w:sz w:val="20"/>
          <w:szCs w:val="20"/>
          <w:color w:val="auto"/>
        </w:rPr>
      </w:pPr>
      <w:r>
        <w:rPr>
          <w:rFonts w:ascii="Arial" w:cs="Arial" w:eastAsia="Arial" w:hAnsi="Arial"/>
          <w:sz w:val="11"/>
          <w:szCs w:val="11"/>
          <w:b w:val="1"/>
          <w:bCs w:val="1"/>
          <w:i w:val="1"/>
          <w:iCs w:val="1"/>
          <w:color w:val="auto"/>
        </w:rPr>
        <w:t xml:space="preserve">Change-in-Control Cash Severance. </w:t>
      </w:r>
      <w:r>
        <w:rPr>
          <w:rFonts w:ascii="Arial" w:cs="Arial" w:eastAsia="Arial" w:hAnsi="Arial"/>
          <w:sz w:val="11"/>
          <w:szCs w:val="11"/>
          <w:color w:val="auto"/>
        </w:rPr>
        <w:t>If Mr. Kapoor's employment is terminated by us without "cause" or by the executive for "good reason" (in each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05" w:lineRule="exact"/>
        <w:rPr>
          <w:sz w:val="20"/>
          <w:szCs w:val="20"/>
          <w:color w:val="auto"/>
        </w:rPr>
      </w:pPr>
    </w:p>
    <w:p>
      <w:pPr>
        <w:jc w:val="both"/>
        <w:ind w:left="200" w:right="179"/>
        <w:spacing w:after="0" w:line="253" w:lineRule="auto"/>
        <w:rPr>
          <w:sz w:val="20"/>
          <w:szCs w:val="20"/>
          <w:color w:val="auto"/>
        </w:rPr>
      </w:pPr>
      <w:r>
        <w:rPr>
          <w:rFonts w:ascii="Arial" w:cs="Arial" w:eastAsia="Arial" w:hAnsi="Arial"/>
          <w:sz w:val="13"/>
          <w:szCs w:val="13"/>
          <w:b w:val="1"/>
          <w:bCs w:val="1"/>
          <w:i w:val="1"/>
          <w:iCs w:val="1"/>
          <w:color w:val="auto"/>
        </w:rPr>
        <w:t xml:space="preserve">Death or Disability. </w:t>
      </w:r>
      <w:r>
        <w:rPr>
          <w:rFonts w:ascii="Arial" w:cs="Arial" w:eastAsia="Arial" w:hAnsi="Arial"/>
          <w:sz w:val="13"/>
          <w:szCs w:val="13"/>
          <w:color w:val="auto"/>
        </w:rPr>
        <w:t>If Mr. Kapoor's employment terminates due to his death or is terminated by either the executive or us due to his disability, he (or 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estate) will be entitled to a prorated portion of his projected bonus amount for the year of termination.</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5"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3"/>
          <w:szCs w:val="13"/>
          <w:b w:val="1"/>
          <w:bCs w:val="1"/>
          <w:i w:val="1"/>
          <w:iCs w:val="1"/>
          <w:color w:val="auto"/>
        </w:rPr>
        <w:t xml:space="preserve">Noncompetition and Nonsolicitation Provisions. </w:t>
      </w:r>
      <w:r>
        <w:rPr>
          <w:rFonts w:ascii="Arial" w:cs="Arial" w:eastAsia="Arial" w:hAnsi="Arial"/>
          <w:sz w:val="13"/>
          <w:szCs w:val="13"/>
          <w:color w:val="auto"/>
        </w:rPr>
        <w:t>Mr. Kapoor is subject to confidentiality and nondisparagement restrictions at all times,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noncompetition and nonsolicitation restrictions during his employment and for one year thereafter.</w:t>
      </w:r>
    </w:p>
    <w:p>
      <w:pPr>
        <w:spacing w:after="0" w:line="128" w:lineRule="exact"/>
        <w:rPr>
          <w:sz w:val="20"/>
          <w:szCs w:val="20"/>
          <w:color w:val="auto"/>
        </w:rPr>
      </w:pPr>
    </w:p>
    <w:p>
      <w:pPr>
        <w:jc w:val="both"/>
        <w:ind w:left="200" w:right="179"/>
        <w:spacing w:after="0" w:line="242" w:lineRule="auto"/>
        <w:rPr>
          <w:sz w:val="20"/>
          <w:szCs w:val="20"/>
          <w:color w:val="auto"/>
        </w:rPr>
      </w:pPr>
      <w:r>
        <w:rPr>
          <w:rFonts w:ascii="Arial" w:cs="Arial" w:eastAsia="Arial" w:hAnsi="Arial"/>
          <w:sz w:val="13"/>
          <w:szCs w:val="13"/>
          <w:b w:val="1"/>
          <w:bCs w:val="1"/>
          <w:i w:val="1"/>
          <w:iCs w:val="1"/>
          <w:color w:val="auto"/>
        </w:rPr>
        <w:t xml:space="preserve">Annual Equity Awards. </w:t>
      </w:r>
      <w:r>
        <w:rPr>
          <w:rFonts w:ascii="Arial" w:cs="Arial" w:eastAsia="Arial" w:hAnsi="Arial"/>
          <w:sz w:val="13"/>
          <w:szCs w:val="13"/>
          <w:color w:val="auto"/>
        </w:rPr>
        <w:t>If Mr. Kapoor's employment is terminated by us without cause or by Mr. Kapoor for good reason, Mr. Kapoor shall be treated as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 was still employed by the Company for a period of two years following the termination date. On a "change in control" (as defined in the 2006 Plan or 2015 Plan, as applicable) or on death, Mr. Kapoor's outstanding annual equity awards will vest as described below:</w:t>
      </w:r>
    </w:p>
    <w:p>
      <w:pPr>
        <w:spacing w:after="0" w:line="133" w:lineRule="exact"/>
        <w:rPr>
          <w:sz w:val="20"/>
          <w:szCs w:val="20"/>
          <w:color w:val="auto"/>
        </w:rPr>
      </w:pPr>
    </w:p>
    <w:p>
      <w:pPr>
        <w:jc w:val="both"/>
        <w:ind w:left="960" w:right="179" w:hanging="381"/>
        <w:spacing w:after="0" w:line="238" w:lineRule="auto"/>
        <w:tabs>
          <w:tab w:leader="none" w:pos="960" w:val="left"/>
        </w:tabs>
        <w:numPr>
          <w:ilvl w:val="0"/>
          <w:numId w:val="85"/>
        </w:numPr>
        <w:rPr>
          <w:rFonts w:ascii="Arial" w:cs="Arial" w:eastAsia="Arial" w:hAnsi="Arial"/>
          <w:sz w:val="13"/>
          <w:szCs w:val="13"/>
          <w:color w:val="F79646"/>
        </w:rPr>
      </w:pPr>
      <w:r>
        <w:rPr>
          <w:rFonts w:ascii="Arial" w:cs="Arial" w:eastAsia="Arial" w:hAnsi="Arial"/>
          <w:sz w:val="13"/>
          <w:szCs w:val="13"/>
          <w:b w:val="1"/>
          <w:bCs w:val="1"/>
          <w:color w:val="auto"/>
        </w:rPr>
        <w:t xml:space="preserve">Time-Vested RSUs: </w:t>
      </w:r>
      <w:r>
        <w:rPr>
          <w:rFonts w:ascii="Arial" w:cs="Arial" w:eastAsia="Arial" w:hAnsi="Arial"/>
          <w:sz w:val="13"/>
          <w:szCs w:val="13"/>
          <w:color w:val="auto"/>
        </w:rPr>
        <w:t>If a change in control occurs prior to the end of the four-year vesting period, Mr. Kapoor's Time-Vested RSUs will be</w:t>
      </w:r>
      <w:r>
        <w:rPr>
          <w:rFonts w:ascii="Arial" w:cs="Arial" w:eastAsia="Arial" w:hAnsi="Arial"/>
          <w:sz w:val="13"/>
          <w:szCs w:val="13"/>
          <w:b w:val="1"/>
          <w:bCs w:val="1"/>
          <w:color w:val="auto"/>
        </w:rPr>
        <w:t xml:space="preserve"> </w:t>
      </w:r>
      <w:r>
        <w:rPr>
          <w:rFonts w:ascii="Arial" w:cs="Arial" w:eastAsia="Arial" w:hAnsi="Arial"/>
          <w:sz w:val="13"/>
          <w:szCs w:val="13"/>
          <w:color w:val="auto"/>
        </w:rPr>
        <w:t>advanced by one year. In addition, all of Mr. Kapoor's outstanding Time-Vested RSUs will become fully vested if, he is terminated without cause in specific contemplation of or within 12 months following a change in control or, he voluntarily terminates his employment for good reason within 12 months following a change in control. If Mr. Kapoor dies before the end of the four-year vesting period, all of Mr. Kapoor's outstanding Time-Vested RSUs will become fully vested.</w:t>
      </w:r>
    </w:p>
    <w:p>
      <w:pPr>
        <w:spacing w:after="0" w:line="134" w:lineRule="exact"/>
        <w:rPr>
          <w:rFonts w:ascii="Arial" w:cs="Arial" w:eastAsia="Arial" w:hAnsi="Arial"/>
          <w:sz w:val="13"/>
          <w:szCs w:val="13"/>
          <w:color w:val="F79646"/>
        </w:rPr>
      </w:pPr>
    </w:p>
    <w:p>
      <w:pPr>
        <w:jc w:val="both"/>
        <w:ind w:left="960" w:right="179" w:hanging="381"/>
        <w:spacing w:after="0" w:line="235" w:lineRule="auto"/>
        <w:tabs>
          <w:tab w:leader="none" w:pos="960" w:val="left"/>
        </w:tabs>
        <w:numPr>
          <w:ilvl w:val="0"/>
          <w:numId w:val="85"/>
        </w:numPr>
        <w:rPr>
          <w:rFonts w:ascii="Arial" w:cs="Arial" w:eastAsia="Arial" w:hAnsi="Arial"/>
          <w:sz w:val="13"/>
          <w:szCs w:val="13"/>
          <w:color w:val="F79646"/>
        </w:rPr>
      </w:pPr>
      <w:r>
        <w:rPr>
          <w:rFonts w:ascii="Arial" w:cs="Arial" w:eastAsia="Arial" w:hAnsi="Arial"/>
          <w:sz w:val="13"/>
          <w:szCs w:val="13"/>
          <w:b w:val="1"/>
          <w:bCs w:val="1"/>
          <w:color w:val="auto"/>
        </w:rPr>
        <w:t xml:space="preserve">Revenue-Linked PRSUs: </w:t>
      </w:r>
      <w:r>
        <w:rPr>
          <w:rFonts w:ascii="Arial" w:cs="Arial" w:eastAsia="Arial" w:hAnsi="Arial"/>
          <w:sz w:val="13"/>
          <w:szCs w:val="13"/>
          <w:color w:val="auto"/>
        </w:rPr>
        <w:t>If a change in control occurs prior to the end of the performance period, 100% of target of Mr. Kapoor's Revenue-Linked PRSUs will be deemed earned, will be subject to a three-year installment vesting schedule and will be advanced by one year under such 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portion of the outstanding Revenue-Linked PRSUs equal to (x) the number of completed full months during the three-year performance period up to the date of Mr. Kapoor's death divided by (y) 36 multiplied by (z) 100% of Mr. Kapoor's Revenue-Linked PRSUs.</w:t>
      </w:r>
    </w:p>
    <w:p>
      <w:pPr>
        <w:spacing w:after="0" w:line="128" w:lineRule="exact"/>
        <w:rPr>
          <w:rFonts w:ascii="Arial" w:cs="Arial" w:eastAsia="Arial" w:hAnsi="Arial"/>
          <w:sz w:val="13"/>
          <w:szCs w:val="13"/>
          <w:color w:val="F79646"/>
        </w:rPr>
      </w:pPr>
    </w:p>
    <w:p>
      <w:pPr>
        <w:jc w:val="both"/>
        <w:ind w:left="960" w:right="179" w:hanging="381"/>
        <w:spacing w:after="0" w:line="234" w:lineRule="auto"/>
        <w:tabs>
          <w:tab w:leader="none" w:pos="960" w:val="left"/>
        </w:tabs>
        <w:numPr>
          <w:ilvl w:val="0"/>
          <w:numId w:val="85"/>
        </w:numPr>
        <w:rPr>
          <w:rFonts w:ascii="Arial" w:cs="Arial" w:eastAsia="Arial" w:hAnsi="Arial"/>
          <w:sz w:val="13"/>
          <w:szCs w:val="13"/>
          <w:color w:val="F79646"/>
        </w:rPr>
      </w:pPr>
      <w:r>
        <w:rPr>
          <w:rFonts w:ascii="Arial" w:cs="Arial" w:eastAsia="Arial" w:hAnsi="Arial"/>
          <w:sz w:val="13"/>
          <w:szCs w:val="13"/>
          <w:b w:val="1"/>
          <w:bCs w:val="1"/>
          <w:color w:val="auto"/>
        </w:rPr>
        <w:t xml:space="preserve">Relative TSR-Linked PRSUs: </w:t>
      </w:r>
      <w:r>
        <w:rPr>
          <w:rFonts w:ascii="Arial" w:cs="Arial" w:eastAsia="Arial" w:hAnsi="Arial"/>
          <w:sz w:val="13"/>
          <w:szCs w:val="13"/>
          <w:color w:val="auto"/>
        </w:rPr>
        <w:t>If a change in control occurs on or prior to the first anniversary of the grant date, 100% of target of</w:t>
      </w:r>
      <w:r>
        <w:rPr>
          <w:rFonts w:ascii="Arial" w:cs="Arial" w:eastAsia="Arial" w:hAnsi="Arial"/>
          <w:sz w:val="13"/>
          <w:szCs w:val="13"/>
          <w:b w:val="1"/>
          <w:bCs w:val="1"/>
          <w:color w:val="auto"/>
        </w:rPr>
        <w:t xml:space="preserve"> </w:t>
      </w:r>
      <w:r>
        <w:rPr>
          <w:rFonts w:ascii="Arial" w:cs="Arial" w:eastAsia="Arial" w:hAnsi="Arial"/>
          <w:sz w:val="13"/>
          <w:szCs w:val="13"/>
          <w:color w:val="auto"/>
        </w:rPr>
        <w:t>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w:t>
      </w:r>
    </w:p>
    <w:p>
      <w:pPr>
        <w:spacing w:after="0" w:line="141" w:lineRule="exact"/>
        <w:rPr>
          <w:sz w:val="20"/>
          <w:szCs w:val="20"/>
          <w:color w:val="auto"/>
        </w:rPr>
      </w:pPr>
    </w:p>
    <w:p>
      <w:pPr>
        <w:ind w:left="200" w:right="179"/>
        <w:spacing w:after="0" w:line="253" w:lineRule="auto"/>
        <w:rPr>
          <w:sz w:val="20"/>
          <w:szCs w:val="20"/>
          <w:color w:val="auto"/>
        </w:rPr>
      </w:pPr>
      <w:r>
        <w:rPr>
          <w:rFonts w:ascii="Arial" w:cs="Arial" w:eastAsia="Arial" w:hAnsi="Arial"/>
          <w:sz w:val="13"/>
          <w:szCs w:val="13"/>
          <w:b w:val="1"/>
          <w:bCs w:val="1"/>
          <w:i w:val="1"/>
          <w:iCs w:val="1"/>
          <w:color w:val="auto"/>
        </w:rPr>
        <w:t xml:space="preserve">Release of Claims. </w:t>
      </w:r>
      <w:r>
        <w:rPr>
          <w:rFonts w:ascii="Arial" w:cs="Arial" w:eastAsia="Arial" w:hAnsi="Arial"/>
          <w:sz w:val="13"/>
          <w:szCs w:val="13"/>
          <w:color w:val="auto"/>
        </w:rPr>
        <w:t>Mr. Kapoor's severance payments and termination-related equity acceleration are subject to his execution of a release of claims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against us, his not having committed a material breach of the restrictive covenants that has remained uncured for</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34" w:name="page35"/>
    <w:bookmarkEnd w:id="34"/>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15 days after we have given him notice of such breach and his resignation from the board of directors and all committees thereof, if requested by the Company.</w:t>
      </w:r>
    </w:p>
    <w:p>
      <w:pPr>
        <w:spacing w:after="0" w:line="136" w:lineRule="exact"/>
        <w:rPr>
          <w:sz w:val="20"/>
          <w:szCs w:val="20"/>
          <w:color w:val="auto"/>
        </w:rPr>
      </w:pPr>
    </w:p>
    <w:p>
      <w:pPr>
        <w:jc w:val="both"/>
        <w:ind w:left="200" w:right="179"/>
        <w:spacing w:after="0" w:line="239" w:lineRule="auto"/>
        <w:rPr>
          <w:sz w:val="20"/>
          <w:szCs w:val="20"/>
          <w:color w:val="auto"/>
        </w:rPr>
      </w:pPr>
      <w:r>
        <w:rPr>
          <w:rFonts w:ascii="Arial" w:cs="Arial" w:eastAsia="Arial" w:hAnsi="Arial"/>
          <w:sz w:val="13"/>
          <w:szCs w:val="13"/>
          <w:b w:val="1"/>
          <w:bCs w:val="1"/>
          <w:i w:val="1"/>
          <w:iCs w:val="1"/>
          <w:color w:val="auto"/>
        </w:rPr>
        <w:t xml:space="preserve">Code Section 280G. </w:t>
      </w:r>
      <w:r>
        <w:rPr>
          <w:rFonts w:ascii="Arial" w:cs="Arial" w:eastAsia="Arial" w:hAnsi="Arial"/>
          <w:sz w:val="13"/>
          <w:szCs w:val="13"/>
          <w:color w:val="auto"/>
        </w:rPr>
        <w:t>Mr. Kapoor's employment agreement also contains a "modified cut-back" provision such that any payments that constitute "excess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Indicative Payouts for Rohit Kapoor</w:t>
      </w:r>
    </w:p>
    <w:p>
      <w:pPr>
        <w:spacing w:after="0" w:line="161" w:lineRule="exact"/>
        <w:rPr>
          <w:sz w:val="20"/>
          <w:szCs w:val="20"/>
          <w:color w:val="auto"/>
        </w:rPr>
      </w:pPr>
    </w:p>
    <w:tbl>
      <w:tblPr>
        <w:tblLayout w:type="fixed"/>
        <w:tblInd w:w="1070" w:type="dxa"/>
        <w:tblCellMar>
          <w:top w:w="0" w:type="dxa"/>
          <w:left w:w="0" w:type="dxa"/>
          <w:bottom w:w="0" w:type="dxa"/>
          <w:right w:w="0" w:type="dxa"/>
        </w:tblCellMar>
      </w:tblPr>
      <w:tr>
        <w:trPr>
          <w:trHeight w:val="165"/>
        </w:trPr>
        <w:tc>
          <w:tcPr>
            <w:tcW w:w="200" w:type="dxa"/>
            <w:vAlign w:val="bottom"/>
            <w:tcBorders>
              <w:left w:val="single" w:sz="8" w:color="F79646"/>
            </w:tcBorders>
            <w:shd w:val="clear" w:color="auto" w:fill="F79646"/>
          </w:tcPr>
          <w:p>
            <w:pPr>
              <w:spacing w:after="0"/>
              <w:rPr>
                <w:sz w:val="14"/>
                <w:szCs w:val="14"/>
                <w:color w:val="auto"/>
              </w:rPr>
            </w:pPr>
          </w:p>
        </w:tc>
        <w:tc>
          <w:tcPr>
            <w:tcW w:w="880" w:type="dxa"/>
            <w:vAlign w:val="bottom"/>
            <w:shd w:val="clear" w:color="auto" w:fill="F79646"/>
          </w:tcPr>
          <w:p>
            <w:pPr>
              <w:spacing w:after="0"/>
              <w:rPr>
                <w:sz w:val="14"/>
                <w:szCs w:val="14"/>
                <w:color w:val="auto"/>
              </w:rPr>
            </w:pPr>
          </w:p>
        </w:tc>
        <w:tc>
          <w:tcPr>
            <w:tcW w:w="48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6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50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6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60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or</w:t>
            </w:r>
          </w:p>
        </w:tc>
        <w:tc>
          <w:tcPr>
            <w:tcW w:w="0" w:type="dxa"/>
            <w:vAlign w:val="bottom"/>
          </w:tcPr>
          <w:p>
            <w:pPr>
              <w:spacing w:after="0"/>
              <w:rPr>
                <w:sz w:val="1"/>
                <w:szCs w:val="1"/>
                <w:color w:val="auto"/>
              </w:rPr>
            </w:pP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740" w:type="dxa"/>
            <w:vAlign w:val="bottom"/>
            <w:gridSpan w:val="2"/>
            <w:shd w:val="clear" w:color="auto" w:fill="F79646"/>
          </w:tcPr>
          <w:p>
            <w:pPr>
              <w:jc w:val="center"/>
              <w:ind w:right="120"/>
              <w:spacing w:after="0"/>
              <w:rPr>
                <w:sz w:val="20"/>
                <w:szCs w:val="20"/>
                <w:color w:val="auto"/>
              </w:rPr>
            </w:pPr>
            <w:r>
              <w:rPr>
                <w:rFonts w:ascii="Arial" w:cs="Arial" w:eastAsia="Arial" w:hAnsi="Arial"/>
                <w:sz w:val="10"/>
                <w:szCs w:val="10"/>
                <w:b w:val="1"/>
                <w:bCs w:val="1"/>
                <w:color w:val="FFFFFE"/>
              </w:rPr>
              <w:t>Termination</w:t>
            </w: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for Good Reason Following</w:t>
            </w:r>
          </w:p>
        </w:tc>
        <w:tc>
          <w:tcPr>
            <w:tcW w:w="0" w:type="dxa"/>
            <w:vAlign w:val="bottom"/>
          </w:tcPr>
          <w:p>
            <w:pPr>
              <w:spacing w:after="0"/>
              <w:rPr>
                <w:sz w:val="1"/>
                <w:szCs w:val="1"/>
                <w:color w:val="auto"/>
              </w:rPr>
            </w:pP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 Prior</w:t>
            </w:r>
          </w:p>
        </w:tc>
        <w:tc>
          <w:tcPr>
            <w:tcW w:w="120" w:type="dxa"/>
            <w:vAlign w:val="bottom"/>
            <w:shd w:val="clear" w:color="auto" w:fill="F79646"/>
          </w:tcPr>
          <w:p>
            <w:pPr>
              <w:spacing w:after="0"/>
              <w:rPr>
                <w:sz w:val="10"/>
                <w:szCs w:val="10"/>
                <w:color w:val="auto"/>
              </w:rPr>
            </w:pPr>
          </w:p>
        </w:tc>
        <w:tc>
          <w:tcPr>
            <w:tcW w:w="6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74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for Good</w:t>
            </w: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Change in Control or</w:t>
            </w:r>
          </w:p>
        </w:tc>
        <w:tc>
          <w:tcPr>
            <w:tcW w:w="0" w:type="dxa"/>
            <w:vAlign w:val="bottom"/>
          </w:tcPr>
          <w:p>
            <w:pPr>
              <w:spacing w:after="0"/>
              <w:rPr>
                <w:sz w:val="1"/>
                <w:szCs w:val="1"/>
                <w:color w:val="auto"/>
              </w:rPr>
            </w:pP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to a</w:t>
            </w:r>
          </w:p>
        </w:tc>
        <w:tc>
          <w:tcPr>
            <w:tcW w:w="120" w:type="dxa"/>
            <w:vAlign w:val="bottom"/>
            <w:shd w:val="clear" w:color="auto" w:fill="F79646"/>
          </w:tcPr>
          <w:p>
            <w:pPr>
              <w:spacing w:after="0"/>
              <w:rPr>
                <w:sz w:val="10"/>
                <w:szCs w:val="10"/>
                <w:color w:val="auto"/>
              </w:rPr>
            </w:pPr>
          </w:p>
        </w:tc>
        <w:tc>
          <w:tcPr>
            <w:tcW w:w="6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 After</w:t>
            </w: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740" w:type="dxa"/>
            <w:vAlign w:val="bottom"/>
            <w:gridSpan w:val="2"/>
            <w:shd w:val="clear" w:color="auto" w:fill="F79646"/>
          </w:tcPr>
          <w:p>
            <w:pPr>
              <w:jc w:val="center"/>
              <w:ind w:right="120"/>
              <w:spacing w:after="0"/>
              <w:rPr>
                <w:sz w:val="20"/>
                <w:szCs w:val="20"/>
                <w:color w:val="auto"/>
              </w:rPr>
            </w:pPr>
            <w:r>
              <w:rPr>
                <w:rFonts w:ascii="Arial" w:cs="Arial" w:eastAsia="Arial" w:hAnsi="Arial"/>
                <w:sz w:val="10"/>
                <w:szCs w:val="10"/>
                <w:b w:val="1"/>
                <w:bCs w:val="1"/>
                <w:color w:val="FFFFFE"/>
              </w:rPr>
              <w:t>Reason or</w:t>
            </w: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in</w:t>
            </w:r>
          </w:p>
        </w:tc>
        <w:tc>
          <w:tcPr>
            <w:tcW w:w="0" w:type="dxa"/>
            <w:vAlign w:val="bottom"/>
          </w:tcPr>
          <w:p>
            <w:pPr>
              <w:spacing w:after="0"/>
              <w:rPr>
                <w:sz w:val="1"/>
                <w:szCs w:val="1"/>
                <w:color w:val="auto"/>
              </w:rPr>
            </w:pP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6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 Change</w:t>
            </w: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740" w:type="dxa"/>
            <w:vAlign w:val="bottom"/>
            <w:gridSpan w:val="2"/>
            <w:shd w:val="clear" w:color="auto" w:fill="F79646"/>
          </w:tcPr>
          <w:p>
            <w:pPr>
              <w:jc w:val="center"/>
              <w:ind w:right="120"/>
              <w:spacing w:after="0"/>
              <w:rPr>
                <w:sz w:val="20"/>
                <w:szCs w:val="20"/>
                <w:color w:val="auto"/>
              </w:rPr>
            </w:pPr>
            <w:r>
              <w:rPr>
                <w:rFonts w:ascii="Arial" w:cs="Arial" w:eastAsia="Arial" w:hAnsi="Arial"/>
                <w:sz w:val="10"/>
                <w:szCs w:val="10"/>
                <w:b w:val="1"/>
                <w:bCs w:val="1"/>
                <w:color w:val="FFFFFE"/>
              </w:rPr>
              <w:t>Without</w:t>
            </w:r>
          </w:p>
        </w:tc>
        <w:tc>
          <w:tcPr>
            <w:tcW w:w="60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Specific Contemplation of</w:t>
            </w:r>
          </w:p>
        </w:tc>
        <w:tc>
          <w:tcPr>
            <w:tcW w:w="0" w:type="dxa"/>
            <w:vAlign w:val="bottom"/>
          </w:tcPr>
          <w:p>
            <w:pPr>
              <w:spacing w:after="0"/>
              <w:rPr>
                <w:sz w:val="1"/>
                <w:szCs w:val="1"/>
                <w:color w:val="auto"/>
              </w:rPr>
            </w:pPr>
          </w:p>
        </w:tc>
      </w:tr>
      <w:tr>
        <w:trPr>
          <w:trHeight w:val="135"/>
        </w:trPr>
        <w:tc>
          <w:tcPr>
            <w:tcW w:w="200" w:type="dxa"/>
            <w:vAlign w:val="bottom"/>
            <w:tcBorders>
              <w:left w:val="single" w:sz="8" w:color="F79646"/>
            </w:tcBorders>
            <w:shd w:val="clear" w:color="auto" w:fill="F79646"/>
          </w:tcPr>
          <w:p>
            <w:pPr>
              <w:spacing w:after="0"/>
              <w:rPr>
                <w:sz w:val="11"/>
                <w:szCs w:val="11"/>
                <w:color w:val="auto"/>
              </w:rPr>
            </w:pPr>
          </w:p>
        </w:tc>
        <w:tc>
          <w:tcPr>
            <w:tcW w:w="1360" w:type="dxa"/>
            <w:vAlign w:val="bottom"/>
            <w:gridSpan w:val="2"/>
            <w:shd w:val="clear" w:color="auto" w:fill="F79646"/>
          </w:tcPr>
          <w:p>
            <w:pPr>
              <w:ind w:left="300"/>
              <w:spacing w:after="0"/>
              <w:rPr>
                <w:sz w:val="20"/>
                <w:szCs w:val="20"/>
                <w:color w:val="auto"/>
              </w:rPr>
            </w:pPr>
            <w:r>
              <w:rPr>
                <w:rFonts w:ascii="Arial" w:cs="Arial" w:eastAsia="Arial" w:hAnsi="Arial"/>
                <w:sz w:val="10"/>
                <w:szCs w:val="10"/>
                <w:b w:val="1"/>
                <w:bCs w:val="1"/>
                <w:color w:val="FFFFFE"/>
              </w:rPr>
              <w:t>Payments upon</w:t>
            </w:r>
          </w:p>
        </w:tc>
        <w:tc>
          <w:tcPr>
            <w:tcW w:w="120" w:type="dxa"/>
            <w:vAlign w:val="bottom"/>
            <w:shd w:val="clear" w:color="auto" w:fill="F79646"/>
          </w:tcPr>
          <w:p>
            <w:pPr>
              <w:spacing w:after="0"/>
              <w:rPr>
                <w:sz w:val="11"/>
                <w:szCs w:val="11"/>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6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50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Disability</w:t>
            </w:r>
          </w:p>
        </w:tc>
        <w:tc>
          <w:tcPr>
            <w:tcW w:w="120" w:type="dxa"/>
            <w:vAlign w:val="bottom"/>
            <w:shd w:val="clear" w:color="auto" w:fill="F79646"/>
          </w:tcPr>
          <w:p>
            <w:pPr>
              <w:spacing w:after="0"/>
              <w:rPr>
                <w:sz w:val="11"/>
                <w:szCs w:val="11"/>
                <w:color w:val="auto"/>
              </w:rPr>
            </w:pPr>
          </w:p>
        </w:tc>
        <w:tc>
          <w:tcPr>
            <w:tcW w:w="740" w:type="dxa"/>
            <w:vAlign w:val="bottom"/>
            <w:gridSpan w:val="2"/>
            <w:shd w:val="clear" w:color="auto" w:fill="F79646"/>
          </w:tcPr>
          <w:p>
            <w:pPr>
              <w:jc w:val="center"/>
              <w:ind w:right="100"/>
              <w:spacing w:after="0"/>
              <w:rPr>
                <w:sz w:val="20"/>
                <w:szCs w:val="20"/>
                <w:color w:val="auto"/>
              </w:rPr>
            </w:pPr>
            <w:r>
              <w:rPr>
                <w:rFonts w:ascii="Arial" w:cs="Arial" w:eastAsia="Arial" w:hAnsi="Arial"/>
                <w:sz w:val="10"/>
                <w:szCs w:val="10"/>
                <w:b w:val="1"/>
                <w:bCs w:val="1"/>
                <w:color w:val="FFFFFE"/>
              </w:rPr>
              <w:t>Cause</w:t>
            </w:r>
          </w:p>
        </w:tc>
        <w:tc>
          <w:tcPr>
            <w:tcW w:w="600" w:type="dxa"/>
            <w:vAlign w:val="bottom"/>
            <w:shd w:val="clear" w:color="auto" w:fill="F79646"/>
          </w:tcPr>
          <w:p>
            <w:pPr>
              <w:jc w:val="right"/>
              <w:ind w:right="49"/>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17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Change in Control</w:t>
            </w:r>
          </w:p>
        </w:tc>
        <w:tc>
          <w:tcPr>
            <w:tcW w:w="0" w:type="dxa"/>
            <w:vAlign w:val="bottom"/>
          </w:tcPr>
          <w:p>
            <w:pPr>
              <w:spacing w:after="0"/>
              <w:rPr>
                <w:sz w:val="1"/>
                <w:szCs w:val="1"/>
                <w:color w:val="auto"/>
              </w:rPr>
            </w:pPr>
          </w:p>
        </w:tc>
      </w:tr>
      <w:tr>
        <w:trPr>
          <w:trHeight w:val="158"/>
        </w:trPr>
        <w:tc>
          <w:tcPr>
            <w:tcW w:w="200" w:type="dxa"/>
            <w:vAlign w:val="bottom"/>
            <w:tcBorders>
              <w:left w:val="single" w:sz="8" w:color="F79646"/>
              <w:bottom w:val="single" w:sz="8" w:color="F79646"/>
            </w:tcBorders>
            <w:shd w:val="clear" w:color="auto" w:fill="F79646"/>
          </w:tcPr>
          <w:p>
            <w:pPr>
              <w:spacing w:after="0"/>
              <w:rPr>
                <w:sz w:val="13"/>
                <w:szCs w:val="13"/>
                <w:color w:val="auto"/>
              </w:rPr>
            </w:pPr>
          </w:p>
        </w:tc>
        <w:tc>
          <w:tcPr>
            <w:tcW w:w="1360" w:type="dxa"/>
            <w:vAlign w:val="bottom"/>
            <w:tcBorders>
              <w:bottom w:val="single" w:sz="8" w:color="auto"/>
            </w:tcBorders>
            <w:gridSpan w:val="2"/>
            <w:shd w:val="clear" w:color="auto" w:fill="F79646"/>
          </w:tcPr>
          <w:p>
            <w:pPr>
              <w:ind w:left="420"/>
              <w:spacing w:after="0"/>
              <w:rPr>
                <w:sz w:val="20"/>
                <w:szCs w:val="20"/>
                <w:color w:val="auto"/>
              </w:rPr>
            </w:pPr>
            <w:r>
              <w:rPr>
                <w:rFonts w:ascii="Arial" w:cs="Arial" w:eastAsia="Arial" w:hAnsi="Arial"/>
                <w:sz w:val="10"/>
                <w:szCs w:val="10"/>
                <w:b w:val="1"/>
                <w:bCs w:val="1"/>
                <w:color w:val="FFFFFE"/>
              </w:rPr>
              <w:t>Termination</w:t>
            </w:r>
          </w:p>
        </w:tc>
        <w:tc>
          <w:tcPr>
            <w:tcW w:w="120" w:type="dxa"/>
            <w:vAlign w:val="bottom"/>
            <w:tcBorders>
              <w:bottom w:val="single" w:sz="8" w:color="F79646"/>
            </w:tcBorders>
            <w:shd w:val="clear" w:color="auto" w:fill="F79646"/>
          </w:tcPr>
          <w:p>
            <w:pPr>
              <w:spacing w:after="0"/>
              <w:rPr>
                <w:sz w:val="13"/>
                <w:szCs w:val="13"/>
                <w:color w:val="auto"/>
              </w:rPr>
            </w:pPr>
          </w:p>
        </w:tc>
        <w:tc>
          <w:tcPr>
            <w:tcW w:w="660" w:type="dxa"/>
            <w:vAlign w:val="bottom"/>
            <w:tcBorders>
              <w:bottom w:val="single" w:sz="8" w:color="auto"/>
            </w:tcBorders>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640" w:type="dxa"/>
            <w:vAlign w:val="bottom"/>
            <w:tcBorders>
              <w:bottom w:val="single" w:sz="8" w:color="auto"/>
            </w:tcBorders>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0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640" w:type="dxa"/>
            <w:vAlign w:val="bottom"/>
            <w:tcBorders>
              <w:bottom w:val="single" w:sz="8" w:color="auto"/>
            </w:tcBorders>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3"/>
                <w:szCs w:val="13"/>
                <w:color w:val="auto"/>
              </w:rPr>
            </w:pPr>
          </w:p>
        </w:tc>
        <w:tc>
          <w:tcPr>
            <w:tcW w:w="60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1500" w:type="dxa"/>
            <w:vAlign w:val="bottom"/>
            <w:tcBorders>
              <w:bottom w:val="single" w:sz="8" w:color="auto"/>
            </w:tcBorders>
            <w:shd w:val="clear" w:color="auto" w:fill="F79646"/>
          </w:tcPr>
          <w:p>
            <w:pPr>
              <w:jc w:val="right"/>
              <w:ind w:right="669"/>
              <w:spacing w:after="0"/>
              <w:rPr>
                <w:sz w:val="20"/>
                <w:szCs w:val="20"/>
                <w:color w:val="auto"/>
              </w:rPr>
            </w:pPr>
            <w:r>
              <w:rPr>
                <w:rFonts w:ascii="Arial" w:cs="Arial" w:eastAsia="Arial" w:hAnsi="Arial"/>
                <w:sz w:val="10"/>
                <w:szCs w:val="10"/>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560" w:type="dxa"/>
            <w:vAlign w:val="bottom"/>
            <w:tcBorders>
              <w:left w:val="single" w:sz="8" w:color="F79646"/>
            </w:tcBorders>
            <w:gridSpan w:val="3"/>
            <w:shd w:val="clear" w:color="auto" w:fill="FCDEC5"/>
          </w:tcPr>
          <w:p>
            <w:pPr>
              <w:ind w:left="200"/>
              <w:spacing w:after="0" w:line="110" w:lineRule="exact"/>
              <w:rPr>
                <w:sz w:val="20"/>
                <w:szCs w:val="20"/>
                <w:color w:val="auto"/>
              </w:rPr>
            </w:pPr>
            <w:r>
              <w:rPr>
                <w:rFonts w:ascii="Arial" w:cs="Arial" w:eastAsia="Arial" w:hAnsi="Arial"/>
                <w:sz w:val="10"/>
                <w:szCs w:val="10"/>
                <w:color w:val="auto"/>
              </w:rPr>
              <w:t>Base salary payout</w:t>
            </w:r>
          </w:p>
        </w:tc>
        <w:tc>
          <w:tcPr>
            <w:tcW w:w="120" w:type="dxa"/>
            <w:vAlign w:val="bottom"/>
            <w:shd w:val="clear" w:color="auto" w:fill="FCDEC5"/>
          </w:tcPr>
          <w:p>
            <w:pPr>
              <w:spacing w:after="0"/>
              <w:rPr>
                <w:sz w:val="9"/>
                <w:szCs w:val="9"/>
                <w:color w:val="auto"/>
              </w:rPr>
            </w:pPr>
          </w:p>
        </w:tc>
        <w:tc>
          <w:tcPr>
            <w:tcW w:w="6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64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50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1,440,000</w:t>
            </w:r>
          </w:p>
        </w:tc>
        <w:tc>
          <w:tcPr>
            <w:tcW w:w="100" w:type="dxa"/>
            <w:vAlign w:val="bottom"/>
            <w:shd w:val="clear" w:color="auto" w:fill="FCDEC5"/>
          </w:tcPr>
          <w:p>
            <w:pPr>
              <w:spacing w:after="0"/>
              <w:rPr>
                <w:sz w:val="9"/>
                <w:szCs w:val="9"/>
                <w:color w:val="auto"/>
              </w:rPr>
            </w:pPr>
          </w:p>
        </w:tc>
        <w:tc>
          <w:tcPr>
            <w:tcW w:w="60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62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1,440,000</w:t>
            </w:r>
          </w:p>
        </w:tc>
        <w:tc>
          <w:tcPr>
            <w:tcW w:w="200" w:type="dxa"/>
            <w:vAlign w:val="bottom"/>
            <w:tcBorders>
              <w:right w:val="single" w:sz="8" w:color="F79646"/>
            </w:tcBorders>
            <w:shd w:val="clear" w:color="auto" w:fill="FCDEC5"/>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60" w:type="dxa"/>
            <w:vAlign w:val="bottom"/>
            <w:tcBorders>
              <w:left w:val="single" w:sz="8" w:color="F79646"/>
            </w:tcBorders>
            <w:gridSpan w:val="3"/>
          </w:tcPr>
          <w:p>
            <w:pPr>
              <w:ind w:left="200"/>
              <w:spacing w:after="0"/>
              <w:rPr>
                <w:sz w:val="20"/>
                <w:szCs w:val="20"/>
                <w:color w:val="auto"/>
              </w:rPr>
            </w:pPr>
            <w:r>
              <w:rPr>
                <w:rFonts w:ascii="Arial" w:cs="Arial" w:eastAsia="Arial" w:hAnsi="Arial"/>
                <w:sz w:val="10"/>
                <w:szCs w:val="10"/>
                <w:color w:val="auto"/>
              </w:rPr>
              <w:t>Bonus payout</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532,748</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532,748</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532,748</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532,748</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620" w:type="dxa"/>
            <w:vAlign w:val="bottom"/>
            <w:gridSpan w:val="2"/>
          </w:tcPr>
          <w:p>
            <w:pPr>
              <w:jc w:val="right"/>
              <w:spacing w:after="0"/>
              <w:rPr>
                <w:sz w:val="20"/>
                <w:szCs w:val="20"/>
                <w:color w:val="auto"/>
              </w:rPr>
            </w:pPr>
            <w:r>
              <w:rPr>
                <w:rFonts w:ascii="Arial" w:cs="Arial" w:eastAsia="Arial" w:hAnsi="Arial"/>
                <w:sz w:val="10"/>
                <w:szCs w:val="10"/>
                <w:color w:val="auto"/>
              </w:rPr>
              <w:t>532,748</w:t>
            </w:r>
          </w:p>
        </w:tc>
        <w:tc>
          <w:tcPr>
            <w:tcW w:w="20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60" w:type="dxa"/>
            <w:vAlign w:val="bottom"/>
            <w:tcBorders>
              <w:left w:val="single" w:sz="8" w:color="F79646"/>
            </w:tcBorders>
            <w:gridSpan w:val="3"/>
            <w:shd w:val="clear" w:color="auto" w:fill="FCDEC5"/>
          </w:tcPr>
          <w:p>
            <w:pPr>
              <w:ind w:left="200"/>
              <w:spacing w:after="0"/>
              <w:rPr>
                <w:sz w:val="20"/>
                <w:szCs w:val="20"/>
                <w:color w:val="auto"/>
              </w:rPr>
            </w:pPr>
            <w:r>
              <w:rPr>
                <w:rFonts w:ascii="Arial" w:cs="Arial" w:eastAsia="Arial" w:hAnsi="Arial"/>
                <w:sz w:val="10"/>
                <w:szCs w:val="10"/>
                <w:color w:val="auto"/>
              </w:rPr>
              <w:t>Life insurance</w:t>
            </w:r>
          </w:p>
        </w:tc>
        <w:tc>
          <w:tcPr>
            <w:tcW w:w="120" w:type="dxa"/>
            <w:vAlign w:val="bottom"/>
            <w:shd w:val="clear" w:color="auto" w:fill="FCDEC5"/>
          </w:tcPr>
          <w:p>
            <w:pPr>
              <w:spacing w:after="0"/>
              <w:rPr>
                <w:sz w:val="10"/>
                <w:szCs w:val="10"/>
                <w:color w:val="auto"/>
              </w:rPr>
            </w:pPr>
          </w:p>
        </w:tc>
        <w:tc>
          <w:tcPr>
            <w:tcW w:w="660" w:type="dxa"/>
            <w:vAlign w:val="bottom"/>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10"/>
                <w:szCs w:val="10"/>
                <w:color w:val="auto"/>
              </w:rPr>
            </w:pPr>
          </w:p>
        </w:tc>
        <w:tc>
          <w:tcPr>
            <w:tcW w:w="640" w:type="dxa"/>
            <w:vAlign w:val="bottom"/>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10"/>
                <w:szCs w:val="10"/>
                <w:color w:val="auto"/>
              </w:rPr>
            </w:pPr>
          </w:p>
        </w:tc>
        <w:tc>
          <w:tcPr>
            <w:tcW w:w="500" w:type="dxa"/>
            <w:vAlign w:val="bottom"/>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2,448</w:t>
            </w:r>
          </w:p>
        </w:tc>
        <w:tc>
          <w:tcPr>
            <w:tcW w:w="100" w:type="dxa"/>
            <w:vAlign w:val="bottom"/>
            <w:shd w:val="clear" w:color="auto" w:fill="FCDEC5"/>
          </w:tcPr>
          <w:p>
            <w:pPr>
              <w:spacing w:after="0"/>
              <w:rPr>
                <w:sz w:val="10"/>
                <w:szCs w:val="10"/>
                <w:color w:val="auto"/>
              </w:rPr>
            </w:pPr>
          </w:p>
        </w:tc>
        <w:tc>
          <w:tcPr>
            <w:tcW w:w="600" w:type="dxa"/>
            <w:vAlign w:val="bottom"/>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162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2,448</w:t>
            </w:r>
          </w:p>
        </w:tc>
        <w:tc>
          <w:tcPr>
            <w:tcW w:w="200" w:type="dxa"/>
            <w:vAlign w:val="bottom"/>
            <w:tcBorders>
              <w:right w:val="single" w:sz="8" w:color="F79646"/>
            </w:tcBorders>
            <w:shd w:val="clear" w:color="auto" w:fill="FCDEC5"/>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60" w:type="dxa"/>
            <w:vAlign w:val="bottom"/>
            <w:tcBorders>
              <w:left w:val="single" w:sz="8" w:color="F79646"/>
            </w:tcBorders>
            <w:gridSpan w:val="3"/>
          </w:tcPr>
          <w:p>
            <w:pPr>
              <w:ind w:left="200"/>
              <w:spacing w:after="0"/>
              <w:rPr>
                <w:sz w:val="20"/>
                <w:szCs w:val="20"/>
                <w:color w:val="auto"/>
              </w:rPr>
            </w:pPr>
            <w:r>
              <w:rPr>
                <w:rFonts w:ascii="Arial" w:cs="Arial" w:eastAsia="Arial" w:hAnsi="Arial"/>
                <w:sz w:val="10"/>
                <w:szCs w:val="10"/>
                <w:color w:val="auto"/>
              </w:rPr>
              <w:t>Health insurance</w:t>
            </w: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spacing w:after="0"/>
              <w:rPr>
                <w:sz w:val="20"/>
                <w:szCs w:val="20"/>
                <w:color w:val="auto"/>
              </w:rPr>
            </w:pPr>
            <w:r>
              <w:rPr>
                <w:rFonts w:ascii="Arial" w:cs="Arial" w:eastAsia="Arial" w:hAnsi="Arial"/>
                <w:sz w:val="10"/>
                <w:szCs w:val="10"/>
                <w:color w:val="auto"/>
              </w:rPr>
              <w:t>35,486</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620" w:type="dxa"/>
            <w:vAlign w:val="bottom"/>
            <w:gridSpan w:val="2"/>
          </w:tcPr>
          <w:p>
            <w:pPr>
              <w:jc w:val="right"/>
              <w:spacing w:after="0"/>
              <w:rPr>
                <w:sz w:val="20"/>
                <w:szCs w:val="20"/>
                <w:color w:val="auto"/>
              </w:rPr>
            </w:pPr>
            <w:r>
              <w:rPr>
                <w:rFonts w:ascii="Arial" w:cs="Arial" w:eastAsia="Arial" w:hAnsi="Arial"/>
                <w:sz w:val="10"/>
                <w:szCs w:val="10"/>
                <w:color w:val="auto"/>
              </w:rPr>
              <w:t>35,486</w:t>
            </w:r>
          </w:p>
        </w:tc>
        <w:tc>
          <w:tcPr>
            <w:tcW w:w="20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560" w:type="dxa"/>
            <w:vAlign w:val="bottom"/>
            <w:tcBorders>
              <w:left w:val="single" w:sz="8" w:color="F79646"/>
            </w:tcBorders>
            <w:gridSpan w:val="3"/>
            <w:shd w:val="clear" w:color="auto" w:fill="FCDEC5"/>
          </w:tcPr>
          <w:p>
            <w:pPr>
              <w:ind w:left="200"/>
              <w:spacing w:after="0"/>
              <w:rPr>
                <w:sz w:val="20"/>
                <w:szCs w:val="20"/>
                <w:color w:val="auto"/>
              </w:rPr>
            </w:pPr>
            <w:r>
              <w:rPr>
                <w:rFonts w:ascii="Arial" w:cs="Arial" w:eastAsia="Arial" w:hAnsi="Arial"/>
                <w:sz w:val="10"/>
                <w:szCs w:val="10"/>
                <w:color w:val="auto"/>
              </w:rPr>
              <w:t>Restricted stock units</w:t>
            </w:r>
          </w:p>
        </w:tc>
        <w:tc>
          <w:tcPr>
            <w:tcW w:w="78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4,317,300</w:t>
            </w:r>
          </w:p>
        </w:tc>
        <w:tc>
          <w:tcPr>
            <w:tcW w:w="7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4,317,300</w:t>
            </w:r>
          </w:p>
        </w:tc>
        <w:tc>
          <w:tcPr>
            <w:tcW w:w="120" w:type="dxa"/>
            <w:vAlign w:val="bottom"/>
            <w:shd w:val="clear" w:color="auto" w:fill="FCDEC5"/>
          </w:tcPr>
          <w:p>
            <w:pPr>
              <w:spacing w:after="0"/>
              <w:rPr>
                <w:sz w:val="10"/>
                <w:szCs w:val="10"/>
                <w:color w:val="auto"/>
              </w:rPr>
            </w:pPr>
          </w:p>
        </w:tc>
        <w:tc>
          <w:tcPr>
            <w:tcW w:w="500" w:type="dxa"/>
            <w:vAlign w:val="bottom"/>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3,108,369</w:t>
            </w:r>
          </w:p>
        </w:tc>
        <w:tc>
          <w:tcPr>
            <w:tcW w:w="100" w:type="dxa"/>
            <w:vAlign w:val="bottom"/>
            <w:shd w:val="clear" w:color="auto" w:fill="FCDEC5"/>
          </w:tcPr>
          <w:p>
            <w:pPr>
              <w:spacing w:after="0"/>
              <w:rPr>
                <w:sz w:val="10"/>
                <w:szCs w:val="10"/>
                <w:color w:val="auto"/>
              </w:rPr>
            </w:pPr>
          </w:p>
        </w:tc>
        <w:tc>
          <w:tcPr>
            <w:tcW w:w="600" w:type="dxa"/>
            <w:vAlign w:val="bottom"/>
            <w:shd w:val="clear" w:color="auto" w:fill="FCDEC5"/>
          </w:tcPr>
          <w:p>
            <w:pPr>
              <w:jc w:val="right"/>
              <w:spacing w:after="0"/>
              <w:rPr>
                <w:sz w:val="20"/>
                <w:szCs w:val="20"/>
                <w:color w:val="auto"/>
              </w:rPr>
            </w:pPr>
            <w:r>
              <w:rPr>
                <w:rFonts w:ascii="Arial" w:cs="Arial" w:eastAsia="Arial" w:hAnsi="Arial"/>
                <w:sz w:val="10"/>
                <w:szCs w:val="10"/>
                <w:color w:val="auto"/>
              </w:rPr>
              <w:t>1,800,841</w:t>
            </w:r>
          </w:p>
        </w:tc>
        <w:tc>
          <w:tcPr>
            <w:tcW w:w="1620" w:type="dxa"/>
            <w:vAlign w:val="bottom"/>
            <w:gridSpan w:val="2"/>
            <w:shd w:val="clear" w:color="auto" w:fill="FCDEC5"/>
          </w:tcPr>
          <w:p>
            <w:pPr>
              <w:jc w:val="right"/>
              <w:spacing w:after="0"/>
              <w:rPr>
                <w:sz w:val="20"/>
                <w:szCs w:val="20"/>
                <w:color w:val="auto"/>
              </w:rPr>
            </w:pPr>
            <w:r>
              <w:rPr>
                <w:rFonts w:ascii="Arial" w:cs="Arial" w:eastAsia="Arial" w:hAnsi="Arial"/>
                <w:sz w:val="10"/>
                <w:szCs w:val="10"/>
                <w:color w:val="auto"/>
              </w:rPr>
              <w:t>4,317,300</w:t>
            </w:r>
          </w:p>
        </w:tc>
        <w:tc>
          <w:tcPr>
            <w:tcW w:w="200" w:type="dxa"/>
            <w:vAlign w:val="bottom"/>
            <w:tcBorders>
              <w:right w:val="single" w:sz="8" w:color="F79646"/>
            </w:tcBorders>
            <w:shd w:val="clear" w:color="auto" w:fill="FCDEC5"/>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60" w:type="dxa"/>
            <w:vAlign w:val="bottom"/>
            <w:tcBorders>
              <w:left w:val="single" w:sz="8" w:color="F79646"/>
            </w:tcBorders>
            <w:gridSpan w:val="3"/>
          </w:tcPr>
          <w:p>
            <w:pPr>
              <w:ind w:left="200"/>
              <w:spacing w:after="0"/>
              <w:rPr>
                <w:sz w:val="20"/>
                <w:szCs w:val="20"/>
                <w:color w:val="auto"/>
              </w:rPr>
            </w:pPr>
            <w:r>
              <w:rPr>
                <w:rFonts w:ascii="Arial" w:cs="Arial" w:eastAsia="Arial" w:hAnsi="Arial"/>
                <w:sz w:val="10"/>
                <w:szCs w:val="10"/>
                <w:color w:val="auto"/>
              </w:rPr>
              <w:t>Performance restricted stock</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3,256,862</w:t>
            </w:r>
            <w:r>
              <w:rPr>
                <w:rFonts w:ascii="Arial" w:cs="Arial" w:eastAsia="Arial" w:hAnsi="Arial"/>
                <w:sz w:val="15"/>
                <w:szCs w:val="15"/>
                <w:color w:val="auto"/>
                <w:vertAlign w:val="superscript"/>
              </w:rPr>
              <w:t>(1)</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Borders>
              <w:right w:val="single" w:sz="8" w:color="F79646"/>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0" w:type="dxa"/>
            <w:vAlign w:val="bottom"/>
            <w:tcBorders>
              <w:left w:val="single" w:sz="8" w:color="F79646"/>
              <w:bottom w:val="single" w:sz="8" w:color="F79646"/>
            </w:tcBorders>
          </w:tcPr>
          <w:p>
            <w:pPr>
              <w:spacing w:after="0"/>
              <w:rPr>
                <w:sz w:val="9"/>
                <w:szCs w:val="9"/>
                <w:color w:val="auto"/>
              </w:rPr>
            </w:pPr>
          </w:p>
        </w:tc>
        <w:tc>
          <w:tcPr>
            <w:tcW w:w="1360" w:type="dxa"/>
            <w:vAlign w:val="bottom"/>
            <w:tcBorders>
              <w:bottom w:val="single" w:sz="8" w:color="F79646"/>
            </w:tcBorders>
            <w:gridSpan w:val="2"/>
          </w:tcPr>
          <w:p>
            <w:pPr>
              <w:ind w:left="100"/>
              <w:spacing w:after="0" w:line="112" w:lineRule="exact"/>
              <w:rPr>
                <w:sz w:val="20"/>
                <w:szCs w:val="20"/>
                <w:color w:val="auto"/>
              </w:rPr>
            </w:pPr>
            <w:r>
              <w:rPr>
                <w:rFonts w:ascii="Arial" w:cs="Arial" w:eastAsia="Arial" w:hAnsi="Arial"/>
                <w:sz w:val="10"/>
                <w:szCs w:val="10"/>
                <w:color w:val="auto"/>
              </w:rPr>
              <w:t>units</w:t>
            </w:r>
          </w:p>
        </w:tc>
        <w:tc>
          <w:tcPr>
            <w:tcW w:w="780" w:type="dxa"/>
            <w:vAlign w:val="bottom"/>
            <w:tcBorders>
              <w:bottom w:val="single" w:sz="8" w:color="F79646"/>
            </w:tcBorders>
            <w:gridSpan w:val="2"/>
          </w:tcPr>
          <w:p>
            <w:pPr>
              <w:jc w:val="right"/>
              <w:spacing w:after="0" w:line="112" w:lineRule="exact"/>
              <w:rPr>
                <w:sz w:val="20"/>
                <w:szCs w:val="20"/>
                <w:color w:val="auto"/>
              </w:rPr>
            </w:pPr>
            <w:r>
              <w:rPr>
                <w:rFonts w:ascii="Arial" w:cs="Arial" w:eastAsia="Arial" w:hAnsi="Arial"/>
                <w:sz w:val="10"/>
                <w:szCs w:val="10"/>
                <w:color w:val="auto"/>
              </w:rPr>
              <w:t>1,644,957</w:t>
            </w:r>
          </w:p>
        </w:tc>
        <w:tc>
          <w:tcPr>
            <w:tcW w:w="760" w:type="dxa"/>
            <w:vAlign w:val="bottom"/>
            <w:tcBorders>
              <w:bottom w:val="single" w:sz="8" w:color="F79646"/>
            </w:tcBorders>
            <w:gridSpan w:val="2"/>
          </w:tcPr>
          <w:p>
            <w:pPr>
              <w:jc w:val="right"/>
              <w:spacing w:after="0" w:line="112" w:lineRule="exact"/>
              <w:rPr>
                <w:sz w:val="20"/>
                <w:szCs w:val="20"/>
                <w:color w:val="auto"/>
              </w:rPr>
            </w:pPr>
            <w:r>
              <w:rPr>
                <w:rFonts w:ascii="Arial" w:cs="Arial" w:eastAsia="Arial" w:hAnsi="Arial"/>
                <w:sz w:val="10"/>
                <w:szCs w:val="10"/>
                <w:color w:val="auto"/>
              </w:rPr>
              <w:t>3,077,881</w:t>
            </w:r>
          </w:p>
        </w:tc>
        <w:tc>
          <w:tcPr>
            <w:tcW w:w="120" w:type="dxa"/>
            <w:vAlign w:val="bottom"/>
            <w:tcBorders>
              <w:bottom w:val="single" w:sz="8" w:color="F79646"/>
            </w:tcBorders>
          </w:tcPr>
          <w:p>
            <w:pPr>
              <w:spacing w:after="0"/>
              <w:rPr>
                <w:sz w:val="9"/>
                <w:szCs w:val="9"/>
                <w:color w:val="auto"/>
              </w:rPr>
            </w:pPr>
          </w:p>
        </w:tc>
        <w:tc>
          <w:tcPr>
            <w:tcW w:w="500" w:type="dxa"/>
            <w:vAlign w:val="bottom"/>
            <w:tcBorders>
              <w:bottom w:val="single" w:sz="8" w:color="F79646"/>
            </w:tcBorders>
          </w:tcPr>
          <w:p>
            <w:pPr>
              <w:jc w:val="right"/>
              <w:spacing w:after="0" w:line="112"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F79646"/>
            </w:tcBorders>
            <w:gridSpan w:val="3"/>
            <w:vMerge w:val="continue"/>
          </w:tcPr>
          <w:p>
            <w:pPr>
              <w:spacing w:after="0"/>
              <w:rPr>
                <w:sz w:val="9"/>
                <w:szCs w:val="9"/>
                <w:color w:val="auto"/>
              </w:rPr>
            </w:pPr>
          </w:p>
        </w:tc>
        <w:tc>
          <w:tcPr>
            <w:tcW w:w="600" w:type="dxa"/>
            <w:vAlign w:val="bottom"/>
            <w:tcBorders>
              <w:bottom w:val="single" w:sz="8" w:color="F79646"/>
            </w:tcBorders>
          </w:tcPr>
          <w:p>
            <w:pPr>
              <w:jc w:val="right"/>
              <w:spacing w:after="0" w:line="112" w:lineRule="exact"/>
              <w:rPr>
                <w:sz w:val="20"/>
                <w:szCs w:val="20"/>
                <w:color w:val="auto"/>
              </w:rPr>
            </w:pPr>
            <w:r>
              <w:rPr>
                <w:rFonts w:ascii="Arial" w:cs="Arial" w:eastAsia="Arial" w:hAnsi="Arial"/>
                <w:sz w:val="10"/>
                <w:szCs w:val="10"/>
                <w:color w:val="auto"/>
              </w:rPr>
              <w:t>2,551,646</w:t>
            </w:r>
          </w:p>
        </w:tc>
        <w:tc>
          <w:tcPr>
            <w:tcW w:w="1620" w:type="dxa"/>
            <w:vAlign w:val="bottom"/>
            <w:tcBorders>
              <w:bottom w:val="single" w:sz="8" w:color="F79646"/>
            </w:tcBorders>
            <w:gridSpan w:val="2"/>
          </w:tcPr>
          <w:p>
            <w:pPr>
              <w:jc w:val="right"/>
              <w:spacing w:after="0" w:line="112" w:lineRule="exact"/>
              <w:rPr>
                <w:sz w:val="20"/>
                <w:szCs w:val="20"/>
                <w:color w:val="auto"/>
              </w:rPr>
            </w:pPr>
            <w:r>
              <w:rPr>
                <w:rFonts w:ascii="Arial" w:cs="Arial" w:eastAsia="Arial" w:hAnsi="Arial"/>
                <w:sz w:val="10"/>
                <w:szCs w:val="10"/>
                <w:color w:val="auto"/>
              </w:rPr>
              <w:t>3,077,881</w:t>
            </w:r>
          </w:p>
        </w:tc>
        <w:tc>
          <w:tcPr>
            <w:tcW w:w="200" w:type="dxa"/>
            <w:vAlign w:val="bottom"/>
            <w:tcBorders>
              <w:bottom w:val="single" w:sz="8" w:color="F79646"/>
              <w:right w:val="single" w:sz="8" w:color="F79646"/>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440" w:right="179" w:hanging="382"/>
        <w:spacing w:after="0" w:line="249" w:lineRule="auto"/>
        <w:tabs>
          <w:tab w:leader="none" w:pos="1440" w:val="left"/>
        </w:tabs>
        <w:numPr>
          <w:ilvl w:val="0"/>
          <w:numId w:val="86"/>
        </w:numPr>
        <w:rPr>
          <w:rFonts w:ascii="Arial" w:cs="Arial" w:eastAsia="Arial" w:hAnsi="Arial"/>
          <w:sz w:val="10"/>
          <w:szCs w:val="10"/>
          <w:color w:val="auto"/>
        </w:rPr>
      </w:pPr>
      <w:r>
        <w:rPr>
          <w:rFonts w:ascii="Arial" w:cs="Arial" w:eastAsia="Arial" w:hAnsi="Arial"/>
          <w:sz w:val="10"/>
          <w:szCs w:val="10"/>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Vishal Chhibbar</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Either Mr. Chhibbar or we may terminate Mr. Chhibbar's employment at any time (though we must give Mr. Chhibbar 30 days' notice if the termination is without "cause" and Mr. Chhibbar must give us 90 days' advance notice upon any resignation). If Mr. Chhibbar's employment with the Company is terminated by the Company without "cause" or by Mr. Chhibbar for "good reason," as summarized below, Mr. Chhibbar will receive a cash severance payment equal to 12 months base salary, with 25% payable as a lump sum payment and the remaining 75% payable in accordance with the Company's regular payroll practices.</w:t>
      </w:r>
    </w:p>
    <w:p>
      <w:pPr>
        <w:spacing w:after="0" w:line="150"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On a "change in control" (as defined in the 2006 Plan or 2015 Plan, as applicable) or on death, Mr. Chhibbar's outstanding equity awards will vest as described below:</w:t>
      </w:r>
    </w:p>
    <w:p>
      <w:pPr>
        <w:spacing w:after="0" w:line="136" w:lineRule="exact"/>
        <w:rPr>
          <w:sz w:val="20"/>
          <w:szCs w:val="20"/>
          <w:color w:val="auto"/>
        </w:rPr>
      </w:pPr>
    </w:p>
    <w:p>
      <w:pPr>
        <w:jc w:val="both"/>
        <w:ind w:left="960" w:right="179" w:hanging="381"/>
        <w:spacing w:after="0" w:line="237" w:lineRule="auto"/>
        <w:tabs>
          <w:tab w:leader="none" w:pos="960" w:val="left"/>
        </w:tabs>
        <w:numPr>
          <w:ilvl w:val="0"/>
          <w:numId w:val="87"/>
        </w:numPr>
        <w:rPr>
          <w:rFonts w:ascii="Arial" w:cs="Arial" w:eastAsia="Arial" w:hAnsi="Arial"/>
          <w:sz w:val="13"/>
          <w:szCs w:val="13"/>
          <w:color w:val="F79646"/>
        </w:rPr>
      </w:pPr>
      <w:r>
        <w:rPr>
          <w:rFonts w:ascii="Arial" w:cs="Arial" w:eastAsia="Arial" w:hAnsi="Arial"/>
          <w:sz w:val="13"/>
          <w:szCs w:val="13"/>
          <w:b w:val="1"/>
          <w:bCs w:val="1"/>
          <w:i w:val="1"/>
          <w:iCs w:val="1"/>
          <w:color w:val="auto"/>
        </w:rPr>
        <w:t xml:space="preserve">Time-Vested RSUs: </w:t>
      </w:r>
      <w:r>
        <w:rPr>
          <w:rFonts w:ascii="Arial" w:cs="Arial" w:eastAsia="Arial" w:hAnsi="Arial"/>
          <w:sz w:val="13"/>
          <w:szCs w:val="13"/>
          <w:color w:val="auto"/>
        </w:rPr>
        <w:t>If a change in control occurs prior to the end of the four-year vesting period, Mr. Chhibbar's Time-Vested RSUs will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advanced by one year. In addition, all of Mr. Chhibbar's outstanding Time-Vested RSUs will become fully vested if, following or in specific contemplation of a change in control, he is terminated without cause or, following a change in control, he terminates his employment for good reason. If Mr. Chhibbar dies before the end of the four-year vesting period, all of Mr. Chhibbar's outstanding Time-Vested RSUs will become fully vested.</w:t>
      </w:r>
    </w:p>
    <w:p>
      <w:pPr>
        <w:spacing w:after="0" w:line="137" w:lineRule="exact"/>
        <w:rPr>
          <w:rFonts w:ascii="Arial" w:cs="Arial" w:eastAsia="Arial" w:hAnsi="Arial"/>
          <w:sz w:val="13"/>
          <w:szCs w:val="13"/>
          <w:color w:val="F79646"/>
        </w:rPr>
      </w:pPr>
    </w:p>
    <w:p>
      <w:pPr>
        <w:jc w:val="both"/>
        <w:ind w:left="960" w:right="179" w:hanging="381"/>
        <w:spacing w:after="0" w:line="242" w:lineRule="auto"/>
        <w:tabs>
          <w:tab w:leader="none" w:pos="960" w:val="left"/>
        </w:tabs>
        <w:numPr>
          <w:ilvl w:val="0"/>
          <w:numId w:val="87"/>
        </w:numPr>
        <w:rPr>
          <w:rFonts w:ascii="Arial" w:cs="Arial" w:eastAsia="Arial" w:hAnsi="Arial"/>
          <w:sz w:val="13"/>
          <w:szCs w:val="13"/>
          <w:color w:val="F79646"/>
        </w:rPr>
      </w:pPr>
      <w:r>
        <w:rPr>
          <w:rFonts w:ascii="Arial" w:cs="Arial" w:eastAsia="Arial" w:hAnsi="Arial"/>
          <w:sz w:val="13"/>
          <w:szCs w:val="13"/>
          <w:b w:val="1"/>
          <w:bCs w:val="1"/>
          <w:i w:val="1"/>
          <w:iCs w:val="1"/>
          <w:color w:val="auto"/>
        </w:rPr>
        <w:t xml:space="preserve">Revenue-Linked PRSUs: </w:t>
      </w:r>
      <w:r>
        <w:rPr>
          <w:rFonts w:ascii="Arial" w:cs="Arial" w:eastAsia="Arial" w:hAnsi="Arial"/>
          <w:sz w:val="13"/>
          <w:szCs w:val="13"/>
          <w:color w:val="auto"/>
        </w:rPr>
        <w:t>If a change in control occurs prior to the end of the performance period, 100% of Mr. Chhibbar's Revenue-Linked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PRSUs will be deemed earned, will be subject to a new three year installment vesting schedule and will be advanced by one year under such schedule. In addition, all of Mr. Chhibbar's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960" w:right="179"/>
        <w:spacing w:after="0" w:line="233" w:lineRule="auto"/>
        <w:rPr>
          <w:sz w:val="20"/>
          <w:szCs w:val="20"/>
          <w:color w:val="auto"/>
        </w:rPr>
      </w:pPr>
      <w:r>
        <w:rPr>
          <w:rFonts w:ascii="Arial" w:cs="Arial" w:eastAsia="Arial" w:hAnsi="Arial"/>
          <w:sz w:val="13"/>
          <w:szCs w:val="13"/>
          <w:color w:val="auto"/>
        </w:rPr>
        <w:t>outstanding Revenue-Linked PRSUs will become fully vested if, following or in specific contemplation of a change in control, he is terminated without cause or, following a change in control, he (i) terminates his employment for good reason or, (ii) dies. If Mr. Chhibbar dies prior to the end of the performance period and no change in control has occurred, Mr. Chhibbar will become vested in a portion of the outstanding Revenue-Linked PRSUs equal to (x) the number of completed full months during the 3 year performance period up to the date of Mr. Chhibbar's death divided by (y) 36 multiplied by (z) 100% of Mr. Chhibbar's Revenue-Linked PRSUs.</w:t>
      </w:r>
    </w:p>
    <w:p>
      <w:pPr>
        <w:spacing w:after="0" w:line="136" w:lineRule="exact"/>
        <w:rPr>
          <w:sz w:val="20"/>
          <w:szCs w:val="20"/>
          <w:color w:val="auto"/>
        </w:rPr>
      </w:pPr>
    </w:p>
    <w:p>
      <w:pPr>
        <w:jc w:val="both"/>
        <w:ind w:left="960" w:right="179" w:hanging="381"/>
        <w:spacing w:after="0" w:line="234" w:lineRule="auto"/>
        <w:tabs>
          <w:tab w:leader="none" w:pos="960" w:val="left"/>
        </w:tabs>
        <w:numPr>
          <w:ilvl w:val="0"/>
          <w:numId w:val="88"/>
        </w:numPr>
        <w:rPr>
          <w:rFonts w:ascii="Arial" w:cs="Arial" w:eastAsia="Arial" w:hAnsi="Arial"/>
          <w:sz w:val="13"/>
          <w:szCs w:val="13"/>
          <w:color w:val="F79646"/>
        </w:rPr>
      </w:pPr>
      <w:r>
        <w:rPr>
          <w:rFonts w:ascii="Arial" w:cs="Arial" w:eastAsia="Arial" w:hAnsi="Arial"/>
          <w:sz w:val="13"/>
          <w:szCs w:val="13"/>
          <w:b w:val="1"/>
          <w:bCs w:val="1"/>
          <w:i w:val="1"/>
          <w:iCs w:val="1"/>
          <w:color w:val="auto"/>
        </w:rPr>
        <w:t xml:space="preserve">Relative TSR-Linked PRSUs: </w:t>
      </w:r>
      <w:r>
        <w:rPr>
          <w:rFonts w:ascii="Arial" w:cs="Arial" w:eastAsia="Arial" w:hAnsi="Arial"/>
          <w:sz w:val="13"/>
          <w:szCs w:val="13"/>
          <w:color w:val="auto"/>
        </w:rPr>
        <w:t>If a change in control occurs on or prior to the first anniversary of the grant date, 100% of Mr. Chhibbar's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(i) voluntarily terminates his employment for good reason or, (ii) dies. If Mr. Chhibbar dies prior to the end of the performance period and no change in control has occurred, Mr. Chhibbar will become vested in a portion of the outstanding Relative TSR-Linked PRSUs equal to (x) the number of completed full months during the 3 year performance period up to the date of Mr. Chhibbar's death divided by (y) 36 multiplied by (z) 100% of Mr. Chhibbar's Relative TSR-Linked PRSUs.</w:t>
      </w:r>
    </w:p>
    <w:p>
      <w:pPr>
        <w:spacing w:after="0" w:line="153"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Indicative Payouts of Vishal Chhibbar</w:t>
      </w:r>
    </w:p>
    <w:p>
      <w:pPr>
        <w:spacing w:after="0" w:line="161" w:lineRule="exact"/>
        <w:rPr>
          <w:sz w:val="20"/>
          <w:szCs w:val="20"/>
          <w:color w:val="auto"/>
        </w:rPr>
      </w:pPr>
    </w:p>
    <w:tbl>
      <w:tblPr>
        <w:tblLayout w:type="fixed"/>
        <w:tblInd w:w="1070" w:type="dxa"/>
        <w:tblCellMar>
          <w:top w:w="0" w:type="dxa"/>
          <w:left w:w="0" w:type="dxa"/>
          <w:bottom w:w="0" w:type="dxa"/>
          <w:right w:w="0" w:type="dxa"/>
        </w:tblCellMar>
      </w:tblPr>
      <w:tr>
        <w:trPr>
          <w:trHeight w:val="165"/>
        </w:trPr>
        <w:tc>
          <w:tcPr>
            <w:tcW w:w="200" w:type="dxa"/>
            <w:vAlign w:val="bottom"/>
            <w:tcBorders>
              <w:left w:val="single" w:sz="8" w:color="F79646"/>
            </w:tcBorders>
            <w:shd w:val="clear" w:color="auto" w:fill="F79646"/>
          </w:tcPr>
          <w:p>
            <w:pPr>
              <w:spacing w:after="0"/>
              <w:rPr>
                <w:sz w:val="14"/>
                <w:szCs w:val="14"/>
                <w:color w:val="auto"/>
              </w:rPr>
            </w:pPr>
          </w:p>
        </w:tc>
        <w:tc>
          <w:tcPr>
            <w:tcW w:w="14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w:t>
            </w:r>
          </w:p>
        </w:tc>
        <w:tc>
          <w:tcPr>
            <w:tcW w:w="120" w:type="dxa"/>
            <w:vAlign w:val="bottom"/>
            <w:shd w:val="clear" w:color="auto" w:fill="F79646"/>
          </w:tcPr>
          <w:p>
            <w:pPr>
              <w:spacing w:after="0"/>
              <w:rPr>
                <w:sz w:val="14"/>
                <w:szCs w:val="14"/>
                <w:color w:val="auto"/>
              </w:rPr>
            </w:pP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w:t>
            </w:r>
          </w:p>
        </w:tc>
        <w:tc>
          <w:tcPr>
            <w:tcW w:w="100" w:type="dxa"/>
            <w:vAlign w:val="bottom"/>
            <w:shd w:val="clear" w:color="auto" w:fill="F79646"/>
          </w:tcPr>
          <w:p>
            <w:pPr>
              <w:spacing w:after="0"/>
              <w:rPr>
                <w:sz w:val="14"/>
                <w:szCs w:val="14"/>
                <w:color w:val="auto"/>
              </w:rPr>
            </w:pPr>
          </w:p>
        </w:tc>
        <w:tc>
          <w:tcPr>
            <w:tcW w:w="9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60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22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or for Good</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Prior to a</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After a</w:t>
            </w:r>
          </w:p>
        </w:tc>
        <w:tc>
          <w:tcPr>
            <w:tcW w:w="100" w:type="dxa"/>
            <w:vAlign w:val="bottom"/>
            <w:shd w:val="clear" w:color="auto" w:fill="F79646"/>
          </w:tcPr>
          <w:p>
            <w:pPr>
              <w:spacing w:after="0"/>
              <w:rPr>
                <w:sz w:val="10"/>
                <w:szCs w:val="10"/>
                <w:color w:val="auto"/>
              </w:rPr>
            </w:pPr>
          </w:p>
        </w:tc>
        <w:tc>
          <w:tcPr>
            <w:tcW w:w="9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Termination for</w:t>
            </w: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2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Reason Following Change in Control or</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Change</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8"/>
              </w:rPr>
              <w:t>Change</w:t>
            </w:r>
          </w:p>
        </w:tc>
        <w:tc>
          <w:tcPr>
            <w:tcW w:w="100" w:type="dxa"/>
            <w:vAlign w:val="bottom"/>
            <w:shd w:val="clear" w:color="auto" w:fill="F79646"/>
          </w:tcPr>
          <w:p>
            <w:pPr>
              <w:spacing w:after="0"/>
              <w:rPr>
                <w:sz w:val="10"/>
                <w:szCs w:val="10"/>
                <w:color w:val="auto"/>
              </w:rPr>
            </w:pPr>
          </w:p>
        </w:tc>
        <w:tc>
          <w:tcPr>
            <w:tcW w:w="9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Good Reason or</w:t>
            </w: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22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in Specific</w:t>
            </w:r>
          </w:p>
        </w:tc>
      </w:tr>
      <w:tr>
        <w:trPr>
          <w:trHeight w:val="135"/>
        </w:trPr>
        <w:tc>
          <w:tcPr>
            <w:tcW w:w="200" w:type="dxa"/>
            <w:vAlign w:val="bottom"/>
            <w:tcBorders>
              <w:left w:val="single" w:sz="8" w:color="F79646"/>
            </w:tcBorders>
            <w:shd w:val="clear" w:color="auto" w:fill="F79646"/>
          </w:tcPr>
          <w:p>
            <w:pPr>
              <w:spacing w:after="0"/>
              <w:rPr>
                <w:sz w:val="11"/>
                <w:szCs w:val="11"/>
                <w:color w:val="auto"/>
              </w:rPr>
            </w:pPr>
          </w:p>
        </w:tc>
        <w:tc>
          <w:tcPr>
            <w:tcW w:w="1440" w:type="dxa"/>
            <w:vAlign w:val="bottom"/>
            <w:shd w:val="clear" w:color="auto" w:fill="F79646"/>
          </w:tcPr>
          <w:p>
            <w:pPr>
              <w:ind w:left="340"/>
              <w:spacing w:after="0"/>
              <w:rPr>
                <w:sz w:val="20"/>
                <w:szCs w:val="20"/>
                <w:color w:val="auto"/>
              </w:rPr>
            </w:pPr>
            <w:r>
              <w:rPr>
                <w:rFonts w:ascii="Arial" w:cs="Arial" w:eastAsia="Arial" w:hAnsi="Arial"/>
                <w:sz w:val="10"/>
                <w:szCs w:val="10"/>
                <w:b w:val="1"/>
                <w:bCs w:val="1"/>
                <w:color w:val="FFFFFE"/>
              </w:rPr>
              <w:t>Payments upon</w:t>
            </w:r>
          </w:p>
        </w:tc>
        <w:tc>
          <w:tcPr>
            <w:tcW w:w="120" w:type="dxa"/>
            <w:vAlign w:val="bottom"/>
            <w:shd w:val="clear" w:color="auto" w:fill="F79646"/>
          </w:tcPr>
          <w:p>
            <w:pPr>
              <w:spacing w:after="0"/>
              <w:rPr>
                <w:sz w:val="11"/>
                <w:szCs w:val="11"/>
                <w:color w:val="auto"/>
              </w:rPr>
            </w:pPr>
          </w:p>
        </w:tc>
        <w:tc>
          <w:tcPr>
            <w:tcW w:w="5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5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00" w:type="dxa"/>
            <w:vAlign w:val="bottom"/>
            <w:shd w:val="clear" w:color="auto" w:fill="F79646"/>
          </w:tcPr>
          <w:p>
            <w:pPr>
              <w:spacing w:after="0"/>
              <w:rPr>
                <w:sz w:val="11"/>
                <w:szCs w:val="11"/>
                <w:color w:val="auto"/>
              </w:rPr>
            </w:pPr>
          </w:p>
        </w:tc>
        <w:tc>
          <w:tcPr>
            <w:tcW w:w="9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9"/>
              </w:rPr>
              <w:t>Without Cause</w:t>
            </w:r>
          </w:p>
        </w:tc>
        <w:tc>
          <w:tcPr>
            <w:tcW w:w="100" w:type="dxa"/>
            <w:vAlign w:val="bottom"/>
            <w:shd w:val="clear" w:color="auto" w:fill="F79646"/>
          </w:tcPr>
          <w:p>
            <w:pPr>
              <w:spacing w:after="0"/>
              <w:rPr>
                <w:sz w:val="11"/>
                <w:szCs w:val="11"/>
                <w:color w:val="auto"/>
              </w:rPr>
            </w:pPr>
          </w:p>
        </w:tc>
        <w:tc>
          <w:tcPr>
            <w:tcW w:w="600" w:type="dxa"/>
            <w:vAlign w:val="bottom"/>
            <w:shd w:val="clear" w:color="auto" w:fill="F79646"/>
          </w:tcPr>
          <w:p>
            <w:pPr>
              <w:jc w:val="right"/>
              <w:ind w:right="69"/>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220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Contemplation of Change in Control</w:t>
            </w:r>
          </w:p>
        </w:tc>
      </w:tr>
      <w:tr>
        <w:trPr>
          <w:trHeight w:val="158"/>
        </w:trPr>
        <w:tc>
          <w:tcPr>
            <w:tcW w:w="200" w:type="dxa"/>
            <w:vAlign w:val="bottom"/>
            <w:tcBorders>
              <w:left w:val="single" w:sz="8" w:color="F79646"/>
              <w:bottom w:val="single" w:sz="8" w:color="F79646"/>
            </w:tcBorders>
            <w:shd w:val="clear" w:color="auto" w:fill="F79646"/>
          </w:tcPr>
          <w:p>
            <w:pPr>
              <w:spacing w:after="0"/>
              <w:rPr>
                <w:sz w:val="13"/>
                <w:szCs w:val="13"/>
                <w:color w:val="auto"/>
              </w:rPr>
            </w:pPr>
          </w:p>
        </w:tc>
        <w:tc>
          <w:tcPr>
            <w:tcW w:w="1440" w:type="dxa"/>
            <w:vAlign w:val="bottom"/>
            <w:tcBorders>
              <w:bottom w:val="single" w:sz="8" w:color="auto"/>
            </w:tcBorders>
            <w:shd w:val="clear" w:color="auto" w:fill="F79646"/>
          </w:tcPr>
          <w:p>
            <w:pPr>
              <w:ind w:left="460"/>
              <w:spacing w:after="0"/>
              <w:rPr>
                <w:sz w:val="20"/>
                <w:szCs w:val="20"/>
                <w:color w:val="auto"/>
              </w:rPr>
            </w:pPr>
            <w:r>
              <w:rPr>
                <w:rFonts w:ascii="Arial" w:cs="Arial" w:eastAsia="Arial" w:hAnsi="Arial"/>
                <w:sz w:val="10"/>
                <w:szCs w:val="10"/>
                <w:b w:val="1"/>
                <w:bCs w:val="1"/>
                <w:color w:val="FFFFFE"/>
              </w:rPr>
              <w:t>Termination</w:t>
            </w:r>
          </w:p>
        </w:tc>
        <w:tc>
          <w:tcPr>
            <w:tcW w:w="120" w:type="dxa"/>
            <w:vAlign w:val="bottom"/>
            <w:tcBorders>
              <w:bottom w:val="single" w:sz="8" w:color="F79646"/>
            </w:tcBorders>
            <w:shd w:val="clear" w:color="auto" w:fill="F79646"/>
          </w:tcPr>
          <w:p>
            <w:pPr>
              <w:spacing w:after="0"/>
              <w:rPr>
                <w:sz w:val="13"/>
                <w:szCs w:val="13"/>
                <w:color w:val="auto"/>
              </w:rPr>
            </w:pPr>
          </w:p>
        </w:tc>
        <w:tc>
          <w:tcPr>
            <w:tcW w:w="54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jc w:val="right"/>
              <w:ind w:right="18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3"/>
                <w:szCs w:val="13"/>
                <w:color w:val="auto"/>
              </w:rPr>
            </w:pPr>
          </w:p>
        </w:tc>
        <w:tc>
          <w:tcPr>
            <w:tcW w:w="900" w:type="dxa"/>
            <w:vAlign w:val="bottom"/>
            <w:tcBorders>
              <w:bottom w:val="single" w:sz="8" w:color="auto"/>
            </w:tcBorders>
            <w:shd w:val="clear" w:color="auto" w:fill="F79646"/>
          </w:tcPr>
          <w:p>
            <w:pPr>
              <w:jc w:val="right"/>
              <w:ind w:right="34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3"/>
                <w:szCs w:val="13"/>
                <w:color w:val="auto"/>
              </w:rPr>
            </w:pPr>
          </w:p>
        </w:tc>
        <w:tc>
          <w:tcPr>
            <w:tcW w:w="60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2000" w:type="dxa"/>
            <w:vAlign w:val="bottom"/>
            <w:tcBorders>
              <w:bottom w:val="single" w:sz="8" w:color="auto"/>
            </w:tcBorders>
            <w:shd w:val="clear" w:color="auto" w:fill="F79646"/>
          </w:tcPr>
          <w:p>
            <w:pPr>
              <w:jc w:val="right"/>
              <w:ind w:right="909"/>
              <w:spacing w:after="0"/>
              <w:rPr>
                <w:sz w:val="20"/>
                <w:szCs w:val="20"/>
                <w:color w:val="auto"/>
              </w:rPr>
            </w:pPr>
            <w:r>
              <w:rPr>
                <w:rFonts w:ascii="Arial" w:cs="Arial" w:eastAsia="Arial" w:hAnsi="Arial"/>
                <w:sz w:val="10"/>
                <w:szCs w:val="10"/>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09"/>
        </w:trPr>
        <w:tc>
          <w:tcPr>
            <w:tcW w:w="1640" w:type="dxa"/>
            <w:vAlign w:val="bottom"/>
            <w:tcBorders>
              <w:left w:val="single" w:sz="8" w:color="F79646"/>
            </w:tcBorders>
            <w:gridSpan w:val="2"/>
            <w:shd w:val="clear" w:color="auto" w:fill="FCDEC5"/>
          </w:tcPr>
          <w:p>
            <w:pPr>
              <w:ind w:left="200"/>
              <w:spacing w:after="0" w:line="110" w:lineRule="exact"/>
              <w:rPr>
                <w:sz w:val="20"/>
                <w:szCs w:val="20"/>
                <w:color w:val="auto"/>
              </w:rPr>
            </w:pPr>
            <w:r>
              <w:rPr>
                <w:rFonts w:ascii="Arial" w:cs="Arial" w:eastAsia="Arial" w:hAnsi="Arial"/>
                <w:sz w:val="10"/>
                <w:szCs w:val="10"/>
                <w:color w:val="auto"/>
              </w:rPr>
              <w:t>Base salary payout</w:t>
            </w:r>
          </w:p>
        </w:tc>
        <w:tc>
          <w:tcPr>
            <w:tcW w:w="120" w:type="dxa"/>
            <w:vAlign w:val="bottom"/>
            <w:shd w:val="clear" w:color="auto" w:fill="FCDEC5"/>
          </w:tcPr>
          <w:p>
            <w:pPr>
              <w:spacing w:after="0"/>
              <w:rPr>
                <w:sz w:val="9"/>
                <w:szCs w:val="9"/>
                <w:color w:val="auto"/>
              </w:rPr>
            </w:pPr>
          </w:p>
        </w:tc>
        <w:tc>
          <w:tcPr>
            <w:tcW w:w="54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5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100" w:type="dxa"/>
            <w:vAlign w:val="bottom"/>
            <w:shd w:val="clear" w:color="auto" w:fill="FCDEC5"/>
          </w:tcPr>
          <w:p>
            <w:pPr>
              <w:spacing w:after="0"/>
              <w:rPr>
                <w:sz w:val="9"/>
                <w:szCs w:val="9"/>
                <w:color w:val="auto"/>
              </w:rPr>
            </w:pPr>
          </w:p>
        </w:tc>
        <w:tc>
          <w:tcPr>
            <w:tcW w:w="60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212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200" w:type="dxa"/>
            <w:vAlign w:val="bottom"/>
            <w:tcBorders>
              <w:right w:val="single" w:sz="8" w:color="F79646"/>
            </w:tcBorders>
            <w:shd w:val="clear" w:color="auto" w:fill="FCDEC5"/>
          </w:tcPr>
          <w:p>
            <w:pPr>
              <w:spacing w:after="0"/>
              <w:rPr>
                <w:sz w:val="9"/>
                <w:szCs w:val="9"/>
                <w:color w:val="auto"/>
              </w:rPr>
            </w:pPr>
          </w:p>
        </w:tc>
      </w:tr>
      <w:tr>
        <w:trPr>
          <w:trHeight w:val="116"/>
        </w:trPr>
        <w:tc>
          <w:tcPr>
            <w:tcW w:w="1640" w:type="dxa"/>
            <w:vAlign w:val="bottom"/>
            <w:tcBorders>
              <w:left w:val="single" w:sz="8" w:color="F79646"/>
            </w:tcBorders>
            <w:gridSpan w:val="2"/>
          </w:tcPr>
          <w:p>
            <w:pPr>
              <w:ind w:left="200"/>
              <w:spacing w:after="0"/>
              <w:rPr>
                <w:sz w:val="20"/>
                <w:szCs w:val="20"/>
                <w:color w:val="auto"/>
              </w:rPr>
            </w:pPr>
            <w:r>
              <w:rPr>
                <w:rFonts w:ascii="Arial" w:cs="Arial" w:eastAsia="Arial" w:hAnsi="Arial"/>
                <w:sz w:val="10"/>
                <w:szCs w:val="10"/>
                <w:color w:val="auto"/>
              </w:rPr>
              <w:t>Restricted stock units</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1,015,934</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1,015,934</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442,337</w:t>
            </w:r>
          </w:p>
        </w:tc>
        <w:tc>
          <w:tcPr>
            <w:tcW w:w="2120" w:type="dxa"/>
            <w:vAlign w:val="bottom"/>
            <w:gridSpan w:val="2"/>
          </w:tcPr>
          <w:p>
            <w:pPr>
              <w:jc w:val="right"/>
              <w:spacing w:after="0"/>
              <w:rPr>
                <w:sz w:val="20"/>
                <w:szCs w:val="20"/>
                <w:color w:val="auto"/>
              </w:rPr>
            </w:pPr>
            <w:r>
              <w:rPr>
                <w:rFonts w:ascii="Arial" w:cs="Arial" w:eastAsia="Arial" w:hAnsi="Arial"/>
                <w:sz w:val="10"/>
                <w:szCs w:val="10"/>
                <w:color w:val="auto"/>
              </w:rPr>
              <w:t>1,015,934</w:t>
            </w:r>
          </w:p>
        </w:tc>
        <w:tc>
          <w:tcPr>
            <w:tcW w:w="200" w:type="dxa"/>
            <w:vAlign w:val="bottom"/>
            <w:tcBorders>
              <w:right w:val="single" w:sz="8" w:color="F79646"/>
            </w:tcBorders>
          </w:tcPr>
          <w:p>
            <w:pPr>
              <w:spacing w:after="0"/>
              <w:rPr>
                <w:sz w:val="10"/>
                <w:szCs w:val="10"/>
                <w:color w:val="auto"/>
              </w:rPr>
            </w:pPr>
          </w:p>
        </w:tc>
      </w:tr>
      <w:tr>
        <w:trPr>
          <w:trHeight w:val="119"/>
        </w:trPr>
        <w:tc>
          <w:tcPr>
            <w:tcW w:w="1640" w:type="dxa"/>
            <w:vAlign w:val="bottom"/>
            <w:tcBorders>
              <w:left w:val="single" w:sz="8" w:color="F79646"/>
            </w:tcBorders>
            <w:gridSpan w:val="2"/>
            <w:shd w:val="clear" w:color="auto" w:fill="FCDEC5"/>
          </w:tcPr>
          <w:p>
            <w:pPr>
              <w:ind w:left="200"/>
              <w:spacing w:after="0"/>
              <w:rPr>
                <w:sz w:val="20"/>
                <w:szCs w:val="20"/>
                <w:color w:val="auto"/>
              </w:rPr>
            </w:pPr>
            <w:r>
              <w:rPr>
                <w:rFonts w:ascii="Arial" w:cs="Arial" w:eastAsia="Arial" w:hAnsi="Arial"/>
                <w:sz w:val="10"/>
                <w:szCs w:val="10"/>
                <w:color w:val="auto"/>
              </w:rPr>
              <w:t>Performance restricted stock</w:t>
            </w:r>
          </w:p>
        </w:tc>
        <w:tc>
          <w:tcPr>
            <w:tcW w:w="120" w:type="dxa"/>
            <w:vAlign w:val="bottom"/>
            <w:shd w:val="clear" w:color="auto" w:fill="FCDEC5"/>
          </w:tcPr>
          <w:p>
            <w:pPr>
              <w:spacing w:after="0"/>
              <w:rPr>
                <w:sz w:val="10"/>
                <w:szCs w:val="10"/>
                <w:color w:val="auto"/>
              </w:rPr>
            </w:pPr>
          </w:p>
        </w:tc>
        <w:tc>
          <w:tcPr>
            <w:tcW w:w="54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560" w:type="dxa"/>
            <w:vAlign w:val="bottom"/>
            <w:shd w:val="clear" w:color="auto" w:fill="FCDEC5"/>
          </w:tcPr>
          <w:p>
            <w:pPr>
              <w:spacing w:after="0"/>
              <w:rPr>
                <w:sz w:val="10"/>
                <w:szCs w:val="10"/>
                <w:color w:val="auto"/>
              </w:rPr>
            </w:pPr>
          </w:p>
        </w:tc>
        <w:tc>
          <w:tcPr>
            <w:tcW w:w="100" w:type="dxa"/>
            <w:vAlign w:val="bottom"/>
            <w:shd w:val="clear" w:color="auto" w:fill="FCDEC5"/>
          </w:tcPr>
          <w:p>
            <w:pPr>
              <w:spacing w:after="0"/>
              <w:rPr>
                <w:sz w:val="10"/>
                <w:szCs w:val="10"/>
                <w:color w:val="auto"/>
              </w:rPr>
            </w:pPr>
          </w:p>
        </w:tc>
        <w:tc>
          <w:tcPr>
            <w:tcW w:w="900" w:type="dxa"/>
            <w:vAlign w:val="bottom"/>
            <w:shd w:val="clear" w:color="auto" w:fill="FCDEC5"/>
          </w:tcPr>
          <w:p>
            <w:pPr>
              <w:spacing w:after="0"/>
              <w:rPr>
                <w:sz w:val="10"/>
                <w:szCs w:val="10"/>
                <w:color w:val="auto"/>
              </w:rPr>
            </w:pPr>
          </w:p>
        </w:tc>
        <w:tc>
          <w:tcPr>
            <w:tcW w:w="100" w:type="dxa"/>
            <w:vAlign w:val="bottom"/>
            <w:shd w:val="clear" w:color="auto" w:fill="FCDEC5"/>
          </w:tcPr>
          <w:p>
            <w:pPr>
              <w:spacing w:after="0"/>
              <w:rPr>
                <w:sz w:val="10"/>
                <w:szCs w:val="10"/>
                <w:color w:val="auto"/>
              </w:rPr>
            </w:pPr>
          </w:p>
        </w:tc>
        <w:tc>
          <w:tcPr>
            <w:tcW w:w="60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2000" w:type="dxa"/>
            <w:vAlign w:val="bottom"/>
            <w:shd w:val="clear" w:color="auto" w:fill="FCDEC5"/>
          </w:tcPr>
          <w:p>
            <w:pPr>
              <w:spacing w:after="0"/>
              <w:rPr>
                <w:sz w:val="10"/>
                <w:szCs w:val="10"/>
                <w:color w:val="auto"/>
              </w:rPr>
            </w:pPr>
          </w:p>
        </w:tc>
        <w:tc>
          <w:tcPr>
            <w:tcW w:w="200" w:type="dxa"/>
            <w:vAlign w:val="bottom"/>
            <w:tcBorders>
              <w:right w:val="single" w:sz="8" w:color="F79646"/>
            </w:tcBorders>
            <w:shd w:val="clear" w:color="auto" w:fill="FCDEC5"/>
          </w:tcPr>
          <w:p>
            <w:pPr>
              <w:spacing w:after="0"/>
              <w:rPr>
                <w:sz w:val="10"/>
                <w:szCs w:val="10"/>
                <w:color w:val="auto"/>
              </w:rPr>
            </w:pPr>
          </w:p>
        </w:tc>
      </w:tr>
      <w:tr>
        <w:trPr>
          <w:trHeight w:val="112"/>
        </w:trPr>
        <w:tc>
          <w:tcPr>
            <w:tcW w:w="200" w:type="dxa"/>
            <w:vAlign w:val="bottom"/>
            <w:tcBorders>
              <w:left w:val="single" w:sz="8" w:color="F79646"/>
              <w:bottom w:val="single" w:sz="8" w:color="F79646"/>
            </w:tcBorders>
            <w:shd w:val="clear" w:color="auto" w:fill="FCDEC5"/>
          </w:tcPr>
          <w:p>
            <w:pPr>
              <w:spacing w:after="0"/>
              <w:rPr>
                <w:sz w:val="9"/>
                <w:szCs w:val="9"/>
                <w:color w:val="auto"/>
              </w:rPr>
            </w:pPr>
          </w:p>
        </w:tc>
        <w:tc>
          <w:tcPr>
            <w:tcW w:w="1440" w:type="dxa"/>
            <w:vAlign w:val="bottom"/>
            <w:tcBorders>
              <w:bottom w:val="single" w:sz="8" w:color="F79646"/>
            </w:tcBorders>
            <w:shd w:val="clear" w:color="auto" w:fill="FCDEC5"/>
          </w:tcPr>
          <w:p>
            <w:pPr>
              <w:ind w:left="100"/>
              <w:spacing w:after="0" w:line="112" w:lineRule="exact"/>
              <w:rPr>
                <w:sz w:val="20"/>
                <w:szCs w:val="20"/>
                <w:color w:val="auto"/>
              </w:rPr>
            </w:pPr>
            <w:r>
              <w:rPr>
                <w:rFonts w:ascii="Arial" w:cs="Arial" w:eastAsia="Arial" w:hAnsi="Arial"/>
                <w:sz w:val="10"/>
                <w:szCs w:val="10"/>
                <w:color w:val="auto"/>
              </w:rPr>
              <w:t>units</w:t>
            </w:r>
          </w:p>
        </w:tc>
        <w:tc>
          <w:tcPr>
            <w:tcW w:w="66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384,126</w:t>
            </w:r>
          </w:p>
        </w:tc>
        <w:tc>
          <w:tcPr>
            <w:tcW w:w="68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728,740</w:t>
            </w:r>
          </w:p>
        </w:tc>
        <w:tc>
          <w:tcPr>
            <w:tcW w:w="100" w:type="dxa"/>
            <w:vAlign w:val="bottom"/>
            <w:tcBorders>
              <w:bottom w:val="single" w:sz="8" w:color="F79646"/>
            </w:tcBorders>
            <w:shd w:val="clear" w:color="auto" w:fill="FCDEC5"/>
          </w:tcPr>
          <w:p>
            <w:pPr>
              <w:spacing w:after="0"/>
              <w:rPr>
                <w:sz w:val="9"/>
                <w:szCs w:val="9"/>
                <w:color w:val="auto"/>
              </w:rPr>
            </w:pPr>
          </w:p>
        </w:tc>
        <w:tc>
          <w:tcPr>
            <w:tcW w:w="900" w:type="dxa"/>
            <w:vAlign w:val="bottom"/>
            <w:tcBorders>
              <w:bottom w:val="single" w:sz="8" w:color="F79646"/>
            </w:tcBorders>
            <w:shd w:val="clear" w:color="auto" w:fill="FCDEC5"/>
          </w:tcPr>
          <w:p>
            <w:pPr>
              <w:jc w:val="right"/>
              <w:spacing w:after="0" w:line="112"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599,834</w:t>
            </w:r>
          </w:p>
        </w:tc>
        <w:tc>
          <w:tcPr>
            <w:tcW w:w="212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728,740</w:t>
            </w:r>
          </w:p>
        </w:tc>
        <w:tc>
          <w:tcPr>
            <w:tcW w:w="200" w:type="dxa"/>
            <w:vAlign w:val="bottom"/>
            <w:tcBorders>
              <w:bottom w:val="single" w:sz="8" w:color="F79646"/>
              <w:right w:val="single" w:sz="8" w:color="F79646"/>
            </w:tcBorders>
            <w:shd w:val="clear" w:color="auto" w:fill="FCDEC5"/>
          </w:tcPr>
          <w:p>
            <w:pPr>
              <w:spacing w:after="0"/>
              <w:rPr>
                <w:sz w:val="9"/>
                <w:szCs w:val="9"/>
                <w:color w:val="auto"/>
              </w:rPr>
            </w:pP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Pavan Bagai</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ectPr>
          <w:pgSz w:w="11900" w:h="16838" w:orient="portrait"/>
          <w:cols w:equalWidth="0" w:num="1">
            <w:col w:w="9019"/>
          </w:cols>
          <w:pgMar w:left="1440" w:top="29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35" w:name="page36"/>
    <w:bookmarkEnd w:id="35"/>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On a "change in control" (as defined in the 2006 Plan or 2015 Plan, as applicable) or death, Mr. Bagai's outstanding equity awards will vest in the same manner as described for Mr. Chhibbar's outstanding equity awards beginning on page 60.</w:t>
      </w:r>
    </w:p>
    <w:p>
      <w:pPr>
        <w:spacing w:after="0" w:line="15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Indicative Payouts for Pavan Bagai</w:t>
      </w:r>
    </w:p>
    <w:p>
      <w:pPr>
        <w:spacing w:after="0" w:line="161" w:lineRule="exact"/>
        <w:rPr>
          <w:sz w:val="20"/>
          <w:szCs w:val="20"/>
          <w:color w:val="auto"/>
        </w:rPr>
      </w:pPr>
    </w:p>
    <w:tbl>
      <w:tblPr>
        <w:tblLayout w:type="fixed"/>
        <w:tblInd w:w="1070" w:type="dxa"/>
        <w:tblCellMar>
          <w:top w:w="0" w:type="dxa"/>
          <w:left w:w="0" w:type="dxa"/>
          <w:bottom w:w="0" w:type="dxa"/>
          <w:right w:w="0" w:type="dxa"/>
        </w:tblCellMar>
      </w:tblPr>
      <w:tr>
        <w:trPr>
          <w:trHeight w:val="117"/>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180"/>
              <w:spacing w:after="0"/>
              <w:rPr>
                <w:sz w:val="20"/>
                <w:szCs w:val="20"/>
                <w:color w:val="auto"/>
              </w:rPr>
            </w:pPr>
            <w:r>
              <w:rPr>
                <w:rFonts w:ascii="Arial" w:cs="Arial" w:eastAsia="Arial" w:hAnsi="Arial"/>
                <w:sz w:val="10"/>
                <w:szCs w:val="10"/>
                <w:b w:val="1"/>
                <w:bCs w:val="1"/>
                <w:color w:val="FFFFFE"/>
              </w:rPr>
              <w:t>Termination Without Cause or for</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180"/>
              <w:spacing w:after="0"/>
              <w:rPr>
                <w:sz w:val="20"/>
                <w:szCs w:val="20"/>
                <w:color w:val="auto"/>
              </w:rPr>
            </w:pPr>
            <w:r>
              <w:rPr>
                <w:rFonts w:ascii="Arial" w:cs="Arial" w:eastAsia="Arial" w:hAnsi="Arial"/>
                <w:sz w:val="10"/>
                <w:szCs w:val="10"/>
                <w:b w:val="1"/>
                <w:bCs w:val="1"/>
                <w:color w:val="FFFFFE"/>
              </w:rPr>
              <w:t>Good Reason Following Change</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w w:val="89"/>
              </w:rPr>
              <w:t>in</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w:t>
            </w: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w:t>
            </w: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Termination for</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Control or Termination Without</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Prior to a</w:t>
            </w: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After a</w:t>
            </w: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Good Reason</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Cause in Specific Contemplation</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880" w:type="dxa"/>
            <w:vAlign w:val="bottom"/>
            <w:shd w:val="clear" w:color="auto" w:fill="F79646"/>
          </w:tcPr>
          <w:p>
            <w:pPr>
              <w:spacing w:after="0"/>
              <w:rPr>
                <w:sz w:val="10"/>
                <w:szCs w:val="10"/>
                <w:color w:val="auto"/>
              </w:rPr>
            </w:pPr>
          </w:p>
        </w:tc>
        <w:tc>
          <w:tcPr>
            <w:tcW w:w="4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Change</w:t>
            </w: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Change</w:t>
            </w:r>
          </w:p>
        </w:tc>
        <w:tc>
          <w:tcPr>
            <w:tcW w:w="120" w:type="dxa"/>
            <w:vAlign w:val="bottom"/>
            <w:shd w:val="clear" w:color="auto" w:fill="F79646"/>
          </w:tcPr>
          <w:p>
            <w:pPr>
              <w:spacing w:after="0"/>
              <w:rPr>
                <w:sz w:val="10"/>
                <w:szCs w:val="10"/>
                <w:color w:val="auto"/>
              </w:rPr>
            </w:pPr>
          </w:p>
        </w:tc>
        <w:tc>
          <w:tcPr>
            <w:tcW w:w="50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or Without</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188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w w:val="84"/>
              </w:rPr>
              <w:t>of</w:t>
            </w:r>
          </w:p>
        </w:tc>
      </w:tr>
      <w:tr>
        <w:trPr>
          <w:trHeight w:val="135"/>
        </w:trPr>
        <w:tc>
          <w:tcPr>
            <w:tcW w:w="200" w:type="dxa"/>
            <w:vAlign w:val="bottom"/>
            <w:tcBorders>
              <w:left w:val="single" w:sz="8" w:color="F79646"/>
            </w:tcBorders>
            <w:shd w:val="clear" w:color="auto" w:fill="F79646"/>
          </w:tcPr>
          <w:p>
            <w:pPr>
              <w:spacing w:after="0"/>
              <w:rPr>
                <w:sz w:val="11"/>
                <w:szCs w:val="11"/>
                <w:color w:val="auto"/>
              </w:rPr>
            </w:pPr>
          </w:p>
        </w:tc>
        <w:tc>
          <w:tcPr>
            <w:tcW w:w="1360" w:type="dxa"/>
            <w:vAlign w:val="bottom"/>
            <w:gridSpan w:val="2"/>
            <w:shd w:val="clear" w:color="auto" w:fill="F79646"/>
          </w:tcPr>
          <w:p>
            <w:pPr>
              <w:ind w:left="300"/>
              <w:spacing w:after="0"/>
              <w:rPr>
                <w:sz w:val="20"/>
                <w:szCs w:val="20"/>
                <w:color w:val="auto"/>
              </w:rPr>
            </w:pPr>
            <w:r>
              <w:rPr>
                <w:rFonts w:ascii="Arial" w:cs="Arial" w:eastAsia="Arial" w:hAnsi="Arial"/>
                <w:sz w:val="10"/>
                <w:szCs w:val="10"/>
                <w:b w:val="1"/>
                <w:bCs w:val="1"/>
                <w:color w:val="FFFFFE"/>
              </w:rPr>
              <w:t>Payments upon</w:t>
            </w:r>
          </w:p>
        </w:tc>
        <w:tc>
          <w:tcPr>
            <w:tcW w:w="120" w:type="dxa"/>
            <w:vAlign w:val="bottom"/>
            <w:shd w:val="clear" w:color="auto" w:fill="F79646"/>
          </w:tcPr>
          <w:p>
            <w:pPr>
              <w:spacing w:after="0"/>
              <w:rPr>
                <w:sz w:val="11"/>
                <w:szCs w:val="11"/>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50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Disability</w:t>
            </w:r>
          </w:p>
        </w:tc>
        <w:tc>
          <w:tcPr>
            <w:tcW w:w="100" w:type="dxa"/>
            <w:vAlign w:val="bottom"/>
            <w:shd w:val="clear" w:color="auto" w:fill="F79646"/>
          </w:tcPr>
          <w:p>
            <w:pPr>
              <w:spacing w:after="0"/>
              <w:rPr>
                <w:sz w:val="11"/>
                <w:szCs w:val="11"/>
                <w:color w:val="auto"/>
              </w:rPr>
            </w:pPr>
          </w:p>
        </w:tc>
        <w:tc>
          <w:tcPr>
            <w:tcW w:w="7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9"/>
              </w:rPr>
              <w:t>Cause</w:t>
            </w:r>
          </w:p>
        </w:tc>
        <w:tc>
          <w:tcPr>
            <w:tcW w:w="120" w:type="dxa"/>
            <w:vAlign w:val="bottom"/>
            <w:shd w:val="clear" w:color="auto" w:fill="F79646"/>
          </w:tcPr>
          <w:p>
            <w:pPr>
              <w:spacing w:after="0"/>
              <w:rPr>
                <w:sz w:val="11"/>
                <w:szCs w:val="11"/>
                <w:color w:val="auto"/>
              </w:rPr>
            </w:pPr>
          </w:p>
        </w:tc>
        <w:tc>
          <w:tcPr>
            <w:tcW w:w="560" w:type="dxa"/>
            <w:vAlign w:val="bottom"/>
            <w:shd w:val="clear" w:color="auto" w:fill="F79646"/>
          </w:tcPr>
          <w:p>
            <w:pPr>
              <w:jc w:val="right"/>
              <w:ind w:right="49"/>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188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Change in Control</w:t>
            </w:r>
          </w:p>
        </w:tc>
      </w:tr>
      <w:tr>
        <w:trPr>
          <w:trHeight w:val="158"/>
        </w:trPr>
        <w:tc>
          <w:tcPr>
            <w:tcW w:w="200" w:type="dxa"/>
            <w:vAlign w:val="bottom"/>
            <w:tcBorders>
              <w:left w:val="single" w:sz="8" w:color="F79646"/>
              <w:bottom w:val="single" w:sz="8" w:color="F79646"/>
            </w:tcBorders>
            <w:shd w:val="clear" w:color="auto" w:fill="F79646"/>
          </w:tcPr>
          <w:p>
            <w:pPr>
              <w:spacing w:after="0"/>
              <w:rPr>
                <w:sz w:val="13"/>
                <w:szCs w:val="13"/>
                <w:color w:val="auto"/>
              </w:rPr>
            </w:pPr>
          </w:p>
        </w:tc>
        <w:tc>
          <w:tcPr>
            <w:tcW w:w="1360" w:type="dxa"/>
            <w:vAlign w:val="bottom"/>
            <w:tcBorders>
              <w:bottom w:val="single" w:sz="8" w:color="auto"/>
            </w:tcBorders>
            <w:gridSpan w:val="2"/>
            <w:shd w:val="clear" w:color="auto" w:fill="F79646"/>
          </w:tcPr>
          <w:p>
            <w:pPr>
              <w:ind w:left="420"/>
              <w:spacing w:after="0"/>
              <w:rPr>
                <w:sz w:val="20"/>
                <w:szCs w:val="20"/>
                <w:color w:val="auto"/>
              </w:rPr>
            </w:pPr>
            <w:r>
              <w:rPr>
                <w:rFonts w:ascii="Arial" w:cs="Arial" w:eastAsia="Arial" w:hAnsi="Arial"/>
                <w:sz w:val="10"/>
                <w:szCs w:val="10"/>
                <w:b w:val="1"/>
                <w:bCs w:val="1"/>
                <w:color w:val="FFFFFE"/>
              </w:rPr>
              <w:t>Termination</w:t>
            </w:r>
          </w:p>
        </w:tc>
        <w:tc>
          <w:tcPr>
            <w:tcW w:w="120" w:type="dxa"/>
            <w:vAlign w:val="bottom"/>
            <w:tcBorders>
              <w:bottom w:val="single" w:sz="8" w:color="F79646"/>
            </w:tcBorders>
            <w:shd w:val="clear" w:color="auto" w:fill="F79646"/>
          </w:tcPr>
          <w:p>
            <w:pPr>
              <w:spacing w:after="0"/>
              <w:rPr>
                <w:sz w:val="13"/>
                <w:szCs w:val="13"/>
                <w:color w:val="auto"/>
              </w:rPr>
            </w:pPr>
          </w:p>
        </w:tc>
        <w:tc>
          <w:tcPr>
            <w:tcW w:w="52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2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0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3"/>
                <w:szCs w:val="13"/>
                <w:color w:val="auto"/>
              </w:rPr>
            </w:pPr>
          </w:p>
        </w:tc>
        <w:tc>
          <w:tcPr>
            <w:tcW w:w="760" w:type="dxa"/>
            <w:vAlign w:val="bottom"/>
            <w:tcBorders>
              <w:bottom w:val="single" w:sz="8" w:color="auto"/>
            </w:tcBorders>
            <w:shd w:val="clear" w:color="auto" w:fill="F79646"/>
          </w:tcPr>
          <w:p>
            <w:pPr>
              <w:jc w:val="right"/>
              <w:ind w:right="28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jc w:val="right"/>
              <w:ind w:right="18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1680" w:type="dxa"/>
            <w:vAlign w:val="bottom"/>
            <w:tcBorders>
              <w:bottom w:val="single" w:sz="8" w:color="auto"/>
            </w:tcBorders>
            <w:shd w:val="clear" w:color="auto" w:fill="F79646"/>
          </w:tcPr>
          <w:p>
            <w:pPr>
              <w:jc w:val="right"/>
              <w:ind w:right="749"/>
              <w:spacing w:after="0"/>
              <w:rPr>
                <w:sz w:val="20"/>
                <w:szCs w:val="20"/>
                <w:color w:val="auto"/>
              </w:rPr>
            </w:pPr>
            <w:r>
              <w:rPr>
                <w:rFonts w:ascii="Arial" w:cs="Arial" w:eastAsia="Arial" w:hAnsi="Arial"/>
                <w:sz w:val="10"/>
                <w:szCs w:val="10"/>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09"/>
        </w:trPr>
        <w:tc>
          <w:tcPr>
            <w:tcW w:w="1560" w:type="dxa"/>
            <w:vAlign w:val="bottom"/>
            <w:tcBorders>
              <w:left w:val="single" w:sz="8" w:color="F79646"/>
            </w:tcBorders>
            <w:gridSpan w:val="3"/>
            <w:shd w:val="clear" w:color="auto" w:fill="FCDEC5"/>
          </w:tcPr>
          <w:p>
            <w:pPr>
              <w:ind w:left="200"/>
              <w:spacing w:after="0" w:line="110" w:lineRule="exact"/>
              <w:rPr>
                <w:sz w:val="20"/>
                <w:szCs w:val="20"/>
                <w:color w:val="auto"/>
              </w:rPr>
            </w:pPr>
            <w:r>
              <w:rPr>
                <w:rFonts w:ascii="Arial" w:cs="Arial" w:eastAsia="Arial" w:hAnsi="Arial"/>
                <w:sz w:val="10"/>
                <w:szCs w:val="10"/>
                <w:color w:val="auto"/>
              </w:rPr>
              <w:t>Base salary payout</w:t>
            </w:r>
          </w:p>
        </w:tc>
        <w:tc>
          <w:tcPr>
            <w:tcW w:w="120" w:type="dxa"/>
            <w:vAlign w:val="bottom"/>
            <w:shd w:val="clear" w:color="auto" w:fill="FCDEC5"/>
          </w:tcPr>
          <w:p>
            <w:pPr>
              <w:spacing w:after="0"/>
              <w:rPr>
                <w:sz w:val="9"/>
                <w:szCs w:val="9"/>
                <w:color w:val="auto"/>
              </w:rPr>
            </w:pPr>
          </w:p>
        </w:tc>
        <w:tc>
          <w:tcPr>
            <w:tcW w:w="52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52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50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372,653</w:t>
            </w:r>
          </w:p>
        </w:tc>
        <w:tc>
          <w:tcPr>
            <w:tcW w:w="120" w:type="dxa"/>
            <w:vAlign w:val="bottom"/>
            <w:shd w:val="clear" w:color="auto" w:fill="FCDEC5"/>
          </w:tcPr>
          <w:p>
            <w:pPr>
              <w:spacing w:after="0"/>
              <w:rPr>
                <w:sz w:val="9"/>
                <w:szCs w:val="9"/>
                <w:color w:val="auto"/>
              </w:rPr>
            </w:pPr>
          </w:p>
        </w:tc>
        <w:tc>
          <w:tcPr>
            <w:tcW w:w="5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80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372,653</w:t>
            </w:r>
          </w:p>
        </w:tc>
        <w:tc>
          <w:tcPr>
            <w:tcW w:w="200" w:type="dxa"/>
            <w:vAlign w:val="bottom"/>
            <w:tcBorders>
              <w:right w:val="single" w:sz="8" w:color="F79646"/>
            </w:tcBorders>
            <w:shd w:val="clear" w:color="auto" w:fill="FCDEC5"/>
          </w:tcPr>
          <w:p>
            <w:pPr>
              <w:spacing w:after="0"/>
              <w:rPr>
                <w:sz w:val="9"/>
                <w:szCs w:val="9"/>
                <w:color w:val="auto"/>
              </w:rPr>
            </w:pPr>
          </w:p>
        </w:tc>
      </w:tr>
      <w:tr>
        <w:trPr>
          <w:trHeight w:val="116"/>
        </w:trPr>
        <w:tc>
          <w:tcPr>
            <w:tcW w:w="1560" w:type="dxa"/>
            <w:vAlign w:val="bottom"/>
            <w:tcBorders>
              <w:left w:val="single" w:sz="8" w:color="F79646"/>
            </w:tcBorders>
            <w:gridSpan w:val="3"/>
          </w:tcPr>
          <w:p>
            <w:pPr>
              <w:ind w:left="200"/>
              <w:spacing w:after="0"/>
              <w:rPr>
                <w:sz w:val="20"/>
                <w:szCs w:val="20"/>
                <w:color w:val="auto"/>
              </w:rPr>
            </w:pPr>
            <w:r>
              <w:rPr>
                <w:rFonts w:ascii="Arial" w:cs="Arial" w:eastAsia="Arial" w:hAnsi="Arial"/>
                <w:sz w:val="10"/>
                <w:szCs w:val="10"/>
                <w:color w:val="auto"/>
              </w:rPr>
              <w:t>Restricted stock units</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1,603,595</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1,603,595</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718,263</w:t>
            </w:r>
          </w:p>
        </w:tc>
        <w:tc>
          <w:tcPr>
            <w:tcW w:w="1800" w:type="dxa"/>
            <w:vAlign w:val="bottom"/>
            <w:gridSpan w:val="2"/>
          </w:tcPr>
          <w:p>
            <w:pPr>
              <w:jc w:val="right"/>
              <w:spacing w:after="0"/>
              <w:rPr>
                <w:sz w:val="20"/>
                <w:szCs w:val="20"/>
                <w:color w:val="auto"/>
              </w:rPr>
            </w:pPr>
            <w:r>
              <w:rPr>
                <w:rFonts w:ascii="Arial" w:cs="Arial" w:eastAsia="Arial" w:hAnsi="Arial"/>
                <w:sz w:val="10"/>
                <w:szCs w:val="10"/>
                <w:color w:val="auto"/>
              </w:rPr>
              <w:t>1,603,595</w:t>
            </w:r>
          </w:p>
        </w:tc>
        <w:tc>
          <w:tcPr>
            <w:tcW w:w="200" w:type="dxa"/>
            <w:vAlign w:val="bottom"/>
            <w:tcBorders>
              <w:right w:val="single" w:sz="8" w:color="F79646"/>
            </w:tcBorders>
          </w:tcPr>
          <w:p>
            <w:pPr>
              <w:spacing w:after="0"/>
              <w:rPr>
                <w:sz w:val="10"/>
                <w:szCs w:val="10"/>
                <w:color w:val="auto"/>
              </w:rPr>
            </w:pPr>
          </w:p>
        </w:tc>
      </w:tr>
      <w:tr>
        <w:trPr>
          <w:trHeight w:val="119"/>
        </w:trPr>
        <w:tc>
          <w:tcPr>
            <w:tcW w:w="1560" w:type="dxa"/>
            <w:vAlign w:val="bottom"/>
            <w:tcBorders>
              <w:left w:val="single" w:sz="8" w:color="F79646"/>
            </w:tcBorders>
            <w:gridSpan w:val="3"/>
            <w:shd w:val="clear" w:color="auto" w:fill="FCDEC5"/>
          </w:tcPr>
          <w:p>
            <w:pPr>
              <w:ind w:left="200"/>
              <w:spacing w:after="0"/>
              <w:rPr>
                <w:sz w:val="20"/>
                <w:szCs w:val="20"/>
                <w:color w:val="auto"/>
              </w:rPr>
            </w:pPr>
            <w:r>
              <w:rPr>
                <w:rFonts w:ascii="Arial" w:cs="Arial" w:eastAsia="Arial" w:hAnsi="Arial"/>
                <w:sz w:val="10"/>
                <w:szCs w:val="10"/>
                <w:color w:val="auto"/>
              </w:rPr>
              <w:t>Performance restricted stock</w:t>
            </w:r>
          </w:p>
        </w:tc>
        <w:tc>
          <w:tcPr>
            <w:tcW w:w="120" w:type="dxa"/>
            <w:vAlign w:val="bottom"/>
            <w:shd w:val="clear" w:color="auto" w:fill="FCDEC5"/>
          </w:tcPr>
          <w:p>
            <w:pPr>
              <w:spacing w:after="0"/>
              <w:rPr>
                <w:sz w:val="10"/>
                <w:szCs w:val="10"/>
                <w:color w:val="auto"/>
              </w:rPr>
            </w:pPr>
          </w:p>
        </w:tc>
        <w:tc>
          <w:tcPr>
            <w:tcW w:w="52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52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500" w:type="dxa"/>
            <w:vAlign w:val="bottom"/>
            <w:shd w:val="clear" w:color="auto" w:fill="FCDEC5"/>
          </w:tcPr>
          <w:p>
            <w:pPr>
              <w:spacing w:after="0"/>
              <w:rPr>
                <w:sz w:val="10"/>
                <w:szCs w:val="10"/>
                <w:color w:val="auto"/>
              </w:rPr>
            </w:pPr>
          </w:p>
        </w:tc>
        <w:tc>
          <w:tcPr>
            <w:tcW w:w="100" w:type="dxa"/>
            <w:vAlign w:val="bottom"/>
            <w:shd w:val="clear" w:color="auto" w:fill="FCDEC5"/>
          </w:tcPr>
          <w:p>
            <w:pPr>
              <w:spacing w:after="0"/>
              <w:rPr>
                <w:sz w:val="10"/>
                <w:szCs w:val="10"/>
                <w:color w:val="auto"/>
              </w:rPr>
            </w:pPr>
          </w:p>
        </w:tc>
        <w:tc>
          <w:tcPr>
            <w:tcW w:w="76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56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1680" w:type="dxa"/>
            <w:vAlign w:val="bottom"/>
            <w:shd w:val="clear" w:color="auto" w:fill="FCDEC5"/>
          </w:tcPr>
          <w:p>
            <w:pPr>
              <w:spacing w:after="0"/>
              <w:rPr>
                <w:sz w:val="10"/>
                <w:szCs w:val="10"/>
                <w:color w:val="auto"/>
              </w:rPr>
            </w:pPr>
          </w:p>
        </w:tc>
        <w:tc>
          <w:tcPr>
            <w:tcW w:w="200" w:type="dxa"/>
            <w:vAlign w:val="bottom"/>
            <w:tcBorders>
              <w:right w:val="single" w:sz="8" w:color="F79646"/>
            </w:tcBorders>
            <w:shd w:val="clear" w:color="auto" w:fill="FCDEC5"/>
          </w:tcPr>
          <w:p>
            <w:pPr>
              <w:spacing w:after="0"/>
              <w:rPr>
                <w:sz w:val="10"/>
                <w:szCs w:val="10"/>
                <w:color w:val="auto"/>
              </w:rPr>
            </w:pPr>
          </w:p>
        </w:tc>
      </w:tr>
      <w:tr>
        <w:trPr>
          <w:trHeight w:val="112"/>
        </w:trPr>
        <w:tc>
          <w:tcPr>
            <w:tcW w:w="200" w:type="dxa"/>
            <w:vAlign w:val="bottom"/>
            <w:tcBorders>
              <w:left w:val="single" w:sz="8" w:color="F79646"/>
            </w:tcBorders>
            <w:shd w:val="clear" w:color="auto" w:fill="FCDEC5"/>
          </w:tcPr>
          <w:p>
            <w:pPr>
              <w:spacing w:after="0"/>
              <w:rPr>
                <w:sz w:val="9"/>
                <w:szCs w:val="9"/>
                <w:color w:val="auto"/>
              </w:rPr>
            </w:pPr>
          </w:p>
        </w:tc>
        <w:tc>
          <w:tcPr>
            <w:tcW w:w="1360" w:type="dxa"/>
            <w:vAlign w:val="bottom"/>
            <w:gridSpan w:val="2"/>
            <w:shd w:val="clear" w:color="auto" w:fill="FCDEC5"/>
          </w:tcPr>
          <w:p>
            <w:pPr>
              <w:ind w:left="100"/>
              <w:spacing w:after="0" w:line="112" w:lineRule="exact"/>
              <w:rPr>
                <w:sz w:val="20"/>
                <w:szCs w:val="20"/>
                <w:color w:val="auto"/>
              </w:rPr>
            </w:pPr>
            <w:r>
              <w:rPr>
                <w:rFonts w:ascii="Arial" w:cs="Arial" w:eastAsia="Arial" w:hAnsi="Arial"/>
                <w:sz w:val="10"/>
                <w:szCs w:val="10"/>
                <w:color w:val="auto"/>
              </w:rPr>
              <w:t>units</w:t>
            </w:r>
          </w:p>
        </w:tc>
        <w:tc>
          <w:tcPr>
            <w:tcW w:w="640" w:type="dxa"/>
            <w:vAlign w:val="bottom"/>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589,346</w:t>
            </w:r>
          </w:p>
        </w:tc>
        <w:tc>
          <w:tcPr>
            <w:tcW w:w="640" w:type="dxa"/>
            <w:vAlign w:val="bottom"/>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1,098,355</w:t>
            </w:r>
          </w:p>
        </w:tc>
        <w:tc>
          <w:tcPr>
            <w:tcW w:w="120" w:type="dxa"/>
            <w:vAlign w:val="bottom"/>
            <w:shd w:val="clear" w:color="auto" w:fill="FCDEC5"/>
          </w:tcPr>
          <w:p>
            <w:pPr>
              <w:spacing w:after="0"/>
              <w:rPr>
                <w:sz w:val="9"/>
                <w:szCs w:val="9"/>
                <w:color w:val="auto"/>
              </w:rPr>
            </w:pPr>
          </w:p>
        </w:tc>
        <w:tc>
          <w:tcPr>
            <w:tcW w:w="500" w:type="dxa"/>
            <w:vAlign w:val="bottom"/>
            <w:shd w:val="clear" w:color="auto" w:fill="FCDEC5"/>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FCDEC5"/>
          </w:tcPr>
          <w:p>
            <w:pPr>
              <w:spacing w:after="0"/>
              <w:rPr>
                <w:sz w:val="9"/>
                <w:szCs w:val="9"/>
                <w:color w:val="auto"/>
              </w:rPr>
            </w:pPr>
          </w:p>
        </w:tc>
        <w:tc>
          <w:tcPr>
            <w:tcW w:w="760" w:type="dxa"/>
            <w:vAlign w:val="bottom"/>
            <w:shd w:val="clear" w:color="auto" w:fill="FCDEC5"/>
          </w:tcPr>
          <w:p>
            <w:pPr>
              <w:jc w:val="right"/>
              <w:spacing w:after="0" w:line="112"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912,449</w:t>
            </w:r>
          </w:p>
        </w:tc>
        <w:tc>
          <w:tcPr>
            <w:tcW w:w="1800" w:type="dxa"/>
            <w:vAlign w:val="bottom"/>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1,098,355</w:t>
            </w:r>
          </w:p>
        </w:tc>
        <w:tc>
          <w:tcPr>
            <w:tcW w:w="200" w:type="dxa"/>
            <w:vAlign w:val="bottom"/>
            <w:tcBorders>
              <w:right w:val="single" w:sz="8" w:color="F79646"/>
            </w:tcBorders>
            <w:shd w:val="clear" w:color="auto" w:fill="FCDEC5"/>
          </w:tcPr>
          <w:p>
            <w:pPr>
              <w:spacing w:after="0"/>
              <w:rPr>
                <w:sz w:val="9"/>
                <w:szCs w:val="9"/>
                <w:color w:val="auto"/>
              </w:rPr>
            </w:pPr>
          </w:p>
        </w:tc>
      </w:tr>
      <w:tr>
        <w:trPr>
          <w:trHeight w:val="113"/>
        </w:trPr>
        <w:tc>
          <w:tcPr>
            <w:tcW w:w="1560" w:type="dxa"/>
            <w:vAlign w:val="bottom"/>
            <w:tcBorders>
              <w:left w:val="single" w:sz="8" w:color="F79646"/>
            </w:tcBorders>
            <w:gridSpan w:val="3"/>
          </w:tcPr>
          <w:p>
            <w:pPr>
              <w:ind w:left="200"/>
              <w:spacing w:after="0" w:line="114" w:lineRule="exact"/>
              <w:rPr>
                <w:sz w:val="20"/>
                <w:szCs w:val="20"/>
                <w:color w:val="auto"/>
              </w:rPr>
            </w:pPr>
            <w:r>
              <w:rPr>
                <w:rFonts w:ascii="Arial" w:cs="Arial" w:eastAsia="Arial" w:hAnsi="Arial"/>
                <w:sz w:val="10"/>
                <w:szCs w:val="10"/>
                <w:color w:val="auto"/>
              </w:rPr>
              <w:t>Government- required</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right w:val="single" w:sz="8" w:color="F79646"/>
            </w:tcBorders>
          </w:tcPr>
          <w:p>
            <w:pPr>
              <w:spacing w:after="0"/>
              <w:rPr>
                <w:sz w:val="9"/>
                <w:szCs w:val="9"/>
                <w:color w:val="auto"/>
              </w:rPr>
            </w:pPr>
          </w:p>
        </w:tc>
      </w:tr>
      <w:tr>
        <w:trPr>
          <w:trHeight w:val="137"/>
        </w:trPr>
        <w:tc>
          <w:tcPr>
            <w:tcW w:w="200" w:type="dxa"/>
            <w:vAlign w:val="bottom"/>
            <w:tcBorders>
              <w:left w:val="single" w:sz="8" w:color="F79646"/>
              <w:bottom w:val="single" w:sz="8" w:color="F79646"/>
            </w:tcBorders>
          </w:tcPr>
          <w:p>
            <w:pPr>
              <w:spacing w:after="0"/>
              <w:rPr>
                <w:sz w:val="11"/>
                <w:szCs w:val="11"/>
                <w:color w:val="auto"/>
              </w:rPr>
            </w:pPr>
          </w:p>
        </w:tc>
        <w:tc>
          <w:tcPr>
            <w:tcW w:w="1360" w:type="dxa"/>
            <w:vAlign w:val="bottom"/>
            <w:tcBorders>
              <w:bottom w:val="single" w:sz="8" w:color="F79646"/>
            </w:tcBorders>
            <w:gridSpan w:val="2"/>
          </w:tcPr>
          <w:p>
            <w:pPr>
              <w:ind w:left="100"/>
              <w:spacing w:after="0" w:line="137" w:lineRule="exact"/>
              <w:rPr>
                <w:sz w:val="20"/>
                <w:szCs w:val="20"/>
                <w:color w:val="auto"/>
              </w:rPr>
            </w:pPr>
            <w:r>
              <w:rPr>
                <w:rFonts w:ascii="Arial" w:cs="Arial" w:eastAsia="Arial" w:hAnsi="Arial"/>
                <w:sz w:val="10"/>
                <w:szCs w:val="10"/>
                <w:color w:val="auto"/>
              </w:rPr>
              <w:t>payouts</w:t>
            </w:r>
            <w:r>
              <w:rPr>
                <w:rFonts w:ascii="Arial" w:cs="Arial" w:eastAsia="Arial" w:hAnsi="Arial"/>
                <w:sz w:val="15"/>
                <w:szCs w:val="15"/>
                <w:color w:val="auto"/>
                <w:vertAlign w:val="superscript"/>
              </w:rPr>
              <w:t>(1)</w:t>
            </w:r>
          </w:p>
        </w:tc>
        <w:tc>
          <w:tcPr>
            <w:tcW w:w="64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100,330</w:t>
            </w:r>
          </w:p>
        </w:tc>
        <w:tc>
          <w:tcPr>
            <w:tcW w:w="64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100,330</w:t>
            </w:r>
          </w:p>
        </w:tc>
        <w:tc>
          <w:tcPr>
            <w:tcW w:w="62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100,330</w:t>
            </w:r>
          </w:p>
        </w:tc>
        <w:tc>
          <w:tcPr>
            <w:tcW w:w="86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100,330</w:t>
            </w:r>
          </w:p>
        </w:tc>
        <w:tc>
          <w:tcPr>
            <w:tcW w:w="120" w:type="dxa"/>
            <w:vAlign w:val="bottom"/>
            <w:tcBorders>
              <w:bottom w:val="single" w:sz="8" w:color="F79646"/>
            </w:tcBorders>
          </w:tcPr>
          <w:p>
            <w:pPr>
              <w:spacing w:after="0"/>
              <w:rPr>
                <w:sz w:val="11"/>
                <w:szCs w:val="11"/>
                <w:color w:val="auto"/>
              </w:rPr>
            </w:pPr>
          </w:p>
        </w:tc>
        <w:tc>
          <w:tcPr>
            <w:tcW w:w="560" w:type="dxa"/>
            <w:vAlign w:val="bottom"/>
            <w:tcBorders>
              <w:bottom w:val="single" w:sz="8" w:color="F79646"/>
            </w:tcBorders>
          </w:tcPr>
          <w:p>
            <w:pPr>
              <w:jc w:val="right"/>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F79646"/>
            </w:tcBorders>
            <w:gridSpan w:val="2"/>
          </w:tcPr>
          <w:p>
            <w:pPr>
              <w:jc w:val="right"/>
              <w:spacing w:after="0"/>
              <w:rPr>
                <w:sz w:val="20"/>
                <w:szCs w:val="20"/>
                <w:color w:val="auto"/>
              </w:rPr>
            </w:pPr>
            <w:r>
              <w:rPr>
                <w:rFonts w:ascii="Arial" w:cs="Arial" w:eastAsia="Arial" w:hAnsi="Arial"/>
                <w:sz w:val="10"/>
                <w:szCs w:val="10"/>
                <w:color w:val="auto"/>
              </w:rPr>
              <w:t>100,330</w:t>
            </w:r>
          </w:p>
        </w:tc>
        <w:tc>
          <w:tcPr>
            <w:tcW w:w="200" w:type="dxa"/>
            <w:vAlign w:val="bottom"/>
            <w:tcBorders>
              <w:bottom w:val="single" w:sz="8" w:color="F79646"/>
              <w:right w:val="single" w:sz="8" w:color="F79646"/>
            </w:tcBorders>
          </w:tcPr>
          <w:p>
            <w:pPr>
              <w:spacing w:after="0"/>
              <w:rPr>
                <w:sz w:val="11"/>
                <w:szCs w:val="11"/>
                <w:color w:val="auto"/>
              </w:rPr>
            </w:pPr>
          </w:p>
        </w:tc>
      </w:tr>
      <w:tr>
        <w:trPr>
          <w:trHeight w:val="67"/>
        </w:trPr>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0" w:type="dxa"/>
            <w:vAlign w:val="bottom"/>
          </w:tcPr>
          <w:p>
            <w:pPr>
              <w:spacing w:after="0"/>
              <w:rPr>
                <w:sz w:val="5"/>
                <w:szCs w:val="5"/>
                <w:color w:val="auto"/>
              </w:rPr>
            </w:pPr>
          </w:p>
        </w:tc>
      </w:tr>
    </w:tbl>
    <w:p>
      <w:pPr>
        <w:spacing w:after="0" w:line="157" w:lineRule="exact"/>
        <w:rPr>
          <w:sz w:val="20"/>
          <w:szCs w:val="20"/>
          <w:color w:val="auto"/>
        </w:rPr>
      </w:pPr>
    </w:p>
    <w:p>
      <w:pPr>
        <w:ind w:left="1440" w:hanging="382"/>
        <w:spacing w:after="0"/>
        <w:tabs>
          <w:tab w:leader="none" w:pos="1440" w:val="left"/>
        </w:tabs>
        <w:numPr>
          <w:ilvl w:val="0"/>
          <w:numId w:val="89"/>
        </w:numPr>
        <w:rPr>
          <w:rFonts w:ascii="Arial" w:cs="Arial" w:eastAsia="Arial" w:hAnsi="Arial"/>
          <w:sz w:val="10"/>
          <w:szCs w:val="10"/>
          <w:color w:val="auto"/>
        </w:rPr>
      </w:pPr>
      <w:r>
        <w:rPr>
          <w:rFonts w:ascii="Arial" w:cs="Arial" w:eastAsia="Arial" w:hAnsi="Arial"/>
          <w:sz w:val="10"/>
          <w:szCs w:val="10"/>
          <w:color w:val="auto"/>
        </w:rPr>
        <w:t>Represents distributions under the Gratuity Plan, which is due to Mr. Bagai because he has earned over five years of credited service.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Nagaraja Srivatsan</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Either Mr. Srivatsan or we may terminate Mr. Srivatsan's employment at any time (though we must give Mr. Srivatsan 30 days' notice if the termination is without "cause" and Mr. Srivatsan must give us 90 days' advance notice upon any resignation). If Mr. Srivatsan's employment with the Company is terminated by the Company without "cause" or by Mr. Srivatsan for "good reason," as summarized below, Mr. Srivatsan will receive a cash severance payment equal to 12 months base salary, payable in accordance with the Company's regular payroll practices.</w:t>
      </w:r>
    </w:p>
    <w:p>
      <w:pPr>
        <w:spacing w:after="0" w:line="151"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On a "change in control" (as defined in the 2006 Plan or 2015 Plan, as applicable) or death, Mr. Srivatsan's outstanding equity awards will vest in the same manner as described for Mr. Chhibbar's outstanding equity awards beginning on page 60.</w:t>
      </w:r>
    </w:p>
    <w:p>
      <w:pPr>
        <w:spacing w:after="0" w:line="15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Mr. Srivatsan's severance payments and termination-related equity acceleration are subject to his execution of a release of claims against us. Mr. Srivatsan is subject to confidentiality restrictions at all times, as well as noncompetition, nondisparagement and nonsolicitation restrictions during his employment and for one year thereafter.</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Indicative Payouts for Nagaraja Srivatsan</w:t>
      </w:r>
    </w:p>
    <w:p>
      <w:pPr>
        <w:spacing w:after="0" w:line="161" w:lineRule="exact"/>
        <w:rPr>
          <w:sz w:val="20"/>
          <w:szCs w:val="20"/>
          <w:color w:val="auto"/>
        </w:rPr>
      </w:pPr>
    </w:p>
    <w:tbl>
      <w:tblPr>
        <w:tblLayout w:type="fixed"/>
        <w:tblInd w:w="1070" w:type="dxa"/>
        <w:tblCellMar>
          <w:top w:w="0" w:type="dxa"/>
          <w:left w:w="0" w:type="dxa"/>
          <w:bottom w:w="0" w:type="dxa"/>
          <w:right w:w="0" w:type="dxa"/>
        </w:tblCellMar>
      </w:tblPr>
      <w:tr>
        <w:trPr>
          <w:trHeight w:val="117"/>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20"/>
              <w:spacing w:after="0"/>
              <w:rPr>
                <w:sz w:val="20"/>
                <w:szCs w:val="20"/>
                <w:color w:val="auto"/>
              </w:rPr>
            </w:pPr>
            <w:r>
              <w:rPr>
                <w:rFonts w:ascii="Arial" w:cs="Arial" w:eastAsia="Arial" w:hAnsi="Arial"/>
                <w:sz w:val="10"/>
                <w:szCs w:val="10"/>
                <w:b w:val="1"/>
                <w:bCs w:val="1"/>
                <w:color w:val="FFFFFE"/>
              </w:rPr>
              <w:t>Termination Without Cause or for</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Good</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Reason Following Change in Control</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or</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 Prior to</w:t>
            </w: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 After</w:t>
            </w: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Termination for</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in</w:t>
            </w:r>
          </w:p>
        </w:tc>
      </w:tr>
      <w:tr>
        <w:trPr>
          <w:trHeight w:val="116"/>
        </w:trPr>
        <w:tc>
          <w:tcPr>
            <w:tcW w:w="200" w:type="dxa"/>
            <w:vAlign w:val="bottom"/>
            <w:tcBorders>
              <w:left w:val="single" w:sz="8" w:color="F79646"/>
            </w:tcBorders>
            <w:shd w:val="clear" w:color="auto" w:fill="F79646"/>
          </w:tcPr>
          <w:p>
            <w:pPr>
              <w:spacing w:after="0"/>
              <w:rPr>
                <w:sz w:val="10"/>
                <w:szCs w:val="10"/>
                <w:color w:val="auto"/>
              </w:rPr>
            </w:pPr>
          </w:p>
        </w:tc>
        <w:tc>
          <w:tcPr>
            <w:tcW w:w="1480" w:type="dxa"/>
            <w:vAlign w:val="bottom"/>
            <w:shd w:val="clear" w:color="auto" w:fill="F79646"/>
          </w:tcPr>
          <w:p>
            <w:pPr>
              <w:spacing w:after="0"/>
              <w:rPr>
                <w:sz w:val="10"/>
                <w:szCs w:val="10"/>
                <w:color w:val="auto"/>
              </w:rPr>
            </w:pPr>
          </w:p>
        </w:tc>
        <w:tc>
          <w:tcPr>
            <w:tcW w:w="100" w:type="dxa"/>
            <w:vAlign w:val="bottom"/>
            <w:shd w:val="clear" w:color="auto" w:fill="F79646"/>
          </w:tcPr>
          <w:p>
            <w:pPr>
              <w:spacing w:after="0"/>
              <w:rPr>
                <w:sz w:val="10"/>
                <w:szCs w:val="10"/>
                <w:color w:val="auto"/>
              </w:rPr>
            </w:pPr>
          </w:p>
        </w:tc>
        <w:tc>
          <w:tcPr>
            <w:tcW w:w="7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 Change in</w:t>
            </w:r>
          </w:p>
        </w:tc>
        <w:tc>
          <w:tcPr>
            <w:tcW w:w="100" w:type="dxa"/>
            <w:vAlign w:val="bottom"/>
            <w:shd w:val="clear" w:color="auto" w:fill="F79646"/>
          </w:tcPr>
          <w:p>
            <w:pPr>
              <w:spacing w:after="0"/>
              <w:rPr>
                <w:sz w:val="10"/>
                <w:szCs w:val="10"/>
                <w:color w:val="auto"/>
              </w:rPr>
            </w:pPr>
          </w:p>
        </w:tc>
        <w:tc>
          <w:tcPr>
            <w:tcW w:w="6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 Change</w:t>
            </w: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Good Reason or</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Specific</w:t>
            </w:r>
          </w:p>
        </w:tc>
      </w:tr>
      <w:tr>
        <w:trPr>
          <w:trHeight w:val="135"/>
        </w:trPr>
        <w:tc>
          <w:tcPr>
            <w:tcW w:w="200" w:type="dxa"/>
            <w:vAlign w:val="bottom"/>
            <w:tcBorders>
              <w:left w:val="single" w:sz="8" w:color="F79646"/>
            </w:tcBorders>
            <w:shd w:val="clear" w:color="auto" w:fill="F79646"/>
          </w:tcPr>
          <w:p>
            <w:pPr>
              <w:spacing w:after="0"/>
              <w:rPr>
                <w:sz w:val="11"/>
                <w:szCs w:val="11"/>
                <w:color w:val="auto"/>
              </w:rPr>
            </w:pPr>
          </w:p>
        </w:tc>
        <w:tc>
          <w:tcPr>
            <w:tcW w:w="1480" w:type="dxa"/>
            <w:vAlign w:val="bottom"/>
            <w:shd w:val="clear" w:color="auto" w:fill="F79646"/>
          </w:tcPr>
          <w:p>
            <w:pPr>
              <w:ind w:left="340"/>
              <w:spacing w:after="0"/>
              <w:rPr>
                <w:sz w:val="20"/>
                <w:szCs w:val="20"/>
                <w:color w:val="auto"/>
              </w:rPr>
            </w:pPr>
            <w:r>
              <w:rPr>
                <w:rFonts w:ascii="Arial" w:cs="Arial" w:eastAsia="Arial" w:hAnsi="Arial"/>
                <w:sz w:val="10"/>
                <w:szCs w:val="10"/>
                <w:b w:val="1"/>
                <w:bCs w:val="1"/>
                <w:color w:val="FFFFFE"/>
              </w:rPr>
              <w:t>Payments upon</w:t>
            </w:r>
          </w:p>
        </w:tc>
        <w:tc>
          <w:tcPr>
            <w:tcW w:w="100" w:type="dxa"/>
            <w:vAlign w:val="bottom"/>
            <w:shd w:val="clear" w:color="auto" w:fill="F79646"/>
          </w:tcPr>
          <w:p>
            <w:pPr>
              <w:spacing w:after="0"/>
              <w:rPr>
                <w:sz w:val="11"/>
                <w:szCs w:val="11"/>
                <w:color w:val="auto"/>
              </w:rPr>
            </w:pPr>
          </w:p>
        </w:tc>
        <w:tc>
          <w:tcPr>
            <w:tcW w:w="7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Control</w:t>
            </w:r>
          </w:p>
        </w:tc>
        <w:tc>
          <w:tcPr>
            <w:tcW w:w="100" w:type="dxa"/>
            <w:vAlign w:val="bottom"/>
            <w:shd w:val="clear" w:color="auto" w:fill="F79646"/>
          </w:tcPr>
          <w:p>
            <w:pPr>
              <w:spacing w:after="0"/>
              <w:rPr>
                <w:sz w:val="11"/>
                <w:szCs w:val="11"/>
                <w:color w:val="auto"/>
              </w:rPr>
            </w:pPr>
          </w:p>
        </w:tc>
        <w:tc>
          <w:tcPr>
            <w:tcW w:w="60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Without Cause</w:t>
            </w:r>
          </w:p>
        </w:tc>
        <w:tc>
          <w:tcPr>
            <w:tcW w:w="120" w:type="dxa"/>
            <w:vAlign w:val="bottom"/>
            <w:shd w:val="clear" w:color="auto" w:fill="F79646"/>
          </w:tcPr>
          <w:p>
            <w:pPr>
              <w:spacing w:after="0"/>
              <w:rPr>
                <w:sz w:val="11"/>
                <w:szCs w:val="11"/>
                <w:color w:val="auto"/>
              </w:rPr>
            </w:pPr>
          </w:p>
        </w:tc>
        <w:tc>
          <w:tcPr>
            <w:tcW w:w="560" w:type="dxa"/>
            <w:vAlign w:val="bottom"/>
            <w:shd w:val="clear" w:color="auto" w:fill="F79646"/>
          </w:tcPr>
          <w:p>
            <w:pPr>
              <w:jc w:val="right"/>
              <w:ind w:right="49"/>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Contemplation of Change in Control</w:t>
            </w:r>
          </w:p>
        </w:tc>
      </w:tr>
      <w:tr>
        <w:trPr>
          <w:trHeight w:val="158"/>
        </w:trPr>
        <w:tc>
          <w:tcPr>
            <w:tcW w:w="200" w:type="dxa"/>
            <w:vAlign w:val="bottom"/>
            <w:tcBorders>
              <w:left w:val="single" w:sz="8" w:color="F79646"/>
              <w:bottom w:val="single" w:sz="8" w:color="F79646"/>
            </w:tcBorders>
            <w:shd w:val="clear" w:color="auto" w:fill="F79646"/>
          </w:tcPr>
          <w:p>
            <w:pPr>
              <w:spacing w:after="0"/>
              <w:rPr>
                <w:sz w:val="13"/>
                <w:szCs w:val="13"/>
                <w:color w:val="auto"/>
              </w:rPr>
            </w:pPr>
          </w:p>
        </w:tc>
        <w:tc>
          <w:tcPr>
            <w:tcW w:w="1480" w:type="dxa"/>
            <w:vAlign w:val="bottom"/>
            <w:tcBorders>
              <w:bottom w:val="single" w:sz="8" w:color="auto"/>
            </w:tcBorders>
            <w:shd w:val="clear" w:color="auto" w:fill="F79646"/>
          </w:tcPr>
          <w:p>
            <w:pPr>
              <w:ind w:left="480"/>
              <w:spacing w:after="0"/>
              <w:rPr>
                <w:sz w:val="20"/>
                <w:szCs w:val="20"/>
                <w:color w:val="auto"/>
              </w:rPr>
            </w:pPr>
            <w:r>
              <w:rPr>
                <w:rFonts w:ascii="Arial" w:cs="Arial" w:eastAsia="Arial" w:hAnsi="Arial"/>
                <w:sz w:val="10"/>
                <w:szCs w:val="10"/>
                <w:b w:val="1"/>
                <w:bCs w:val="1"/>
                <w:color w:val="FFFFFE"/>
              </w:rPr>
              <w:t>Termination</w:t>
            </w:r>
          </w:p>
        </w:tc>
        <w:tc>
          <w:tcPr>
            <w:tcW w:w="100" w:type="dxa"/>
            <w:vAlign w:val="bottom"/>
            <w:tcBorders>
              <w:bottom w:val="single" w:sz="8" w:color="F79646"/>
            </w:tcBorders>
            <w:shd w:val="clear" w:color="auto" w:fill="F79646"/>
          </w:tcPr>
          <w:p>
            <w:pPr>
              <w:spacing w:after="0"/>
              <w:rPr>
                <w:sz w:val="13"/>
                <w:szCs w:val="13"/>
                <w:color w:val="auto"/>
              </w:rPr>
            </w:pPr>
          </w:p>
        </w:tc>
        <w:tc>
          <w:tcPr>
            <w:tcW w:w="720" w:type="dxa"/>
            <w:vAlign w:val="bottom"/>
            <w:tcBorders>
              <w:bottom w:val="single" w:sz="8" w:color="auto"/>
            </w:tcBorders>
            <w:shd w:val="clear" w:color="auto" w:fill="F79646"/>
          </w:tcPr>
          <w:p>
            <w:pPr>
              <w:jc w:val="right"/>
              <w:ind w:right="269"/>
              <w:spacing w:after="0"/>
              <w:rPr>
                <w:sz w:val="20"/>
                <w:szCs w:val="20"/>
                <w:color w:val="auto"/>
              </w:rPr>
            </w:pPr>
            <w:r>
              <w:rPr>
                <w:rFonts w:ascii="Arial" w:cs="Arial" w:eastAsia="Arial" w:hAnsi="Arial"/>
                <w:sz w:val="10"/>
                <w:szCs w:val="10"/>
                <w:b w:val="1"/>
                <w:bCs w:val="1"/>
                <w:color w:val="FFFFFE"/>
              </w:rPr>
              <w:t>($)</w:t>
            </w:r>
          </w:p>
        </w:tc>
        <w:tc>
          <w:tcPr>
            <w:tcW w:w="100" w:type="dxa"/>
            <w:vAlign w:val="bottom"/>
            <w:tcBorders>
              <w:bottom w:val="single" w:sz="8" w:color="F79646"/>
            </w:tcBorders>
            <w:shd w:val="clear" w:color="auto" w:fill="F79646"/>
          </w:tcPr>
          <w:p>
            <w:pPr>
              <w:spacing w:after="0"/>
              <w:rPr>
                <w:sz w:val="13"/>
                <w:szCs w:val="13"/>
                <w:color w:val="auto"/>
              </w:rPr>
            </w:pPr>
          </w:p>
        </w:tc>
        <w:tc>
          <w:tcPr>
            <w:tcW w:w="600" w:type="dxa"/>
            <w:vAlign w:val="bottom"/>
            <w:tcBorders>
              <w:bottom w:val="single" w:sz="8" w:color="auto"/>
            </w:tcBorders>
            <w:shd w:val="clear" w:color="auto" w:fill="F79646"/>
          </w:tcPr>
          <w:p>
            <w:pPr>
              <w:jc w:val="right"/>
              <w:ind w:right="20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840" w:type="dxa"/>
            <w:vAlign w:val="bottom"/>
            <w:tcBorders>
              <w:bottom w:val="single" w:sz="8" w:color="auto"/>
            </w:tcBorders>
            <w:shd w:val="clear" w:color="auto" w:fill="F79646"/>
          </w:tcPr>
          <w:p>
            <w:pPr>
              <w:jc w:val="right"/>
              <w:ind w:right="32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jc w:val="right"/>
              <w:ind w:right="18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1840" w:type="dxa"/>
            <w:vAlign w:val="bottom"/>
            <w:tcBorders>
              <w:bottom w:val="single" w:sz="8" w:color="auto"/>
            </w:tcBorders>
            <w:shd w:val="clear" w:color="auto" w:fill="F79646"/>
          </w:tcPr>
          <w:p>
            <w:pPr>
              <w:jc w:val="right"/>
              <w:ind w:right="829"/>
              <w:spacing w:after="0"/>
              <w:rPr>
                <w:sz w:val="20"/>
                <w:szCs w:val="20"/>
                <w:color w:val="auto"/>
              </w:rPr>
            </w:pPr>
            <w:r>
              <w:rPr>
                <w:rFonts w:ascii="Arial" w:cs="Arial" w:eastAsia="Arial" w:hAnsi="Arial"/>
                <w:sz w:val="10"/>
                <w:szCs w:val="10"/>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09"/>
        </w:trPr>
        <w:tc>
          <w:tcPr>
            <w:tcW w:w="1680" w:type="dxa"/>
            <w:vAlign w:val="bottom"/>
            <w:tcBorders>
              <w:left w:val="single" w:sz="8" w:color="F79646"/>
            </w:tcBorders>
            <w:gridSpan w:val="2"/>
            <w:shd w:val="clear" w:color="auto" w:fill="FCDEC5"/>
          </w:tcPr>
          <w:p>
            <w:pPr>
              <w:ind w:left="200"/>
              <w:spacing w:after="0" w:line="110" w:lineRule="exact"/>
              <w:rPr>
                <w:sz w:val="20"/>
                <w:szCs w:val="20"/>
                <w:color w:val="auto"/>
              </w:rPr>
            </w:pPr>
            <w:r>
              <w:rPr>
                <w:rFonts w:ascii="Arial" w:cs="Arial" w:eastAsia="Arial" w:hAnsi="Arial"/>
                <w:sz w:val="10"/>
                <w:szCs w:val="10"/>
                <w:color w:val="auto"/>
              </w:rPr>
              <w:t>Base salary payout</w:t>
            </w:r>
          </w:p>
        </w:tc>
        <w:tc>
          <w:tcPr>
            <w:tcW w:w="100" w:type="dxa"/>
            <w:vAlign w:val="bottom"/>
            <w:shd w:val="clear" w:color="auto" w:fill="FCDEC5"/>
          </w:tcPr>
          <w:p>
            <w:pPr>
              <w:spacing w:after="0"/>
              <w:rPr>
                <w:sz w:val="9"/>
                <w:szCs w:val="9"/>
                <w:color w:val="auto"/>
              </w:rPr>
            </w:pPr>
          </w:p>
        </w:tc>
        <w:tc>
          <w:tcPr>
            <w:tcW w:w="72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00" w:type="dxa"/>
            <w:vAlign w:val="bottom"/>
            <w:shd w:val="clear" w:color="auto" w:fill="FCDEC5"/>
          </w:tcPr>
          <w:p>
            <w:pPr>
              <w:spacing w:after="0"/>
              <w:rPr>
                <w:sz w:val="9"/>
                <w:szCs w:val="9"/>
                <w:color w:val="auto"/>
              </w:rPr>
            </w:pPr>
          </w:p>
        </w:tc>
        <w:tc>
          <w:tcPr>
            <w:tcW w:w="60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120" w:type="dxa"/>
            <w:vAlign w:val="bottom"/>
            <w:shd w:val="clear" w:color="auto" w:fill="FCDEC5"/>
          </w:tcPr>
          <w:p>
            <w:pPr>
              <w:spacing w:after="0"/>
              <w:rPr>
                <w:sz w:val="9"/>
                <w:szCs w:val="9"/>
                <w:color w:val="auto"/>
              </w:rPr>
            </w:pPr>
          </w:p>
        </w:tc>
        <w:tc>
          <w:tcPr>
            <w:tcW w:w="5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9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200" w:type="dxa"/>
            <w:vAlign w:val="bottom"/>
            <w:tcBorders>
              <w:right w:val="single" w:sz="8" w:color="F79646"/>
            </w:tcBorders>
            <w:shd w:val="clear" w:color="auto" w:fill="FCDEC5"/>
          </w:tcPr>
          <w:p>
            <w:pPr>
              <w:spacing w:after="0"/>
              <w:rPr>
                <w:sz w:val="9"/>
                <w:szCs w:val="9"/>
                <w:color w:val="auto"/>
              </w:rPr>
            </w:pPr>
          </w:p>
        </w:tc>
      </w:tr>
      <w:tr>
        <w:trPr>
          <w:trHeight w:val="116"/>
        </w:trPr>
        <w:tc>
          <w:tcPr>
            <w:tcW w:w="1680" w:type="dxa"/>
            <w:vAlign w:val="bottom"/>
            <w:tcBorders>
              <w:left w:val="single" w:sz="8" w:color="F79646"/>
            </w:tcBorders>
            <w:gridSpan w:val="2"/>
          </w:tcPr>
          <w:p>
            <w:pPr>
              <w:ind w:left="200"/>
              <w:spacing w:after="0"/>
              <w:rPr>
                <w:sz w:val="20"/>
                <w:szCs w:val="20"/>
                <w:color w:val="auto"/>
              </w:rPr>
            </w:pPr>
            <w:r>
              <w:rPr>
                <w:rFonts w:ascii="Arial" w:cs="Arial" w:eastAsia="Arial" w:hAnsi="Arial"/>
                <w:sz w:val="10"/>
                <w:szCs w:val="10"/>
                <w:color w:val="auto"/>
              </w:rPr>
              <w:t>Restricted stock units</w:t>
            </w:r>
          </w:p>
        </w:tc>
        <w:tc>
          <w:tcPr>
            <w:tcW w:w="820" w:type="dxa"/>
            <w:vAlign w:val="bottom"/>
            <w:gridSpan w:val="2"/>
          </w:tcPr>
          <w:p>
            <w:pPr>
              <w:jc w:val="right"/>
              <w:spacing w:after="0"/>
              <w:rPr>
                <w:sz w:val="20"/>
                <w:szCs w:val="20"/>
                <w:color w:val="auto"/>
              </w:rPr>
            </w:pPr>
            <w:r>
              <w:rPr>
                <w:rFonts w:ascii="Arial" w:cs="Arial" w:eastAsia="Arial" w:hAnsi="Arial"/>
                <w:sz w:val="10"/>
                <w:szCs w:val="10"/>
                <w:color w:val="auto"/>
              </w:rPr>
              <w:t>1,047,664</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1,047,664</w:t>
            </w:r>
          </w:p>
        </w:tc>
        <w:tc>
          <w:tcPr>
            <w:tcW w:w="1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402,017</w:t>
            </w:r>
          </w:p>
        </w:tc>
        <w:tc>
          <w:tcPr>
            <w:tcW w:w="1960" w:type="dxa"/>
            <w:vAlign w:val="bottom"/>
            <w:gridSpan w:val="2"/>
          </w:tcPr>
          <w:p>
            <w:pPr>
              <w:jc w:val="right"/>
              <w:spacing w:after="0"/>
              <w:rPr>
                <w:sz w:val="20"/>
                <w:szCs w:val="20"/>
                <w:color w:val="auto"/>
              </w:rPr>
            </w:pPr>
            <w:r>
              <w:rPr>
                <w:rFonts w:ascii="Arial" w:cs="Arial" w:eastAsia="Arial" w:hAnsi="Arial"/>
                <w:sz w:val="10"/>
                <w:szCs w:val="10"/>
                <w:color w:val="auto"/>
              </w:rPr>
              <w:t>1,047,664</w:t>
            </w:r>
          </w:p>
        </w:tc>
        <w:tc>
          <w:tcPr>
            <w:tcW w:w="200" w:type="dxa"/>
            <w:vAlign w:val="bottom"/>
            <w:tcBorders>
              <w:right w:val="single" w:sz="8" w:color="F79646"/>
            </w:tcBorders>
          </w:tcPr>
          <w:p>
            <w:pPr>
              <w:spacing w:after="0"/>
              <w:rPr>
                <w:sz w:val="10"/>
                <w:szCs w:val="10"/>
                <w:color w:val="auto"/>
              </w:rPr>
            </w:pPr>
          </w:p>
        </w:tc>
      </w:tr>
      <w:tr>
        <w:trPr>
          <w:trHeight w:val="119"/>
        </w:trPr>
        <w:tc>
          <w:tcPr>
            <w:tcW w:w="1680" w:type="dxa"/>
            <w:vAlign w:val="bottom"/>
            <w:tcBorders>
              <w:left w:val="single" w:sz="8" w:color="F79646"/>
            </w:tcBorders>
            <w:gridSpan w:val="2"/>
            <w:shd w:val="clear" w:color="auto" w:fill="FCDEC5"/>
          </w:tcPr>
          <w:p>
            <w:pPr>
              <w:ind w:left="200"/>
              <w:spacing w:after="0"/>
              <w:rPr>
                <w:sz w:val="20"/>
                <w:szCs w:val="20"/>
                <w:color w:val="auto"/>
              </w:rPr>
            </w:pPr>
            <w:r>
              <w:rPr>
                <w:rFonts w:ascii="Arial" w:cs="Arial" w:eastAsia="Arial" w:hAnsi="Arial"/>
                <w:sz w:val="10"/>
                <w:szCs w:val="10"/>
                <w:color w:val="auto"/>
              </w:rPr>
              <w:t>Performance restricted stock</w:t>
            </w:r>
          </w:p>
        </w:tc>
        <w:tc>
          <w:tcPr>
            <w:tcW w:w="100" w:type="dxa"/>
            <w:vAlign w:val="bottom"/>
            <w:shd w:val="clear" w:color="auto" w:fill="FCDEC5"/>
          </w:tcPr>
          <w:p>
            <w:pPr>
              <w:spacing w:after="0"/>
              <w:rPr>
                <w:sz w:val="10"/>
                <w:szCs w:val="10"/>
                <w:color w:val="auto"/>
              </w:rPr>
            </w:pPr>
          </w:p>
        </w:tc>
        <w:tc>
          <w:tcPr>
            <w:tcW w:w="720" w:type="dxa"/>
            <w:vAlign w:val="bottom"/>
            <w:shd w:val="clear" w:color="auto" w:fill="FCDEC5"/>
          </w:tcPr>
          <w:p>
            <w:pPr>
              <w:spacing w:after="0"/>
              <w:rPr>
                <w:sz w:val="10"/>
                <w:szCs w:val="10"/>
                <w:color w:val="auto"/>
              </w:rPr>
            </w:pPr>
          </w:p>
        </w:tc>
        <w:tc>
          <w:tcPr>
            <w:tcW w:w="100" w:type="dxa"/>
            <w:vAlign w:val="bottom"/>
            <w:shd w:val="clear" w:color="auto" w:fill="FCDEC5"/>
          </w:tcPr>
          <w:p>
            <w:pPr>
              <w:spacing w:after="0"/>
              <w:rPr>
                <w:sz w:val="10"/>
                <w:szCs w:val="10"/>
                <w:color w:val="auto"/>
              </w:rPr>
            </w:pPr>
          </w:p>
        </w:tc>
        <w:tc>
          <w:tcPr>
            <w:tcW w:w="60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84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560" w:type="dxa"/>
            <w:vAlign w:val="bottom"/>
            <w:shd w:val="clear" w:color="auto" w:fill="FCDEC5"/>
          </w:tcPr>
          <w:p>
            <w:pPr>
              <w:spacing w:after="0"/>
              <w:rPr>
                <w:sz w:val="10"/>
                <w:szCs w:val="10"/>
                <w:color w:val="auto"/>
              </w:rPr>
            </w:pPr>
          </w:p>
        </w:tc>
        <w:tc>
          <w:tcPr>
            <w:tcW w:w="120" w:type="dxa"/>
            <w:vAlign w:val="bottom"/>
            <w:shd w:val="clear" w:color="auto" w:fill="FCDEC5"/>
          </w:tcPr>
          <w:p>
            <w:pPr>
              <w:spacing w:after="0"/>
              <w:rPr>
                <w:sz w:val="10"/>
                <w:szCs w:val="10"/>
                <w:color w:val="auto"/>
              </w:rPr>
            </w:pPr>
          </w:p>
        </w:tc>
        <w:tc>
          <w:tcPr>
            <w:tcW w:w="1840" w:type="dxa"/>
            <w:vAlign w:val="bottom"/>
            <w:shd w:val="clear" w:color="auto" w:fill="FCDEC5"/>
          </w:tcPr>
          <w:p>
            <w:pPr>
              <w:spacing w:after="0"/>
              <w:rPr>
                <w:sz w:val="10"/>
                <w:szCs w:val="10"/>
                <w:color w:val="auto"/>
              </w:rPr>
            </w:pPr>
          </w:p>
        </w:tc>
        <w:tc>
          <w:tcPr>
            <w:tcW w:w="200" w:type="dxa"/>
            <w:vAlign w:val="bottom"/>
            <w:tcBorders>
              <w:right w:val="single" w:sz="8" w:color="F79646"/>
            </w:tcBorders>
            <w:shd w:val="clear" w:color="auto" w:fill="FCDEC5"/>
          </w:tcPr>
          <w:p>
            <w:pPr>
              <w:spacing w:after="0"/>
              <w:rPr>
                <w:sz w:val="10"/>
                <w:szCs w:val="10"/>
                <w:color w:val="auto"/>
              </w:rPr>
            </w:pPr>
          </w:p>
        </w:tc>
      </w:tr>
      <w:tr>
        <w:trPr>
          <w:trHeight w:val="112"/>
        </w:trPr>
        <w:tc>
          <w:tcPr>
            <w:tcW w:w="200" w:type="dxa"/>
            <w:vAlign w:val="bottom"/>
            <w:tcBorders>
              <w:left w:val="single" w:sz="8" w:color="F79646"/>
              <w:bottom w:val="single" w:sz="8" w:color="F79646"/>
            </w:tcBorders>
            <w:shd w:val="clear" w:color="auto" w:fill="FCDEC5"/>
          </w:tcPr>
          <w:p>
            <w:pPr>
              <w:spacing w:after="0"/>
              <w:rPr>
                <w:sz w:val="9"/>
                <w:szCs w:val="9"/>
                <w:color w:val="auto"/>
              </w:rPr>
            </w:pPr>
          </w:p>
        </w:tc>
        <w:tc>
          <w:tcPr>
            <w:tcW w:w="1480" w:type="dxa"/>
            <w:vAlign w:val="bottom"/>
            <w:tcBorders>
              <w:bottom w:val="single" w:sz="8" w:color="F79646"/>
            </w:tcBorders>
            <w:shd w:val="clear" w:color="auto" w:fill="FCDEC5"/>
          </w:tcPr>
          <w:p>
            <w:pPr>
              <w:ind w:left="100"/>
              <w:spacing w:after="0" w:line="112" w:lineRule="exact"/>
              <w:rPr>
                <w:sz w:val="20"/>
                <w:szCs w:val="20"/>
                <w:color w:val="auto"/>
              </w:rPr>
            </w:pPr>
            <w:r>
              <w:rPr>
                <w:rFonts w:ascii="Arial" w:cs="Arial" w:eastAsia="Arial" w:hAnsi="Arial"/>
                <w:sz w:val="10"/>
                <w:szCs w:val="10"/>
                <w:color w:val="auto"/>
              </w:rPr>
              <w:t>units</w:t>
            </w:r>
          </w:p>
        </w:tc>
        <w:tc>
          <w:tcPr>
            <w:tcW w:w="82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336,068</w:t>
            </w:r>
          </w:p>
        </w:tc>
        <w:tc>
          <w:tcPr>
            <w:tcW w:w="70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623,863</w:t>
            </w:r>
          </w:p>
        </w:tc>
        <w:tc>
          <w:tcPr>
            <w:tcW w:w="120" w:type="dxa"/>
            <w:vAlign w:val="bottom"/>
            <w:tcBorders>
              <w:bottom w:val="single" w:sz="8" w:color="F79646"/>
            </w:tcBorders>
            <w:shd w:val="clear" w:color="auto" w:fill="FCDEC5"/>
          </w:tcPr>
          <w:p>
            <w:pPr>
              <w:spacing w:after="0"/>
              <w:rPr>
                <w:sz w:val="9"/>
                <w:szCs w:val="9"/>
                <w:color w:val="auto"/>
              </w:rPr>
            </w:pPr>
          </w:p>
        </w:tc>
        <w:tc>
          <w:tcPr>
            <w:tcW w:w="840" w:type="dxa"/>
            <w:vAlign w:val="bottom"/>
            <w:tcBorders>
              <w:bottom w:val="single" w:sz="8" w:color="F79646"/>
            </w:tcBorders>
            <w:shd w:val="clear" w:color="auto" w:fill="FCDEC5"/>
          </w:tcPr>
          <w:p>
            <w:pPr>
              <w:jc w:val="right"/>
              <w:spacing w:after="0" w:line="112"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519,335</w:t>
            </w:r>
          </w:p>
        </w:tc>
        <w:tc>
          <w:tcPr>
            <w:tcW w:w="1960" w:type="dxa"/>
            <w:vAlign w:val="bottom"/>
            <w:tcBorders>
              <w:bottom w:val="single" w:sz="8" w:color="F79646"/>
            </w:tcBorders>
            <w:gridSpan w:val="2"/>
            <w:shd w:val="clear" w:color="auto" w:fill="FCDEC5"/>
          </w:tcPr>
          <w:p>
            <w:pPr>
              <w:jc w:val="right"/>
              <w:spacing w:after="0" w:line="112" w:lineRule="exact"/>
              <w:rPr>
                <w:sz w:val="20"/>
                <w:szCs w:val="20"/>
                <w:color w:val="auto"/>
              </w:rPr>
            </w:pPr>
            <w:r>
              <w:rPr>
                <w:rFonts w:ascii="Arial" w:cs="Arial" w:eastAsia="Arial" w:hAnsi="Arial"/>
                <w:sz w:val="10"/>
                <w:szCs w:val="10"/>
                <w:color w:val="auto"/>
              </w:rPr>
              <w:t>623,863</w:t>
            </w:r>
          </w:p>
        </w:tc>
        <w:tc>
          <w:tcPr>
            <w:tcW w:w="200" w:type="dxa"/>
            <w:vAlign w:val="bottom"/>
            <w:tcBorders>
              <w:bottom w:val="single" w:sz="8" w:color="F79646"/>
              <w:right w:val="single" w:sz="8" w:color="F79646"/>
            </w:tcBorders>
            <w:shd w:val="clear" w:color="auto" w:fill="FCDEC5"/>
          </w:tcPr>
          <w:p>
            <w:pPr>
              <w:spacing w:after="0"/>
              <w:rPr>
                <w:sz w:val="9"/>
                <w:szCs w:val="9"/>
                <w:color w:val="auto"/>
              </w:rPr>
            </w:pP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Nalin Miglani</w:t>
      </w:r>
    </w:p>
    <w:p>
      <w:pPr>
        <w:spacing w:after="0" w:line="165" w:lineRule="exact"/>
        <w:rPr>
          <w:sz w:val="20"/>
          <w:szCs w:val="20"/>
          <w:color w:val="auto"/>
        </w:rPr>
      </w:pPr>
    </w:p>
    <w:p>
      <w:pPr>
        <w:ind w:left="200" w:right="199"/>
        <w:spacing w:after="0" w:line="235" w:lineRule="auto"/>
        <w:rPr>
          <w:sz w:val="20"/>
          <w:szCs w:val="20"/>
          <w:color w:val="auto"/>
        </w:rPr>
      </w:pPr>
      <w:r>
        <w:rPr>
          <w:rFonts w:ascii="Arial" w:cs="Arial" w:eastAsia="Arial" w:hAnsi="Arial"/>
          <w:sz w:val="13"/>
          <w:szCs w:val="13"/>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36" w:name="page37"/>
    <w:bookmarkEnd w:id="36"/>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50"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On a "change in control" (as defined in the 2006 Plan or 2015 Plan, as applicable) or death, Mr. Miglani's outstanding equity awards will vest in the same manner as described for Mr. Chhibbar's outstanding equity awards beginning on page 60.</w:t>
      </w:r>
    </w:p>
    <w:p>
      <w:pPr>
        <w:spacing w:after="0" w:line="150"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Indicative Payouts for Nalin Miglani</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20"/>
              <w:spacing w:after="0"/>
              <w:rPr>
                <w:sz w:val="20"/>
                <w:szCs w:val="20"/>
                <w:color w:val="auto"/>
              </w:rPr>
            </w:pPr>
            <w:r>
              <w:rPr>
                <w:rFonts w:ascii="Arial" w:cs="Arial" w:eastAsia="Arial" w:hAnsi="Arial"/>
                <w:sz w:val="10"/>
                <w:szCs w:val="10"/>
                <w:b w:val="1"/>
                <w:bCs w:val="1"/>
                <w:color w:val="FFFFFE"/>
              </w:rPr>
              <w:t>Termination Without Cause or for</w:t>
            </w:r>
          </w:p>
        </w:tc>
      </w:tr>
      <w:tr>
        <w:trPr>
          <w:trHeight w:val="116"/>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Good</w:t>
            </w:r>
          </w:p>
        </w:tc>
      </w:tr>
      <w:tr>
        <w:trPr>
          <w:trHeight w:val="116"/>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Reason Following Change in Control</w:t>
            </w:r>
          </w:p>
        </w:tc>
      </w:tr>
      <w:tr>
        <w:trPr>
          <w:trHeight w:val="116"/>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w:t>
            </w: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or</w:t>
            </w:r>
          </w:p>
        </w:tc>
      </w:tr>
      <w:tr>
        <w:trPr>
          <w:trHeight w:val="116"/>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Prior to a</w:t>
            </w: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Death After</w:t>
            </w: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Termination for</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Termination Without Cause in</w:t>
            </w:r>
          </w:p>
        </w:tc>
      </w:tr>
      <w:tr>
        <w:trPr>
          <w:trHeight w:val="116"/>
        </w:trPr>
        <w:tc>
          <w:tcPr>
            <w:tcW w:w="880" w:type="dxa"/>
            <w:vAlign w:val="bottom"/>
            <w:tcBorders>
              <w:right w:val="single" w:sz="8" w:color="F79646"/>
            </w:tcBorders>
          </w:tcPr>
          <w:p>
            <w:pPr>
              <w:spacing w:after="0"/>
              <w:rPr>
                <w:sz w:val="10"/>
                <w:szCs w:val="10"/>
                <w:color w:val="auto"/>
              </w:rPr>
            </w:pPr>
          </w:p>
        </w:tc>
        <w:tc>
          <w:tcPr>
            <w:tcW w:w="180" w:type="dxa"/>
            <w:vAlign w:val="bottom"/>
            <w:shd w:val="clear" w:color="auto" w:fill="F79646"/>
          </w:tcPr>
          <w:p>
            <w:pPr>
              <w:spacing w:after="0"/>
              <w:rPr>
                <w:sz w:val="10"/>
                <w:szCs w:val="10"/>
                <w:color w:val="auto"/>
              </w:rPr>
            </w:pPr>
          </w:p>
        </w:tc>
        <w:tc>
          <w:tcPr>
            <w:tcW w:w="1580" w:type="dxa"/>
            <w:vAlign w:val="bottom"/>
            <w:shd w:val="clear" w:color="auto" w:fill="F79646"/>
          </w:tcPr>
          <w:p>
            <w:pPr>
              <w:spacing w:after="0"/>
              <w:rPr>
                <w:sz w:val="10"/>
                <w:szCs w:val="10"/>
                <w:color w:val="auto"/>
              </w:rPr>
            </w:pPr>
          </w:p>
        </w:tc>
        <w:tc>
          <w:tcPr>
            <w:tcW w:w="120" w:type="dxa"/>
            <w:vAlign w:val="bottom"/>
            <w:shd w:val="clear" w:color="auto" w:fill="F79646"/>
          </w:tcPr>
          <w:p>
            <w:pPr>
              <w:spacing w:after="0"/>
              <w:rPr>
                <w:sz w:val="10"/>
                <w:szCs w:val="10"/>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w w:val="98"/>
              </w:rPr>
              <w:t>Change</w:t>
            </w:r>
          </w:p>
        </w:tc>
        <w:tc>
          <w:tcPr>
            <w:tcW w:w="120" w:type="dxa"/>
            <w:vAlign w:val="bottom"/>
            <w:shd w:val="clear" w:color="auto" w:fill="F79646"/>
          </w:tcPr>
          <w:p>
            <w:pPr>
              <w:spacing w:after="0"/>
              <w:rPr>
                <w:sz w:val="10"/>
                <w:szCs w:val="10"/>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a Change in</w:t>
            </w:r>
          </w:p>
        </w:tc>
        <w:tc>
          <w:tcPr>
            <w:tcW w:w="120" w:type="dxa"/>
            <w:vAlign w:val="bottom"/>
            <w:shd w:val="clear" w:color="auto" w:fill="F79646"/>
          </w:tcPr>
          <w:p>
            <w:pPr>
              <w:spacing w:after="0"/>
              <w:rPr>
                <w:sz w:val="10"/>
                <w:szCs w:val="10"/>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Good Reason or</w:t>
            </w:r>
          </w:p>
        </w:tc>
        <w:tc>
          <w:tcPr>
            <w:tcW w:w="120" w:type="dxa"/>
            <w:vAlign w:val="bottom"/>
            <w:shd w:val="clear" w:color="auto" w:fill="F79646"/>
          </w:tcPr>
          <w:p>
            <w:pPr>
              <w:spacing w:after="0"/>
              <w:rPr>
                <w:sz w:val="10"/>
                <w:szCs w:val="10"/>
                <w:color w:val="auto"/>
              </w:rPr>
            </w:pPr>
          </w:p>
        </w:tc>
        <w:tc>
          <w:tcPr>
            <w:tcW w:w="560" w:type="dxa"/>
            <w:vAlign w:val="bottom"/>
            <w:shd w:val="clear" w:color="auto" w:fill="F79646"/>
          </w:tcPr>
          <w:p>
            <w:pPr>
              <w:jc w:val="right"/>
              <w:spacing w:after="0"/>
              <w:rPr>
                <w:sz w:val="20"/>
                <w:szCs w:val="20"/>
                <w:color w:val="auto"/>
              </w:rPr>
            </w:pPr>
            <w:r>
              <w:rPr>
                <w:rFonts w:ascii="Arial" w:cs="Arial" w:eastAsia="Arial" w:hAnsi="Arial"/>
                <w:sz w:val="10"/>
                <w:szCs w:val="10"/>
                <w:b w:val="1"/>
                <w:bCs w:val="1"/>
                <w:color w:val="FFFFFE"/>
              </w:rPr>
              <w:t>Change in</w:t>
            </w:r>
          </w:p>
        </w:tc>
        <w:tc>
          <w:tcPr>
            <w:tcW w:w="120" w:type="dxa"/>
            <w:vAlign w:val="bottom"/>
            <w:shd w:val="clear" w:color="auto" w:fill="F79646"/>
          </w:tcPr>
          <w:p>
            <w:pPr>
              <w:spacing w:after="0"/>
              <w:rPr>
                <w:sz w:val="10"/>
                <w:szCs w:val="10"/>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Specific</w:t>
            </w:r>
          </w:p>
        </w:tc>
      </w:tr>
      <w:tr>
        <w:trPr>
          <w:trHeight w:val="135"/>
        </w:trPr>
        <w:tc>
          <w:tcPr>
            <w:tcW w:w="880" w:type="dxa"/>
            <w:vAlign w:val="bottom"/>
            <w:tcBorders>
              <w:right w:val="single" w:sz="8" w:color="F79646"/>
            </w:tcBorders>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1580" w:type="dxa"/>
            <w:vAlign w:val="bottom"/>
            <w:shd w:val="clear" w:color="auto" w:fill="F79646"/>
          </w:tcPr>
          <w:p>
            <w:pPr>
              <w:ind w:left="400"/>
              <w:spacing w:after="0"/>
              <w:rPr>
                <w:sz w:val="20"/>
                <w:szCs w:val="20"/>
                <w:color w:val="auto"/>
              </w:rPr>
            </w:pPr>
            <w:r>
              <w:rPr>
                <w:rFonts w:ascii="Arial" w:cs="Arial" w:eastAsia="Arial" w:hAnsi="Arial"/>
                <w:sz w:val="10"/>
                <w:szCs w:val="10"/>
                <w:b w:val="1"/>
                <w:bCs w:val="1"/>
                <w:color w:val="FFFFFE"/>
              </w:rPr>
              <w:t>Payments upon</w:t>
            </w:r>
          </w:p>
        </w:tc>
        <w:tc>
          <w:tcPr>
            <w:tcW w:w="120" w:type="dxa"/>
            <w:vAlign w:val="bottom"/>
            <w:shd w:val="clear" w:color="auto" w:fill="F79646"/>
          </w:tcPr>
          <w:p>
            <w:pPr>
              <w:spacing w:after="0"/>
              <w:rPr>
                <w:sz w:val="11"/>
                <w:szCs w:val="11"/>
                <w:color w:val="auto"/>
              </w:rPr>
            </w:pPr>
          </w:p>
        </w:tc>
        <w:tc>
          <w:tcPr>
            <w:tcW w:w="52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in Control</w:t>
            </w:r>
          </w:p>
        </w:tc>
        <w:tc>
          <w:tcPr>
            <w:tcW w:w="120" w:type="dxa"/>
            <w:vAlign w:val="bottom"/>
            <w:shd w:val="clear" w:color="auto" w:fill="F79646"/>
          </w:tcPr>
          <w:p>
            <w:pPr>
              <w:spacing w:after="0"/>
              <w:rPr>
                <w:sz w:val="11"/>
                <w:szCs w:val="11"/>
                <w:color w:val="auto"/>
              </w:rPr>
            </w:pPr>
          </w:p>
        </w:tc>
        <w:tc>
          <w:tcPr>
            <w:tcW w:w="66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840" w:type="dxa"/>
            <w:vAlign w:val="bottom"/>
            <w:shd w:val="clear" w:color="auto" w:fill="F79646"/>
          </w:tcPr>
          <w:p>
            <w:pPr>
              <w:jc w:val="center"/>
              <w:spacing w:after="0"/>
              <w:rPr>
                <w:sz w:val="20"/>
                <w:szCs w:val="20"/>
                <w:color w:val="auto"/>
              </w:rPr>
            </w:pPr>
            <w:r>
              <w:rPr>
                <w:rFonts w:ascii="Arial" w:cs="Arial" w:eastAsia="Arial" w:hAnsi="Arial"/>
                <w:sz w:val="10"/>
                <w:szCs w:val="10"/>
                <w:b w:val="1"/>
                <w:bCs w:val="1"/>
                <w:color w:val="FFFFFE"/>
              </w:rPr>
              <w:t>Without Cause</w:t>
            </w:r>
          </w:p>
        </w:tc>
        <w:tc>
          <w:tcPr>
            <w:tcW w:w="120" w:type="dxa"/>
            <w:vAlign w:val="bottom"/>
            <w:shd w:val="clear" w:color="auto" w:fill="F79646"/>
          </w:tcPr>
          <w:p>
            <w:pPr>
              <w:spacing w:after="0"/>
              <w:rPr>
                <w:sz w:val="11"/>
                <w:szCs w:val="11"/>
                <w:color w:val="auto"/>
              </w:rPr>
            </w:pPr>
          </w:p>
        </w:tc>
        <w:tc>
          <w:tcPr>
            <w:tcW w:w="560" w:type="dxa"/>
            <w:vAlign w:val="bottom"/>
            <w:shd w:val="clear" w:color="auto" w:fill="F79646"/>
          </w:tcPr>
          <w:p>
            <w:pPr>
              <w:jc w:val="right"/>
              <w:ind w:right="49"/>
              <w:spacing w:after="0"/>
              <w:rPr>
                <w:sz w:val="20"/>
                <w:szCs w:val="20"/>
                <w:color w:val="auto"/>
              </w:rPr>
            </w:pPr>
            <w:r>
              <w:rPr>
                <w:rFonts w:ascii="Arial" w:cs="Arial" w:eastAsia="Arial" w:hAnsi="Arial"/>
                <w:sz w:val="10"/>
                <w:szCs w:val="10"/>
                <w:b w:val="1"/>
                <w:bCs w:val="1"/>
                <w:color w:val="FFFFFE"/>
              </w:rPr>
              <w:t>Control</w:t>
            </w:r>
          </w:p>
        </w:tc>
        <w:tc>
          <w:tcPr>
            <w:tcW w:w="120" w:type="dxa"/>
            <w:vAlign w:val="bottom"/>
            <w:shd w:val="clear" w:color="auto" w:fill="F79646"/>
          </w:tcPr>
          <w:p>
            <w:pPr>
              <w:spacing w:after="0"/>
              <w:rPr>
                <w:sz w:val="11"/>
                <w:szCs w:val="11"/>
                <w:color w:val="auto"/>
              </w:rPr>
            </w:pPr>
          </w:p>
        </w:tc>
        <w:tc>
          <w:tcPr>
            <w:tcW w:w="204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0"/>
                <w:szCs w:val="10"/>
                <w:b w:val="1"/>
                <w:bCs w:val="1"/>
                <w:color w:val="FFFFFE"/>
              </w:rPr>
              <w:t>Contemplation of Change in Control</w:t>
            </w:r>
          </w:p>
        </w:tc>
      </w:tr>
      <w:tr>
        <w:trPr>
          <w:trHeight w:val="158"/>
        </w:trPr>
        <w:tc>
          <w:tcPr>
            <w:tcW w:w="880" w:type="dxa"/>
            <w:vAlign w:val="bottom"/>
            <w:tcBorders>
              <w:right w:val="single" w:sz="8" w:color="F79646"/>
            </w:tcBorders>
          </w:tcPr>
          <w:p>
            <w:pPr>
              <w:spacing w:after="0"/>
              <w:rPr>
                <w:sz w:val="13"/>
                <w:szCs w:val="13"/>
                <w:color w:val="auto"/>
              </w:rPr>
            </w:pPr>
          </w:p>
        </w:tc>
        <w:tc>
          <w:tcPr>
            <w:tcW w:w="180" w:type="dxa"/>
            <w:vAlign w:val="bottom"/>
            <w:tcBorders>
              <w:bottom w:val="single" w:sz="8" w:color="F79646"/>
            </w:tcBorders>
            <w:shd w:val="clear" w:color="auto" w:fill="F79646"/>
          </w:tcPr>
          <w:p>
            <w:pPr>
              <w:spacing w:after="0"/>
              <w:rPr>
                <w:sz w:val="13"/>
                <w:szCs w:val="13"/>
                <w:color w:val="auto"/>
              </w:rPr>
            </w:pPr>
          </w:p>
        </w:tc>
        <w:tc>
          <w:tcPr>
            <w:tcW w:w="1580" w:type="dxa"/>
            <w:vAlign w:val="bottom"/>
            <w:tcBorders>
              <w:bottom w:val="single" w:sz="8" w:color="auto"/>
            </w:tcBorders>
            <w:shd w:val="clear" w:color="auto" w:fill="F79646"/>
          </w:tcPr>
          <w:p>
            <w:pPr>
              <w:ind w:left="520"/>
              <w:spacing w:after="0"/>
              <w:rPr>
                <w:sz w:val="20"/>
                <w:szCs w:val="20"/>
                <w:color w:val="auto"/>
              </w:rPr>
            </w:pPr>
            <w:r>
              <w:rPr>
                <w:rFonts w:ascii="Arial" w:cs="Arial" w:eastAsia="Arial" w:hAnsi="Arial"/>
                <w:sz w:val="10"/>
                <w:szCs w:val="10"/>
                <w:b w:val="1"/>
                <w:bCs w:val="1"/>
                <w:color w:val="FFFFFE"/>
              </w:rPr>
              <w:t>Termination</w:t>
            </w:r>
          </w:p>
        </w:tc>
        <w:tc>
          <w:tcPr>
            <w:tcW w:w="120" w:type="dxa"/>
            <w:vAlign w:val="bottom"/>
            <w:tcBorders>
              <w:bottom w:val="single" w:sz="8" w:color="F79646"/>
            </w:tcBorders>
            <w:shd w:val="clear" w:color="auto" w:fill="F79646"/>
          </w:tcPr>
          <w:p>
            <w:pPr>
              <w:spacing w:after="0"/>
              <w:rPr>
                <w:sz w:val="13"/>
                <w:szCs w:val="13"/>
                <w:color w:val="auto"/>
              </w:rPr>
            </w:pPr>
          </w:p>
        </w:tc>
        <w:tc>
          <w:tcPr>
            <w:tcW w:w="520" w:type="dxa"/>
            <w:vAlign w:val="bottom"/>
            <w:tcBorders>
              <w:bottom w:val="single" w:sz="8" w:color="auto"/>
            </w:tcBorders>
            <w:shd w:val="clear" w:color="auto" w:fill="F79646"/>
          </w:tcPr>
          <w:p>
            <w:pPr>
              <w:jc w:val="right"/>
              <w:ind w:right="16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660" w:type="dxa"/>
            <w:vAlign w:val="bottom"/>
            <w:tcBorders>
              <w:bottom w:val="single" w:sz="8" w:color="auto"/>
            </w:tcBorders>
            <w:shd w:val="clear" w:color="auto" w:fill="F79646"/>
          </w:tcPr>
          <w:p>
            <w:pPr>
              <w:jc w:val="right"/>
              <w:ind w:right="22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840" w:type="dxa"/>
            <w:vAlign w:val="bottom"/>
            <w:tcBorders>
              <w:bottom w:val="single" w:sz="8" w:color="auto"/>
            </w:tcBorders>
            <w:shd w:val="clear" w:color="auto" w:fill="F79646"/>
          </w:tcPr>
          <w:p>
            <w:pPr>
              <w:jc w:val="right"/>
              <w:ind w:right="32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560" w:type="dxa"/>
            <w:vAlign w:val="bottom"/>
            <w:tcBorders>
              <w:bottom w:val="single" w:sz="8" w:color="auto"/>
            </w:tcBorders>
            <w:shd w:val="clear" w:color="auto" w:fill="F79646"/>
          </w:tcPr>
          <w:p>
            <w:pPr>
              <w:jc w:val="right"/>
              <w:ind w:right="189"/>
              <w:spacing w:after="0"/>
              <w:rPr>
                <w:sz w:val="20"/>
                <w:szCs w:val="20"/>
                <w:color w:val="auto"/>
              </w:rPr>
            </w:pPr>
            <w:r>
              <w:rPr>
                <w:rFonts w:ascii="Arial" w:cs="Arial" w:eastAsia="Arial" w:hAnsi="Arial"/>
                <w:sz w:val="10"/>
                <w:szCs w:val="10"/>
                <w:b w:val="1"/>
                <w:bCs w:val="1"/>
                <w:color w:val="FFFFFE"/>
              </w:rPr>
              <w:t>($)</w:t>
            </w:r>
          </w:p>
        </w:tc>
        <w:tc>
          <w:tcPr>
            <w:tcW w:w="120" w:type="dxa"/>
            <w:vAlign w:val="bottom"/>
            <w:tcBorders>
              <w:bottom w:val="single" w:sz="8" w:color="F79646"/>
            </w:tcBorders>
            <w:shd w:val="clear" w:color="auto" w:fill="F79646"/>
          </w:tcPr>
          <w:p>
            <w:pPr>
              <w:spacing w:after="0"/>
              <w:rPr>
                <w:sz w:val="13"/>
                <w:szCs w:val="13"/>
                <w:color w:val="auto"/>
              </w:rPr>
            </w:pPr>
          </w:p>
        </w:tc>
        <w:tc>
          <w:tcPr>
            <w:tcW w:w="1840" w:type="dxa"/>
            <w:vAlign w:val="bottom"/>
            <w:tcBorders>
              <w:bottom w:val="single" w:sz="8" w:color="auto"/>
            </w:tcBorders>
            <w:shd w:val="clear" w:color="auto" w:fill="F79646"/>
          </w:tcPr>
          <w:p>
            <w:pPr>
              <w:jc w:val="right"/>
              <w:ind w:right="829"/>
              <w:spacing w:after="0"/>
              <w:rPr>
                <w:sz w:val="20"/>
                <w:szCs w:val="20"/>
                <w:color w:val="auto"/>
              </w:rPr>
            </w:pPr>
            <w:r>
              <w:rPr>
                <w:rFonts w:ascii="Arial" w:cs="Arial" w:eastAsia="Arial" w:hAnsi="Arial"/>
                <w:sz w:val="10"/>
                <w:szCs w:val="10"/>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09"/>
        </w:trPr>
        <w:tc>
          <w:tcPr>
            <w:tcW w:w="880" w:type="dxa"/>
            <w:vAlign w:val="bottom"/>
            <w:tcBorders>
              <w:right w:val="single" w:sz="8" w:color="F79646"/>
            </w:tcBorders>
          </w:tcPr>
          <w:p>
            <w:pPr>
              <w:spacing w:after="0"/>
              <w:rPr>
                <w:sz w:val="9"/>
                <w:szCs w:val="9"/>
                <w:color w:val="auto"/>
              </w:rPr>
            </w:pPr>
          </w:p>
        </w:tc>
        <w:tc>
          <w:tcPr>
            <w:tcW w:w="1760" w:type="dxa"/>
            <w:vAlign w:val="bottom"/>
            <w:gridSpan w:val="2"/>
            <w:shd w:val="clear" w:color="auto" w:fill="FCDEC5"/>
          </w:tcPr>
          <w:p>
            <w:pPr>
              <w:ind w:left="180"/>
              <w:spacing w:after="0" w:line="110" w:lineRule="exact"/>
              <w:rPr>
                <w:sz w:val="20"/>
                <w:szCs w:val="20"/>
                <w:color w:val="auto"/>
              </w:rPr>
            </w:pPr>
            <w:r>
              <w:rPr>
                <w:rFonts w:ascii="Arial" w:cs="Arial" w:eastAsia="Arial" w:hAnsi="Arial"/>
                <w:sz w:val="10"/>
                <w:szCs w:val="10"/>
                <w:color w:val="auto"/>
              </w:rPr>
              <w:t>Base salary payout</w:t>
            </w:r>
          </w:p>
        </w:tc>
        <w:tc>
          <w:tcPr>
            <w:tcW w:w="120" w:type="dxa"/>
            <w:vAlign w:val="bottom"/>
            <w:shd w:val="clear" w:color="auto" w:fill="FCDEC5"/>
          </w:tcPr>
          <w:p>
            <w:pPr>
              <w:spacing w:after="0"/>
              <w:rPr>
                <w:sz w:val="9"/>
                <w:szCs w:val="9"/>
                <w:color w:val="auto"/>
              </w:rPr>
            </w:pPr>
          </w:p>
        </w:tc>
        <w:tc>
          <w:tcPr>
            <w:tcW w:w="52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20" w:type="dxa"/>
            <w:vAlign w:val="bottom"/>
            <w:shd w:val="clear" w:color="auto" w:fill="FCDEC5"/>
          </w:tcPr>
          <w:p>
            <w:pPr>
              <w:spacing w:after="0"/>
              <w:rPr>
                <w:sz w:val="9"/>
                <w:szCs w:val="9"/>
                <w:color w:val="auto"/>
              </w:rPr>
            </w:pPr>
          </w:p>
        </w:tc>
        <w:tc>
          <w:tcPr>
            <w:tcW w:w="6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120" w:type="dxa"/>
            <w:vAlign w:val="bottom"/>
            <w:shd w:val="clear" w:color="auto" w:fill="FCDEC5"/>
          </w:tcPr>
          <w:p>
            <w:pPr>
              <w:spacing w:after="0"/>
              <w:rPr>
                <w:sz w:val="9"/>
                <w:szCs w:val="9"/>
                <w:color w:val="auto"/>
              </w:rPr>
            </w:pPr>
          </w:p>
        </w:tc>
        <w:tc>
          <w:tcPr>
            <w:tcW w:w="560" w:type="dxa"/>
            <w:vAlign w:val="bottom"/>
            <w:shd w:val="clear" w:color="auto" w:fill="FCDEC5"/>
          </w:tcPr>
          <w:p>
            <w:pPr>
              <w:jc w:val="right"/>
              <w:spacing w:after="0" w:line="110" w:lineRule="exact"/>
              <w:rPr>
                <w:sz w:val="20"/>
                <w:szCs w:val="20"/>
                <w:color w:val="auto"/>
              </w:rPr>
            </w:pPr>
            <w:r>
              <w:rPr>
                <w:rFonts w:ascii="Arial" w:cs="Arial" w:eastAsia="Arial" w:hAnsi="Arial"/>
                <w:sz w:val="10"/>
                <w:szCs w:val="10"/>
                <w:color w:val="auto"/>
              </w:rPr>
              <w:t>—</w:t>
            </w:r>
          </w:p>
        </w:tc>
        <w:tc>
          <w:tcPr>
            <w:tcW w:w="1960" w:type="dxa"/>
            <w:vAlign w:val="bottom"/>
            <w:gridSpan w:val="2"/>
            <w:shd w:val="clear" w:color="auto" w:fill="FCDEC5"/>
          </w:tcPr>
          <w:p>
            <w:pPr>
              <w:jc w:val="right"/>
              <w:spacing w:after="0" w:line="110" w:lineRule="exact"/>
              <w:rPr>
                <w:sz w:val="20"/>
                <w:szCs w:val="20"/>
                <w:color w:val="auto"/>
              </w:rPr>
            </w:pPr>
            <w:r>
              <w:rPr>
                <w:rFonts w:ascii="Arial" w:cs="Arial" w:eastAsia="Arial" w:hAnsi="Arial"/>
                <w:sz w:val="10"/>
                <w:szCs w:val="10"/>
                <w:color w:val="auto"/>
              </w:rPr>
              <w:t>450,000</w:t>
            </w:r>
          </w:p>
        </w:tc>
        <w:tc>
          <w:tcPr>
            <w:tcW w:w="200" w:type="dxa"/>
            <w:vAlign w:val="bottom"/>
            <w:tcBorders>
              <w:right w:val="single" w:sz="8" w:color="F79646"/>
            </w:tcBorders>
            <w:shd w:val="clear" w:color="auto" w:fill="FCDEC5"/>
          </w:tcPr>
          <w:p>
            <w:pPr>
              <w:spacing w:after="0"/>
              <w:rPr>
                <w:sz w:val="9"/>
                <w:szCs w:val="9"/>
                <w:color w:val="auto"/>
              </w:rPr>
            </w:pPr>
          </w:p>
        </w:tc>
      </w:tr>
      <w:tr>
        <w:trPr>
          <w:trHeight w:val="116"/>
        </w:trPr>
        <w:tc>
          <w:tcPr>
            <w:tcW w:w="880" w:type="dxa"/>
            <w:vAlign w:val="bottom"/>
            <w:tcBorders>
              <w:right w:val="single" w:sz="8" w:color="F79646"/>
            </w:tcBorders>
          </w:tcPr>
          <w:p>
            <w:pPr>
              <w:spacing w:after="0"/>
              <w:rPr>
                <w:sz w:val="10"/>
                <w:szCs w:val="10"/>
                <w:color w:val="auto"/>
              </w:rPr>
            </w:pPr>
          </w:p>
        </w:tc>
        <w:tc>
          <w:tcPr>
            <w:tcW w:w="1760" w:type="dxa"/>
            <w:vAlign w:val="bottom"/>
            <w:gridSpan w:val="2"/>
          </w:tcPr>
          <w:p>
            <w:pPr>
              <w:ind w:left="180"/>
              <w:spacing w:after="0"/>
              <w:rPr>
                <w:sz w:val="20"/>
                <w:szCs w:val="20"/>
                <w:color w:val="auto"/>
              </w:rPr>
            </w:pPr>
            <w:r>
              <w:rPr>
                <w:rFonts w:ascii="Arial" w:cs="Arial" w:eastAsia="Arial" w:hAnsi="Arial"/>
                <w:sz w:val="10"/>
                <w:szCs w:val="10"/>
                <w:color w:val="auto"/>
              </w:rPr>
              <w:t>Restricted stock units</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903,617</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903,617</w:t>
            </w:r>
          </w:p>
        </w:tc>
        <w:tc>
          <w:tcPr>
            <w:tcW w:w="1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spacing w:after="0"/>
              <w:rPr>
                <w:sz w:val="20"/>
                <w:szCs w:val="20"/>
                <w:color w:val="auto"/>
              </w:rPr>
            </w:pPr>
            <w:r>
              <w:rPr>
                <w:rFonts w:ascii="Arial" w:cs="Arial" w:eastAsia="Arial" w:hAnsi="Arial"/>
                <w:sz w:val="10"/>
                <w:szCs w:val="10"/>
                <w:color w:val="auto"/>
              </w:rPr>
              <w:t>383,547</w:t>
            </w:r>
          </w:p>
        </w:tc>
        <w:tc>
          <w:tcPr>
            <w:tcW w:w="1960" w:type="dxa"/>
            <w:vAlign w:val="bottom"/>
            <w:gridSpan w:val="2"/>
          </w:tcPr>
          <w:p>
            <w:pPr>
              <w:jc w:val="right"/>
              <w:spacing w:after="0"/>
              <w:rPr>
                <w:sz w:val="20"/>
                <w:szCs w:val="20"/>
                <w:color w:val="auto"/>
              </w:rPr>
            </w:pPr>
            <w:r>
              <w:rPr>
                <w:rFonts w:ascii="Arial" w:cs="Arial" w:eastAsia="Arial" w:hAnsi="Arial"/>
                <w:sz w:val="10"/>
                <w:szCs w:val="10"/>
                <w:color w:val="auto"/>
              </w:rPr>
              <w:t>903,617</w:t>
            </w:r>
          </w:p>
        </w:tc>
        <w:tc>
          <w:tcPr>
            <w:tcW w:w="200" w:type="dxa"/>
            <w:vAlign w:val="bottom"/>
            <w:tcBorders>
              <w:right w:val="single" w:sz="8" w:color="F79646"/>
            </w:tcBorders>
          </w:tcPr>
          <w:p>
            <w:pPr>
              <w:spacing w:after="0"/>
              <w:rPr>
                <w:sz w:val="10"/>
                <w:szCs w:val="10"/>
                <w:color w:val="auto"/>
              </w:rPr>
            </w:pPr>
          </w:p>
        </w:tc>
      </w:tr>
      <w:tr>
        <w:trPr>
          <w:trHeight w:val="116"/>
        </w:trPr>
        <w:tc>
          <w:tcPr>
            <w:tcW w:w="880" w:type="dxa"/>
            <w:vAlign w:val="bottom"/>
            <w:tcBorders>
              <w:right w:val="single" w:sz="8" w:color="F79646"/>
            </w:tcBorders>
          </w:tcPr>
          <w:p>
            <w:pPr>
              <w:spacing w:after="0"/>
              <w:rPr>
                <w:sz w:val="10"/>
                <w:szCs w:val="10"/>
                <w:color w:val="auto"/>
              </w:rPr>
            </w:pPr>
          </w:p>
        </w:tc>
        <w:tc>
          <w:tcPr>
            <w:tcW w:w="1760" w:type="dxa"/>
            <w:vAlign w:val="bottom"/>
            <w:tcBorders>
              <w:bottom w:val="single" w:sz="8" w:color="F79646"/>
            </w:tcBorders>
            <w:gridSpan w:val="2"/>
            <w:shd w:val="clear" w:color="auto" w:fill="FCDEC5"/>
          </w:tcPr>
          <w:p>
            <w:pPr>
              <w:ind w:left="180"/>
              <w:spacing w:after="0"/>
              <w:rPr>
                <w:sz w:val="20"/>
                <w:szCs w:val="20"/>
                <w:color w:val="auto"/>
              </w:rPr>
            </w:pPr>
            <w:r>
              <w:rPr>
                <w:rFonts w:ascii="Arial" w:cs="Arial" w:eastAsia="Arial" w:hAnsi="Arial"/>
                <w:sz w:val="10"/>
                <w:szCs w:val="10"/>
                <w:color w:val="auto"/>
              </w:rPr>
              <w:t>Performance restricted stock units</w:t>
            </w:r>
          </w:p>
        </w:tc>
        <w:tc>
          <w:tcPr>
            <w:tcW w:w="64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363,255</w:t>
            </w:r>
          </w:p>
        </w:tc>
        <w:tc>
          <w:tcPr>
            <w:tcW w:w="78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673,396</w:t>
            </w:r>
          </w:p>
        </w:tc>
        <w:tc>
          <w:tcPr>
            <w:tcW w:w="120" w:type="dxa"/>
            <w:vAlign w:val="bottom"/>
            <w:tcBorders>
              <w:bottom w:val="single" w:sz="8" w:color="F79646"/>
            </w:tcBorders>
            <w:shd w:val="clear" w:color="auto" w:fill="FCDEC5"/>
          </w:tcPr>
          <w:p>
            <w:pPr>
              <w:spacing w:after="0"/>
              <w:rPr>
                <w:sz w:val="10"/>
                <w:szCs w:val="10"/>
                <w:color w:val="auto"/>
              </w:rPr>
            </w:pPr>
          </w:p>
        </w:tc>
        <w:tc>
          <w:tcPr>
            <w:tcW w:w="840" w:type="dxa"/>
            <w:vAlign w:val="bottom"/>
            <w:tcBorders>
              <w:bottom w:val="single" w:sz="8" w:color="F79646"/>
            </w:tcBorders>
            <w:shd w:val="clear" w:color="auto" w:fill="FCDEC5"/>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560,976</w:t>
            </w:r>
          </w:p>
        </w:tc>
        <w:tc>
          <w:tcPr>
            <w:tcW w:w="196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0"/>
                <w:szCs w:val="10"/>
                <w:color w:val="auto"/>
              </w:rPr>
              <w:t>673,396</w:t>
            </w:r>
          </w:p>
        </w:tc>
        <w:tc>
          <w:tcPr>
            <w:tcW w:w="200" w:type="dxa"/>
            <w:vAlign w:val="bottom"/>
            <w:tcBorders>
              <w:bottom w:val="single" w:sz="8" w:color="F79646"/>
              <w:right w:val="single" w:sz="8" w:color="F79646"/>
            </w:tcBorders>
            <w:shd w:val="clear" w:color="auto" w:fill="FCDEC5"/>
          </w:tcPr>
          <w:p>
            <w:pPr>
              <w:spacing w:after="0"/>
              <w:rPr>
                <w:sz w:val="10"/>
                <w:szCs w:val="10"/>
                <w:color w:val="auto"/>
              </w:rPr>
            </w:pPr>
          </w:p>
        </w:tc>
      </w:tr>
      <w:tr>
        <w:trPr>
          <w:trHeight w:val="295"/>
        </w:trPr>
        <w:tc>
          <w:tcPr>
            <w:tcW w:w="2640" w:type="dxa"/>
            <w:vAlign w:val="bottom"/>
            <w:gridSpan w:val="3"/>
          </w:tcPr>
          <w:p>
            <w:pPr>
              <w:spacing w:after="0"/>
              <w:rPr>
                <w:sz w:val="20"/>
                <w:szCs w:val="20"/>
                <w:color w:val="auto"/>
              </w:rPr>
            </w:pPr>
            <w:r>
              <w:rPr>
                <w:rFonts w:ascii="Arial" w:cs="Arial" w:eastAsia="Arial" w:hAnsi="Arial"/>
                <w:sz w:val="13"/>
                <w:szCs w:val="13"/>
                <w:b w:val="1"/>
                <w:bCs w:val="1"/>
                <w:color w:val="auto"/>
              </w:rPr>
              <w:t>Certain Defined Terms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8"/>
        </w:trPr>
        <w:tc>
          <w:tcPr>
            <w:tcW w:w="264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Definition of Cause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49" w:lineRule="exact"/>
        <w:rPr>
          <w:sz w:val="20"/>
          <w:szCs w:val="20"/>
          <w:color w:val="auto"/>
        </w:rPr>
      </w:pPr>
    </w:p>
    <w:p>
      <w:pPr>
        <w:jc w:val="both"/>
        <w:ind w:left="200" w:right="179"/>
        <w:spacing w:after="0" w:line="277" w:lineRule="auto"/>
        <w:rPr>
          <w:sz w:val="20"/>
          <w:szCs w:val="20"/>
          <w:color w:val="auto"/>
        </w:rPr>
      </w:pPr>
      <w:r>
        <w:rPr>
          <w:rFonts w:ascii="Arial" w:cs="Arial" w:eastAsia="Arial" w:hAnsi="Arial"/>
          <w:sz w:val="11"/>
          <w:szCs w:val="11"/>
          <w:color w:val="auto"/>
        </w:rPr>
        <w:t>The following definition of "cause" applies to Messrs. Kapoor, Chhibbar, Bagai, Srivatsan and Miglani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 Mr. Kapoor, which is not remedied within 15 days of receipt of notice from the Company specifying the breach in reasonable detail);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Definition of Good Reason</w:t>
      </w:r>
    </w:p>
    <w:p>
      <w:pPr>
        <w:spacing w:after="0" w:line="163"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For Mr. Kapoor, "good reason" generally means: (i) his duties or responsibilities are substantially reduced, he is required to report to anyone other than our board of directors, or his title as our officer</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81" w:lineRule="auto"/>
        <w:rPr>
          <w:sz w:val="20"/>
          <w:szCs w:val="20"/>
          <w:color w:val="auto"/>
        </w:rPr>
      </w:pPr>
      <w:r>
        <w:rPr>
          <w:rFonts w:ascii="Arial" w:cs="Arial" w:eastAsia="Arial" w:hAnsi="Arial"/>
          <w:sz w:val="11"/>
          <w:szCs w:val="11"/>
          <w:color w:val="auto"/>
        </w:rPr>
        <w:t>is adversely changed; however, if following a change in control, his new title and authority are similar to his old title and authority, then any change in the executive's title will not constitute a significant reduction in his duties and authorities, it being understood that "good reason" shall be deemed to exist if Mr. Kapoor is no longer the chief executive officer of the Company or any entity 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28"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The following definition of "good reason" applies to Messrs. Chhibbar, Bagai, Srivatsan and Miglani unless stated otherwise. "Good reason" means, without the executive's prior written consent: (i) the executive's duties or responsibilities are substantially reduced, or he is required to report to anyone other than our board of directors, or our CEO; (ii) 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 (iii) for Mr. Bagai only, the executive's base salary or annual cash bonus opportunity is reduced, other than in connection with a proportionate reduction impacting all members of our executive committee; (iv) for Messrs. Chhibbar, Srivatsan and Miglani only, there is a change in the office or location where the executive is based of more than 50 miles and such new office or location is more than 50 miles from the executive's primary residence; or (v)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Definition of Change in Control</w:t>
      </w:r>
    </w:p>
    <w:p>
      <w:pPr>
        <w:spacing w:after="0" w:line="163" w:lineRule="exact"/>
        <w:rPr>
          <w:sz w:val="20"/>
          <w:szCs w:val="20"/>
          <w:color w:val="auto"/>
        </w:rPr>
      </w:pPr>
    </w:p>
    <w:p>
      <w:pPr>
        <w:jc w:val="both"/>
        <w:ind w:left="200" w:right="179"/>
        <w:spacing w:after="0" w:line="277" w:lineRule="auto"/>
        <w:rPr>
          <w:sz w:val="20"/>
          <w:szCs w:val="20"/>
          <w:color w:val="auto"/>
        </w:rPr>
      </w:pPr>
      <w:r>
        <w:rPr>
          <w:rFonts w:ascii="Arial" w:cs="Arial" w:eastAsia="Arial" w:hAnsi="Arial"/>
          <w:sz w:val="11"/>
          <w:szCs w:val="11"/>
          <w:color w:val="auto"/>
        </w:rPr>
        <w:t>A "change in control" (as generally defined in Mr. Kapoor's employment agreement, the 2006 Plan and the 2015 Plan, as applicable) generally means any of the following events: (i) 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(50% or more in the 2006 Plan)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ectPr>
          <w:pgSz w:w="11900" w:h="16838" w:orient="portrait"/>
          <w:cols w:equalWidth="0" w:num="1">
            <w:col w:w="9019"/>
          </w:cols>
          <w:pgMar w:left="1440" w:top="295" w:right="1440"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37" w:name="page38"/>
    <w:bookmarkEnd w:id="37"/>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CEO Pay Ratio</w:t>
      </w:r>
    </w:p>
    <w:p>
      <w:pPr>
        <w:spacing w:after="0" w:line="165"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Pursuant to SEC rules, we are required to provide an estimate of the ratio of our CEO's total compensation to our median employee's total compensation (our "Pay Ratio"). Due to the size and complexity of our organization, which is made up of over 29,100 professionals throughout the world, with delivery centers over 10 countries, our Pay Ratio is based on reasonable assumptions and estimates described below.</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We calculated our Pay Ratio by looking at our entire employee population (excluding our CEO) as of December 31, 2018, but excluding leased employees and independent contractors. We then calculated each employee's "total pay" using the sum of his or her fixed pay / base salary and variable pay (including any performance bonus, sales commission, and retention or signing bonus). We also annualized total pay for all full-time and part-time employees that were employed for less than the full 2018 fiscal year.</w:t>
      </w:r>
    </w:p>
    <w:p>
      <w:pPr>
        <w:spacing w:after="0" w:line="151"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94615</wp:posOffset>
            </wp:positionV>
            <wp:extent cx="4388485" cy="562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88485" cy="562610"/>
                    </a:xfrm>
                    <a:prstGeom prst="rect">
                      <a:avLst/>
                    </a:prstGeom>
                    <a:noFill/>
                  </pic:spPr>
                </pic:pic>
              </a:graphicData>
            </a:graphic>
          </wp:anchor>
        </w:drawing>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FFFFFE"/>
        </w:rPr>
        <w:t>Pay Ratio—All Employees (with COLA)</w:t>
      </w:r>
      <w:r>
        <w:rPr>
          <w:rFonts w:ascii="Arial" w:cs="Arial" w:eastAsia="Arial" w:hAnsi="Arial"/>
          <w:sz w:val="20"/>
          <w:szCs w:val="20"/>
          <w:b w:val="1"/>
          <w:bCs w:val="1"/>
          <w:color w:val="FFFFFE"/>
          <w:vertAlign w:val="superscript"/>
        </w:rPr>
        <w:t>(1)</w:t>
      </w:r>
    </w:p>
    <w:tbl>
      <w:tblPr>
        <w:tblLayout w:type="fixed"/>
        <w:tblInd w:w="1060" w:type="dxa"/>
        <w:tblCellMar>
          <w:top w:w="0" w:type="dxa"/>
          <w:left w:w="0" w:type="dxa"/>
          <w:bottom w:w="0" w:type="dxa"/>
          <w:right w:w="0" w:type="dxa"/>
        </w:tblCellMar>
      </w:tblPr>
      <w:tr>
        <w:trPr>
          <w:trHeight w:val="134"/>
        </w:trPr>
        <w:tc>
          <w:tcPr>
            <w:tcW w:w="200" w:type="dxa"/>
            <w:vAlign w:val="bottom"/>
            <w:shd w:val="clear" w:color="auto" w:fill="FCDEC5"/>
          </w:tcPr>
          <w:p>
            <w:pPr>
              <w:spacing w:after="0"/>
              <w:rPr>
                <w:sz w:val="11"/>
                <w:szCs w:val="11"/>
                <w:color w:val="auto"/>
              </w:rPr>
            </w:pPr>
          </w:p>
        </w:tc>
        <w:tc>
          <w:tcPr>
            <w:tcW w:w="5580" w:type="dxa"/>
            <w:vAlign w:val="bottom"/>
            <w:tcBorders>
              <w:top w:val="single" w:sz="8" w:color="auto"/>
            </w:tcBorders>
            <w:gridSpan w:val="2"/>
            <w:shd w:val="clear" w:color="auto" w:fill="FCDEC5"/>
          </w:tcPr>
          <w:p>
            <w:pPr>
              <w:spacing w:after="0" w:line="134" w:lineRule="exact"/>
              <w:rPr>
                <w:sz w:val="20"/>
                <w:szCs w:val="20"/>
                <w:color w:val="auto"/>
              </w:rPr>
            </w:pPr>
            <w:r>
              <w:rPr>
                <w:rFonts w:ascii="Arial" w:cs="Arial" w:eastAsia="Arial" w:hAnsi="Arial"/>
                <w:sz w:val="13"/>
                <w:szCs w:val="13"/>
                <w:color w:val="auto"/>
              </w:rPr>
              <w:t>Chief Executive Officer's Annual Total Compensation</w:t>
            </w:r>
          </w:p>
        </w:tc>
        <w:tc>
          <w:tcPr>
            <w:tcW w:w="340" w:type="dxa"/>
            <w:vAlign w:val="bottom"/>
            <w:tcBorders>
              <w:top w:val="single" w:sz="8" w:color="auto"/>
            </w:tcBorders>
            <w:shd w:val="clear" w:color="auto" w:fill="FCDEC5"/>
          </w:tcPr>
          <w:p>
            <w:pPr>
              <w:jc w:val="right"/>
              <w:spacing w:after="0" w:line="134"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FCDEC5"/>
          </w:tcPr>
          <w:p>
            <w:pPr>
              <w:jc w:val="right"/>
              <w:spacing w:after="0" w:line="134" w:lineRule="exact"/>
              <w:rPr>
                <w:sz w:val="20"/>
                <w:szCs w:val="20"/>
                <w:color w:val="auto"/>
              </w:rPr>
            </w:pPr>
            <w:r>
              <w:rPr>
                <w:rFonts w:ascii="Arial" w:cs="Arial" w:eastAsia="Arial" w:hAnsi="Arial"/>
                <w:sz w:val="13"/>
                <w:szCs w:val="13"/>
                <w:color w:val="auto"/>
              </w:rPr>
              <w:t>5,105,509</w:t>
            </w:r>
          </w:p>
        </w:tc>
        <w:tc>
          <w:tcPr>
            <w:tcW w:w="180" w:type="dxa"/>
            <w:vAlign w:val="bottom"/>
            <w:shd w:val="clear" w:color="auto" w:fill="FCDEC5"/>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5580" w:type="dxa"/>
            <w:vAlign w:val="bottom"/>
            <w:gridSpan w:val="2"/>
          </w:tcPr>
          <w:p>
            <w:pPr>
              <w:spacing w:after="0" w:line="144" w:lineRule="exact"/>
              <w:rPr>
                <w:sz w:val="20"/>
                <w:szCs w:val="20"/>
                <w:color w:val="auto"/>
              </w:rPr>
            </w:pPr>
            <w:r>
              <w:rPr>
                <w:rFonts w:ascii="Arial" w:cs="Arial" w:eastAsia="Arial" w:hAnsi="Arial"/>
                <w:sz w:val="13"/>
                <w:szCs w:val="13"/>
                <w:color w:val="auto"/>
              </w:rPr>
              <w:t>Median Employee's Annual Total Compensation</w:t>
            </w: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9,460</w:t>
            </w:r>
          </w:p>
        </w:tc>
        <w:tc>
          <w:tcPr>
            <w:tcW w:w="180" w:type="dxa"/>
            <w:vAlign w:val="bottom"/>
          </w:tcPr>
          <w:p>
            <w:pPr>
              <w:spacing w:after="0"/>
              <w:rPr>
                <w:sz w:val="12"/>
                <w:szCs w:val="12"/>
                <w:color w:val="auto"/>
              </w:rPr>
            </w:pPr>
          </w:p>
        </w:tc>
      </w:tr>
      <w:tr>
        <w:trPr>
          <w:trHeight w:val="147"/>
        </w:trPr>
        <w:tc>
          <w:tcPr>
            <w:tcW w:w="200" w:type="dxa"/>
            <w:vAlign w:val="bottom"/>
            <w:shd w:val="clear" w:color="auto" w:fill="FCDEC5"/>
          </w:tcPr>
          <w:p>
            <w:pPr>
              <w:spacing w:after="0"/>
              <w:rPr>
                <w:sz w:val="12"/>
                <w:szCs w:val="12"/>
                <w:color w:val="auto"/>
              </w:rPr>
            </w:pPr>
          </w:p>
        </w:tc>
        <w:tc>
          <w:tcPr>
            <w:tcW w:w="5580" w:type="dxa"/>
            <w:vAlign w:val="bottom"/>
            <w:gridSpan w:val="2"/>
            <w:shd w:val="clear" w:color="auto" w:fill="FCDEC5"/>
          </w:tcPr>
          <w:p>
            <w:pPr>
              <w:spacing w:after="0" w:line="147" w:lineRule="exact"/>
              <w:rPr>
                <w:sz w:val="20"/>
                <w:szCs w:val="20"/>
                <w:color w:val="auto"/>
              </w:rPr>
            </w:pPr>
            <w:r>
              <w:rPr>
                <w:rFonts w:ascii="Arial" w:cs="Arial" w:eastAsia="Arial" w:hAnsi="Arial"/>
                <w:sz w:val="13"/>
                <w:szCs w:val="13"/>
                <w:color w:val="auto"/>
                <w:w w:val="99"/>
              </w:rPr>
              <w:t>Ratio of Chief Executive Officer's Annual Total Compensation to Median Employee's Annual Total</w:t>
            </w:r>
          </w:p>
        </w:tc>
        <w:tc>
          <w:tcPr>
            <w:tcW w:w="340" w:type="dxa"/>
            <w:vAlign w:val="bottom"/>
            <w:shd w:val="clear" w:color="auto" w:fill="FCDEC5"/>
          </w:tcPr>
          <w:p>
            <w:pPr>
              <w:spacing w:after="0"/>
              <w:rPr>
                <w:sz w:val="12"/>
                <w:szCs w:val="12"/>
                <w:color w:val="auto"/>
              </w:rPr>
            </w:pPr>
          </w:p>
        </w:tc>
        <w:tc>
          <w:tcPr>
            <w:tcW w:w="600" w:type="dxa"/>
            <w:vAlign w:val="bottom"/>
            <w:shd w:val="clear" w:color="auto" w:fill="FCDEC5"/>
          </w:tcPr>
          <w:p>
            <w:pPr>
              <w:spacing w:after="0"/>
              <w:rPr>
                <w:sz w:val="12"/>
                <w:szCs w:val="12"/>
                <w:color w:val="auto"/>
              </w:rPr>
            </w:pPr>
          </w:p>
        </w:tc>
        <w:tc>
          <w:tcPr>
            <w:tcW w:w="180" w:type="dxa"/>
            <w:vAlign w:val="bottom"/>
            <w:shd w:val="clear" w:color="auto" w:fill="FCDEC5"/>
          </w:tcPr>
          <w:p>
            <w:pPr>
              <w:spacing w:after="0"/>
              <w:rPr>
                <w:sz w:val="12"/>
                <w:szCs w:val="12"/>
                <w:color w:val="auto"/>
              </w:rPr>
            </w:pPr>
          </w:p>
        </w:tc>
      </w:tr>
      <w:tr>
        <w:trPr>
          <w:trHeight w:val="142"/>
        </w:trPr>
        <w:tc>
          <w:tcPr>
            <w:tcW w:w="200" w:type="dxa"/>
            <w:vAlign w:val="bottom"/>
            <w:shd w:val="clear" w:color="auto" w:fill="FCDEC5"/>
          </w:tcPr>
          <w:p>
            <w:pPr>
              <w:spacing w:after="0"/>
              <w:rPr>
                <w:sz w:val="12"/>
                <w:szCs w:val="12"/>
                <w:color w:val="auto"/>
              </w:rPr>
            </w:pPr>
          </w:p>
        </w:tc>
        <w:tc>
          <w:tcPr>
            <w:tcW w:w="5580" w:type="dxa"/>
            <w:vAlign w:val="bottom"/>
            <w:gridSpan w:val="2"/>
            <w:shd w:val="clear" w:color="auto" w:fill="FCDEC5"/>
          </w:tcPr>
          <w:p>
            <w:pPr>
              <w:ind w:left="120"/>
              <w:spacing w:after="0" w:line="143" w:lineRule="exact"/>
              <w:rPr>
                <w:sz w:val="20"/>
                <w:szCs w:val="20"/>
                <w:color w:val="auto"/>
              </w:rPr>
            </w:pPr>
            <w:r>
              <w:rPr>
                <w:rFonts w:ascii="Arial" w:cs="Arial" w:eastAsia="Arial" w:hAnsi="Arial"/>
                <w:sz w:val="13"/>
                <w:szCs w:val="13"/>
                <w:color w:val="auto"/>
              </w:rPr>
              <w:t>Compensation</w:t>
            </w:r>
          </w:p>
        </w:tc>
        <w:tc>
          <w:tcPr>
            <w:tcW w:w="340" w:type="dxa"/>
            <w:vAlign w:val="bottom"/>
            <w:shd w:val="clear" w:color="auto" w:fill="FCDEC5"/>
          </w:tcPr>
          <w:p>
            <w:pPr>
              <w:spacing w:after="0"/>
              <w:rPr>
                <w:sz w:val="12"/>
                <w:szCs w:val="12"/>
                <w:color w:val="auto"/>
              </w:rPr>
            </w:pPr>
          </w:p>
        </w:tc>
        <w:tc>
          <w:tcPr>
            <w:tcW w:w="600" w:type="dxa"/>
            <w:vAlign w:val="bottom"/>
            <w:shd w:val="clear" w:color="auto" w:fill="FCDEC5"/>
          </w:tcPr>
          <w:p>
            <w:pPr>
              <w:jc w:val="right"/>
              <w:spacing w:after="0" w:line="143" w:lineRule="exact"/>
              <w:rPr>
                <w:sz w:val="20"/>
                <w:szCs w:val="20"/>
                <w:color w:val="auto"/>
              </w:rPr>
            </w:pPr>
            <w:r>
              <w:rPr>
                <w:rFonts w:ascii="Arial" w:cs="Arial" w:eastAsia="Arial" w:hAnsi="Arial"/>
                <w:sz w:val="13"/>
                <w:szCs w:val="13"/>
                <w:color w:val="auto"/>
              </w:rPr>
              <w:t>540:1</w:t>
            </w:r>
          </w:p>
        </w:tc>
        <w:tc>
          <w:tcPr>
            <w:tcW w:w="180" w:type="dxa"/>
            <w:vAlign w:val="bottom"/>
            <w:shd w:val="clear" w:color="auto" w:fill="FCDEC5"/>
          </w:tcPr>
          <w:p>
            <w:pPr>
              <w:spacing w:after="0"/>
              <w:rPr>
                <w:sz w:val="12"/>
                <w:szCs w:val="12"/>
                <w:color w:val="auto"/>
              </w:rPr>
            </w:pPr>
          </w:p>
        </w:tc>
      </w:tr>
      <w:tr>
        <w:trPr>
          <w:trHeight w:val="87"/>
        </w:trPr>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57" w:lineRule="exact"/>
        <w:rPr>
          <w:sz w:val="20"/>
          <w:szCs w:val="20"/>
          <w:color w:val="auto"/>
        </w:rPr>
      </w:pPr>
    </w:p>
    <w:p>
      <w:pPr>
        <w:ind w:left="1440" w:right="199" w:hanging="382"/>
        <w:spacing w:after="0" w:line="257" w:lineRule="auto"/>
        <w:tabs>
          <w:tab w:leader="none" w:pos="1440" w:val="left"/>
        </w:tabs>
        <w:numPr>
          <w:ilvl w:val="0"/>
          <w:numId w:val="90"/>
        </w:numPr>
        <w:rPr>
          <w:rFonts w:ascii="Arial" w:cs="Arial" w:eastAsia="Arial" w:hAnsi="Arial"/>
          <w:sz w:val="10"/>
          <w:szCs w:val="10"/>
          <w:color w:val="auto"/>
        </w:rPr>
      </w:pPr>
      <w:r>
        <w:rPr>
          <w:rFonts w:ascii="Arial" w:cs="Arial" w:eastAsia="Arial" w:hAnsi="Arial"/>
          <w:sz w:val="10"/>
          <w:szCs w:val="10"/>
          <w:color w:val="auto"/>
        </w:rPr>
        <w:t>2018 Mercer Combined Index. Our median employee, identified without performing a cost-of-living adjustment, is based in India and had an annual total compensation of $6,066, resulting in a pay ratio of 842:1.</w:t>
      </w:r>
    </w:p>
    <w:p>
      <w:pPr>
        <w:spacing w:after="0" w:line="138"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Approximately 91% of our employees are located outside of the United States, primarily in India and the Philippines.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94615</wp:posOffset>
            </wp:positionV>
            <wp:extent cx="4388485" cy="562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88485" cy="562610"/>
                    </a:xfrm>
                    <a:prstGeom prst="rect">
                      <a:avLst/>
                    </a:prstGeom>
                    <a:noFill/>
                  </pic:spPr>
                </pic:pic>
              </a:graphicData>
            </a:graphic>
          </wp:anchor>
        </w:drawing>
      </w: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FFFFFE"/>
        </w:rPr>
        <w:t>Pay Ratio—United States Employees</w:t>
      </w:r>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137"/>
        </w:trPr>
        <w:tc>
          <w:tcPr>
            <w:tcW w:w="860" w:type="dxa"/>
            <w:vAlign w:val="bottom"/>
          </w:tcPr>
          <w:p>
            <w:pPr>
              <w:spacing w:after="0"/>
              <w:rPr>
                <w:sz w:val="11"/>
                <w:szCs w:val="11"/>
                <w:color w:val="auto"/>
              </w:rPr>
            </w:pPr>
          </w:p>
        </w:tc>
        <w:tc>
          <w:tcPr>
            <w:tcW w:w="200" w:type="dxa"/>
            <w:vAlign w:val="bottom"/>
            <w:shd w:val="clear" w:color="auto" w:fill="FCDEC5"/>
          </w:tcPr>
          <w:p>
            <w:pPr>
              <w:spacing w:after="0"/>
              <w:rPr>
                <w:sz w:val="11"/>
                <w:szCs w:val="11"/>
                <w:color w:val="auto"/>
              </w:rPr>
            </w:pPr>
          </w:p>
        </w:tc>
        <w:tc>
          <w:tcPr>
            <w:tcW w:w="5580" w:type="dxa"/>
            <w:vAlign w:val="bottom"/>
            <w:tcBorders>
              <w:top w:val="single" w:sz="8" w:color="auto"/>
            </w:tcBorders>
            <w:shd w:val="clear" w:color="auto" w:fill="FCDEC5"/>
          </w:tcPr>
          <w:p>
            <w:pPr>
              <w:spacing w:after="0" w:line="137" w:lineRule="exact"/>
              <w:rPr>
                <w:sz w:val="20"/>
                <w:szCs w:val="20"/>
                <w:color w:val="auto"/>
              </w:rPr>
            </w:pPr>
            <w:r>
              <w:rPr>
                <w:rFonts w:ascii="Arial" w:cs="Arial" w:eastAsia="Arial" w:hAnsi="Arial"/>
                <w:sz w:val="13"/>
                <w:szCs w:val="13"/>
                <w:color w:val="auto"/>
              </w:rPr>
              <w:t>Chief Executive Officer's Annual Total Compensation</w:t>
            </w:r>
          </w:p>
        </w:tc>
        <w:tc>
          <w:tcPr>
            <w:tcW w:w="340" w:type="dxa"/>
            <w:vAlign w:val="bottom"/>
            <w:tcBorders>
              <w:top w:val="single" w:sz="8" w:color="auto"/>
            </w:tcBorders>
            <w:shd w:val="clear" w:color="auto" w:fill="FCDEC5"/>
          </w:tcPr>
          <w:p>
            <w:pPr>
              <w:jc w:val="right"/>
              <w:spacing w:after="0" w:line="137"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FCDEC5"/>
          </w:tcPr>
          <w:p>
            <w:pPr>
              <w:jc w:val="right"/>
              <w:spacing w:after="0" w:line="137" w:lineRule="exact"/>
              <w:rPr>
                <w:sz w:val="20"/>
                <w:szCs w:val="20"/>
                <w:color w:val="auto"/>
              </w:rPr>
            </w:pPr>
            <w:r>
              <w:rPr>
                <w:rFonts w:ascii="Arial" w:cs="Arial" w:eastAsia="Arial" w:hAnsi="Arial"/>
                <w:sz w:val="13"/>
                <w:szCs w:val="13"/>
                <w:color w:val="auto"/>
              </w:rPr>
              <w:t>5,105,509</w:t>
            </w:r>
          </w:p>
        </w:tc>
        <w:tc>
          <w:tcPr>
            <w:tcW w:w="200" w:type="dxa"/>
            <w:vAlign w:val="bottom"/>
            <w:tcBorders>
              <w:right w:val="single" w:sz="8" w:color="F79646"/>
            </w:tcBorders>
            <w:shd w:val="clear" w:color="auto" w:fill="FCDEC5"/>
          </w:tcPr>
          <w:p>
            <w:pPr>
              <w:spacing w:after="0"/>
              <w:rPr>
                <w:sz w:val="11"/>
                <w:szCs w:val="11"/>
                <w:color w:val="auto"/>
              </w:rPr>
            </w:pPr>
          </w:p>
        </w:tc>
        <w:tc>
          <w:tcPr>
            <w:tcW w:w="860" w:type="dxa"/>
            <w:vAlign w:val="bottom"/>
          </w:tcPr>
          <w:p>
            <w:pPr>
              <w:spacing w:after="0"/>
              <w:rPr>
                <w:sz w:val="11"/>
                <w:szCs w:val="11"/>
                <w:color w:val="auto"/>
              </w:rPr>
            </w:pPr>
          </w:p>
        </w:tc>
      </w:tr>
      <w:tr>
        <w:trPr>
          <w:trHeight w:val="144"/>
        </w:trPr>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spacing w:after="0" w:line="144" w:lineRule="exact"/>
              <w:rPr>
                <w:sz w:val="20"/>
                <w:szCs w:val="20"/>
                <w:color w:val="auto"/>
              </w:rPr>
            </w:pPr>
            <w:r>
              <w:rPr>
                <w:rFonts w:ascii="Arial" w:cs="Arial" w:eastAsia="Arial" w:hAnsi="Arial"/>
                <w:sz w:val="13"/>
                <w:szCs w:val="13"/>
                <w:color w:val="auto"/>
              </w:rPr>
              <w:t>Median Employee's Annual Total Compensation</w:t>
            </w: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72,117</w:t>
            </w:r>
          </w:p>
        </w:tc>
        <w:tc>
          <w:tcPr>
            <w:tcW w:w="200" w:type="dxa"/>
            <w:vAlign w:val="bottom"/>
            <w:tcBorders>
              <w:right w:val="single" w:sz="8" w:color="F79646"/>
            </w:tcBorders>
          </w:tcPr>
          <w:p>
            <w:pPr>
              <w:spacing w:after="0"/>
              <w:rPr>
                <w:sz w:val="12"/>
                <w:szCs w:val="12"/>
                <w:color w:val="auto"/>
              </w:rPr>
            </w:pPr>
          </w:p>
        </w:tc>
        <w:tc>
          <w:tcPr>
            <w:tcW w:w="860" w:type="dxa"/>
            <w:vAlign w:val="bottom"/>
          </w:tcPr>
          <w:p>
            <w:pPr>
              <w:spacing w:after="0"/>
              <w:rPr>
                <w:sz w:val="12"/>
                <w:szCs w:val="12"/>
                <w:color w:val="auto"/>
              </w:rPr>
            </w:pPr>
          </w:p>
        </w:tc>
      </w:tr>
      <w:tr>
        <w:trPr>
          <w:trHeight w:val="147"/>
        </w:trPr>
        <w:tc>
          <w:tcPr>
            <w:tcW w:w="860" w:type="dxa"/>
            <w:vAlign w:val="bottom"/>
          </w:tcPr>
          <w:p>
            <w:pPr>
              <w:spacing w:after="0"/>
              <w:rPr>
                <w:sz w:val="12"/>
                <w:szCs w:val="12"/>
                <w:color w:val="auto"/>
              </w:rPr>
            </w:pPr>
          </w:p>
        </w:tc>
        <w:tc>
          <w:tcPr>
            <w:tcW w:w="200" w:type="dxa"/>
            <w:vAlign w:val="bottom"/>
            <w:shd w:val="clear" w:color="auto" w:fill="FCDEC5"/>
          </w:tcPr>
          <w:p>
            <w:pPr>
              <w:spacing w:after="0"/>
              <w:rPr>
                <w:sz w:val="12"/>
                <w:szCs w:val="12"/>
                <w:color w:val="auto"/>
              </w:rPr>
            </w:pPr>
          </w:p>
        </w:tc>
        <w:tc>
          <w:tcPr>
            <w:tcW w:w="5580" w:type="dxa"/>
            <w:vAlign w:val="bottom"/>
            <w:shd w:val="clear" w:color="auto" w:fill="FCDEC5"/>
          </w:tcPr>
          <w:p>
            <w:pPr>
              <w:spacing w:after="0" w:line="147" w:lineRule="exact"/>
              <w:rPr>
                <w:sz w:val="20"/>
                <w:szCs w:val="20"/>
                <w:color w:val="auto"/>
              </w:rPr>
            </w:pPr>
            <w:r>
              <w:rPr>
                <w:rFonts w:ascii="Arial" w:cs="Arial" w:eastAsia="Arial" w:hAnsi="Arial"/>
                <w:sz w:val="13"/>
                <w:szCs w:val="13"/>
                <w:color w:val="auto"/>
                <w:w w:val="99"/>
              </w:rPr>
              <w:t>Ratio of Chief Executive Officer's Annual Total Compensation to Median Employee's Annual Total</w:t>
            </w:r>
          </w:p>
        </w:tc>
        <w:tc>
          <w:tcPr>
            <w:tcW w:w="340" w:type="dxa"/>
            <w:vAlign w:val="bottom"/>
            <w:shd w:val="clear" w:color="auto" w:fill="FCDEC5"/>
          </w:tcPr>
          <w:p>
            <w:pPr>
              <w:spacing w:after="0"/>
              <w:rPr>
                <w:sz w:val="12"/>
                <w:szCs w:val="12"/>
                <w:color w:val="auto"/>
              </w:rPr>
            </w:pPr>
          </w:p>
        </w:tc>
        <w:tc>
          <w:tcPr>
            <w:tcW w:w="600" w:type="dxa"/>
            <w:vAlign w:val="bottom"/>
            <w:shd w:val="clear" w:color="auto" w:fill="FCDEC5"/>
          </w:tcPr>
          <w:p>
            <w:pPr>
              <w:spacing w:after="0"/>
              <w:rPr>
                <w:sz w:val="12"/>
                <w:szCs w:val="12"/>
                <w:color w:val="auto"/>
              </w:rPr>
            </w:pPr>
          </w:p>
        </w:tc>
        <w:tc>
          <w:tcPr>
            <w:tcW w:w="200" w:type="dxa"/>
            <w:vAlign w:val="bottom"/>
            <w:tcBorders>
              <w:right w:val="single" w:sz="8" w:color="F79646"/>
            </w:tcBorders>
            <w:shd w:val="clear" w:color="auto" w:fill="FCDEC5"/>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200" w:type="dxa"/>
            <w:vAlign w:val="bottom"/>
            <w:tcBorders>
              <w:bottom w:val="single" w:sz="8" w:color="F79646"/>
            </w:tcBorders>
            <w:shd w:val="clear" w:color="auto" w:fill="FCDEC5"/>
          </w:tcPr>
          <w:p>
            <w:pPr>
              <w:spacing w:after="0"/>
              <w:rPr>
                <w:sz w:val="12"/>
                <w:szCs w:val="12"/>
                <w:color w:val="auto"/>
              </w:rPr>
            </w:pPr>
          </w:p>
        </w:tc>
        <w:tc>
          <w:tcPr>
            <w:tcW w:w="5580" w:type="dxa"/>
            <w:vAlign w:val="bottom"/>
            <w:tcBorders>
              <w:bottom w:val="single" w:sz="8" w:color="F79646"/>
            </w:tcBorders>
            <w:shd w:val="clear" w:color="auto" w:fill="FCDEC5"/>
          </w:tcPr>
          <w:p>
            <w:pPr>
              <w:ind w:left="120"/>
              <w:spacing w:after="0" w:line="143" w:lineRule="exact"/>
              <w:rPr>
                <w:sz w:val="20"/>
                <w:szCs w:val="20"/>
                <w:color w:val="auto"/>
              </w:rPr>
            </w:pPr>
            <w:r>
              <w:rPr>
                <w:rFonts w:ascii="Arial" w:cs="Arial" w:eastAsia="Arial" w:hAnsi="Arial"/>
                <w:sz w:val="13"/>
                <w:szCs w:val="13"/>
                <w:color w:val="auto"/>
              </w:rPr>
              <w:t>Compensation</w:t>
            </w:r>
          </w:p>
        </w:tc>
        <w:tc>
          <w:tcPr>
            <w:tcW w:w="340" w:type="dxa"/>
            <w:vAlign w:val="bottom"/>
            <w:tcBorders>
              <w:bottom w:val="single" w:sz="8" w:color="F79646"/>
            </w:tcBorders>
            <w:shd w:val="clear" w:color="auto" w:fill="FCDEC5"/>
          </w:tcPr>
          <w:p>
            <w:pPr>
              <w:spacing w:after="0"/>
              <w:rPr>
                <w:sz w:val="12"/>
                <w:szCs w:val="12"/>
                <w:color w:val="auto"/>
              </w:rPr>
            </w:pPr>
          </w:p>
        </w:tc>
        <w:tc>
          <w:tcPr>
            <w:tcW w:w="600" w:type="dxa"/>
            <w:vAlign w:val="bottom"/>
            <w:tcBorders>
              <w:bottom w:val="single" w:sz="8" w:color="F79646"/>
            </w:tcBorders>
            <w:shd w:val="clear" w:color="auto" w:fill="FCDEC5"/>
          </w:tcPr>
          <w:p>
            <w:pPr>
              <w:jc w:val="right"/>
              <w:spacing w:after="0" w:line="143" w:lineRule="exact"/>
              <w:rPr>
                <w:sz w:val="20"/>
                <w:szCs w:val="20"/>
                <w:color w:val="auto"/>
              </w:rPr>
            </w:pPr>
            <w:r>
              <w:rPr>
                <w:rFonts w:ascii="Arial" w:cs="Arial" w:eastAsia="Arial" w:hAnsi="Arial"/>
                <w:sz w:val="13"/>
                <w:szCs w:val="13"/>
                <w:color w:val="auto"/>
              </w:rPr>
              <w:t>71:1</w:t>
            </w:r>
          </w:p>
        </w:tc>
        <w:tc>
          <w:tcPr>
            <w:tcW w:w="200" w:type="dxa"/>
            <w:vAlign w:val="bottom"/>
            <w:tcBorders>
              <w:bottom w:val="single" w:sz="8" w:color="F79646"/>
              <w:right w:val="single" w:sz="8" w:color="F79646"/>
            </w:tcBorders>
            <w:shd w:val="clear" w:color="auto" w:fill="FCDEC5"/>
          </w:tcPr>
          <w:p>
            <w:pPr>
              <w:spacing w:after="0"/>
              <w:rPr>
                <w:sz w:val="12"/>
                <w:szCs w:val="12"/>
                <w:color w:val="auto"/>
              </w:rPr>
            </w:pPr>
          </w:p>
        </w:tc>
        <w:tc>
          <w:tcPr>
            <w:tcW w:w="860" w:type="dxa"/>
            <w:vAlign w:val="bottom"/>
          </w:tcPr>
          <w:p>
            <w:pPr>
              <w:spacing w:after="0"/>
              <w:rPr>
                <w:sz w:val="12"/>
                <w:szCs w:val="12"/>
                <w:color w:val="auto"/>
              </w:rPr>
            </w:pPr>
          </w:p>
        </w:tc>
      </w:tr>
      <w:tr>
        <w:trPr>
          <w:trHeight w:val="295"/>
        </w:trPr>
        <w:tc>
          <w:tcPr>
            <w:tcW w:w="6640" w:type="dxa"/>
            <w:vAlign w:val="bottom"/>
            <w:gridSpan w:val="3"/>
          </w:tcPr>
          <w:p>
            <w:pPr>
              <w:jc w:val="right"/>
              <w:ind w:right="2197"/>
              <w:spacing w:after="0"/>
              <w:rPr>
                <w:sz w:val="20"/>
                <w:szCs w:val="20"/>
                <w:color w:val="auto"/>
              </w:rPr>
            </w:pPr>
            <w:r>
              <w:rPr>
                <w:rFonts w:ascii="Arial" w:cs="Arial" w:eastAsia="Arial" w:hAnsi="Arial"/>
                <w:sz w:val="13"/>
                <w:szCs w:val="13"/>
                <w:color w:val="auto"/>
              </w:rPr>
              <w:t>65</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8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5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85"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Director Compensation for Fiscal Year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table sets forth information for compensation earned in fiscal year 2018 by our non-executive directors who served during fiscal year 2018:</w:t>
      </w:r>
    </w:p>
    <w:p>
      <w:pPr>
        <w:spacing w:after="0" w:line="170" w:lineRule="exact"/>
        <w:rPr>
          <w:sz w:val="20"/>
          <w:szCs w:val="20"/>
          <w:color w:val="auto"/>
        </w:rPr>
      </w:pPr>
    </w:p>
    <w:tbl>
      <w:tblPr>
        <w:tblLayout w:type="fixed"/>
        <w:tblInd w:w="1070" w:type="dxa"/>
        <w:tblCellMar>
          <w:top w:w="0" w:type="dxa"/>
          <w:left w:w="0" w:type="dxa"/>
          <w:bottom w:w="0" w:type="dxa"/>
          <w:right w:w="0" w:type="dxa"/>
        </w:tblCellMar>
      </w:tblPr>
      <w:tr>
        <w:trPr>
          <w:trHeight w:val="237"/>
        </w:trPr>
        <w:tc>
          <w:tcPr>
            <w:tcW w:w="200" w:type="dxa"/>
            <w:vAlign w:val="bottom"/>
            <w:tcBorders>
              <w:left w:val="single" w:sz="8" w:color="F79646"/>
            </w:tcBorders>
            <w:shd w:val="clear" w:color="auto" w:fill="F79646"/>
          </w:tcPr>
          <w:p>
            <w:pPr>
              <w:spacing w:after="0"/>
              <w:rPr>
                <w:sz w:val="20"/>
                <w:szCs w:val="20"/>
                <w:color w:val="auto"/>
              </w:rPr>
            </w:pPr>
          </w:p>
        </w:tc>
        <w:tc>
          <w:tcPr>
            <w:tcW w:w="1140" w:type="dxa"/>
            <w:vAlign w:val="bottom"/>
            <w:shd w:val="clear" w:color="auto" w:fill="F79646"/>
          </w:tcPr>
          <w:p>
            <w:pPr>
              <w:spacing w:after="0"/>
              <w:rPr>
                <w:sz w:val="20"/>
                <w:szCs w:val="20"/>
                <w:color w:val="auto"/>
              </w:rPr>
            </w:pPr>
          </w:p>
        </w:tc>
        <w:tc>
          <w:tcPr>
            <w:tcW w:w="2040" w:type="dxa"/>
            <w:vAlign w:val="bottom"/>
            <w:shd w:val="clear" w:color="auto" w:fill="F79646"/>
          </w:tcPr>
          <w:p>
            <w:pPr>
              <w:spacing w:after="0"/>
              <w:rPr>
                <w:sz w:val="20"/>
                <w:szCs w:val="20"/>
                <w:color w:val="auto"/>
              </w:rPr>
            </w:pPr>
          </w:p>
        </w:tc>
        <w:tc>
          <w:tcPr>
            <w:tcW w:w="1020" w:type="dxa"/>
            <w:vAlign w:val="bottom"/>
            <w:gridSpan w:val="2"/>
            <w:shd w:val="clear" w:color="auto" w:fill="F79646"/>
          </w:tcPr>
          <w:p>
            <w:pPr>
              <w:jc w:val="right"/>
              <w:spacing w:after="0"/>
              <w:rPr>
                <w:sz w:val="20"/>
                <w:szCs w:val="20"/>
                <w:color w:val="auto"/>
              </w:rPr>
            </w:pPr>
            <w:r>
              <w:rPr>
                <w:rFonts w:ascii="Arial" w:cs="Arial" w:eastAsia="Arial" w:hAnsi="Arial"/>
                <w:sz w:val="13"/>
                <w:szCs w:val="13"/>
                <w:b w:val="1"/>
                <w:bCs w:val="1"/>
                <w:color w:val="FFFFFE"/>
              </w:rPr>
              <w:t>Fees Earned or</w:t>
            </w:r>
          </w:p>
        </w:tc>
        <w:tc>
          <w:tcPr>
            <w:tcW w:w="120" w:type="dxa"/>
            <w:vAlign w:val="bottom"/>
            <w:shd w:val="clear" w:color="auto" w:fill="F79646"/>
          </w:tcPr>
          <w:p>
            <w:pPr>
              <w:spacing w:after="0"/>
              <w:rPr>
                <w:sz w:val="20"/>
                <w:szCs w:val="20"/>
                <w:color w:val="auto"/>
              </w:rPr>
            </w:pPr>
          </w:p>
        </w:tc>
        <w:tc>
          <w:tcPr>
            <w:tcW w:w="560" w:type="dxa"/>
            <w:vAlign w:val="bottom"/>
            <w:shd w:val="clear" w:color="auto" w:fill="F79646"/>
          </w:tcPr>
          <w:p>
            <w:pPr>
              <w:jc w:val="right"/>
              <w:ind w:right="62"/>
              <w:spacing w:after="0"/>
              <w:rPr>
                <w:sz w:val="20"/>
                <w:szCs w:val="20"/>
                <w:color w:val="auto"/>
              </w:rPr>
            </w:pPr>
            <w:r>
              <w:rPr>
                <w:rFonts w:ascii="Arial" w:cs="Arial" w:eastAsia="Arial" w:hAnsi="Arial"/>
                <w:sz w:val="13"/>
                <w:szCs w:val="13"/>
                <w:b w:val="1"/>
                <w:bCs w:val="1"/>
                <w:color w:val="FFFFFE"/>
              </w:rPr>
              <w:t>Stock</w:t>
            </w:r>
          </w:p>
        </w:tc>
        <w:tc>
          <w:tcPr>
            <w:tcW w:w="100" w:type="dxa"/>
            <w:vAlign w:val="bottom"/>
            <w:shd w:val="clear" w:color="auto" w:fill="F79646"/>
          </w:tcPr>
          <w:p>
            <w:pPr>
              <w:spacing w:after="0"/>
              <w:rPr>
                <w:sz w:val="20"/>
                <w:szCs w:val="20"/>
                <w:color w:val="auto"/>
              </w:rPr>
            </w:pPr>
          </w:p>
        </w:tc>
        <w:tc>
          <w:tcPr>
            <w:tcW w:w="900" w:type="dxa"/>
            <w:vAlign w:val="bottom"/>
            <w:shd w:val="clear" w:color="auto" w:fill="F79646"/>
          </w:tcPr>
          <w:p>
            <w:pPr>
              <w:jc w:val="right"/>
              <w:ind w:right="117"/>
              <w:spacing w:after="0"/>
              <w:rPr>
                <w:sz w:val="20"/>
                <w:szCs w:val="20"/>
                <w:color w:val="auto"/>
              </w:rPr>
            </w:pPr>
            <w:r>
              <w:rPr>
                <w:rFonts w:ascii="Arial" w:cs="Arial" w:eastAsia="Arial" w:hAnsi="Arial"/>
                <w:sz w:val="13"/>
                <w:szCs w:val="13"/>
                <w:b w:val="1"/>
                <w:bCs w:val="1"/>
                <w:color w:val="FFFFFE"/>
              </w:rPr>
              <w:t>All Other</w:t>
            </w:r>
          </w:p>
        </w:tc>
        <w:tc>
          <w:tcPr>
            <w:tcW w:w="120" w:type="dxa"/>
            <w:vAlign w:val="bottom"/>
            <w:shd w:val="clear" w:color="auto" w:fill="F79646"/>
          </w:tcPr>
          <w:p>
            <w:pPr>
              <w:spacing w:after="0"/>
              <w:rPr>
                <w:sz w:val="20"/>
                <w:szCs w:val="20"/>
                <w:color w:val="auto"/>
              </w:rPr>
            </w:pPr>
          </w:p>
        </w:tc>
        <w:tc>
          <w:tcPr>
            <w:tcW w:w="540" w:type="dxa"/>
            <w:vAlign w:val="bottom"/>
            <w:shd w:val="clear" w:color="auto" w:fill="F79646"/>
          </w:tcPr>
          <w:p>
            <w:pPr>
              <w:spacing w:after="0"/>
              <w:rPr>
                <w:sz w:val="20"/>
                <w:szCs w:val="20"/>
                <w:color w:val="auto"/>
              </w:rPr>
            </w:pPr>
          </w:p>
        </w:tc>
        <w:tc>
          <w:tcPr>
            <w:tcW w:w="200" w:type="dxa"/>
            <w:vAlign w:val="bottom"/>
            <w:tcBorders>
              <w:right w:val="single" w:sz="8" w:color="F79646"/>
            </w:tcBorders>
            <w:shd w:val="clear" w:color="auto" w:fill="F79646"/>
          </w:tcPr>
          <w:p>
            <w:pPr>
              <w:spacing w:after="0"/>
              <w:rPr>
                <w:sz w:val="20"/>
                <w:szCs w:val="20"/>
                <w:color w:val="auto"/>
              </w:rPr>
            </w:pPr>
          </w:p>
        </w:tc>
      </w:tr>
      <w:tr>
        <w:trPr>
          <w:trHeight w:val="148"/>
        </w:trPr>
        <w:tc>
          <w:tcPr>
            <w:tcW w:w="200" w:type="dxa"/>
            <w:vAlign w:val="bottom"/>
            <w:tcBorders>
              <w:left w:val="single" w:sz="8" w:color="F79646"/>
            </w:tcBorders>
            <w:shd w:val="clear" w:color="auto" w:fill="F79646"/>
          </w:tcPr>
          <w:p>
            <w:pPr>
              <w:spacing w:after="0"/>
              <w:rPr>
                <w:sz w:val="12"/>
                <w:szCs w:val="12"/>
                <w:color w:val="auto"/>
              </w:rPr>
            </w:pPr>
          </w:p>
        </w:tc>
        <w:tc>
          <w:tcPr>
            <w:tcW w:w="1140" w:type="dxa"/>
            <w:vAlign w:val="bottom"/>
            <w:shd w:val="clear" w:color="auto" w:fill="F79646"/>
          </w:tcPr>
          <w:p>
            <w:pPr>
              <w:spacing w:after="0"/>
              <w:rPr>
                <w:sz w:val="12"/>
                <w:szCs w:val="12"/>
                <w:color w:val="auto"/>
              </w:rPr>
            </w:pPr>
          </w:p>
        </w:tc>
        <w:tc>
          <w:tcPr>
            <w:tcW w:w="20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900" w:type="dxa"/>
            <w:vAlign w:val="bottom"/>
            <w:shd w:val="clear" w:color="auto" w:fill="F79646"/>
          </w:tcPr>
          <w:p>
            <w:pPr>
              <w:jc w:val="right"/>
              <w:ind w:right="17"/>
              <w:spacing w:after="0" w:line="148" w:lineRule="exact"/>
              <w:rPr>
                <w:sz w:val="20"/>
                <w:szCs w:val="20"/>
                <w:color w:val="auto"/>
              </w:rPr>
            </w:pPr>
            <w:r>
              <w:rPr>
                <w:rFonts w:ascii="Arial" w:cs="Arial" w:eastAsia="Arial" w:hAnsi="Arial"/>
                <w:sz w:val="13"/>
                <w:szCs w:val="13"/>
                <w:b w:val="1"/>
                <w:bCs w:val="1"/>
                <w:color w:val="FFFFFE"/>
              </w:rPr>
              <w:t>Paid in Cash</w:t>
            </w:r>
          </w:p>
        </w:tc>
        <w:tc>
          <w:tcPr>
            <w:tcW w:w="120" w:type="dxa"/>
            <w:vAlign w:val="bottom"/>
            <w:shd w:val="clear" w:color="auto" w:fill="F79646"/>
          </w:tcPr>
          <w:p>
            <w:pPr>
              <w:spacing w:after="0"/>
              <w:rPr>
                <w:sz w:val="12"/>
                <w:szCs w:val="12"/>
                <w:color w:val="auto"/>
              </w:rPr>
            </w:pPr>
          </w:p>
        </w:tc>
        <w:tc>
          <w:tcPr>
            <w:tcW w:w="560" w:type="dxa"/>
            <w:vAlign w:val="bottom"/>
            <w:shd w:val="clear" w:color="auto" w:fill="F79646"/>
          </w:tcPr>
          <w:p>
            <w:pPr>
              <w:ind w:left="60"/>
              <w:spacing w:after="0" w:line="148" w:lineRule="exact"/>
              <w:rPr>
                <w:sz w:val="20"/>
                <w:szCs w:val="20"/>
                <w:color w:val="auto"/>
              </w:rPr>
            </w:pPr>
            <w:r>
              <w:rPr>
                <w:rFonts w:ascii="Arial" w:cs="Arial" w:eastAsia="Arial" w:hAnsi="Arial"/>
                <w:sz w:val="13"/>
                <w:szCs w:val="13"/>
                <w:b w:val="1"/>
                <w:bCs w:val="1"/>
                <w:color w:val="FFFFFE"/>
              </w:rPr>
              <w:t>Awards</w:t>
            </w:r>
          </w:p>
        </w:tc>
        <w:tc>
          <w:tcPr>
            <w:tcW w:w="100" w:type="dxa"/>
            <w:vAlign w:val="bottom"/>
            <w:shd w:val="clear" w:color="auto" w:fill="F79646"/>
          </w:tcPr>
          <w:p>
            <w:pPr>
              <w:spacing w:after="0"/>
              <w:rPr>
                <w:sz w:val="12"/>
                <w:szCs w:val="12"/>
                <w:color w:val="auto"/>
              </w:rPr>
            </w:pPr>
          </w:p>
        </w:tc>
        <w:tc>
          <w:tcPr>
            <w:tcW w:w="900" w:type="dxa"/>
            <w:vAlign w:val="bottom"/>
            <w:shd w:val="clear" w:color="auto" w:fill="F79646"/>
          </w:tcPr>
          <w:p>
            <w:pPr>
              <w:jc w:val="right"/>
              <w:spacing w:after="0" w:line="148" w:lineRule="exact"/>
              <w:rPr>
                <w:sz w:val="20"/>
                <w:szCs w:val="20"/>
                <w:color w:val="auto"/>
              </w:rPr>
            </w:pPr>
            <w:r>
              <w:rPr>
                <w:rFonts w:ascii="Arial" w:cs="Arial" w:eastAsia="Arial" w:hAnsi="Arial"/>
                <w:sz w:val="13"/>
                <w:szCs w:val="13"/>
                <w:b w:val="1"/>
                <w:bCs w:val="1"/>
                <w:color w:val="FFFFFE"/>
                <w:w w:val="95"/>
              </w:rPr>
              <w:t>Compensation</w:t>
            </w:r>
          </w:p>
        </w:tc>
        <w:tc>
          <w:tcPr>
            <w:tcW w:w="120" w:type="dxa"/>
            <w:vAlign w:val="bottom"/>
            <w:shd w:val="clear" w:color="auto" w:fill="F79646"/>
          </w:tcPr>
          <w:p>
            <w:pPr>
              <w:spacing w:after="0"/>
              <w:rPr>
                <w:sz w:val="12"/>
                <w:szCs w:val="12"/>
                <w:color w:val="auto"/>
              </w:rPr>
            </w:pPr>
          </w:p>
        </w:tc>
        <w:tc>
          <w:tcPr>
            <w:tcW w:w="740" w:type="dxa"/>
            <w:vAlign w:val="bottom"/>
            <w:tcBorders>
              <w:right w:val="single" w:sz="8" w:color="F79646"/>
            </w:tcBorders>
            <w:gridSpan w:val="2"/>
            <w:shd w:val="clear" w:color="auto" w:fill="F79646"/>
          </w:tcPr>
          <w:p>
            <w:pPr>
              <w:ind w:left="120"/>
              <w:spacing w:after="0" w:line="148" w:lineRule="exact"/>
              <w:rPr>
                <w:sz w:val="20"/>
                <w:szCs w:val="20"/>
                <w:color w:val="auto"/>
              </w:rPr>
            </w:pPr>
            <w:r>
              <w:rPr>
                <w:rFonts w:ascii="Arial" w:cs="Arial" w:eastAsia="Arial" w:hAnsi="Arial"/>
                <w:sz w:val="13"/>
                <w:szCs w:val="13"/>
                <w:b w:val="1"/>
                <w:bCs w:val="1"/>
                <w:color w:val="FFFFFE"/>
              </w:rPr>
              <w:t>Total</w:t>
            </w:r>
          </w:p>
        </w:tc>
      </w:tr>
      <w:tr>
        <w:trPr>
          <w:trHeight w:val="193"/>
        </w:trPr>
        <w:tc>
          <w:tcPr>
            <w:tcW w:w="200" w:type="dxa"/>
            <w:vAlign w:val="bottom"/>
            <w:tcBorders>
              <w:left w:val="single" w:sz="8" w:color="F79646"/>
              <w:bottom w:val="single" w:sz="8" w:color="F79646"/>
            </w:tcBorders>
            <w:shd w:val="clear" w:color="auto" w:fill="F79646"/>
          </w:tcPr>
          <w:p>
            <w:pPr>
              <w:spacing w:after="0"/>
              <w:rPr>
                <w:sz w:val="16"/>
                <w:szCs w:val="16"/>
                <w:color w:val="auto"/>
              </w:rPr>
            </w:pPr>
          </w:p>
        </w:tc>
        <w:tc>
          <w:tcPr>
            <w:tcW w:w="1140" w:type="dxa"/>
            <w:vAlign w:val="bottom"/>
            <w:tcBorders>
              <w:bottom w:val="single" w:sz="8" w:color="auto"/>
            </w:tcBorders>
            <w:shd w:val="clear" w:color="auto" w:fill="F79646"/>
          </w:tcPr>
          <w:p>
            <w:pPr>
              <w:spacing w:after="0"/>
              <w:rPr>
                <w:sz w:val="16"/>
                <w:szCs w:val="16"/>
                <w:color w:val="auto"/>
              </w:rPr>
            </w:pPr>
          </w:p>
        </w:tc>
        <w:tc>
          <w:tcPr>
            <w:tcW w:w="2040" w:type="dxa"/>
            <w:vAlign w:val="bottom"/>
            <w:tcBorders>
              <w:bottom w:val="single" w:sz="8" w:color="auto"/>
            </w:tcBorders>
            <w:shd w:val="clear" w:color="auto" w:fill="F79646"/>
          </w:tcPr>
          <w:p>
            <w:pPr>
              <w:ind w:left="200"/>
              <w:spacing w:after="0" w:line="193" w:lineRule="exact"/>
              <w:rPr>
                <w:sz w:val="20"/>
                <w:szCs w:val="20"/>
                <w:color w:val="auto"/>
              </w:rPr>
            </w:pPr>
            <w:r>
              <w:rPr>
                <w:rFonts w:ascii="Arial" w:cs="Arial" w:eastAsia="Arial" w:hAnsi="Arial"/>
                <w:sz w:val="13"/>
                <w:szCs w:val="13"/>
                <w:b w:val="1"/>
                <w:bCs w:val="1"/>
                <w:color w:val="FFFFFE"/>
              </w:rPr>
              <w:t>Name</w:t>
            </w:r>
            <w:r>
              <w:rPr>
                <w:rFonts w:ascii="Arial" w:cs="Arial" w:eastAsia="Arial" w:hAnsi="Arial"/>
                <w:sz w:val="20"/>
                <w:szCs w:val="20"/>
                <w:b w:val="1"/>
                <w:bCs w:val="1"/>
                <w:color w:val="FFFFFE"/>
                <w:vertAlign w:val="superscript"/>
              </w:rPr>
              <w:t>(1)</w:t>
            </w:r>
          </w:p>
        </w:tc>
        <w:tc>
          <w:tcPr>
            <w:tcW w:w="120" w:type="dxa"/>
            <w:vAlign w:val="bottom"/>
            <w:tcBorders>
              <w:bottom w:val="single" w:sz="8" w:color="F79646"/>
            </w:tcBorders>
            <w:shd w:val="clear" w:color="auto" w:fill="F79646"/>
          </w:tcPr>
          <w:p>
            <w:pPr>
              <w:spacing w:after="0"/>
              <w:rPr>
                <w:sz w:val="16"/>
                <w:szCs w:val="16"/>
                <w:color w:val="auto"/>
              </w:rPr>
            </w:pPr>
          </w:p>
        </w:tc>
        <w:tc>
          <w:tcPr>
            <w:tcW w:w="900" w:type="dxa"/>
            <w:vAlign w:val="bottom"/>
            <w:tcBorders>
              <w:bottom w:val="single" w:sz="8" w:color="auto"/>
            </w:tcBorders>
            <w:shd w:val="clear" w:color="auto" w:fill="F79646"/>
          </w:tcPr>
          <w:p>
            <w:pPr>
              <w:jc w:val="right"/>
              <w:ind w:right="337"/>
              <w:spacing w:after="0"/>
              <w:rPr>
                <w:sz w:val="20"/>
                <w:szCs w:val="20"/>
                <w:color w:val="auto"/>
              </w:rPr>
            </w:pPr>
            <w:r>
              <w:rPr>
                <w:rFonts w:ascii="Arial" w:cs="Arial" w:eastAsia="Arial" w:hAnsi="Arial"/>
                <w:sz w:val="13"/>
                <w:szCs w:val="13"/>
                <w:b w:val="1"/>
                <w:bCs w:val="1"/>
                <w:color w:val="FFFFFE"/>
              </w:rPr>
              <w:t>($)</w:t>
            </w:r>
          </w:p>
        </w:tc>
        <w:tc>
          <w:tcPr>
            <w:tcW w:w="120" w:type="dxa"/>
            <w:vAlign w:val="bottom"/>
            <w:tcBorders>
              <w:bottom w:val="single" w:sz="8" w:color="F79646"/>
            </w:tcBorders>
            <w:shd w:val="clear" w:color="auto" w:fill="F79646"/>
          </w:tcPr>
          <w:p>
            <w:pPr>
              <w:spacing w:after="0"/>
              <w:rPr>
                <w:sz w:val="16"/>
                <w:szCs w:val="16"/>
                <w:color w:val="auto"/>
              </w:rPr>
            </w:pPr>
          </w:p>
        </w:tc>
        <w:tc>
          <w:tcPr>
            <w:tcW w:w="560" w:type="dxa"/>
            <w:vAlign w:val="bottom"/>
            <w:tcBorders>
              <w:bottom w:val="single" w:sz="8" w:color="auto"/>
            </w:tcBorders>
            <w:shd w:val="clear" w:color="auto" w:fill="F79646"/>
          </w:tcPr>
          <w:p>
            <w:pPr>
              <w:ind w:left="60"/>
              <w:spacing w:after="0" w:line="193" w:lineRule="exact"/>
              <w:rPr>
                <w:sz w:val="20"/>
                <w:szCs w:val="20"/>
                <w:color w:val="auto"/>
              </w:rPr>
            </w:pPr>
            <w:r>
              <w:rPr>
                <w:rFonts w:ascii="Arial" w:cs="Arial" w:eastAsia="Arial" w:hAnsi="Arial"/>
                <w:sz w:val="22"/>
                <w:szCs w:val="22"/>
                <w:b w:val="1"/>
                <w:bCs w:val="1"/>
                <w:color w:val="FFFFFE"/>
                <w:vertAlign w:val="subscript"/>
              </w:rPr>
              <w:t>($)</w:t>
            </w:r>
            <w:r>
              <w:rPr>
                <w:rFonts w:ascii="Arial" w:cs="Arial" w:eastAsia="Arial" w:hAnsi="Arial"/>
                <w:sz w:val="10"/>
                <w:szCs w:val="10"/>
                <w:b w:val="1"/>
                <w:bCs w:val="1"/>
                <w:color w:val="FFFFFE"/>
              </w:rPr>
              <w:t>(2)(3)</w:t>
            </w:r>
          </w:p>
        </w:tc>
        <w:tc>
          <w:tcPr>
            <w:tcW w:w="100" w:type="dxa"/>
            <w:vAlign w:val="bottom"/>
            <w:tcBorders>
              <w:bottom w:val="single" w:sz="8" w:color="F79646"/>
            </w:tcBorders>
            <w:shd w:val="clear" w:color="auto" w:fill="F79646"/>
          </w:tcPr>
          <w:p>
            <w:pPr>
              <w:spacing w:after="0"/>
              <w:rPr>
                <w:sz w:val="16"/>
                <w:szCs w:val="16"/>
                <w:color w:val="auto"/>
              </w:rPr>
            </w:pPr>
          </w:p>
        </w:tc>
        <w:tc>
          <w:tcPr>
            <w:tcW w:w="900" w:type="dxa"/>
            <w:vAlign w:val="bottom"/>
            <w:tcBorders>
              <w:bottom w:val="single" w:sz="8" w:color="auto"/>
            </w:tcBorders>
            <w:shd w:val="clear" w:color="auto" w:fill="F79646"/>
          </w:tcPr>
          <w:p>
            <w:pPr>
              <w:jc w:val="right"/>
              <w:ind w:right="257"/>
              <w:spacing w:after="0" w:line="193" w:lineRule="exact"/>
              <w:rPr>
                <w:sz w:val="20"/>
                <w:szCs w:val="20"/>
                <w:color w:val="auto"/>
              </w:rPr>
            </w:pPr>
            <w:r>
              <w:rPr>
                <w:rFonts w:ascii="Arial" w:cs="Arial" w:eastAsia="Arial" w:hAnsi="Arial"/>
                <w:sz w:val="13"/>
                <w:szCs w:val="13"/>
                <w:b w:val="1"/>
                <w:bCs w:val="1"/>
                <w:color w:val="FFFFFE"/>
              </w:rPr>
              <w:t>($)</w:t>
            </w:r>
            <w:r>
              <w:rPr>
                <w:rFonts w:ascii="Arial" w:cs="Arial" w:eastAsia="Arial" w:hAnsi="Arial"/>
                <w:sz w:val="20"/>
                <w:szCs w:val="20"/>
                <w:b w:val="1"/>
                <w:bCs w:val="1"/>
                <w:color w:val="FFFFFE"/>
                <w:vertAlign w:val="superscript"/>
              </w:rPr>
              <w:t>(4)</w:t>
            </w:r>
          </w:p>
        </w:tc>
        <w:tc>
          <w:tcPr>
            <w:tcW w:w="120" w:type="dxa"/>
            <w:vAlign w:val="bottom"/>
            <w:tcBorders>
              <w:bottom w:val="single" w:sz="8" w:color="F79646"/>
            </w:tcBorders>
            <w:shd w:val="clear" w:color="auto" w:fill="F79646"/>
          </w:tcPr>
          <w:p>
            <w:pPr>
              <w:spacing w:after="0"/>
              <w:rPr>
                <w:sz w:val="16"/>
                <w:szCs w:val="16"/>
                <w:color w:val="auto"/>
              </w:rPr>
            </w:pPr>
          </w:p>
        </w:tc>
        <w:tc>
          <w:tcPr>
            <w:tcW w:w="540" w:type="dxa"/>
            <w:vAlign w:val="bottom"/>
            <w:tcBorders>
              <w:bottom w:val="single" w:sz="8" w:color="auto"/>
            </w:tcBorders>
            <w:shd w:val="clear" w:color="auto" w:fill="F79646"/>
          </w:tcPr>
          <w:p>
            <w:pPr>
              <w:jc w:val="right"/>
              <w:ind w:right="157"/>
              <w:spacing w:after="0"/>
              <w:rPr>
                <w:sz w:val="20"/>
                <w:szCs w:val="20"/>
                <w:color w:val="auto"/>
              </w:rPr>
            </w:pPr>
            <w:r>
              <w:rPr>
                <w:rFonts w:ascii="Arial" w:cs="Arial" w:eastAsia="Arial" w:hAnsi="Arial"/>
                <w:sz w:val="13"/>
                <w:szCs w:val="13"/>
                <w:b w:val="1"/>
                <w:bCs w:val="1"/>
                <w:color w:val="FFFFFE"/>
              </w:rPr>
              <w:t>($)</w:t>
            </w:r>
          </w:p>
        </w:tc>
        <w:tc>
          <w:tcPr>
            <w:tcW w:w="200" w:type="dxa"/>
            <w:vAlign w:val="bottom"/>
            <w:tcBorders>
              <w:bottom w:val="single" w:sz="8" w:color="F79646"/>
              <w:right w:val="single" w:sz="8" w:color="F79646"/>
            </w:tcBorders>
            <w:shd w:val="clear" w:color="auto" w:fill="F79646"/>
          </w:tcPr>
          <w:p>
            <w:pPr>
              <w:spacing w:after="0"/>
              <w:rPr>
                <w:sz w:val="16"/>
                <w:szCs w:val="16"/>
                <w:color w:val="auto"/>
              </w:rPr>
            </w:pPr>
          </w:p>
        </w:tc>
      </w:tr>
      <w:tr>
        <w:trPr>
          <w:trHeight w:val="134"/>
        </w:trPr>
        <w:tc>
          <w:tcPr>
            <w:tcW w:w="3380" w:type="dxa"/>
            <w:vAlign w:val="bottom"/>
            <w:tcBorders>
              <w:left w:val="single" w:sz="8" w:color="F79646"/>
            </w:tcBorders>
            <w:gridSpan w:val="3"/>
            <w:shd w:val="clear" w:color="auto" w:fill="FCDEC5"/>
          </w:tcPr>
          <w:p>
            <w:pPr>
              <w:ind w:left="200"/>
              <w:spacing w:after="0" w:line="134" w:lineRule="exact"/>
              <w:rPr>
                <w:sz w:val="20"/>
                <w:szCs w:val="20"/>
                <w:color w:val="auto"/>
              </w:rPr>
            </w:pPr>
            <w:r>
              <w:rPr>
                <w:rFonts w:ascii="Arial" w:cs="Arial" w:eastAsia="Arial" w:hAnsi="Arial"/>
                <w:sz w:val="13"/>
                <w:szCs w:val="13"/>
                <w:color w:val="auto"/>
              </w:rPr>
              <w:t>David Kelso</w:t>
            </w:r>
          </w:p>
        </w:tc>
        <w:tc>
          <w:tcPr>
            <w:tcW w:w="1020" w:type="dxa"/>
            <w:vAlign w:val="bottom"/>
            <w:gridSpan w:val="2"/>
            <w:shd w:val="clear" w:color="auto" w:fill="FCDEC5"/>
          </w:tcPr>
          <w:p>
            <w:pPr>
              <w:jc w:val="right"/>
              <w:spacing w:after="0" w:line="134" w:lineRule="exact"/>
              <w:rPr>
                <w:sz w:val="20"/>
                <w:szCs w:val="20"/>
                <w:color w:val="auto"/>
              </w:rPr>
            </w:pPr>
            <w:r>
              <w:rPr>
                <w:rFonts w:ascii="Arial" w:cs="Arial" w:eastAsia="Arial" w:hAnsi="Arial"/>
                <w:sz w:val="13"/>
                <w:szCs w:val="13"/>
                <w:color w:val="auto"/>
              </w:rPr>
              <w:t>92,500</w:t>
            </w:r>
          </w:p>
        </w:tc>
        <w:tc>
          <w:tcPr>
            <w:tcW w:w="680" w:type="dxa"/>
            <w:vAlign w:val="bottom"/>
            <w:gridSpan w:val="2"/>
            <w:shd w:val="clear" w:color="auto" w:fill="FCDEC5"/>
          </w:tcPr>
          <w:p>
            <w:pPr>
              <w:jc w:val="right"/>
              <w:spacing w:after="0" w:line="134" w:lineRule="exact"/>
              <w:rPr>
                <w:sz w:val="20"/>
                <w:szCs w:val="20"/>
                <w:color w:val="auto"/>
              </w:rPr>
            </w:pPr>
            <w:r>
              <w:rPr>
                <w:rFonts w:ascii="Arial" w:cs="Arial" w:eastAsia="Arial" w:hAnsi="Arial"/>
                <w:sz w:val="13"/>
                <w:szCs w:val="13"/>
                <w:color w:val="auto"/>
              </w:rPr>
              <w:t>110,000</w:t>
            </w:r>
          </w:p>
        </w:tc>
        <w:tc>
          <w:tcPr>
            <w:tcW w:w="100" w:type="dxa"/>
            <w:vAlign w:val="bottom"/>
            <w:shd w:val="clear" w:color="auto" w:fill="FCDEC5"/>
          </w:tcPr>
          <w:p>
            <w:pPr>
              <w:spacing w:after="0"/>
              <w:rPr>
                <w:sz w:val="11"/>
                <w:szCs w:val="11"/>
                <w:color w:val="auto"/>
              </w:rPr>
            </w:pPr>
          </w:p>
        </w:tc>
        <w:tc>
          <w:tcPr>
            <w:tcW w:w="900" w:type="dxa"/>
            <w:vAlign w:val="bottom"/>
            <w:shd w:val="clear" w:color="auto" w:fill="FCDEC5"/>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FCDEC5"/>
          </w:tcPr>
          <w:p>
            <w:pPr>
              <w:jc w:val="right"/>
              <w:spacing w:after="0" w:line="134" w:lineRule="exact"/>
              <w:rPr>
                <w:sz w:val="20"/>
                <w:szCs w:val="20"/>
                <w:color w:val="auto"/>
              </w:rPr>
            </w:pPr>
            <w:r>
              <w:rPr>
                <w:rFonts w:ascii="Arial" w:cs="Arial" w:eastAsia="Arial" w:hAnsi="Arial"/>
                <w:sz w:val="13"/>
                <w:szCs w:val="13"/>
                <w:color w:val="auto"/>
              </w:rPr>
              <w:t>202,500</w:t>
            </w:r>
          </w:p>
        </w:tc>
        <w:tc>
          <w:tcPr>
            <w:tcW w:w="200" w:type="dxa"/>
            <w:vAlign w:val="bottom"/>
            <w:tcBorders>
              <w:right w:val="single" w:sz="8" w:color="F79646"/>
            </w:tcBorders>
            <w:shd w:val="clear" w:color="auto" w:fill="FCDEC5"/>
          </w:tcPr>
          <w:p>
            <w:pPr>
              <w:spacing w:after="0"/>
              <w:rPr>
                <w:sz w:val="11"/>
                <w:szCs w:val="11"/>
                <w:color w:val="auto"/>
              </w:rPr>
            </w:pPr>
          </w:p>
        </w:tc>
      </w:tr>
      <w:tr>
        <w:trPr>
          <w:trHeight w:val="144"/>
        </w:trPr>
        <w:tc>
          <w:tcPr>
            <w:tcW w:w="3380" w:type="dxa"/>
            <w:vAlign w:val="bottom"/>
            <w:tcBorders>
              <w:left w:val="single" w:sz="8" w:color="F79646"/>
            </w:tcBorders>
            <w:gridSpan w:val="3"/>
          </w:tcPr>
          <w:p>
            <w:pPr>
              <w:ind w:left="200"/>
              <w:spacing w:after="0" w:line="144" w:lineRule="exact"/>
              <w:rPr>
                <w:sz w:val="20"/>
                <w:szCs w:val="20"/>
                <w:color w:val="auto"/>
              </w:rPr>
            </w:pPr>
            <w:r>
              <w:rPr>
                <w:rFonts w:ascii="Arial" w:cs="Arial" w:eastAsia="Arial" w:hAnsi="Arial"/>
                <w:sz w:val="13"/>
                <w:szCs w:val="13"/>
                <w:color w:val="auto"/>
              </w:rPr>
              <w:t>Deborah Kerr</w:t>
            </w:r>
          </w:p>
        </w:tc>
        <w:tc>
          <w:tcPr>
            <w:tcW w:w="10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81,875</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110,000</w:t>
            </w:r>
          </w:p>
        </w:tc>
        <w:tc>
          <w:tcPr>
            <w:tcW w:w="10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191,875</w:t>
            </w:r>
          </w:p>
        </w:tc>
        <w:tc>
          <w:tcPr>
            <w:tcW w:w="200" w:type="dxa"/>
            <w:vAlign w:val="bottom"/>
            <w:tcBorders>
              <w:right w:val="single" w:sz="8" w:color="F79646"/>
            </w:tcBorders>
          </w:tcPr>
          <w:p>
            <w:pPr>
              <w:spacing w:after="0"/>
              <w:rPr>
                <w:sz w:val="12"/>
                <w:szCs w:val="12"/>
                <w:color w:val="auto"/>
              </w:rPr>
            </w:pPr>
          </w:p>
        </w:tc>
      </w:tr>
      <w:tr>
        <w:trPr>
          <w:trHeight w:val="144"/>
        </w:trPr>
        <w:tc>
          <w:tcPr>
            <w:tcW w:w="3380" w:type="dxa"/>
            <w:vAlign w:val="bottom"/>
            <w:tcBorders>
              <w:left w:val="single" w:sz="8" w:color="F79646"/>
            </w:tcBorders>
            <w:gridSpan w:val="3"/>
            <w:shd w:val="clear" w:color="auto" w:fill="FCDEC5"/>
          </w:tcPr>
          <w:p>
            <w:pPr>
              <w:ind w:left="200"/>
              <w:spacing w:after="0" w:line="144" w:lineRule="exact"/>
              <w:rPr>
                <w:sz w:val="20"/>
                <w:szCs w:val="20"/>
                <w:color w:val="auto"/>
              </w:rPr>
            </w:pPr>
            <w:r>
              <w:rPr>
                <w:rFonts w:ascii="Arial" w:cs="Arial" w:eastAsia="Arial" w:hAnsi="Arial"/>
                <w:sz w:val="13"/>
                <w:szCs w:val="13"/>
                <w:color w:val="auto"/>
              </w:rPr>
              <w:t>Anne Minto</w:t>
            </w:r>
          </w:p>
        </w:tc>
        <w:tc>
          <w:tcPr>
            <w:tcW w:w="102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90,000</w:t>
            </w:r>
          </w:p>
        </w:tc>
        <w:tc>
          <w:tcPr>
            <w:tcW w:w="6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110,000</w:t>
            </w:r>
          </w:p>
        </w:tc>
        <w:tc>
          <w:tcPr>
            <w:tcW w:w="100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31,599</w:t>
            </w:r>
          </w:p>
        </w:tc>
        <w:tc>
          <w:tcPr>
            <w:tcW w:w="6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231,599</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3380" w:type="dxa"/>
            <w:vAlign w:val="bottom"/>
            <w:tcBorders>
              <w:left w:val="single" w:sz="8" w:color="F79646"/>
            </w:tcBorders>
            <w:gridSpan w:val="3"/>
          </w:tcPr>
          <w:p>
            <w:pPr>
              <w:ind w:left="200"/>
              <w:spacing w:after="0" w:line="144" w:lineRule="exact"/>
              <w:rPr>
                <w:sz w:val="20"/>
                <w:szCs w:val="20"/>
                <w:color w:val="auto"/>
              </w:rPr>
            </w:pPr>
            <w:r>
              <w:rPr>
                <w:rFonts w:ascii="Arial" w:cs="Arial" w:eastAsia="Arial" w:hAnsi="Arial"/>
                <w:sz w:val="13"/>
                <w:szCs w:val="13"/>
                <w:color w:val="auto"/>
              </w:rPr>
              <w:t>Som Mittal</w:t>
            </w:r>
          </w:p>
        </w:tc>
        <w:tc>
          <w:tcPr>
            <w:tcW w:w="10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80,000</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110,000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28,317</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218,317</w:t>
            </w:r>
          </w:p>
        </w:tc>
        <w:tc>
          <w:tcPr>
            <w:tcW w:w="200" w:type="dxa"/>
            <w:vAlign w:val="bottom"/>
            <w:tcBorders>
              <w:right w:val="single" w:sz="8" w:color="F79646"/>
            </w:tcBorders>
          </w:tcPr>
          <w:p>
            <w:pPr>
              <w:spacing w:after="0"/>
              <w:rPr>
                <w:sz w:val="12"/>
                <w:szCs w:val="12"/>
                <w:color w:val="auto"/>
              </w:rPr>
            </w:pPr>
          </w:p>
        </w:tc>
      </w:tr>
      <w:tr>
        <w:trPr>
          <w:trHeight w:val="144"/>
        </w:trPr>
        <w:tc>
          <w:tcPr>
            <w:tcW w:w="3380" w:type="dxa"/>
            <w:vAlign w:val="bottom"/>
            <w:tcBorders>
              <w:left w:val="single" w:sz="8" w:color="F79646"/>
            </w:tcBorders>
            <w:gridSpan w:val="3"/>
            <w:shd w:val="clear" w:color="auto" w:fill="FCDEC5"/>
          </w:tcPr>
          <w:p>
            <w:pPr>
              <w:ind w:left="200"/>
              <w:spacing w:after="0" w:line="144" w:lineRule="exact"/>
              <w:rPr>
                <w:sz w:val="20"/>
                <w:szCs w:val="20"/>
                <w:color w:val="auto"/>
              </w:rPr>
            </w:pPr>
            <w:r>
              <w:rPr>
                <w:rFonts w:ascii="Arial" w:cs="Arial" w:eastAsia="Arial" w:hAnsi="Arial"/>
                <w:sz w:val="13"/>
                <w:szCs w:val="13"/>
                <w:color w:val="auto"/>
              </w:rPr>
              <w:t>Clyde Ostler</w:t>
            </w:r>
          </w:p>
        </w:tc>
        <w:tc>
          <w:tcPr>
            <w:tcW w:w="102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95,000</w:t>
            </w:r>
          </w:p>
        </w:tc>
        <w:tc>
          <w:tcPr>
            <w:tcW w:w="6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110,000</w:t>
            </w:r>
          </w:p>
        </w:tc>
        <w:tc>
          <w:tcPr>
            <w:tcW w:w="100" w:type="dxa"/>
            <w:vAlign w:val="bottom"/>
            <w:shd w:val="clear" w:color="auto" w:fill="FCDEC5"/>
          </w:tcPr>
          <w:p>
            <w:pPr>
              <w:spacing w:after="0"/>
              <w:rPr>
                <w:sz w:val="12"/>
                <w:szCs w:val="12"/>
                <w:color w:val="auto"/>
              </w:rPr>
            </w:pPr>
          </w:p>
        </w:tc>
        <w:tc>
          <w:tcPr>
            <w:tcW w:w="90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205,000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73"/>
        </w:trPr>
        <w:tc>
          <w:tcPr>
            <w:tcW w:w="3380" w:type="dxa"/>
            <w:vAlign w:val="bottom"/>
            <w:tcBorders>
              <w:left w:val="single" w:sz="8" w:color="F79646"/>
            </w:tcBorders>
            <w:gridSpan w:val="3"/>
          </w:tcPr>
          <w:p>
            <w:pPr>
              <w:ind w:left="200"/>
              <w:spacing w:after="0" w:line="173" w:lineRule="exact"/>
              <w:rPr>
                <w:sz w:val="20"/>
                <w:szCs w:val="20"/>
                <w:color w:val="auto"/>
              </w:rPr>
            </w:pPr>
            <w:r>
              <w:rPr>
                <w:rFonts w:ascii="Arial" w:cs="Arial" w:eastAsia="Arial" w:hAnsi="Arial"/>
                <w:sz w:val="13"/>
                <w:szCs w:val="13"/>
                <w:color w:val="auto"/>
              </w:rPr>
              <w:t>Vikram Pandit</w:t>
            </w:r>
            <w:r>
              <w:rPr>
                <w:rFonts w:ascii="Arial" w:cs="Arial" w:eastAsia="Arial" w:hAnsi="Arial"/>
                <w:sz w:val="20"/>
                <w:szCs w:val="20"/>
                <w:color w:val="auto"/>
                <w:vertAlign w:val="superscript"/>
              </w:rPr>
              <w:t>(5)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18,125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77,590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95,715</w:t>
            </w:r>
          </w:p>
        </w:tc>
        <w:tc>
          <w:tcPr>
            <w:tcW w:w="200" w:type="dxa"/>
            <w:vAlign w:val="bottom"/>
            <w:tcBorders>
              <w:right w:val="single" w:sz="8" w:color="F79646"/>
            </w:tcBorders>
          </w:tcPr>
          <w:p>
            <w:pPr>
              <w:spacing w:after="0"/>
              <w:rPr>
                <w:sz w:val="15"/>
                <w:szCs w:val="15"/>
                <w:color w:val="auto"/>
              </w:rPr>
            </w:pPr>
          </w:p>
        </w:tc>
      </w:tr>
      <w:tr>
        <w:trPr>
          <w:trHeight w:val="144"/>
        </w:trPr>
        <w:tc>
          <w:tcPr>
            <w:tcW w:w="3380" w:type="dxa"/>
            <w:vAlign w:val="bottom"/>
            <w:tcBorders>
              <w:left w:val="single" w:sz="8" w:color="F79646"/>
            </w:tcBorders>
            <w:gridSpan w:val="3"/>
            <w:shd w:val="clear" w:color="auto" w:fill="FCDEC5"/>
          </w:tcPr>
          <w:p>
            <w:pPr>
              <w:ind w:left="200"/>
              <w:spacing w:after="0" w:line="144" w:lineRule="exact"/>
              <w:rPr>
                <w:sz w:val="20"/>
                <w:szCs w:val="20"/>
                <w:color w:val="auto"/>
              </w:rPr>
            </w:pPr>
            <w:r>
              <w:rPr>
                <w:rFonts w:ascii="Arial" w:cs="Arial" w:eastAsia="Arial" w:hAnsi="Arial"/>
                <w:sz w:val="13"/>
                <w:szCs w:val="13"/>
                <w:color w:val="auto"/>
              </w:rPr>
              <w:t>Nitin Sahney</w:t>
            </w:r>
          </w:p>
        </w:tc>
        <w:tc>
          <w:tcPr>
            <w:tcW w:w="102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82,500</w:t>
            </w:r>
          </w:p>
        </w:tc>
        <w:tc>
          <w:tcPr>
            <w:tcW w:w="6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110,000</w:t>
            </w:r>
          </w:p>
        </w:tc>
        <w:tc>
          <w:tcPr>
            <w:tcW w:w="100" w:type="dxa"/>
            <w:vAlign w:val="bottom"/>
            <w:shd w:val="clear" w:color="auto" w:fill="FCDEC5"/>
          </w:tcPr>
          <w:p>
            <w:pPr>
              <w:spacing w:after="0"/>
              <w:rPr>
                <w:sz w:val="12"/>
                <w:szCs w:val="12"/>
                <w:color w:val="auto"/>
              </w:rPr>
            </w:pPr>
          </w:p>
        </w:tc>
        <w:tc>
          <w:tcPr>
            <w:tcW w:w="90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192,500</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3380" w:type="dxa"/>
            <w:vAlign w:val="bottom"/>
            <w:tcBorders>
              <w:left w:val="single" w:sz="8" w:color="F79646"/>
            </w:tcBorders>
            <w:gridSpan w:val="3"/>
          </w:tcPr>
          <w:p>
            <w:pPr>
              <w:ind w:left="200"/>
              <w:spacing w:after="0" w:line="144" w:lineRule="exact"/>
              <w:rPr>
                <w:sz w:val="20"/>
                <w:szCs w:val="20"/>
                <w:color w:val="auto"/>
              </w:rPr>
            </w:pPr>
            <w:r>
              <w:rPr>
                <w:rFonts w:ascii="Arial" w:cs="Arial" w:eastAsia="Arial" w:hAnsi="Arial"/>
                <w:sz w:val="13"/>
                <w:szCs w:val="13"/>
                <w:color w:val="auto"/>
              </w:rPr>
              <w:t>Garen Staglin</w:t>
            </w:r>
          </w:p>
        </w:tc>
        <w:tc>
          <w:tcPr>
            <w:tcW w:w="10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130,000</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210,000</w:t>
            </w:r>
          </w:p>
        </w:tc>
        <w:tc>
          <w:tcPr>
            <w:tcW w:w="10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39,734</w:t>
            </w:r>
          </w:p>
        </w:tc>
        <w:tc>
          <w:tcPr>
            <w:tcW w:w="6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379,734</w:t>
            </w:r>
          </w:p>
        </w:tc>
        <w:tc>
          <w:tcPr>
            <w:tcW w:w="200" w:type="dxa"/>
            <w:vAlign w:val="bottom"/>
            <w:tcBorders>
              <w:right w:val="single" w:sz="8" w:color="F79646"/>
            </w:tcBorders>
          </w:tcPr>
          <w:p>
            <w:pPr>
              <w:spacing w:after="0"/>
              <w:rPr>
                <w:sz w:val="12"/>
                <w:szCs w:val="12"/>
                <w:color w:val="auto"/>
              </w:rPr>
            </w:pPr>
          </w:p>
        </w:tc>
      </w:tr>
      <w:tr>
        <w:trPr>
          <w:trHeight w:val="173"/>
        </w:trPr>
        <w:tc>
          <w:tcPr>
            <w:tcW w:w="3380" w:type="dxa"/>
            <w:vAlign w:val="bottom"/>
            <w:tcBorders>
              <w:left w:val="single" w:sz="8" w:color="F79646"/>
              <w:bottom w:val="single" w:sz="8" w:color="F79646"/>
            </w:tcBorders>
            <w:gridSpan w:val="3"/>
            <w:shd w:val="clear" w:color="auto" w:fill="FCDEC5"/>
          </w:tcPr>
          <w:p>
            <w:pPr>
              <w:ind w:left="200"/>
              <w:spacing w:after="0" w:line="173" w:lineRule="exact"/>
              <w:rPr>
                <w:sz w:val="20"/>
                <w:szCs w:val="20"/>
                <w:color w:val="auto"/>
              </w:rPr>
            </w:pPr>
            <w:r>
              <w:rPr>
                <w:rFonts w:ascii="Arial" w:cs="Arial" w:eastAsia="Arial" w:hAnsi="Arial"/>
                <w:sz w:val="13"/>
                <w:szCs w:val="13"/>
                <w:color w:val="auto"/>
              </w:rPr>
              <w:t>Jaynie Studenmund</w:t>
            </w:r>
            <w:r>
              <w:rPr>
                <w:rFonts w:ascii="Arial" w:cs="Arial" w:eastAsia="Arial" w:hAnsi="Arial"/>
                <w:sz w:val="20"/>
                <w:szCs w:val="20"/>
                <w:color w:val="auto"/>
                <w:vertAlign w:val="superscript"/>
              </w:rPr>
              <w:t>(6)</w:t>
            </w:r>
          </w:p>
        </w:tc>
        <w:tc>
          <w:tcPr>
            <w:tcW w:w="102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3"/>
                <w:szCs w:val="13"/>
                <w:color w:val="auto"/>
              </w:rPr>
              <w:t>41,250</w:t>
            </w:r>
          </w:p>
        </w:tc>
        <w:tc>
          <w:tcPr>
            <w:tcW w:w="68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3"/>
                <w:szCs w:val="13"/>
                <w:color w:val="auto"/>
              </w:rPr>
              <w:t>79,760</w:t>
            </w:r>
          </w:p>
        </w:tc>
        <w:tc>
          <w:tcPr>
            <w:tcW w:w="100" w:type="dxa"/>
            <w:vAlign w:val="bottom"/>
            <w:tcBorders>
              <w:bottom w:val="single" w:sz="8" w:color="F79646"/>
            </w:tcBorders>
            <w:shd w:val="clear" w:color="auto" w:fill="FCDEC5"/>
          </w:tcPr>
          <w:p>
            <w:pPr>
              <w:spacing w:after="0"/>
              <w:rPr>
                <w:sz w:val="15"/>
                <w:szCs w:val="15"/>
                <w:color w:val="auto"/>
              </w:rPr>
            </w:pPr>
          </w:p>
        </w:tc>
        <w:tc>
          <w:tcPr>
            <w:tcW w:w="900" w:type="dxa"/>
            <w:vAlign w:val="bottom"/>
            <w:tcBorders>
              <w:bottom w:val="single" w:sz="8" w:color="F79646"/>
            </w:tcBorders>
            <w:shd w:val="clear" w:color="auto" w:fill="FCDEC5"/>
          </w:tcPr>
          <w:p>
            <w:pPr>
              <w:spacing w:after="0"/>
              <w:rPr>
                <w:sz w:val="15"/>
                <w:szCs w:val="15"/>
                <w:color w:val="auto"/>
              </w:rPr>
            </w:pPr>
          </w:p>
        </w:tc>
        <w:tc>
          <w:tcPr>
            <w:tcW w:w="660" w:type="dxa"/>
            <w:vAlign w:val="bottom"/>
            <w:tcBorders>
              <w:bottom w:val="single" w:sz="8" w:color="F79646"/>
            </w:tcBorders>
            <w:gridSpan w:val="2"/>
            <w:shd w:val="clear" w:color="auto" w:fill="FCDEC5"/>
          </w:tcPr>
          <w:p>
            <w:pPr>
              <w:jc w:val="right"/>
              <w:spacing w:after="0"/>
              <w:rPr>
                <w:sz w:val="20"/>
                <w:szCs w:val="20"/>
                <w:color w:val="auto"/>
              </w:rPr>
            </w:pPr>
            <w:r>
              <w:rPr>
                <w:rFonts w:ascii="Arial" w:cs="Arial" w:eastAsia="Arial" w:hAnsi="Arial"/>
                <w:sz w:val="13"/>
                <w:szCs w:val="13"/>
                <w:color w:val="auto"/>
              </w:rPr>
              <w:t>121,010</w:t>
            </w:r>
          </w:p>
        </w:tc>
        <w:tc>
          <w:tcPr>
            <w:tcW w:w="200" w:type="dxa"/>
            <w:vAlign w:val="bottom"/>
            <w:tcBorders>
              <w:bottom w:val="single" w:sz="8" w:color="F79646"/>
              <w:right w:val="single" w:sz="8" w:color="F79646"/>
            </w:tcBorders>
            <w:shd w:val="clear" w:color="auto" w:fill="FCDEC5"/>
          </w:tcPr>
          <w:p>
            <w:pPr>
              <w:spacing w:after="0"/>
              <w:rPr>
                <w:sz w:val="15"/>
                <w:szCs w:val="15"/>
                <w:color w:val="auto"/>
              </w:rPr>
            </w:pPr>
          </w:p>
        </w:tc>
      </w:tr>
      <w:tr>
        <w:trPr>
          <w:trHeight w:val="67"/>
        </w:trPr>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r>
    </w:tbl>
    <w:p>
      <w:pPr>
        <w:spacing w:after="0" w:line="156" w:lineRule="exact"/>
        <w:rPr>
          <w:sz w:val="20"/>
          <w:szCs w:val="20"/>
          <w:color w:val="auto"/>
        </w:rPr>
      </w:pPr>
    </w:p>
    <w:p>
      <w:pPr>
        <w:jc w:val="both"/>
        <w:ind w:left="1440" w:right="179" w:hanging="382"/>
        <w:spacing w:after="0" w:line="234" w:lineRule="auto"/>
        <w:tabs>
          <w:tab w:leader="none" w:pos="14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Mr. Kapoor's compensation during 2018 was based solely on his role as CEO, as disclosed in the "Summary Compensation Table for Fiscal Year 2018" beginning on page 50 and discussed in "Compensation Discussion and Analysis" beginning on page 33. He does not receive any additional compensation for his services as a director.</w:t>
      </w:r>
    </w:p>
    <w:p>
      <w:pPr>
        <w:spacing w:after="0" w:line="5" w:lineRule="exact"/>
        <w:rPr>
          <w:rFonts w:ascii="Arial" w:cs="Arial" w:eastAsia="Arial" w:hAnsi="Arial"/>
          <w:sz w:val="13"/>
          <w:szCs w:val="13"/>
          <w:color w:val="auto"/>
        </w:rPr>
      </w:pPr>
    </w:p>
    <w:p>
      <w:pPr>
        <w:jc w:val="both"/>
        <w:ind w:left="1440" w:right="179" w:hanging="382"/>
        <w:spacing w:after="0" w:line="231" w:lineRule="auto"/>
        <w:tabs>
          <w:tab w:leader="none" w:pos="14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stock awards and option awards recognized for financial statement reporting purposes for the fiscal year ended December 31, 2018, in accordance with FASB ASC Topic 718 (disregarding any forfeiture assumptions). Assumptions used in the calculation of these amounts are included in footnotes 2 and 24 to our audited financial statements for the fiscal year ended December 31, 2018 included in the 2018 Form 10-K.</w:t>
      </w:r>
    </w:p>
    <w:p>
      <w:pPr>
        <w:spacing w:after="0" w:line="1" w:lineRule="exact"/>
        <w:rPr>
          <w:rFonts w:ascii="Arial" w:cs="Arial" w:eastAsia="Arial" w:hAnsi="Arial"/>
          <w:sz w:val="13"/>
          <w:szCs w:val="13"/>
          <w:color w:val="auto"/>
        </w:rPr>
      </w:pPr>
    </w:p>
    <w:p>
      <w:pPr>
        <w:ind w:left="1440" w:hanging="382"/>
        <w:spacing w:after="0"/>
        <w:tabs>
          <w:tab w:leader="none" w:pos="14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outstanding equity awards held by our non-employee directors on December 31, 2018 is set forth on the table below:</w:t>
      </w:r>
    </w:p>
    <w:p>
      <w:pPr>
        <w:spacing w:after="0" w:line="137" w:lineRule="exact"/>
        <w:rPr>
          <w:sz w:val="20"/>
          <w:szCs w:val="20"/>
          <w:color w:val="auto"/>
        </w:rPr>
      </w:pPr>
    </w:p>
    <w:tbl>
      <w:tblPr>
        <w:tblLayout w:type="fixed"/>
        <w:tblInd w:w="1250" w:type="dxa"/>
        <w:tblCellMar>
          <w:top w:w="0" w:type="dxa"/>
          <w:left w:w="0" w:type="dxa"/>
          <w:bottom w:w="0" w:type="dxa"/>
          <w:right w:w="0" w:type="dxa"/>
        </w:tblCellMar>
      </w:tblPr>
      <w:tr>
        <w:trPr>
          <w:trHeight w:val="149"/>
        </w:trPr>
        <w:tc>
          <w:tcPr>
            <w:tcW w:w="180" w:type="dxa"/>
            <w:vAlign w:val="bottom"/>
            <w:tcBorders>
              <w:left w:val="single" w:sz="8" w:color="F79646"/>
            </w:tcBorders>
            <w:shd w:val="clear" w:color="auto" w:fill="F79646"/>
          </w:tcPr>
          <w:p>
            <w:pPr>
              <w:spacing w:after="0"/>
              <w:rPr>
                <w:sz w:val="12"/>
                <w:szCs w:val="12"/>
                <w:color w:val="auto"/>
              </w:rPr>
            </w:pPr>
          </w:p>
        </w:tc>
        <w:tc>
          <w:tcPr>
            <w:tcW w:w="22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36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7"/>
              </w:rPr>
              <w:t>No. of Securities</w:t>
            </w:r>
          </w:p>
        </w:tc>
        <w:tc>
          <w:tcPr>
            <w:tcW w:w="120" w:type="dxa"/>
            <w:vAlign w:val="bottom"/>
            <w:shd w:val="clear" w:color="auto" w:fill="F79646"/>
          </w:tcPr>
          <w:p>
            <w:pPr>
              <w:spacing w:after="0"/>
              <w:rPr>
                <w:sz w:val="12"/>
                <w:szCs w:val="12"/>
                <w:color w:val="auto"/>
              </w:rPr>
            </w:pPr>
          </w:p>
        </w:tc>
        <w:tc>
          <w:tcPr>
            <w:tcW w:w="152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160" w:type="dxa"/>
            <w:vAlign w:val="bottom"/>
            <w:tcBorders>
              <w:right w:val="single" w:sz="8" w:color="F79646"/>
            </w:tcBorders>
            <w:gridSpan w:val="2"/>
            <w:shd w:val="clear" w:color="auto" w:fill="F79646"/>
          </w:tcPr>
          <w:p>
            <w:pPr>
              <w:jc w:val="center"/>
              <w:ind w:right="200"/>
              <w:spacing w:after="0"/>
              <w:rPr>
                <w:sz w:val="20"/>
                <w:szCs w:val="20"/>
                <w:color w:val="auto"/>
              </w:rPr>
            </w:pPr>
            <w:r>
              <w:rPr>
                <w:rFonts w:ascii="Arial" w:cs="Arial" w:eastAsia="Arial" w:hAnsi="Arial"/>
                <w:sz w:val="13"/>
                <w:szCs w:val="13"/>
                <w:b w:val="1"/>
                <w:bCs w:val="1"/>
                <w:color w:val="FFFFFE"/>
                <w:w w:val="95"/>
              </w:rPr>
              <w:t>No. of Shares</w:t>
            </w:r>
          </w:p>
        </w:tc>
      </w:tr>
      <w:tr>
        <w:trPr>
          <w:trHeight w:val="144"/>
        </w:trPr>
        <w:tc>
          <w:tcPr>
            <w:tcW w:w="180" w:type="dxa"/>
            <w:vAlign w:val="bottom"/>
            <w:tcBorders>
              <w:left w:val="single" w:sz="8" w:color="F79646"/>
            </w:tcBorders>
            <w:shd w:val="clear" w:color="auto" w:fill="F79646"/>
          </w:tcPr>
          <w:p>
            <w:pPr>
              <w:spacing w:after="0"/>
              <w:rPr>
                <w:sz w:val="12"/>
                <w:szCs w:val="12"/>
                <w:color w:val="auto"/>
              </w:rPr>
            </w:pPr>
          </w:p>
        </w:tc>
        <w:tc>
          <w:tcPr>
            <w:tcW w:w="22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36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4"/>
              </w:rPr>
              <w:t>Underlying</w:t>
            </w:r>
          </w:p>
        </w:tc>
        <w:tc>
          <w:tcPr>
            <w:tcW w:w="120" w:type="dxa"/>
            <w:vAlign w:val="bottom"/>
            <w:shd w:val="clear" w:color="auto" w:fill="F79646"/>
          </w:tcPr>
          <w:p>
            <w:pPr>
              <w:spacing w:after="0"/>
              <w:rPr>
                <w:sz w:val="12"/>
                <w:szCs w:val="12"/>
                <w:color w:val="auto"/>
              </w:rPr>
            </w:pPr>
          </w:p>
        </w:tc>
        <w:tc>
          <w:tcPr>
            <w:tcW w:w="152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7"/>
              </w:rPr>
              <w:t>No. of Securities</w:t>
            </w:r>
          </w:p>
        </w:tc>
        <w:tc>
          <w:tcPr>
            <w:tcW w:w="120" w:type="dxa"/>
            <w:vAlign w:val="bottom"/>
            <w:shd w:val="clear" w:color="auto" w:fill="F79646"/>
          </w:tcPr>
          <w:p>
            <w:pPr>
              <w:spacing w:after="0"/>
              <w:rPr>
                <w:sz w:val="12"/>
                <w:szCs w:val="12"/>
                <w:color w:val="auto"/>
              </w:rPr>
            </w:pPr>
          </w:p>
        </w:tc>
        <w:tc>
          <w:tcPr>
            <w:tcW w:w="1160" w:type="dxa"/>
            <w:vAlign w:val="bottom"/>
            <w:tcBorders>
              <w:right w:val="single" w:sz="8" w:color="F79646"/>
            </w:tcBorders>
            <w:gridSpan w:val="2"/>
            <w:shd w:val="clear" w:color="auto" w:fill="F79646"/>
          </w:tcPr>
          <w:p>
            <w:pPr>
              <w:jc w:val="center"/>
              <w:ind w:right="200"/>
              <w:spacing w:after="0" w:line="144" w:lineRule="exact"/>
              <w:rPr>
                <w:sz w:val="20"/>
                <w:szCs w:val="20"/>
                <w:color w:val="auto"/>
              </w:rPr>
            </w:pPr>
            <w:r>
              <w:rPr>
                <w:rFonts w:ascii="Arial" w:cs="Arial" w:eastAsia="Arial" w:hAnsi="Arial"/>
                <w:sz w:val="13"/>
                <w:szCs w:val="13"/>
                <w:b w:val="1"/>
                <w:bCs w:val="1"/>
                <w:color w:val="FFFFFE"/>
                <w:w w:val="98"/>
              </w:rPr>
              <w:t>or Units of</w:t>
            </w:r>
          </w:p>
        </w:tc>
      </w:tr>
      <w:tr>
        <w:trPr>
          <w:trHeight w:val="144"/>
        </w:trPr>
        <w:tc>
          <w:tcPr>
            <w:tcW w:w="180" w:type="dxa"/>
            <w:vAlign w:val="bottom"/>
            <w:tcBorders>
              <w:left w:val="single" w:sz="8" w:color="F79646"/>
            </w:tcBorders>
            <w:shd w:val="clear" w:color="auto" w:fill="F79646"/>
          </w:tcPr>
          <w:p>
            <w:pPr>
              <w:spacing w:after="0"/>
              <w:rPr>
                <w:sz w:val="12"/>
                <w:szCs w:val="12"/>
                <w:color w:val="auto"/>
              </w:rPr>
            </w:pPr>
          </w:p>
        </w:tc>
        <w:tc>
          <w:tcPr>
            <w:tcW w:w="224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136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8"/>
              </w:rPr>
              <w:t>Unexercised</w:t>
            </w:r>
          </w:p>
        </w:tc>
        <w:tc>
          <w:tcPr>
            <w:tcW w:w="120" w:type="dxa"/>
            <w:vAlign w:val="bottom"/>
            <w:shd w:val="clear" w:color="auto" w:fill="F79646"/>
          </w:tcPr>
          <w:p>
            <w:pPr>
              <w:spacing w:after="0"/>
              <w:rPr>
                <w:sz w:val="12"/>
                <w:szCs w:val="12"/>
                <w:color w:val="auto"/>
              </w:rPr>
            </w:pPr>
          </w:p>
        </w:tc>
        <w:tc>
          <w:tcPr>
            <w:tcW w:w="1520" w:type="dxa"/>
            <w:vAlign w:val="bottom"/>
            <w:shd w:val="clear" w:color="auto" w:fill="F79646"/>
          </w:tcPr>
          <w:p>
            <w:pPr>
              <w:jc w:val="center"/>
              <w:spacing w:after="0" w:line="144" w:lineRule="exact"/>
              <w:rPr>
                <w:sz w:val="20"/>
                <w:szCs w:val="20"/>
                <w:color w:val="auto"/>
              </w:rPr>
            </w:pPr>
            <w:r>
              <w:rPr>
                <w:rFonts w:ascii="Arial" w:cs="Arial" w:eastAsia="Arial" w:hAnsi="Arial"/>
                <w:sz w:val="13"/>
                <w:szCs w:val="13"/>
                <w:b w:val="1"/>
                <w:bCs w:val="1"/>
                <w:color w:val="FFFFFE"/>
                <w:w w:val="96"/>
              </w:rPr>
              <w:t>Underlying Unexercised</w:t>
            </w:r>
          </w:p>
        </w:tc>
        <w:tc>
          <w:tcPr>
            <w:tcW w:w="120" w:type="dxa"/>
            <w:vAlign w:val="bottom"/>
            <w:shd w:val="clear" w:color="auto" w:fill="F79646"/>
          </w:tcPr>
          <w:p>
            <w:pPr>
              <w:spacing w:after="0"/>
              <w:rPr>
                <w:sz w:val="12"/>
                <w:szCs w:val="12"/>
                <w:color w:val="auto"/>
              </w:rPr>
            </w:pPr>
          </w:p>
        </w:tc>
        <w:tc>
          <w:tcPr>
            <w:tcW w:w="1160" w:type="dxa"/>
            <w:vAlign w:val="bottom"/>
            <w:tcBorders>
              <w:right w:val="single" w:sz="8" w:color="F79646"/>
            </w:tcBorders>
            <w:gridSpan w:val="2"/>
            <w:shd w:val="clear" w:color="auto" w:fill="F79646"/>
          </w:tcPr>
          <w:p>
            <w:pPr>
              <w:jc w:val="center"/>
              <w:ind w:right="200"/>
              <w:spacing w:after="0" w:line="144" w:lineRule="exact"/>
              <w:rPr>
                <w:sz w:val="20"/>
                <w:szCs w:val="20"/>
                <w:color w:val="auto"/>
              </w:rPr>
            </w:pPr>
            <w:r>
              <w:rPr>
                <w:rFonts w:ascii="Arial" w:cs="Arial" w:eastAsia="Arial" w:hAnsi="Arial"/>
                <w:sz w:val="13"/>
                <w:szCs w:val="13"/>
                <w:b w:val="1"/>
                <w:bCs w:val="1"/>
                <w:color w:val="FFFFFE"/>
                <w:w w:val="96"/>
              </w:rPr>
              <w:t>Stock That</w:t>
            </w:r>
          </w:p>
        </w:tc>
      </w:tr>
      <w:tr>
        <w:trPr>
          <w:trHeight w:val="164"/>
        </w:trPr>
        <w:tc>
          <w:tcPr>
            <w:tcW w:w="180" w:type="dxa"/>
            <w:vAlign w:val="bottom"/>
            <w:tcBorders>
              <w:left w:val="single" w:sz="8" w:color="F79646"/>
            </w:tcBorders>
            <w:shd w:val="clear" w:color="auto" w:fill="F79646"/>
          </w:tcPr>
          <w:p>
            <w:pPr>
              <w:spacing w:after="0"/>
              <w:rPr>
                <w:sz w:val="14"/>
                <w:szCs w:val="14"/>
                <w:color w:val="auto"/>
              </w:rPr>
            </w:pPr>
          </w:p>
        </w:tc>
        <w:tc>
          <w:tcPr>
            <w:tcW w:w="22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36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6"/>
              </w:rPr>
              <w:t>Options (#)</w:t>
            </w:r>
          </w:p>
        </w:tc>
        <w:tc>
          <w:tcPr>
            <w:tcW w:w="120" w:type="dxa"/>
            <w:vAlign w:val="bottom"/>
            <w:shd w:val="clear" w:color="auto" w:fill="F79646"/>
          </w:tcPr>
          <w:p>
            <w:pPr>
              <w:spacing w:after="0"/>
              <w:rPr>
                <w:sz w:val="14"/>
                <w:szCs w:val="14"/>
                <w:color w:val="auto"/>
              </w:rPr>
            </w:pPr>
          </w:p>
        </w:tc>
        <w:tc>
          <w:tcPr>
            <w:tcW w:w="152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9"/>
              </w:rPr>
              <w:t>Options (#)</w:t>
            </w:r>
          </w:p>
        </w:tc>
        <w:tc>
          <w:tcPr>
            <w:tcW w:w="120" w:type="dxa"/>
            <w:vAlign w:val="bottom"/>
            <w:shd w:val="clear" w:color="auto" w:fill="F79646"/>
          </w:tcPr>
          <w:p>
            <w:pPr>
              <w:spacing w:after="0"/>
              <w:rPr>
                <w:sz w:val="14"/>
                <w:szCs w:val="14"/>
                <w:color w:val="auto"/>
              </w:rPr>
            </w:pPr>
          </w:p>
        </w:tc>
        <w:tc>
          <w:tcPr>
            <w:tcW w:w="1160" w:type="dxa"/>
            <w:vAlign w:val="bottom"/>
            <w:tcBorders>
              <w:right w:val="single" w:sz="8" w:color="F79646"/>
            </w:tcBorders>
            <w:gridSpan w:val="2"/>
            <w:shd w:val="clear" w:color="auto" w:fill="F79646"/>
          </w:tcPr>
          <w:p>
            <w:pPr>
              <w:jc w:val="center"/>
              <w:ind w:right="180"/>
              <w:spacing w:after="0"/>
              <w:rPr>
                <w:sz w:val="20"/>
                <w:szCs w:val="20"/>
                <w:color w:val="auto"/>
              </w:rPr>
            </w:pPr>
            <w:r>
              <w:rPr>
                <w:rFonts w:ascii="Arial" w:cs="Arial" w:eastAsia="Arial" w:hAnsi="Arial"/>
                <w:sz w:val="13"/>
                <w:szCs w:val="13"/>
                <w:b w:val="1"/>
                <w:bCs w:val="1"/>
                <w:color w:val="FFFFFE"/>
                <w:w w:val="96"/>
              </w:rPr>
              <w:t>Have</w:t>
            </w:r>
          </w:p>
        </w:tc>
      </w:tr>
      <w:tr>
        <w:trPr>
          <w:trHeight w:val="166"/>
        </w:trPr>
        <w:tc>
          <w:tcPr>
            <w:tcW w:w="180" w:type="dxa"/>
            <w:vAlign w:val="bottom"/>
            <w:tcBorders>
              <w:left w:val="single" w:sz="8" w:color="F79646"/>
              <w:bottom w:val="single" w:sz="8" w:color="F79646"/>
            </w:tcBorders>
            <w:shd w:val="clear" w:color="auto" w:fill="F79646"/>
          </w:tcPr>
          <w:p>
            <w:pPr>
              <w:spacing w:after="0"/>
              <w:rPr>
                <w:sz w:val="14"/>
                <w:szCs w:val="14"/>
                <w:color w:val="auto"/>
              </w:rPr>
            </w:pPr>
          </w:p>
        </w:tc>
        <w:tc>
          <w:tcPr>
            <w:tcW w:w="2240" w:type="dxa"/>
            <w:vAlign w:val="bottom"/>
            <w:tcBorders>
              <w:bottom w:val="single" w:sz="8" w:color="auto"/>
            </w:tcBorders>
            <w:shd w:val="clear" w:color="auto" w:fill="F79646"/>
          </w:tcPr>
          <w:p>
            <w:pPr>
              <w:ind w:left="940"/>
              <w:spacing w:after="0"/>
              <w:rPr>
                <w:sz w:val="20"/>
                <w:szCs w:val="20"/>
                <w:color w:val="auto"/>
              </w:rPr>
            </w:pPr>
            <w:r>
              <w:rPr>
                <w:rFonts w:ascii="Arial" w:cs="Arial" w:eastAsia="Arial" w:hAnsi="Arial"/>
                <w:sz w:val="13"/>
                <w:szCs w:val="13"/>
                <w:b w:val="1"/>
                <w:bCs w:val="1"/>
                <w:color w:val="FFFFFE"/>
              </w:rPr>
              <w:t>Name</w:t>
            </w:r>
          </w:p>
        </w:tc>
        <w:tc>
          <w:tcPr>
            <w:tcW w:w="120" w:type="dxa"/>
            <w:vAlign w:val="bottom"/>
            <w:tcBorders>
              <w:bottom w:val="single" w:sz="8" w:color="F79646"/>
            </w:tcBorders>
            <w:shd w:val="clear" w:color="auto" w:fill="F79646"/>
          </w:tcPr>
          <w:p>
            <w:pPr>
              <w:spacing w:after="0"/>
              <w:rPr>
                <w:sz w:val="14"/>
                <w:szCs w:val="14"/>
                <w:color w:val="auto"/>
              </w:rPr>
            </w:pPr>
          </w:p>
        </w:tc>
        <w:tc>
          <w:tcPr>
            <w:tcW w:w="1360" w:type="dxa"/>
            <w:vAlign w:val="bottom"/>
            <w:tcBorders>
              <w:bottom w:val="single" w:sz="8" w:color="auto"/>
            </w:tcBorders>
            <w:shd w:val="clear" w:color="auto" w:fill="F79646"/>
          </w:tcPr>
          <w:p>
            <w:pPr>
              <w:jc w:val="right"/>
              <w:ind w:right="297"/>
              <w:spacing w:after="0"/>
              <w:rPr>
                <w:sz w:val="20"/>
                <w:szCs w:val="20"/>
                <w:color w:val="auto"/>
              </w:rPr>
            </w:pPr>
            <w:r>
              <w:rPr>
                <w:rFonts w:ascii="Arial" w:cs="Arial" w:eastAsia="Arial" w:hAnsi="Arial"/>
                <w:sz w:val="13"/>
                <w:szCs w:val="13"/>
                <w:b w:val="1"/>
                <w:bCs w:val="1"/>
                <w:color w:val="FFFFFE"/>
              </w:rPr>
              <w:t>Exercisable</w:t>
            </w:r>
          </w:p>
        </w:tc>
        <w:tc>
          <w:tcPr>
            <w:tcW w:w="120" w:type="dxa"/>
            <w:vAlign w:val="bottom"/>
            <w:tcBorders>
              <w:bottom w:val="single" w:sz="8" w:color="F79646"/>
            </w:tcBorders>
            <w:shd w:val="clear" w:color="auto" w:fill="F79646"/>
          </w:tcPr>
          <w:p>
            <w:pPr>
              <w:spacing w:after="0"/>
              <w:rPr>
                <w:sz w:val="14"/>
                <w:szCs w:val="14"/>
                <w:color w:val="auto"/>
              </w:rPr>
            </w:pPr>
          </w:p>
        </w:tc>
        <w:tc>
          <w:tcPr>
            <w:tcW w:w="1520" w:type="dxa"/>
            <w:vAlign w:val="bottom"/>
            <w:tcBorders>
              <w:bottom w:val="single" w:sz="8" w:color="auto"/>
            </w:tcBorders>
            <w:shd w:val="clear" w:color="auto" w:fill="F79646"/>
          </w:tcPr>
          <w:p>
            <w:pPr>
              <w:ind w:left="320"/>
              <w:spacing w:after="0"/>
              <w:rPr>
                <w:sz w:val="20"/>
                <w:szCs w:val="20"/>
                <w:color w:val="auto"/>
              </w:rPr>
            </w:pPr>
            <w:r>
              <w:rPr>
                <w:rFonts w:ascii="Arial" w:cs="Arial" w:eastAsia="Arial" w:hAnsi="Arial"/>
                <w:sz w:val="13"/>
                <w:szCs w:val="13"/>
                <w:b w:val="1"/>
                <w:bCs w:val="1"/>
                <w:color w:val="FFFFFE"/>
              </w:rPr>
              <w:t>Unexercisable</w:t>
            </w:r>
          </w:p>
        </w:tc>
        <w:tc>
          <w:tcPr>
            <w:tcW w:w="120" w:type="dxa"/>
            <w:vAlign w:val="bottom"/>
            <w:tcBorders>
              <w:bottom w:val="single" w:sz="8" w:color="F79646"/>
            </w:tcBorders>
            <w:shd w:val="clear" w:color="auto" w:fill="F79646"/>
          </w:tcPr>
          <w:p>
            <w:pPr>
              <w:spacing w:after="0"/>
              <w:rPr>
                <w:sz w:val="14"/>
                <w:szCs w:val="14"/>
                <w:color w:val="auto"/>
              </w:rPr>
            </w:pPr>
          </w:p>
        </w:tc>
        <w:tc>
          <w:tcPr>
            <w:tcW w:w="960" w:type="dxa"/>
            <w:vAlign w:val="bottom"/>
            <w:tcBorders>
              <w:bottom w:val="single" w:sz="8" w:color="auto"/>
            </w:tcBorders>
            <w:shd w:val="clear" w:color="auto" w:fill="F79646"/>
          </w:tcPr>
          <w:p>
            <w:pPr>
              <w:jc w:val="right"/>
              <w:ind w:right="117"/>
              <w:spacing w:after="0"/>
              <w:rPr>
                <w:sz w:val="20"/>
                <w:szCs w:val="20"/>
                <w:color w:val="auto"/>
              </w:rPr>
            </w:pPr>
            <w:r>
              <w:rPr>
                <w:rFonts w:ascii="Arial" w:cs="Arial" w:eastAsia="Arial" w:hAnsi="Arial"/>
                <w:sz w:val="13"/>
                <w:szCs w:val="13"/>
                <w:b w:val="1"/>
                <w:bCs w:val="1"/>
                <w:color w:val="FFFFFE"/>
              </w:rPr>
              <w:t>Not Vested</w:t>
            </w:r>
          </w:p>
        </w:tc>
        <w:tc>
          <w:tcPr>
            <w:tcW w:w="200" w:type="dxa"/>
            <w:vAlign w:val="bottom"/>
            <w:tcBorders>
              <w:bottom w:val="single" w:sz="8" w:color="F79646"/>
              <w:right w:val="single" w:sz="8" w:color="F79646"/>
            </w:tcBorders>
            <w:shd w:val="clear" w:color="auto" w:fill="F79646"/>
          </w:tcPr>
          <w:p>
            <w:pPr>
              <w:spacing w:after="0"/>
              <w:rPr>
                <w:sz w:val="14"/>
                <w:szCs w:val="14"/>
                <w:color w:val="auto"/>
              </w:rPr>
            </w:pPr>
          </w:p>
        </w:tc>
      </w:tr>
      <w:tr>
        <w:trPr>
          <w:trHeight w:val="135"/>
        </w:trPr>
        <w:tc>
          <w:tcPr>
            <w:tcW w:w="2420" w:type="dxa"/>
            <w:vAlign w:val="bottom"/>
            <w:tcBorders>
              <w:left w:val="single" w:sz="8" w:color="F79646"/>
            </w:tcBorders>
            <w:gridSpan w:val="2"/>
            <w:shd w:val="clear" w:color="auto" w:fill="FCDEC5"/>
          </w:tcPr>
          <w:p>
            <w:pPr>
              <w:ind w:left="180"/>
              <w:spacing w:after="0" w:line="136" w:lineRule="exact"/>
              <w:rPr>
                <w:sz w:val="20"/>
                <w:szCs w:val="20"/>
                <w:color w:val="auto"/>
              </w:rPr>
            </w:pPr>
            <w:r>
              <w:rPr>
                <w:rFonts w:ascii="Arial" w:cs="Arial" w:eastAsia="Arial" w:hAnsi="Arial"/>
                <w:sz w:val="13"/>
                <w:szCs w:val="13"/>
                <w:color w:val="auto"/>
              </w:rPr>
              <w:t>David Kelso</w:t>
            </w:r>
          </w:p>
        </w:tc>
        <w:tc>
          <w:tcPr>
            <w:tcW w:w="1480" w:type="dxa"/>
            <w:vAlign w:val="bottom"/>
            <w:gridSpan w:val="2"/>
            <w:shd w:val="clear" w:color="auto" w:fill="FCDEC5"/>
          </w:tcPr>
          <w:p>
            <w:pPr>
              <w:jc w:val="right"/>
              <w:spacing w:after="0" w:line="136" w:lineRule="exact"/>
              <w:rPr>
                <w:sz w:val="20"/>
                <w:szCs w:val="20"/>
                <w:color w:val="auto"/>
              </w:rPr>
            </w:pPr>
            <w:r>
              <w:rPr>
                <w:rFonts w:ascii="Arial" w:cs="Arial" w:eastAsia="Arial" w:hAnsi="Arial"/>
                <w:sz w:val="13"/>
                <w:szCs w:val="13"/>
                <w:color w:val="auto"/>
              </w:rPr>
              <w:t>26,294</w:t>
            </w:r>
          </w:p>
        </w:tc>
        <w:tc>
          <w:tcPr>
            <w:tcW w:w="120" w:type="dxa"/>
            <w:vAlign w:val="bottom"/>
            <w:shd w:val="clear" w:color="auto" w:fill="FCDEC5"/>
          </w:tcPr>
          <w:p>
            <w:pPr>
              <w:spacing w:after="0"/>
              <w:rPr>
                <w:sz w:val="11"/>
                <w:szCs w:val="11"/>
                <w:color w:val="auto"/>
              </w:rPr>
            </w:pPr>
          </w:p>
        </w:tc>
        <w:tc>
          <w:tcPr>
            <w:tcW w:w="1520" w:type="dxa"/>
            <w:vAlign w:val="bottom"/>
            <w:shd w:val="clear" w:color="auto" w:fill="FCDEC5"/>
          </w:tcPr>
          <w:p>
            <w:pPr>
              <w:ind w:left="1400"/>
              <w:spacing w:after="0" w:line="136" w:lineRule="exact"/>
              <w:rPr>
                <w:sz w:val="20"/>
                <w:szCs w:val="20"/>
                <w:color w:val="auto"/>
              </w:rPr>
            </w:pPr>
            <w:r>
              <w:rPr>
                <w:rFonts w:ascii="Arial" w:cs="Arial" w:eastAsia="Arial" w:hAnsi="Arial"/>
                <w:sz w:val="13"/>
                <w:szCs w:val="13"/>
                <w:color w:val="auto"/>
                <w:w w:val="76"/>
              </w:rPr>
              <w:t>—</w:t>
            </w:r>
          </w:p>
        </w:tc>
        <w:tc>
          <w:tcPr>
            <w:tcW w:w="1080" w:type="dxa"/>
            <w:vAlign w:val="bottom"/>
            <w:gridSpan w:val="2"/>
            <w:shd w:val="clear" w:color="auto" w:fill="FCDEC5"/>
          </w:tcPr>
          <w:p>
            <w:pPr>
              <w:jc w:val="right"/>
              <w:spacing w:after="0" w:line="136"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shd w:val="clear" w:color="auto" w:fill="FCDEC5"/>
          </w:tcPr>
          <w:p>
            <w:pPr>
              <w:spacing w:after="0"/>
              <w:rPr>
                <w:sz w:val="11"/>
                <w:szCs w:val="11"/>
                <w:color w:val="auto"/>
              </w:rPr>
            </w:pPr>
          </w:p>
        </w:tc>
      </w:tr>
      <w:tr>
        <w:trPr>
          <w:trHeight w:val="144"/>
        </w:trPr>
        <w:tc>
          <w:tcPr>
            <w:tcW w:w="2420" w:type="dxa"/>
            <w:vAlign w:val="bottom"/>
            <w:tcBorders>
              <w:left w:val="single" w:sz="8" w:color="F79646"/>
            </w:tcBorders>
            <w:gridSpan w:val="2"/>
          </w:tcPr>
          <w:p>
            <w:pPr>
              <w:ind w:left="180"/>
              <w:spacing w:after="0" w:line="144" w:lineRule="exact"/>
              <w:rPr>
                <w:sz w:val="20"/>
                <w:szCs w:val="20"/>
                <w:color w:val="auto"/>
              </w:rPr>
            </w:pPr>
            <w:r>
              <w:rPr>
                <w:rFonts w:ascii="Arial" w:cs="Arial" w:eastAsia="Arial" w:hAnsi="Arial"/>
                <w:sz w:val="13"/>
                <w:szCs w:val="13"/>
                <w:color w:val="auto"/>
              </w:rPr>
              <w:t>Deborah Kerr</w:t>
            </w:r>
          </w:p>
        </w:tc>
        <w:tc>
          <w:tcPr>
            <w:tcW w:w="12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20" w:type="dxa"/>
            <w:vAlign w:val="bottom"/>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tcPr>
          <w:p>
            <w:pPr>
              <w:spacing w:after="0"/>
              <w:rPr>
                <w:sz w:val="12"/>
                <w:szCs w:val="12"/>
                <w:color w:val="auto"/>
              </w:rPr>
            </w:pPr>
          </w:p>
        </w:tc>
      </w:tr>
      <w:tr>
        <w:trPr>
          <w:trHeight w:val="144"/>
        </w:trPr>
        <w:tc>
          <w:tcPr>
            <w:tcW w:w="2420" w:type="dxa"/>
            <w:vAlign w:val="bottom"/>
            <w:tcBorders>
              <w:left w:val="single" w:sz="8" w:color="F79646"/>
            </w:tcBorders>
            <w:gridSpan w:val="2"/>
            <w:shd w:val="clear" w:color="auto" w:fill="FCDEC5"/>
          </w:tcPr>
          <w:p>
            <w:pPr>
              <w:ind w:left="180"/>
              <w:spacing w:after="0" w:line="144" w:lineRule="exact"/>
              <w:rPr>
                <w:sz w:val="20"/>
                <w:szCs w:val="20"/>
                <w:color w:val="auto"/>
              </w:rPr>
            </w:pPr>
            <w:r>
              <w:rPr>
                <w:rFonts w:ascii="Arial" w:cs="Arial" w:eastAsia="Arial" w:hAnsi="Arial"/>
                <w:sz w:val="13"/>
                <w:szCs w:val="13"/>
                <w:color w:val="auto"/>
              </w:rPr>
              <w:t>Anne Minto</w:t>
            </w:r>
          </w:p>
        </w:tc>
        <w:tc>
          <w:tcPr>
            <w:tcW w:w="14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3,093</w:t>
            </w:r>
          </w:p>
        </w:tc>
        <w:tc>
          <w:tcPr>
            <w:tcW w:w="120" w:type="dxa"/>
            <w:vAlign w:val="bottom"/>
            <w:shd w:val="clear" w:color="auto" w:fill="FCDEC5"/>
          </w:tcPr>
          <w:p>
            <w:pPr>
              <w:spacing w:after="0"/>
              <w:rPr>
                <w:sz w:val="12"/>
                <w:szCs w:val="12"/>
                <w:color w:val="auto"/>
              </w:rPr>
            </w:pPr>
          </w:p>
        </w:tc>
        <w:tc>
          <w:tcPr>
            <w:tcW w:w="1520" w:type="dxa"/>
            <w:vAlign w:val="bottom"/>
            <w:shd w:val="clear" w:color="auto" w:fill="FCDEC5"/>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2420" w:type="dxa"/>
            <w:vAlign w:val="bottom"/>
            <w:tcBorders>
              <w:left w:val="single" w:sz="8" w:color="F79646"/>
            </w:tcBorders>
            <w:gridSpan w:val="2"/>
          </w:tcPr>
          <w:p>
            <w:pPr>
              <w:ind w:left="180"/>
              <w:spacing w:after="0" w:line="144" w:lineRule="exact"/>
              <w:rPr>
                <w:sz w:val="20"/>
                <w:szCs w:val="20"/>
                <w:color w:val="auto"/>
              </w:rPr>
            </w:pPr>
            <w:r>
              <w:rPr>
                <w:rFonts w:ascii="Arial" w:cs="Arial" w:eastAsia="Arial" w:hAnsi="Arial"/>
                <w:sz w:val="13"/>
                <w:szCs w:val="13"/>
                <w:color w:val="auto"/>
              </w:rPr>
              <w:t>Som Mittal</w:t>
            </w:r>
          </w:p>
        </w:tc>
        <w:tc>
          <w:tcPr>
            <w:tcW w:w="12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20" w:type="dxa"/>
            <w:vAlign w:val="bottom"/>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tcPr>
          <w:p>
            <w:pPr>
              <w:spacing w:after="0"/>
              <w:rPr>
                <w:sz w:val="12"/>
                <w:szCs w:val="12"/>
                <w:color w:val="auto"/>
              </w:rPr>
            </w:pPr>
          </w:p>
        </w:tc>
      </w:tr>
      <w:tr>
        <w:trPr>
          <w:trHeight w:val="144"/>
        </w:trPr>
        <w:tc>
          <w:tcPr>
            <w:tcW w:w="2420" w:type="dxa"/>
            <w:vAlign w:val="bottom"/>
            <w:tcBorders>
              <w:left w:val="single" w:sz="8" w:color="F79646"/>
            </w:tcBorders>
            <w:gridSpan w:val="2"/>
            <w:shd w:val="clear" w:color="auto" w:fill="FCDEC5"/>
          </w:tcPr>
          <w:p>
            <w:pPr>
              <w:ind w:left="180"/>
              <w:spacing w:after="0" w:line="144" w:lineRule="exact"/>
              <w:rPr>
                <w:sz w:val="20"/>
                <w:szCs w:val="20"/>
                <w:color w:val="auto"/>
              </w:rPr>
            </w:pPr>
            <w:r>
              <w:rPr>
                <w:rFonts w:ascii="Arial" w:cs="Arial" w:eastAsia="Arial" w:hAnsi="Arial"/>
                <w:sz w:val="13"/>
                <w:szCs w:val="13"/>
                <w:color w:val="auto"/>
              </w:rPr>
              <w:t>Clyde Ostler</w:t>
            </w:r>
          </w:p>
        </w:tc>
        <w:tc>
          <w:tcPr>
            <w:tcW w:w="14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15,831</w:t>
            </w:r>
          </w:p>
        </w:tc>
        <w:tc>
          <w:tcPr>
            <w:tcW w:w="120" w:type="dxa"/>
            <w:vAlign w:val="bottom"/>
            <w:shd w:val="clear" w:color="auto" w:fill="FCDEC5"/>
          </w:tcPr>
          <w:p>
            <w:pPr>
              <w:spacing w:after="0"/>
              <w:rPr>
                <w:sz w:val="12"/>
                <w:szCs w:val="12"/>
                <w:color w:val="auto"/>
              </w:rPr>
            </w:pPr>
          </w:p>
        </w:tc>
        <w:tc>
          <w:tcPr>
            <w:tcW w:w="1520" w:type="dxa"/>
            <w:vAlign w:val="bottom"/>
            <w:shd w:val="clear" w:color="auto" w:fill="FCDEC5"/>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2420" w:type="dxa"/>
            <w:vAlign w:val="bottom"/>
            <w:tcBorders>
              <w:left w:val="single" w:sz="8" w:color="F79646"/>
            </w:tcBorders>
            <w:gridSpan w:val="2"/>
          </w:tcPr>
          <w:p>
            <w:pPr>
              <w:ind w:left="180"/>
              <w:spacing w:after="0" w:line="144" w:lineRule="exact"/>
              <w:rPr>
                <w:sz w:val="20"/>
                <w:szCs w:val="20"/>
                <w:color w:val="auto"/>
              </w:rPr>
            </w:pPr>
            <w:r>
              <w:rPr>
                <w:rFonts w:ascii="Arial" w:cs="Arial" w:eastAsia="Arial" w:hAnsi="Arial"/>
                <w:sz w:val="13"/>
                <w:szCs w:val="13"/>
                <w:color w:val="auto"/>
              </w:rPr>
              <w:t>Vikram Pandit</w:t>
            </w:r>
          </w:p>
        </w:tc>
        <w:tc>
          <w:tcPr>
            <w:tcW w:w="120" w:type="dxa"/>
            <w:vAlign w:val="bottom"/>
          </w:tcPr>
          <w:p>
            <w:pPr>
              <w:spacing w:after="0"/>
              <w:rPr>
                <w:sz w:val="12"/>
                <w:szCs w:val="12"/>
                <w:color w:val="auto"/>
              </w:rPr>
            </w:pP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20" w:type="dxa"/>
            <w:vAlign w:val="bottom"/>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1,199</w:t>
            </w:r>
          </w:p>
        </w:tc>
        <w:tc>
          <w:tcPr>
            <w:tcW w:w="200" w:type="dxa"/>
            <w:vAlign w:val="bottom"/>
            <w:tcBorders>
              <w:right w:val="single" w:sz="8" w:color="F79646"/>
            </w:tcBorders>
          </w:tcPr>
          <w:p>
            <w:pPr>
              <w:spacing w:after="0"/>
              <w:rPr>
                <w:sz w:val="12"/>
                <w:szCs w:val="12"/>
                <w:color w:val="auto"/>
              </w:rPr>
            </w:pPr>
          </w:p>
        </w:tc>
      </w:tr>
      <w:tr>
        <w:trPr>
          <w:trHeight w:val="144"/>
        </w:trPr>
        <w:tc>
          <w:tcPr>
            <w:tcW w:w="2420" w:type="dxa"/>
            <w:vAlign w:val="bottom"/>
            <w:tcBorders>
              <w:left w:val="single" w:sz="8" w:color="F79646"/>
            </w:tcBorders>
            <w:gridSpan w:val="2"/>
            <w:shd w:val="clear" w:color="auto" w:fill="FCDEC5"/>
          </w:tcPr>
          <w:p>
            <w:pPr>
              <w:ind w:left="180"/>
              <w:spacing w:after="0" w:line="144" w:lineRule="exact"/>
              <w:rPr>
                <w:sz w:val="20"/>
                <w:szCs w:val="20"/>
                <w:color w:val="auto"/>
              </w:rPr>
            </w:pPr>
            <w:r>
              <w:rPr>
                <w:rFonts w:ascii="Arial" w:cs="Arial" w:eastAsia="Arial" w:hAnsi="Arial"/>
                <w:sz w:val="13"/>
                <w:szCs w:val="13"/>
                <w:color w:val="auto"/>
              </w:rPr>
              <w:t>Nitin Sahney</w:t>
            </w:r>
          </w:p>
        </w:tc>
        <w:tc>
          <w:tcPr>
            <w:tcW w:w="120" w:type="dxa"/>
            <w:vAlign w:val="bottom"/>
            <w:shd w:val="clear" w:color="auto" w:fill="FCDEC5"/>
          </w:tcPr>
          <w:p>
            <w:pPr>
              <w:spacing w:after="0"/>
              <w:rPr>
                <w:sz w:val="12"/>
                <w:szCs w:val="12"/>
                <w:color w:val="auto"/>
              </w:rPr>
            </w:pPr>
          </w:p>
        </w:tc>
        <w:tc>
          <w:tcPr>
            <w:tcW w:w="136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FCDEC5"/>
          </w:tcPr>
          <w:p>
            <w:pPr>
              <w:spacing w:after="0"/>
              <w:rPr>
                <w:sz w:val="12"/>
                <w:szCs w:val="12"/>
                <w:color w:val="auto"/>
              </w:rPr>
            </w:pPr>
          </w:p>
        </w:tc>
        <w:tc>
          <w:tcPr>
            <w:tcW w:w="1520" w:type="dxa"/>
            <w:vAlign w:val="bottom"/>
            <w:shd w:val="clear" w:color="auto" w:fill="FCDEC5"/>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1,857</w:t>
            </w: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2420" w:type="dxa"/>
            <w:vAlign w:val="bottom"/>
            <w:tcBorders>
              <w:left w:val="single" w:sz="8" w:color="F79646"/>
            </w:tcBorders>
            <w:gridSpan w:val="2"/>
          </w:tcPr>
          <w:p>
            <w:pPr>
              <w:ind w:left="180"/>
              <w:spacing w:after="0" w:line="144" w:lineRule="exact"/>
              <w:rPr>
                <w:sz w:val="20"/>
                <w:szCs w:val="20"/>
                <w:color w:val="auto"/>
              </w:rPr>
            </w:pPr>
            <w:r>
              <w:rPr>
                <w:rFonts w:ascii="Arial" w:cs="Arial" w:eastAsia="Arial" w:hAnsi="Arial"/>
                <w:sz w:val="13"/>
                <w:szCs w:val="13"/>
                <w:color w:val="auto"/>
              </w:rPr>
              <w:t>Garen Staglin</w:t>
            </w:r>
          </w:p>
        </w:tc>
        <w:tc>
          <w:tcPr>
            <w:tcW w:w="14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15,831</w:t>
            </w:r>
          </w:p>
        </w:tc>
        <w:tc>
          <w:tcPr>
            <w:tcW w:w="120" w:type="dxa"/>
            <w:vAlign w:val="bottom"/>
          </w:tcPr>
          <w:p>
            <w:pPr>
              <w:spacing w:after="0"/>
              <w:rPr>
                <w:sz w:val="12"/>
                <w:szCs w:val="12"/>
                <w:color w:val="auto"/>
              </w:rPr>
            </w:pPr>
          </w:p>
        </w:tc>
        <w:tc>
          <w:tcPr>
            <w:tcW w:w="1520" w:type="dxa"/>
            <w:vAlign w:val="bottom"/>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3,507</w:t>
            </w:r>
          </w:p>
        </w:tc>
        <w:tc>
          <w:tcPr>
            <w:tcW w:w="200" w:type="dxa"/>
            <w:vAlign w:val="bottom"/>
            <w:tcBorders>
              <w:right w:val="single" w:sz="8" w:color="F79646"/>
            </w:tcBorders>
          </w:tcPr>
          <w:p>
            <w:pPr>
              <w:spacing w:after="0"/>
              <w:rPr>
                <w:sz w:val="12"/>
                <w:szCs w:val="12"/>
                <w:color w:val="auto"/>
              </w:rPr>
            </w:pPr>
          </w:p>
        </w:tc>
      </w:tr>
      <w:tr>
        <w:trPr>
          <w:trHeight w:val="144"/>
        </w:trPr>
        <w:tc>
          <w:tcPr>
            <w:tcW w:w="2420" w:type="dxa"/>
            <w:vAlign w:val="bottom"/>
            <w:tcBorders>
              <w:left w:val="single" w:sz="8" w:color="F79646"/>
              <w:bottom w:val="single" w:sz="8" w:color="F79646"/>
            </w:tcBorders>
            <w:gridSpan w:val="2"/>
            <w:shd w:val="clear" w:color="auto" w:fill="FCDEC5"/>
          </w:tcPr>
          <w:p>
            <w:pPr>
              <w:ind w:left="180"/>
              <w:spacing w:after="0" w:line="144" w:lineRule="exact"/>
              <w:rPr>
                <w:sz w:val="20"/>
                <w:szCs w:val="20"/>
                <w:color w:val="auto"/>
              </w:rPr>
            </w:pPr>
            <w:r>
              <w:rPr>
                <w:rFonts w:ascii="Arial" w:cs="Arial" w:eastAsia="Arial" w:hAnsi="Arial"/>
                <w:sz w:val="13"/>
                <w:szCs w:val="13"/>
                <w:color w:val="auto"/>
              </w:rPr>
              <w:t>Jaynie Studenmund</w:t>
            </w:r>
          </w:p>
        </w:tc>
        <w:tc>
          <w:tcPr>
            <w:tcW w:w="120" w:type="dxa"/>
            <w:vAlign w:val="bottom"/>
            <w:tcBorders>
              <w:bottom w:val="single" w:sz="8" w:color="F79646"/>
            </w:tcBorders>
            <w:shd w:val="clear" w:color="auto" w:fill="FCDEC5"/>
          </w:tcPr>
          <w:p>
            <w:pPr>
              <w:spacing w:after="0"/>
              <w:rPr>
                <w:sz w:val="12"/>
                <w:szCs w:val="12"/>
                <w:color w:val="auto"/>
              </w:rPr>
            </w:pPr>
          </w:p>
        </w:tc>
        <w:tc>
          <w:tcPr>
            <w:tcW w:w="1360" w:type="dxa"/>
            <w:vAlign w:val="bottom"/>
            <w:tcBorders>
              <w:bottom w:val="single" w:sz="8" w:color="F79646"/>
            </w:tcBorders>
            <w:shd w:val="clear" w:color="auto" w:fill="FCDEC5"/>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F79646"/>
            </w:tcBorders>
            <w:shd w:val="clear" w:color="auto" w:fill="FCDEC5"/>
          </w:tcPr>
          <w:p>
            <w:pPr>
              <w:spacing w:after="0"/>
              <w:rPr>
                <w:sz w:val="12"/>
                <w:szCs w:val="12"/>
                <w:color w:val="auto"/>
              </w:rPr>
            </w:pPr>
          </w:p>
        </w:tc>
        <w:tc>
          <w:tcPr>
            <w:tcW w:w="1520" w:type="dxa"/>
            <w:vAlign w:val="bottom"/>
            <w:tcBorders>
              <w:bottom w:val="single" w:sz="8" w:color="F79646"/>
            </w:tcBorders>
            <w:shd w:val="clear" w:color="auto" w:fill="FCDEC5"/>
          </w:tcPr>
          <w:p>
            <w:pPr>
              <w:ind w:left="1400"/>
              <w:spacing w:after="0" w:line="144" w:lineRule="exact"/>
              <w:rPr>
                <w:sz w:val="20"/>
                <w:szCs w:val="20"/>
                <w:color w:val="auto"/>
              </w:rPr>
            </w:pPr>
            <w:r>
              <w:rPr>
                <w:rFonts w:ascii="Arial" w:cs="Arial" w:eastAsia="Arial" w:hAnsi="Arial"/>
                <w:sz w:val="13"/>
                <w:szCs w:val="13"/>
                <w:color w:val="auto"/>
                <w:w w:val="76"/>
              </w:rPr>
              <w:t>—</w:t>
            </w:r>
          </w:p>
        </w:tc>
        <w:tc>
          <w:tcPr>
            <w:tcW w:w="1080" w:type="dxa"/>
            <w:vAlign w:val="bottom"/>
            <w:tcBorders>
              <w:bottom w:val="single" w:sz="8" w:color="F79646"/>
            </w:tcBorders>
            <w:gridSpan w:val="2"/>
            <w:shd w:val="clear" w:color="auto" w:fill="FCDEC5"/>
          </w:tcPr>
          <w:p>
            <w:pPr>
              <w:jc w:val="right"/>
              <w:spacing w:after="0" w:line="144" w:lineRule="exact"/>
              <w:rPr>
                <w:sz w:val="20"/>
                <w:szCs w:val="20"/>
                <w:color w:val="auto"/>
              </w:rPr>
            </w:pPr>
            <w:r>
              <w:rPr>
                <w:rFonts w:ascii="Arial" w:cs="Arial" w:eastAsia="Arial" w:hAnsi="Arial"/>
                <w:sz w:val="13"/>
                <w:szCs w:val="13"/>
                <w:color w:val="auto"/>
              </w:rPr>
              <w:t>1,240</w:t>
            </w:r>
          </w:p>
        </w:tc>
        <w:tc>
          <w:tcPr>
            <w:tcW w:w="200" w:type="dxa"/>
            <w:vAlign w:val="bottom"/>
            <w:tcBorders>
              <w:bottom w:val="single" w:sz="8" w:color="F79646"/>
              <w:right w:val="single" w:sz="8" w:color="F79646"/>
            </w:tcBorders>
            <w:shd w:val="clear" w:color="auto" w:fill="FCDEC5"/>
          </w:tcPr>
          <w:p>
            <w:pPr>
              <w:spacing w:after="0"/>
              <w:rPr>
                <w:sz w:val="12"/>
                <w:szCs w:val="12"/>
                <w:color w:val="auto"/>
              </w:rPr>
            </w:pPr>
          </w:p>
        </w:tc>
      </w:tr>
    </w:tbl>
    <w:p>
      <w:pPr>
        <w:spacing w:after="0" w:line="156" w:lineRule="exact"/>
        <w:rPr>
          <w:sz w:val="20"/>
          <w:szCs w:val="20"/>
          <w:color w:val="auto"/>
        </w:rPr>
      </w:pPr>
    </w:p>
    <w:p>
      <w:pPr>
        <w:jc w:val="both"/>
        <w:ind w:left="1440" w:right="199" w:hanging="382"/>
        <w:spacing w:after="0" w:line="234" w:lineRule="auto"/>
        <w:tabs>
          <w:tab w:leader="none" w:pos="1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For Ms. Minto and Mr. Mittal, amount reflects our reimbursement to the director for tax planning fees as well as tax gross-up amounts ($20,418 Ms. Minto and $21,884 for Mr. Mittal). For Mr. Staglin, amount reflects our reimbursement for costs associated with secretarial services.</w:t>
      </w:r>
    </w:p>
    <w:p>
      <w:pPr>
        <w:spacing w:after="0" w:line="5" w:lineRule="exact"/>
        <w:rPr>
          <w:rFonts w:ascii="Arial" w:cs="Arial" w:eastAsia="Arial" w:hAnsi="Arial"/>
          <w:sz w:val="13"/>
          <w:szCs w:val="13"/>
          <w:color w:val="auto"/>
        </w:rPr>
      </w:pPr>
    </w:p>
    <w:p>
      <w:pPr>
        <w:jc w:val="both"/>
        <w:ind w:left="1440" w:right="179" w:hanging="382"/>
        <w:spacing w:after="0" w:line="231" w:lineRule="auto"/>
        <w:tabs>
          <w:tab w:leader="none" w:pos="1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Mr. Pandit was appointed to our board of directors on October 4, 2018. His cash fees include the full cash fee for the fourth quarter of 2018 for his services as a director and member of the Audit Committee, and he received a pro-rated equity grant as reflected in the table above.</w:t>
      </w:r>
    </w:p>
    <w:p>
      <w:pPr>
        <w:spacing w:after="0" w:line="1" w:lineRule="exact"/>
        <w:rPr>
          <w:rFonts w:ascii="Arial" w:cs="Arial" w:eastAsia="Arial" w:hAnsi="Arial"/>
          <w:sz w:val="13"/>
          <w:szCs w:val="13"/>
          <w:color w:val="auto"/>
        </w:rPr>
      </w:pPr>
    </w:p>
    <w:p>
      <w:pPr>
        <w:jc w:val="both"/>
        <w:ind w:left="1440" w:right="179" w:hanging="382"/>
        <w:spacing w:after="0" w:line="234" w:lineRule="auto"/>
        <w:tabs>
          <w:tab w:leader="none" w:pos="1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Ms. Studenmund was appointed to our board of directors on September 7, 2018. Her cash fees include the full cash fee for the third and fourth quarter of 2018 for her services as a director and member of the Compensation and Audit Committees, and she received a pro-rated equity grant as reflected in the table above.</w:t>
      </w:r>
    </w:p>
    <w:p>
      <w:pPr>
        <w:sectPr>
          <w:pgSz w:w="11900" w:h="16838" w:orient="portrait"/>
          <w:cols w:equalWidth="0" w:num="1">
            <w:col w:w="9019"/>
          </w:cols>
          <w:pgMar w:left="1440" w:top="295"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38" w:name="page39"/>
    <w:bookmarkEnd w:id="38"/>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81" w:lineRule="auto"/>
        <w:rPr>
          <w:sz w:val="20"/>
          <w:szCs w:val="20"/>
          <w:color w:val="auto"/>
        </w:rPr>
      </w:pPr>
      <w:r>
        <w:rPr>
          <w:rFonts w:ascii="Arial" w:cs="Arial" w:eastAsia="Arial" w:hAnsi="Arial"/>
          <w:sz w:val="11"/>
          <w:szCs w:val="11"/>
          <w:color w:val="auto"/>
        </w:rPr>
        <w:t>For 2018, non-employee directors (other than the non-executive Chairman) were eligible to receive an annual retainer fee in the amount of $60,000 in cash and $110,000 in equity valued at the time of grant. The non-executive Chairman of our board of directors was eligible to receive an annual retainer fee in the amount of $110,000 in cash and $210,000 in equity valued at the time of grant. New non-employee directors who join our board of directors during a calendar quarter are eligible to receive the full cash fee for such calendar quarter and a pro-rated equity grant. The chairperson of our Audit Committee was eligible to receive an additional annual fee of $25,000 in cash, and other members of our Audit Committee were eligible to receive an additional annual fee of $12,500 in cash. The Chairpersons of committees other than our Audit Committee were eligible to receive an additional annual fee of $20,000 in cash, and members of committees other than our Audit Committee were eligible to receive an additional annual fee of $10,000.</w:t>
      </w:r>
    </w:p>
    <w:p>
      <w:pPr>
        <w:spacing w:after="0" w:line="128"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50" w:lineRule="exact"/>
        <w:rPr>
          <w:sz w:val="20"/>
          <w:szCs w:val="20"/>
          <w:color w:val="auto"/>
        </w:rPr>
      </w:pPr>
    </w:p>
    <w:p>
      <w:pPr>
        <w:ind w:left="960" w:hanging="381"/>
        <w:spacing w:after="0"/>
        <w:tabs>
          <w:tab w:leader="none" w:pos="960" w:val="left"/>
        </w:tabs>
        <w:numPr>
          <w:ilvl w:val="0"/>
          <w:numId w:val="93"/>
        </w:numPr>
        <w:rPr>
          <w:rFonts w:ascii="Arial" w:cs="Arial" w:eastAsia="Arial" w:hAnsi="Arial"/>
          <w:sz w:val="13"/>
          <w:szCs w:val="13"/>
          <w:color w:val="F79646"/>
        </w:rPr>
      </w:pPr>
      <w:r>
        <w:rPr>
          <w:rFonts w:ascii="Arial" w:cs="Arial" w:eastAsia="Arial" w:hAnsi="Arial"/>
          <w:sz w:val="13"/>
          <w:szCs w:val="13"/>
          <w:color w:val="auto"/>
        </w:rPr>
        <w:t>such director's death;</w:t>
      </w:r>
    </w:p>
    <w:p>
      <w:pPr>
        <w:spacing w:after="0" w:line="149" w:lineRule="exact"/>
        <w:rPr>
          <w:rFonts w:ascii="Arial" w:cs="Arial" w:eastAsia="Arial" w:hAnsi="Arial"/>
          <w:sz w:val="13"/>
          <w:szCs w:val="13"/>
          <w:color w:val="F79646"/>
        </w:rPr>
      </w:pPr>
    </w:p>
    <w:p>
      <w:pPr>
        <w:ind w:left="960" w:right="179" w:hanging="381"/>
        <w:spacing w:after="0" w:line="235" w:lineRule="auto"/>
        <w:tabs>
          <w:tab w:leader="none" w:pos="960" w:val="left"/>
        </w:tabs>
        <w:numPr>
          <w:ilvl w:val="0"/>
          <w:numId w:val="93"/>
        </w:numPr>
        <w:rPr>
          <w:rFonts w:ascii="Arial" w:cs="Arial" w:eastAsia="Arial" w:hAnsi="Arial"/>
          <w:sz w:val="13"/>
          <w:szCs w:val="13"/>
          <w:color w:val="F79646"/>
        </w:rPr>
      </w:pPr>
      <w:r>
        <w:rPr>
          <w:rFonts w:ascii="Arial" w:cs="Arial" w:eastAsia="Arial" w:hAnsi="Arial"/>
          <w:sz w:val="13"/>
          <w:szCs w:val="13"/>
          <w:color w:val="auto"/>
        </w:rPr>
        <w:t>180 days following the end of such director's term on our board of directors, or if the director has satisfied our stock ownership guidelines and made an election prior to the grant, the vesting date of the award; and</w:t>
      </w:r>
    </w:p>
    <w:p>
      <w:pPr>
        <w:spacing w:after="0" w:line="150" w:lineRule="exact"/>
        <w:rPr>
          <w:sz w:val="20"/>
          <w:szCs w:val="20"/>
          <w:color w:val="auto"/>
        </w:rPr>
      </w:pPr>
    </w:p>
    <w:p>
      <w:pPr>
        <w:ind w:left="200" w:right="179"/>
        <w:spacing w:after="0" w:line="235" w:lineRule="auto"/>
        <w:rPr>
          <w:sz w:val="20"/>
          <w:szCs w:val="20"/>
          <w:color w:val="auto"/>
        </w:rPr>
      </w:pPr>
      <w:r>
        <w:rPr>
          <w:rFonts w:ascii="Arial" w:cs="Arial" w:eastAsia="Arial" w:hAnsi="Arial"/>
          <w:sz w:val="13"/>
          <w:szCs w:val="13"/>
          <w:color w:val="auto"/>
        </w:rPr>
        <w:t>the occurrence of a "change in control," as defined in the 2006 Plan or 2015 Plan, as applicable, that satisfies the requirements of Section 409A of the Code.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STOCK OWNERSHIP OF DIRECTORS, EXECUTIVE OFFICERS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AND CERTAIN BENEFICIAL OWNERS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Unless otherwise indicated, the table below sets forth information with respect to the beneficial ownership of our common stock by:</w:t>
      </w:r>
    </w:p>
    <w:p>
      <w:pPr>
        <w:spacing w:after="0" w:line="149" w:lineRule="exact"/>
        <w:rPr>
          <w:sz w:val="20"/>
          <w:szCs w:val="20"/>
          <w:color w:val="auto"/>
        </w:rPr>
      </w:pPr>
    </w:p>
    <w:p>
      <w:pPr>
        <w:ind w:left="960" w:hanging="381"/>
        <w:spacing w:after="0"/>
        <w:tabs>
          <w:tab w:leader="none" w:pos="960" w:val="left"/>
        </w:tabs>
        <w:numPr>
          <w:ilvl w:val="0"/>
          <w:numId w:val="94"/>
        </w:numPr>
        <w:rPr>
          <w:rFonts w:ascii="Arial" w:cs="Arial" w:eastAsia="Arial" w:hAnsi="Arial"/>
          <w:sz w:val="13"/>
          <w:szCs w:val="13"/>
          <w:color w:val="F79646"/>
        </w:rPr>
      </w:pPr>
      <w:r>
        <w:rPr>
          <w:rFonts w:ascii="Arial" w:cs="Arial" w:eastAsia="Arial" w:hAnsi="Arial"/>
          <w:sz w:val="13"/>
          <w:szCs w:val="13"/>
          <w:color w:val="auto"/>
        </w:rPr>
        <w:t>each of our directors and each of our named executive officers individually;</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94"/>
        </w:numPr>
        <w:rPr>
          <w:rFonts w:ascii="Arial" w:cs="Arial" w:eastAsia="Arial" w:hAnsi="Arial"/>
          <w:sz w:val="13"/>
          <w:szCs w:val="13"/>
          <w:color w:val="F79646"/>
        </w:rPr>
      </w:pPr>
      <w:r>
        <w:rPr>
          <w:rFonts w:ascii="Arial" w:cs="Arial" w:eastAsia="Arial" w:hAnsi="Arial"/>
          <w:sz w:val="13"/>
          <w:szCs w:val="13"/>
          <w:color w:val="auto"/>
        </w:rPr>
        <w:t>each person who is known to be the beneficial owner of more than 5% of our common stock; and</w:t>
      </w:r>
    </w:p>
    <w:p>
      <w:pPr>
        <w:spacing w:after="0" w:line="148" w:lineRule="exact"/>
        <w:rPr>
          <w:rFonts w:ascii="Arial" w:cs="Arial" w:eastAsia="Arial" w:hAnsi="Arial"/>
          <w:sz w:val="13"/>
          <w:szCs w:val="13"/>
          <w:color w:val="F79646"/>
        </w:rPr>
      </w:pPr>
    </w:p>
    <w:p>
      <w:pPr>
        <w:ind w:left="960" w:hanging="381"/>
        <w:spacing w:after="0"/>
        <w:tabs>
          <w:tab w:leader="none" w:pos="960" w:val="left"/>
        </w:tabs>
        <w:numPr>
          <w:ilvl w:val="0"/>
          <w:numId w:val="94"/>
        </w:numPr>
        <w:rPr>
          <w:rFonts w:ascii="Arial" w:cs="Arial" w:eastAsia="Arial" w:hAnsi="Arial"/>
          <w:sz w:val="13"/>
          <w:szCs w:val="13"/>
          <w:color w:val="F79646"/>
        </w:rPr>
      </w:pPr>
      <w:r>
        <w:rPr>
          <w:rFonts w:ascii="Arial" w:cs="Arial" w:eastAsia="Arial" w:hAnsi="Arial"/>
          <w:sz w:val="13"/>
          <w:szCs w:val="13"/>
          <w:color w:val="auto"/>
        </w:rPr>
        <w:t>all of our current directors and current executive officers (i.e., not just named executive officers) as a group.</w:t>
      </w:r>
    </w:p>
    <w:p>
      <w:pPr>
        <w:spacing w:after="0" w:line="149" w:lineRule="exact"/>
        <w:rPr>
          <w:sz w:val="20"/>
          <w:szCs w:val="20"/>
          <w:color w:val="auto"/>
        </w:rPr>
      </w:pPr>
    </w:p>
    <w:p>
      <w:pPr>
        <w:jc w:val="both"/>
        <w:ind w:left="200" w:right="179"/>
        <w:spacing w:after="0" w:line="282" w:lineRule="auto"/>
        <w:rPr>
          <w:sz w:val="20"/>
          <w:szCs w:val="20"/>
          <w:color w:val="auto"/>
        </w:rPr>
      </w:pPr>
      <w:r>
        <w:rPr>
          <w:rFonts w:ascii="Arial" w:cs="Arial" w:eastAsia="Arial" w:hAnsi="Arial"/>
          <w:sz w:val="11"/>
          <w:szCs w:val="11"/>
          <w:color w:val="auto"/>
        </w:rPr>
        <w:t>The amounts and percentages of common stock beneficially owned below are as of March 29, 2019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271" w:lineRule="exact"/>
        <w:rPr>
          <w:sz w:val="20"/>
          <w:szCs w:val="20"/>
          <w:color w:val="auto"/>
        </w:rPr>
      </w:pPr>
    </w:p>
    <w:tbl>
      <w:tblPr>
        <w:tblLayout w:type="fixed"/>
        <w:tblInd w:w="1070" w:type="dxa"/>
        <w:tblCellMar>
          <w:top w:w="0" w:type="dxa"/>
          <w:left w:w="0" w:type="dxa"/>
          <w:bottom w:w="0" w:type="dxa"/>
          <w:right w:w="0" w:type="dxa"/>
        </w:tblCellMar>
      </w:tblPr>
      <w:tr>
        <w:trPr>
          <w:trHeight w:val="285"/>
        </w:trPr>
        <w:tc>
          <w:tcPr>
            <w:tcW w:w="80" w:type="dxa"/>
            <w:vAlign w:val="bottom"/>
            <w:tcBorders>
              <w:left w:val="single" w:sz="8" w:color="F79646"/>
            </w:tcBorders>
            <w:shd w:val="clear" w:color="auto" w:fill="F79646"/>
          </w:tcPr>
          <w:p>
            <w:pPr>
              <w:spacing w:after="0"/>
              <w:rPr>
                <w:sz w:val="24"/>
                <w:szCs w:val="24"/>
                <w:color w:val="auto"/>
              </w:rPr>
            </w:pPr>
          </w:p>
        </w:tc>
        <w:tc>
          <w:tcPr>
            <w:tcW w:w="1180" w:type="dxa"/>
            <w:vAlign w:val="bottom"/>
            <w:shd w:val="clear" w:color="auto" w:fill="F79646"/>
          </w:tcPr>
          <w:p>
            <w:pPr>
              <w:spacing w:after="0"/>
              <w:rPr>
                <w:sz w:val="24"/>
                <w:szCs w:val="24"/>
                <w:color w:val="auto"/>
              </w:rPr>
            </w:pPr>
          </w:p>
        </w:tc>
        <w:tc>
          <w:tcPr>
            <w:tcW w:w="120" w:type="dxa"/>
            <w:vAlign w:val="bottom"/>
            <w:shd w:val="clear" w:color="auto" w:fill="F79646"/>
          </w:tcPr>
          <w:p>
            <w:pPr>
              <w:spacing w:after="0"/>
              <w:rPr>
                <w:sz w:val="24"/>
                <w:szCs w:val="24"/>
                <w:color w:val="auto"/>
              </w:rPr>
            </w:pPr>
          </w:p>
        </w:tc>
        <w:tc>
          <w:tcPr>
            <w:tcW w:w="2380" w:type="dxa"/>
            <w:vAlign w:val="bottom"/>
            <w:shd w:val="clear" w:color="auto" w:fill="F79646"/>
          </w:tcPr>
          <w:p>
            <w:pPr>
              <w:spacing w:after="0"/>
              <w:rPr>
                <w:sz w:val="24"/>
                <w:szCs w:val="24"/>
                <w:color w:val="auto"/>
              </w:rPr>
            </w:pPr>
          </w:p>
        </w:tc>
        <w:tc>
          <w:tcPr>
            <w:tcW w:w="60" w:type="dxa"/>
            <w:vAlign w:val="bottom"/>
            <w:shd w:val="clear" w:color="auto" w:fill="F79646"/>
          </w:tcPr>
          <w:p>
            <w:pPr>
              <w:spacing w:after="0"/>
              <w:rPr>
                <w:sz w:val="24"/>
                <w:szCs w:val="24"/>
                <w:color w:val="auto"/>
              </w:rPr>
            </w:pPr>
          </w:p>
        </w:tc>
        <w:tc>
          <w:tcPr>
            <w:tcW w:w="560" w:type="dxa"/>
            <w:vAlign w:val="bottom"/>
            <w:shd w:val="clear" w:color="auto" w:fill="F79646"/>
          </w:tcPr>
          <w:p>
            <w:pPr>
              <w:spacing w:after="0"/>
              <w:rPr>
                <w:sz w:val="24"/>
                <w:szCs w:val="24"/>
                <w:color w:val="auto"/>
              </w:rPr>
            </w:pPr>
          </w:p>
        </w:tc>
        <w:tc>
          <w:tcPr>
            <w:tcW w:w="200" w:type="dxa"/>
            <w:vAlign w:val="bottom"/>
            <w:shd w:val="clear" w:color="auto" w:fill="F79646"/>
          </w:tcPr>
          <w:p>
            <w:pPr>
              <w:spacing w:after="0"/>
              <w:rPr>
                <w:sz w:val="24"/>
                <w:szCs w:val="24"/>
                <w:color w:val="auto"/>
              </w:rPr>
            </w:pPr>
          </w:p>
        </w:tc>
        <w:tc>
          <w:tcPr>
            <w:tcW w:w="680" w:type="dxa"/>
            <w:vAlign w:val="bottom"/>
            <w:shd w:val="clear" w:color="auto" w:fill="F79646"/>
          </w:tcPr>
          <w:p>
            <w:pPr>
              <w:spacing w:after="0"/>
              <w:rPr>
                <w:sz w:val="24"/>
                <w:szCs w:val="24"/>
                <w:color w:val="auto"/>
              </w:rPr>
            </w:pPr>
          </w:p>
        </w:tc>
        <w:tc>
          <w:tcPr>
            <w:tcW w:w="80" w:type="dxa"/>
            <w:vAlign w:val="bottom"/>
            <w:shd w:val="clear" w:color="auto" w:fill="F79646"/>
          </w:tcPr>
          <w:p>
            <w:pPr>
              <w:spacing w:after="0"/>
              <w:rPr>
                <w:sz w:val="24"/>
                <w:szCs w:val="24"/>
                <w:color w:val="auto"/>
              </w:rPr>
            </w:pPr>
          </w:p>
        </w:tc>
        <w:tc>
          <w:tcPr>
            <w:tcW w:w="880" w:type="dxa"/>
            <w:vAlign w:val="bottom"/>
            <w:shd w:val="clear" w:color="auto" w:fill="F79646"/>
          </w:tcPr>
          <w:p>
            <w:pPr>
              <w:jc w:val="center"/>
              <w:spacing w:after="0"/>
              <w:rPr>
                <w:sz w:val="20"/>
                <w:szCs w:val="20"/>
                <w:color w:val="auto"/>
              </w:rPr>
            </w:pPr>
            <w:r>
              <w:rPr>
                <w:rFonts w:ascii="Arial" w:cs="Arial" w:eastAsia="Arial" w:hAnsi="Arial"/>
                <w:sz w:val="13"/>
                <w:szCs w:val="13"/>
                <w:b w:val="1"/>
                <w:bCs w:val="1"/>
                <w:color w:val="FFFFFE"/>
                <w:w w:val="96"/>
              </w:rPr>
              <w:t>Vested but</w:t>
            </w:r>
          </w:p>
        </w:tc>
        <w:tc>
          <w:tcPr>
            <w:tcW w:w="80" w:type="dxa"/>
            <w:vAlign w:val="bottom"/>
            <w:shd w:val="clear" w:color="auto" w:fill="F79646"/>
          </w:tcPr>
          <w:p>
            <w:pPr>
              <w:spacing w:after="0"/>
              <w:rPr>
                <w:sz w:val="24"/>
                <w:szCs w:val="24"/>
                <w:color w:val="auto"/>
              </w:rPr>
            </w:pPr>
          </w:p>
        </w:tc>
        <w:tc>
          <w:tcPr>
            <w:tcW w:w="640" w:type="dxa"/>
            <w:vAlign w:val="bottom"/>
            <w:tcBorders>
              <w:right w:val="single" w:sz="8" w:color="F79646"/>
            </w:tcBorders>
            <w:shd w:val="clear" w:color="auto" w:fill="F7964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tcBorders>
              <w:left w:val="single" w:sz="8" w:color="F79646"/>
              <w:bottom w:val="single" w:sz="8" w:color="F79646"/>
            </w:tcBorders>
            <w:shd w:val="clear" w:color="auto" w:fill="F79646"/>
          </w:tcPr>
          <w:p>
            <w:pPr>
              <w:spacing w:after="0"/>
              <w:rPr>
                <w:sz w:val="13"/>
                <w:szCs w:val="13"/>
                <w:color w:val="auto"/>
              </w:rPr>
            </w:pPr>
          </w:p>
        </w:tc>
        <w:tc>
          <w:tcPr>
            <w:tcW w:w="1180" w:type="dxa"/>
            <w:vAlign w:val="bottom"/>
            <w:tcBorders>
              <w:bottom w:val="single" w:sz="8" w:color="F79646"/>
            </w:tcBorders>
            <w:shd w:val="clear" w:color="auto" w:fill="F79646"/>
          </w:tcPr>
          <w:p>
            <w:pPr>
              <w:spacing w:after="0"/>
              <w:rPr>
                <w:sz w:val="13"/>
                <w:szCs w:val="13"/>
                <w:color w:val="auto"/>
              </w:rPr>
            </w:pPr>
          </w:p>
        </w:tc>
        <w:tc>
          <w:tcPr>
            <w:tcW w:w="120" w:type="dxa"/>
            <w:vAlign w:val="bottom"/>
            <w:tcBorders>
              <w:bottom w:val="single" w:sz="8" w:color="F79646"/>
            </w:tcBorders>
            <w:shd w:val="clear" w:color="auto" w:fill="F79646"/>
          </w:tcPr>
          <w:p>
            <w:pPr>
              <w:spacing w:after="0"/>
              <w:rPr>
                <w:sz w:val="13"/>
                <w:szCs w:val="13"/>
                <w:color w:val="auto"/>
              </w:rPr>
            </w:pPr>
          </w:p>
        </w:tc>
        <w:tc>
          <w:tcPr>
            <w:tcW w:w="2380" w:type="dxa"/>
            <w:vAlign w:val="bottom"/>
            <w:tcBorders>
              <w:bottom w:val="single" w:sz="8" w:color="F79646"/>
            </w:tcBorders>
            <w:shd w:val="clear" w:color="auto" w:fill="F79646"/>
          </w:tcPr>
          <w:p>
            <w:pPr>
              <w:spacing w:after="0"/>
              <w:rPr>
                <w:sz w:val="13"/>
                <w:szCs w:val="13"/>
                <w:color w:val="auto"/>
              </w:rPr>
            </w:pPr>
          </w:p>
        </w:tc>
        <w:tc>
          <w:tcPr>
            <w:tcW w:w="60" w:type="dxa"/>
            <w:vAlign w:val="bottom"/>
            <w:tcBorders>
              <w:bottom w:val="single" w:sz="8" w:color="F79646"/>
            </w:tcBorders>
            <w:shd w:val="clear" w:color="auto" w:fill="F79646"/>
          </w:tcPr>
          <w:p>
            <w:pPr>
              <w:spacing w:after="0"/>
              <w:rPr>
                <w:sz w:val="13"/>
                <w:szCs w:val="13"/>
                <w:color w:val="auto"/>
              </w:rPr>
            </w:pPr>
          </w:p>
        </w:tc>
        <w:tc>
          <w:tcPr>
            <w:tcW w:w="1440" w:type="dxa"/>
            <w:vAlign w:val="bottom"/>
            <w:tcBorders>
              <w:bottom w:val="single" w:sz="8" w:color="auto"/>
            </w:tcBorders>
            <w:gridSpan w:val="3"/>
            <w:shd w:val="clear" w:color="auto" w:fill="F79646"/>
          </w:tcPr>
          <w:p>
            <w:pPr>
              <w:jc w:val="right"/>
              <w:ind w:right="18"/>
              <w:spacing w:after="0"/>
              <w:rPr>
                <w:sz w:val="20"/>
                <w:szCs w:val="20"/>
                <w:color w:val="auto"/>
              </w:rPr>
            </w:pPr>
            <w:r>
              <w:rPr>
                <w:rFonts w:ascii="Arial" w:cs="Arial" w:eastAsia="Arial" w:hAnsi="Arial"/>
                <w:sz w:val="13"/>
                <w:szCs w:val="13"/>
                <w:b w:val="1"/>
                <w:bCs w:val="1"/>
                <w:color w:val="FFFFFE"/>
              </w:rPr>
              <w:t>Beneficial Ownership</w:t>
            </w:r>
          </w:p>
        </w:tc>
        <w:tc>
          <w:tcPr>
            <w:tcW w:w="80" w:type="dxa"/>
            <w:vAlign w:val="bottom"/>
            <w:tcBorders>
              <w:bottom w:val="single" w:sz="8" w:color="F79646"/>
            </w:tcBorders>
            <w:shd w:val="clear" w:color="auto" w:fill="F79646"/>
          </w:tcPr>
          <w:p>
            <w:pPr>
              <w:spacing w:after="0"/>
              <w:rPr>
                <w:sz w:val="13"/>
                <w:szCs w:val="13"/>
                <w:color w:val="auto"/>
              </w:rPr>
            </w:pPr>
          </w:p>
        </w:tc>
        <w:tc>
          <w:tcPr>
            <w:tcW w:w="880" w:type="dxa"/>
            <w:vAlign w:val="bottom"/>
            <w:tcBorders>
              <w:bottom w:val="single" w:sz="8" w:color="F79646"/>
            </w:tcBorders>
            <w:shd w:val="clear" w:color="auto" w:fill="F79646"/>
          </w:tcPr>
          <w:p>
            <w:pPr>
              <w:jc w:val="center"/>
              <w:spacing w:after="0"/>
              <w:rPr>
                <w:sz w:val="20"/>
                <w:szCs w:val="20"/>
                <w:color w:val="auto"/>
              </w:rPr>
            </w:pPr>
            <w:r>
              <w:rPr>
                <w:rFonts w:ascii="Arial" w:cs="Arial" w:eastAsia="Arial" w:hAnsi="Arial"/>
                <w:sz w:val="13"/>
                <w:szCs w:val="13"/>
                <w:b w:val="1"/>
                <w:bCs w:val="1"/>
                <w:color w:val="FFFFFE"/>
                <w:w w:val="94"/>
              </w:rPr>
              <w:t>Unsettled</w:t>
            </w:r>
          </w:p>
        </w:tc>
        <w:tc>
          <w:tcPr>
            <w:tcW w:w="80" w:type="dxa"/>
            <w:vAlign w:val="bottom"/>
            <w:tcBorders>
              <w:bottom w:val="single" w:sz="8" w:color="F79646"/>
            </w:tcBorders>
            <w:shd w:val="clear" w:color="auto" w:fill="F79646"/>
          </w:tcPr>
          <w:p>
            <w:pPr>
              <w:spacing w:after="0"/>
              <w:rPr>
                <w:sz w:val="13"/>
                <w:szCs w:val="13"/>
                <w:color w:val="auto"/>
              </w:rPr>
            </w:pPr>
          </w:p>
        </w:tc>
        <w:tc>
          <w:tcPr>
            <w:tcW w:w="640" w:type="dxa"/>
            <w:vAlign w:val="bottom"/>
            <w:tcBorders>
              <w:bottom w:val="single" w:sz="8" w:color="F79646"/>
              <w:right w:val="single" w:sz="8" w:color="F79646"/>
            </w:tcBorders>
            <w:shd w:val="clear" w:color="auto" w:fill="F79646"/>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0" w:type="dxa"/>
            <w:vAlign w:val="bottom"/>
            <w:tcBorders>
              <w:left w:val="single" w:sz="8" w:color="F79646"/>
            </w:tcBorders>
            <w:shd w:val="clear" w:color="auto" w:fill="F79646"/>
          </w:tcPr>
          <w:p>
            <w:pPr>
              <w:spacing w:after="0"/>
              <w:rPr>
                <w:sz w:val="10"/>
                <w:szCs w:val="10"/>
                <w:color w:val="auto"/>
              </w:rPr>
            </w:pPr>
          </w:p>
        </w:tc>
        <w:tc>
          <w:tcPr>
            <w:tcW w:w="1180" w:type="dxa"/>
            <w:vAlign w:val="bottom"/>
            <w:shd w:val="clear" w:color="auto" w:fill="F79646"/>
          </w:tcPr>
          <w:p>
            <w:pPr>
              <w:spacing w:after="0"/>
              <w:rPr>
                <w:sz w:val="10"/>
                <w:szCs w:val="10"/>
                <w:color w:val="auto"/>
              </w:rPr>
            </w:pPr>
          </w:p>
        </w:tc>
        <w:tc>
          <w:tcPr>
            <w:tcW w:w="2500" w:type="dxa"/>
            <w:vAlign w:val="bottom"/>
            <w:gridSpan w:val="2"/>
            <w:shd w:val="clear" w:color="auto" w:fill="F79646"/>
          </w:tcPr>
          <w:p>
            <w:pPr>
              <w:ind w:left="20"/>
              <w:spacing w:after="0" w:line="124" w:lineRule="exact"/>
              <w:rPr>
                <w:sz w:val="20"/>
                <w:szCs w:val="20"/>
                <w:color w:val="auto"/>
              </w:rPr>
            </w:pPr>
            <w:r>
              <w:rPr>
                <w:rFonts w:ascii="Arial" w:cs="Arial" w:eastAsia="Arial" w:hAnsi="Arial"/>
                <w:sz w:val="13"/>
                <w:szCs w:val="13"/>
                <w:b w:val="1"/>
                <w:bCs w:val="1"/>
                <w:color w:val="FFFFFE"/>
              </w:rPr>
              <w:t>Name and Address of</w:t>
            </w:r>
          </w:p>
        </w:tc>
        <w:tc>
          <w:tcPr>
            <w:tcW w:w="60" w:type="dxa"/>
            <w:vAlign w:val="bottom"/>
            <w:shd w:val="clear" w:color="auto" w:fill="F79646"/>
          </w:tcPr>
          <w:p>
            <w:pPr>
              <w:spacing w:after="0"/>
              <w:rPr>
                <w:sz w:val="10"/>
                <w:szCs w:val="10"/>
                <w:color w:val="auto"/>
              </w:rPr>
            </w:pPr>
          </w:p>
        </w:tc>
        <w:tc>
          <w:tcPr>
            <w:tcW w:w="560" w:type="dxa"/>
            <w:vAlign w:val="bottom"/>
            <w:shd w:val="clear" w:color="auto" w:fill="F79646"/>
          </w:tcPr>
          <w:p>
            <w:pPr>
              <w:spacing w:after="0"/>
              <w:rPr>
                <w:sz w:val="10"/>
                <w:szCs w:val="10"/>
                <w:color w:val="auto"/>
              </w:rPr>
            </w:pPr>
          </w:p>
        </w:tc>
        <w:tc>
          <w:tcPr>
            <w:tcW w:w="200" w:type="dxa"/>
            <w:vAlign w:val="bottom"/>
            <w:shd w:val="clear" w:color="auto" w:fill="F79646"/>
          </w:tcPr>
          <w:p>
            <w:pPr>
              <w:spacing w:after="0"/>
              <w:rPr>
                <w:sz w:val="10"/>
                <w:szCs w:val="10"/>
                <w:color w:val="auto"/>
              </w:rPr>
            </w:pPr>
          </w:p>
        </w:tc>
        <w:tc>
          <w:tcPr>
            <w:tcW w:w="680" w:type="dxa"/>
            <w:vAlign w:val="bottom"/>
            <w:shd w:val="clear" w:color="auto" w:fill="F79646"/>
          </w:tcPr>
          <w:p>
            <w:pPr>
              <w:jc w:val="right"/>
              <w:spacing w:after="0" w:line="124" w:lineRule="exact"/>
              <w:rPr>
                <w:sz w:val="20"/>
                <w:szCs w:val="20"/>
                <w:color w:val="auto"/>
              </w:rPr>
            </w:pPr>
            <w:r>
              <w:rPr>
                <w:rFonts w:ascii="Arial" w:cs="Arial" w:eastAsia="Arial" w:hAnsi="Arial"/>
                <w:sz w:val="13"/>
                <w:szCs w:val="13"/>
                <w:b w:val="1"/>
                <w:bCs w:val="1"/>
                <w:color w:val="FFFFFE"/>
                <w:w w:val="94"/>
              </w:rPr>
              <w:t>Percentage</w:t>
            </w:r>
          </w:p>
        </w:tc>
        <w:tc>
          <w:tcPr>
            <w:tcW w:w="80" w:type="dxa"/>
            <w:vAlign w:val="bottom"/>
            <w:shd w:val="clear" w:color="auto" w:fill="F79646"/>
          </w:tcPr>
          <w:p>
            <w:pPr>
              <w:spacing w:after="0"/>
              <w:rPr>
                <w:sz w:val="10"/>
                <w:szCs w:val="10"/>
                <w:color w:val="auto"/>
              </w:rPr>
            </w:pPr>
          </w:p>
        </w:tc>
        <w:tc>
          <w:tcPr>
            <w:tcW w:w="880" w:type="dxa"/>
            <w:vAlign w:val="bottom"/>
            <w:shd w:val="clear" w:color="auto" w:fill="F79646"/>
          </w:tcPr>
          <w:p>
            <w:pPr>
              <w:jc w:val="center"/>
              <w:spacing w:after="0" w:line="124" w:lineRule="exact"/>
              <w:rPr>
                <w:sz w:val="20"/>
                <w:szCs w:val="20"/>
                <w:color w:val="auto"/>
              </w:rPr>
            </w:pPr>
            <w:r>
              <w:rPr>
                <w:rFonts w:ascii="Arial" w:cs="Arial" w:eastAsia="Arial" w:hAnsi="Arial"/>
                <w:sz w:val="13"/>
                <w:szCs w:val="13"/>
                <w:b w:val="1"/>
                <w:bCs w:val="1"/>
                <w:color w:val="FFFFFE"/>
                <w:w w:val="94"/>
              </w:rPr>
              <w:t>Restricted</w:t>
            </w:r>
          </w:p>
        </w:tc>
        <w:tc>
          <w:tcPr>
            <w:tcW w:w="80" w:type="dxa"/>
            <w:vAlign w:val="bottom"/>
            <w:shd w:val="clear" w:color="auto" w:fill="F79646"/>
          </w:tcPr>
          <w:p>
            <w:pPr>
              <w:spacing w:after="0"/>
              <w:rPr>
                <w:sz w:val="10"/>
                <w:szCs w:val="10"/>
                <w:color w:val="auto"/>
              </w:rPr>
            </w:pPr>
          </w:p>
        </w:tc>
        <w:tc>
          <w:tcPr>
            <w:tcW w:w="640" w:type="dxa"/>
            <w:vAlign w:val="bottom"/>
            <w:tcBorders>
              <w:right w:val="single" w:sz="8" w:color="F79646"/>
            </w:tcBorders>
            <w:shd w:val="clear" w:color="auto" w:fill="F79646"/>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F79646"/>
            </w:tcBorders>
            <w:shd w:val="clear" w:color="auto" w:fill="F79646"/>
          </w:tcPr>
          <w:p>
            <w:pPr>
              <w:spacing w:after="0"/>
              <w:rPr>
                <w:sz w:val="15"/>
                <w:szCs w:val="15"/>
                <w:color w:val="auto"/>
              </w:rPr>
            </w:pPr>
          </w:p>
        </w:tc>
        <w:tc>
          <w:tcPr>
            <w:tcW w:w="1180" w:type="dxa"/>
            <w:vAlign w:val="bottom"/>
            <w:shd w:val="clear" w:color="auto" w:fill="F79646"/>
          </w:tcPr>
          <w:p>
            <w:pPr>
              <w:spacing w:after="0"/>
              <w:rPr>
                <w:sz w:val="15"/>
                <w:szCs w:val="15"/>
                <w:color w:val="auto"/>
              </w:rPr>
            </w:pPr>
          </w:p>
        </w:tc>
        <w:tc>
          <w:tcPr>
            <w:tcW w:w="120" w:type="dxa"/>
            <w:vAlign w:val="bottom"/>
            <w:shd w:val="clear" w:color="auto" w:fill="F79646"/>
          </w:tcPr>
          <w:p>
            <w:pPr>
              <w:spacing w:after="0"/>
              <w:rPr>
                <w:sz w:val="15"/>
                <w:szCs w:val="15"/>
                <w:color w:val="auto"/>
              </w:rPr>
            </w:pPr>
          </w:p>
        </w:tc>
        <w:tc>
          <w:tcPr>
            <w:tcW w:w="2380" w:type="dxa"/>
            <w:vAlign w:val="bottom"/>
            <w:shd w:val="clear" w:color="auto" w:fill="F79646"/>
          </w:tcPr>
          <w:p>
            <w:pPr>
              <w:ind w:left="20"/>
              <w:spacing w:after="0" w:line="184" w:lineRule="exact"/>
              <w:rPr>
                <w:sz w:val="20"/>
                <w:szCs w:val="20"/>
                <w:color w:val="auto"/>
              </w:rPr>
            </w:pPr>
            <w:r>
              <w:rPr>
                <w:rFonts w:ascii="Arial" w:cs="Arial" w:eastAsia="Arial" w:hAnsi="Arial"/>
                <w:sz w:val="13"/>
                <w:szCs w:val="13"/>
                <w:b w:val="1"/>
                <w:bCs w:val="1"/>
                <w:color w:val="FFFFFE"/>
              </w:rPr>
              <w:t>Beneficial Owner</w:t>
            </w:r>
            <w:r>
              <w:rPr>
                <w:rFonts w:ascii="Arial" w:cs="Arial" w:eastAsia="Arial" w:hAnsi="Arial"/>
                <w:sz w:val="20"/>
                <w:szCs w:val="20"/>
                <w:b w:val="1"/>
                <w:bCs w:val="1"/>
                <w:color w:val="FFFFFE"/>
                <w:vertAlign w:val="superscript"/>
              </w:rPr>
              <w:t>(1)</w:t>
            </w:r>
          </w:p>
        </w:tc>
        <w:tc>
          <w:tcPr>
            <w:tcW w:w="60" w:type="dxa"/>
            <w:vAlign w:val="bottom"/>
            <w:shd w:val="clear" w:color="auto" w:fill="F79646"/>
          </w:tcPr>
          <w:p>
            <w:pPr>
              <w:spacing w:after="0"/>
              <w:rPr>
                <w:sz w:val="15"/>
                <w:szCs w:val="15"/>
                <w:color w:val="auto"/>
              </w:rPr>
            </w:pPr>
          </w:p>
        </w:tc>
        <w:tc>
          <w:tcPr>
            <w:tcW w:w="760" w:type="dxa"/>
            <w:vAlign w:val="bottom"/>
            <w:gridSpan w:val="2"/>
            <w:shd w:val="clear" w:color="auto" w:fill="F79646"/>
          </w:tcPr>
          <w:p>
            <w:pPr>
              <w:jc w:val="right"/>
              <w:ind w:right="260"/>
              <w:spacing w:after="0"/>
              <w:rPr>
                <w:sz w:val="20"/>
                <w:szCs w:val="20"/>
                <w:color w:val="auto"/>
              </w:rPr>
            </w:pPr>
            <w:r>
              <w:rPr>
                <w:rFonts w:ascii="Arial" w:cs="Arial" w:eastAsia="Arial" w:hAnsi="Arial"/>
                <w:sz w:val="13"/>
                <w:szCs w:val="13"/>
                <w:b w:val="1"/>
                <w:bCs w:val="1"/>
                <w:color w:val="FFFFFE"/>
              </w:rPr>
              <w:t>Shares</w:t>
            </w:r>
          </w:p>
        </w:tc>
        <w:tc>
          <w:tcPr>
            <w:tcW w:w="680" w:type="dxa"/>
            <w:vAlign w:val="bottom"/>
            <w:shd w:val="clear" w:color="auto" w:fill="F79646"/>
          </w:tcPr>
          <w:p>
            <w:pPr>
              <w:jc w:val="right"/>
              <w:ind w:right="118"/>
              <w:spacing w:after="0" w:line="184" w:lineRule="exact"/>
              <w:rPr>
                <w:sz w:val="20"/>
                <w:szCs w:val="20"/>
                <w:color w:val="auto"/>
              </w:rPr>
            </w:pPr>
            <w:r>
              <w:rPr>
                <w:rFonts w:ascii="Arial" w:cs="Arial" w:eastAsia="Arial" w:hAnsi="Arial"/>
                <w:sz w:val="21"/>
                <w:szCs w:val="21"/>
                <w:b w:val="1"/>
                <w:bCs w:val="1"/>
                <w:color w:val="FFFFFE"/>
                <w:vertAlign w:val="subscript"/>
              </w:rPr>
              <w:t>(%)</w:t>
            </w:r>
            <w:r>
              <w:rPr>
                <w:rFonts w:ascii="Arial" w:cs="Arial" w:eastAsia="Arial" w:hAnsi="Arial"/>
                <w:sz w:val="9"/>
                <w:szCs w:val="9"/>
                <w:b w:val="1"/>
                <w:bCs w:val="1"/>
                <w:color w:val="FFFFFE"/>
              </w:rPr>
              <w:t>(2)</w:t>
            </w:r>
          </w:p>
        </w:tc>
        <w:tc>
          <w:tcPr>
            <w:tcW w:w="80" w:type="dxa"/>
            <w:vAlign w:val="bottom"/>
            <w:shd w:val="clear" w:color="auto" w:fill="F79646"/>
          </w:tcPr>
          <w:p>
            <w:pPr>
              <w:spacing w:after="0"/>
              <w:rPr>
                <w:sz w:val="15"/>
                <w:szCs w:val="15"/>
                <w:color w:val="auto"/>
              </w:rPr>
            </w:pPr>
          </w:p>
        </w:tc>
        <w:tc>
          <w:tcPr>
            <w:tcW w:w="880" w:type="dxa"/>
            <w:vAlign w:val="bottom"/>
            <w:shd w:val="clear" w:color="auto" w:fill="F79646"/>
          </w:tcPr>
          <w:p>
            <w:pPr>
              <w:jc w:val="center"/>
              <w:spacing w:after="0" w:line="184" w:lineRule="exact"/>
              <w:rPr>
                <w:sz w:val="20"/>
                <w:szCs w:val="20"/>
                <w:color w:val="auto"/>
              </w:rPr>
            </w:pPr>
            <w:r>
              <w:rPr>
                <w:rFonts w:ascii="Arial" w:cs="Arial" w:eastAsia="Arial" w:hAnsi="Arial"/>
                <w:sz w:val="13"/>
                <w:szCs w:val="13"/>
                <w:b w:val="1"/>
                <w:bCs w:val="1"/>
                <w:color w:val="FFFFFE"/>
                <w:w w:val="91"/>
              </w:rPr>
              <w:t>Stock Units</w:t>
            </w:r>
            <w:r>
              <w:rPr>
                <w:rFonts w:ascii="Arial" w:cs="Arial" w:eastAsia="Arial" w:hAnsi="Arial"/>
                <w:sz w:val="20"/>
                <w:szCs w:val="20"/>
                <w:b w:val="1"/>
                <w:bCs w:val="1"/>
                <w:color w:val="FFFFFE"/>
                <w:w w:val="91"/>
                <w:vertAlign w:val="superscript"/>
              </w:rPr>
              <w:t>(3)</w:t>
            </w:r>
          </w:p>
        </w:tc>
        <w:tc>
          <w:tcPr>
            <w:tcW w:w="80" w:type="dxa"/>
            <w:vAlign w:val="bottom"/>
            <w:shd w:val="clear" w:color="auto" w:fill="F79646"/>
          </w:tcPr>
          <w:p>
            <w:pPr>
              <w:spacing w:after="0"/>
              <w:rPr>
                <w:sz w:val="15"/>
                <w:szCs w:val="15"/>
                <w:color w:val="auto"/>
              </w:rPr>
            </w:pPr>
          </w:p>
        </w:tc>
        <w:tc>
          <w:tcPr>
            <w:tcW w:w="640" w:type="dxa"/>
            <w:vAlign w:val="bottom"/>
            <w:tcBorders>
              <w:right w:val="single" w:sz="8" w:color="F79646"/>
            </w:tcBorders>
            <w:shd w:val="clear" w:color="auto" w:fill="F79646"/>
          </w:tcPr>
          <w:p>
            <w:pPr>
              <w:jc w:val="right"/>
              <w:ind w:right="157"/>
              <w:spacing w:after="0"/>
              <w:rPr>
                <w:sz w:val="20"/>
                <w:szCs w:val="20"/>
                <w:color w:val="auto"/>
              </w:rPr>
            </w:pPr>
            <w:r>
              <w:rPr>
                <w:rFonts w:ascii="Arial" w:cs="Arial" w:eastAsia="Arial" w:hAnsi="Arial"/>
                <w:sz w:val="13"/>
                <w:szCs w:val="13"/>
                <w:b w:val="1"/>
                <w:bCs w:val="1"/>
                <w:color w:val="FFFFFE"/>
              </w:rPr>
              <w:t>Total</w:t>
            </w:r>
          </w:p>
        </w:tc>
        <w:tc>
          <w:tcPr>
            <w:tcW w:w="0" w:type="dxa"/>
            <w:vAlign w:val="bottom"/>
          </w:tcPr>
          <w:p>
            <w:pPr>
              <w:spacing w:after="0"/>
              <w:rPr>
                <w:sz w:val="1"/>
                <w:szCs w:val="1"/>
                <w:color w:val="auto"/>
              </w:rPr>
            </w:pPr>
          </w:p>
        </w:tc>
      </w:tr>
      <w:tr>
        <w:trPr>
          <w:trHeight w:val="115"/>
        </w:trPr>
        <w:tc>
          <w:tcPr>
            <w:tcW w:w="80" w:type="dxa"/>
            <w:vAlign w:val="bottom"/>
            <w:tcBorders>
              <w:top w:val="single" w:sz="8" w:color="F79646"/>
              <w:left w:val="single" w:sz="8" w:color="F79646"/>
            </w:tcBorders>
          </w:tcPr>
          <w:p>
            <w:pPr>
              <w:spacing w:after="0"/>
              <w:rPr>
                <w:sz w:val="9"/>
                <w:szCs w:val="9"/>
                <w:color w:val="auto"/>
              </w:rPr>
            </w:pPr>
          </w:p>
        </w:tc>
        <w:tc>
          <w:tcPr>
            <w:tcW w:w="368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5% Beneficial Owners</w:t>
            </w:r>
          </w:p>
        </w:tc>
        <w:tc>
          <w:tcPr>
            <w:tcW w:w="60" w:type="dxa"/>
            <w:vAlign w:val="bottom"/>
            <w:tcBorders>
              <w:top w:val="single" w:sz="8" w:color="F79646"/>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F79646"/>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F79646"/>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F79646"/>
            </w:tcBorders>
          </w:tcPr>
          <w:p>
            <w:pPr>
              <w:spacing w:after="0"/>
              <w:rPr>
                <w:sz w:val="9"/>
                <w:szCs w:val="9"/>
                <w:color w:val="auto"/>
              </w:rPr>
            </w:pPr>
          </w:p>
        </w:tc>
        <w:tc>
          <w:tcPr>
            <w:tcW w:w="640" w:type="dxa"/>
            <w:vAlign w:val="bottom"/>
            <w:tcBorders>
              <w:top w:val="single" w:sz="8" w:color="auto"/>
              <w:right w:val="single" w:sz="8" w:color="F79646"/>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80" w:type="dxa"/>
            <w:vAlign w:val="bottom"/>
            <w:tcBorders>
              <w:left w:val="single" w:sz="8" w:color="F79646"/>
            </w:tcBorders>
            <w:shd w:val="clear" w:color="auto" w:fill="FCDEC5"/>
          </w:tcPr>
          <w:p>
            <w:pPr>
              <w:spacing w:after="0"/>
              <w:rPr>
                <w:sz w:val="24"/>
                <w:szCs w:val="24"/>
                <w:color w:val="auto"/>
              </w:rPr>
            </w:pPr>
          </w:p>
        </w:tc>
        <w:tc>
          <w:tcPr>
            <w:tcW w:w="1300" w:type="dxa"/>
            <w:vAlign w:val="bottom"/>
            <w:tcBorders>
              <w:top w:val="single" w:sz="8" w:color="auto"/>
            </w:tcBorders>
            <w:gridSpan w:val="2"/>
            <w:shd w:val="clear" w:color="auto" w:fill="FCDEC5"/>
          </w:tcPr>
          <w:p>
            <w:pPr>
              <w:spacing w:after="0"/>
              <w:rPr>
                <w:sz w:val="20"/>
                <w:szCs w:val="20"/>
                <w:color w:val="auto"/>
              </w:rPr>
            </w:pPr>
            <w:r>
              <w:rPr>
                <w:rFonts w:ascii="Arial" w:cs="Arial" w:eastAsia="Arial" w:hAnsi="Arial"/>
                <w:sz w:val="13"/>
                <w:szCs w:val="13"/>
                <w:color w:val="auto"/>
              </w:rPr>
              <w:t>Blackrock Inc.</w:t>
            </w:r>
            <w:r>
              <w:rPr>
                <w:rFonts w:ascii="Arial" w:cs="Arial" w:eastAsia="Arial" w:hAnsi="Arial"/>
                <w:sz w:val="20"/>
                <w:szCs w:val="20"/>
                <w:color w:val="auto"/>
                <w:vertAlign w:val="superscript"/>
              </w:rPr>
              <w:t>(4)</w:t>
            </w:r>
          </w:p>
        </w:tc>
        <w:tc>
          <w:tcPr>
            <w:tcW w:w="2380" w:type="dxa"/>
            <w:vAlign w:val="bottom"/>
            <w:shd w:val="clear" w:color="auto" w:fill="FCDEC5"/>
          </w:tcPr>
          <w:p>
            <w:pPr>
              <w:spacing w:after="0"/>
              <w:rPr>
                <w:sz w:val="24"/>
                <w:szCs w:val="24"/>
                <w:color w:val="auto"/>
              </w:rPr>
            </w:pPr>
          </w:p>
        </w:tc>
        <w:tc>
          <w:tcPr>
            <w:tcW w:w="620" w:type="dxa"/>
            <w:vAlign w:val="bottom"/>
            <w:gridSpan w:val="2"/>
            <w:shd w:val="clear" w:color="auto" w:fill="FCDEC5"/>
          </w:tcPr>
          <w:p>
            <w:pPr>
              <w:jc w:val="right"/>
              <w:spacing w:after="0"/>
              <w:rPr>
                <w:sz w:val="20"/>
                <w:szCs w:val="20"/>
                <w:color w:val="auto"/>
              </w:rPr>
            </w:pPr>
            <w:r>
              <w:rPr>
                <w:rFonts w:ascii="Arial" w:cs="Arial" w:eastAsia="Arial" w:hAnsi="Arial"/>
                <w:sz w:val="13"/>
                <w:szCs w:val="13"/>
                <w:color w:val="auto"/>
              </w:rPr>
              <w:t>4,904,881</w:t>
            </w:r>
          </w:p>
        </w:tc>
        <w:tc>
          <w:tcPr>
            <w:tcW w:w="200" w:type="dxa"/>
            <w:vAlign w:val="bottom"/>
            <w:shd w:val="clear" w:color="auto" w:fill="FCDEC5"/>
          </w:tcPr>
          <w:p>
            <w:pPr>
              <w:spacing w:after="0"/>
              <w:rPr>
                <w:sz w:val="24"/>
                <w:szCs w:val="24"/>
                <w:color w:val="auto"/>
              </w:rPr>
            </w:pP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14.3</w:t>
            </w:r>
          </w:p>
        </w:tc>
        <w:tc>
          <w:tcPr>
            <w:tcW w:w="80" w:type="dxa"/>
            <w:vAlign w:val="bottom"/>
            <w:shd w:val="clear" w:color="auto" w:fill="FCDEC5"/>
          </w:tcPr>
          <w:p>
            <w:pPr>
              <w:spacing w:after="0"/>
              <w:rPr>
                <w:sz w:val="24"/>
                <w:szCs w:val="24"/>
                <w:color w:val="auto"/>
              </w:rPr>
            </w:pPr>
          </w:p>
        </w:tc>
        <w:tc>
          <w:tcPr>
            <w:tcW w:w="880" w:type="dxa"/>
            <w:vAlign w:val="bottom"/>
            <w:shd w:val="clear" w:color="auto" w:fill="FCDEC5"/>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4,904,881</w:t>
            </w:r>
          </w:p>
        </w:tc>
        <w:tc>
          <w:tcPr>
            <w:tcW w:w="0" w:type="dxa"/>
            <w:vAlign w:val="bottom"/>
          </w:tcPr>
          <w:p>
            <w:pPr>
              <w:spacing w:after="0"/>
              <w:rPr>
                <w:sz w:val="1"/>
                <w:szCs w:val="1"/>
                <w:color w:val="auto"/>
              </w:rPr>
            </w:pPr>
          </w:p>
        </w:tc>
      </w:tr>
      <w:tr>
        <w:trPr>
          <w:trHeight w:val="173"/>
        </w:trPr>
        <w:tc>
          <w:tcPr>
            <w:tcW w:w="80" w:type="dxa"/>
            <w:vAlign w:val="bottom"/>
            <w:tcBorders>
              <w:left w:val="single" w:sz="8" w:color="F79646"/>
            </w:tcBorders>
          </w:tcPr>
          <w:p>
            <w:pPr>
              <w:spacing w:after="0"/>
              <w:rPr>
                <w:sz w:val="15"/>
                <w:szCs w:val="15"/>
                <w:color w:val="auto"/>
              </w:rPr>
            </w:pPr>
          </w:p>
        </w:tc>
        <w:tc>
          <w:tcPr>
            <w:tcW w:w="3680" w:type="dxa"/>
            <w:vAlign w:val="bottom"/>
            <w:gridSpan w:val="3"/>
          </w:tcPr>
          <w:p>
            <w:pPr>
              <w:spacing w:after="0" w:line="173" w:lineRule="exact"/>
              <w:rPr>
                <w:sz w:val="20"/>
                <w:szCs w:val="20"/>
                <w:color w:val="auto"/>
              </w:rPr>
            </w:pPr>
            <w:r>
              <w:rPr>
                <w:rFonts w:ascii="Arial" w:cs="Arial" w:eastAsia="Arial" w:hAnsi="Arial"/>
                <w:sz w:val="13"/>
                <w:szCs w:val="13"/>
                <w:color w:val="auto"/>
              </w:rPr>
              <w:t>Vanguard Group, Inc.</w:t>
            </w:r>
            <w:r>
              <w:rPr>
                <w:rFonts w:ascii="Arial" w:cs="Arial" w:eastAsia="Arial" w:hAnsi="Arial"/>
                <w:sz w:val="20"/>
                <w:szCs w:val="20"/>
                <w:color w:val="auto"/>
                <w:vertAlign w:val="superscript"/>
              </w:rPr>
              <w:t>(5)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3,431,398</w:t>
            </w:r>
          </w:p>
        </w:tc>
        <w:tc>
          <w:tcPr>
            <w:tcW w:w="200" w:type="dxa"/>
            <w:vAlign w:val="bottom"/>
          </w:tcPr>
          <w:p>
            <w:pPr>
              <w:spacing w:after="0"/>
              <w:rPr>
                <w:sz w:val="15"/>
                <w:szCs w:val="15"/>
                <w:color w:val="auto"/>
              </w:rPr>
            </w:pPr>
          </w:p>
        </w:tc>
        <w:tc>
          <w:tcPr>
            <w:tcW w:w="680" w:type="dxa"/>
            <w:vAlign w:val="bottom"/>
          </w:tcPr>
          <w:p>
            <w:pPr>
              <w:jc w:val="right"/>
              <w:ind w:right="158"/>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5"/>
                <w:szCs w:val="15"/>
                <w:color w:val="auto"/>
              </w:rPr>
            </w:pP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tcPr>
          <w:p>
            <w:pPr>
              <w:jc w:val="right"/>
              <w:ind w:right="17"/>
              <w:spacing w:after="0"/>
              <w:rPr>
                <w:sz w:val="20"/>
                <w:szCs w:val="20"/>
                <w:color w:val="auto"/>
              </w:rPr>
            </w:pPr>
            <w:r>
              <w:rPr>
                <w:rFonts w:ascii="Arial" w:cs="Arial" w:eastAsia="Arial" w:hAnsi="Arial"/>
                <w:sz w:val="13"/>
                <w:szCs w:val="13"/>
                <w:color w:val="auto"/>
              </w:rPr>
              <w:t>3,431,398</w:t>
            </w:r>
          </w:p>
        </w:tc>
        <w:tc>
          <w:tcPr>
            <w:tcW w:w="0" w:type="dxa"/>
            <w:vAlign w:val="bottom"/>
          </w:tcPr>
          <w:p>
            <w:pPr>
              <w:spacing w:after="0"/>
              <w:rPr>
                <w:sz w:val="1"/>
                <w:szCs w:val="1"/>
                <w:color w:val="auto"/>
              </w:rPr>
            </w:pPr>
          </w:p>
        </w:tc>
      </w:tr>
      <w:tr>
        <w:trPr>
          <w:trHeight w:val="28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FMR LLC</w:t>
            </w:r>
            <w:r>
              <w:rPr>
                <w:rFonts w:ascii="Arial" w:cs="Arial" w:eastAsia="Arial" w:hAnsi="Arial"/>
                <w:sz w:val="20"/>
                <w:szCs w:val="20"/>
                <w:color w:val="auto"/>
                <w:vertAlign w:val="superscript"/>
              </w:rPr>
              <w:t>(6)</w:t>
            </w:r>
          </w:p>
        </w:tc>
        <w:tc>
          <w:tcPr>
            <w:tcW w:w="620" w:type="dxa"/>
            <w:vAlign w:val="bottom"/>
            <w:gridSpan w:val="2"/>
            <w:shd w:val="clear" w:color="auto" w:fill="FCDEC5"/>
          </w:tcPr>
          <w:p>
            <w:pPr>
              <w:jc w:val="right"/>
              <w:spacing w:after="0"/>
              <w:rPr>
                <w:sz w:val="20"/>
                <w:szCs w:val="20"/>
                <w:color w:val="auto"/>
              </w:rPr>
            </w:pPr>
            <w:r>
              <w:rPr>
                <w:rFonts w:ascii="Arial" w:cs="Arial" w:eastAsia="Arial" w:hAnsi="Arial"/>
                <w:sz w:val="13"/>
                <w:szCs w:val="13"/>
                <w:color w:val="auto"/>
              </w:rPr>
              <w:t>2,519,396</w:t>
            </w:r>
          </w:p>
        </w:tc>
        <w:tc>
          <w:tcPr>
            <w:tcW w:w="200" w:type="dxa"/>
            <w:vAlign w:val="bottom"/>
            <w:shd w:val="clear" w:color="auto" w:fill="FCDEC5"/>
          </w:tcPr>
          <w:p>
            <w:pPr>
              <w:spacing w:after="0"/>
              <w:rPr>
                <w:sz w:val="24"/>
                <w:szCs w:val="24"/>
                <w:color w:val="auto"/>
              </w:rPr>
            </w:pP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7.3</w:t>
            </w:r>
          </w:p>
        </w:tc>
        <w:tc>
          <w:tcPr>
            <w:tcW w:w="80" w:type="dxa"/>
            <w:vAlign w:val="bottom"/>
            <w:shd w:val="clear" w:color="auto" w:fill="FCDEC5"/>
          </w:tcPr>
          <w:p>
            <w:pPr>
              <w:spacing w:after="0"/>
              <w:rPr>
                <w:sz w:val="24"/>
                <w:szCs w:val="24"/>
                <w:color w:val="auto"/>
              </w:rPr>
            </w:pPr>
          </w:p>
        </w:tc>
        <w:tc>
          <w:tcPr>
            <w:tcW w:w="880" w:type="dxa"/>
            <w:vAlign w:val="bottom"/>
            <w:shd w:val="clear" w:color="auto" w:fill="FCDEC5"/>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2,519,396</w:t>
            </w:r>
          </w:p>
        </w:tc>
        <w:tc>
          <w:tcPr>
            <w:tcW w:w="0" w:type="dxa"/>
            <w:vAlign w:val="bottom"/>
          </w:tcPr>
          <w:p>
            <w:pPr>
              <w:spacing w:after="0"/>
              <w:rPr>
                <w:sz w:val="1"/>
                <w:szCs w:val="1"/>
                <w:color w:val="auto"/>
              </w:rPr>
            </w:pPr>
          </w:p>
        </w:tc>
      </w:tr>
      <w:tr>
        <w:trPr>
          <w:trHeight w:val="173"/>
        </w:trPr>
        <w:tc>
          <w:tcPr>
            <w:tcW w:w="80" w:type="dxa"/>
            <w:vAlign w:val="bottom"/>
            <w:tcBorders>
              <w:left w:val="single" w:sz="8" w:color="F79646"/>
            </w:tcBorders>
          </w:tcPr>
          <w:p>
            <w:pPr>
              <w:spacing w:after="0"/>
              <w:rPr>
                <w:sz w:val="15"/>
                <w:szCs w:val="15"/>
                <w:color w:val="auto"/>
              </w:rPr>
            </w:pPr>
          </w:p>
        </w:tc>
        <w:tc>
          <w:tcPr>
            <w:tcW w:w="3680" w:type="dxa"/>
            <w:vAlign w:val="bottom"/>
            <w:gridSpan w:val="3"/>
          </w:tcPr>
          <w:p>
            <w:pPr>
              <w:spacing w:after="0" w:line="173" w:lineRule="exact"/>
              <w:rPr>
                <w:sz w:val="20"/>
                <w:szCs w:val="20"/>
                <w:color w:val="auto"/>
              </w:rPr>
            </w:pPr>
            <w:r>
              <w:rPr>
                <w:rFonts w:ascii="Arial" w:cs="Arial" w:eastAsia="Arial" w:hAnsi="Arial"/>
                <w:sz w:val="13"/>
                <w:szCs w:val="13"/>
                <w:color w:val="auto"/>
              </w:rPr>
              <w:t>Mackenzie Financial Corporation</w:t>
            </w:r>
            <w:r>
              <w:rPr>
                <w:rFonts w:ascii="Arial" w:cs="Arial" w:eastAsia="Arial" w:hAnsi="Arial"/>
                <w:sz w:val="20"/>
                <w:szCs w:val="20"/>
                <w:color w:val="auto"/>
                <w:vertAlign w:val="superscript"/>
              </w:rPr>
              <w:t>(7)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1,723,020</w:t>
            </w:r>
          </w:p>
        </w:tc>
        <w:tc>
          <w:tcPr>
            <w:tcW w:w="200" w:type="dxa"/>
            <w:vAlign w:val="bottom"/>
          </w:tcPr>
          <w:p>
            <w:pPr>
              <w:spacing w:after="0"/>
              <w:rPr>
                <w:sz w:val="15"/>
                <w:szCs w:val="15"/>
                <w:color w:val="auto"/>
              </w:rPr>
            </w:pPr>
          </w:p>
        </w:tc>
        <w:tc>
          <w:tcPr>
            <w:tcW w:w="680" w:type="dxa"/>
            <w:vAlign w:val="bottom"/>
          </w:tcPr>
          <w:p>
            <w:pPr>
              <w:jc w:val="right"/>
              <w:ind w:right="158"/>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tcPr>
          <w:p>
            <w:pPr>
              <w:jc w:val="right"/>
              <w:ind w:right="17"/>
              <w:spacing w:after="0"/>
              <w:rPr>
                <w:sz w:val="20"/>
                <w:szCs w:val="20"/>
                <w:color w:val="auto"/>
              </w:rPr>
            </w:pPr>
            <w:r>
              <w:rPr>
                <w:rFonts w:ascii="Arial" w:cs="Arial" w:eastAsia="Arial" w:hAnsi="Arial"/>
                <w:sz w:val="13"/>
                <w:szCs w:val="13"/>
                <w:color w:val="auto"/>
              </w:rPr>
              <w:t>1,723,020</w:t>
            </w:r>
          </w:p>
        </w:tc>
        <w:tc>
          <w:tcPr>
            <w:tcW w:w="0" w:type="dxa"/>
            <w:vAlign w:val="bottom"/>
          </w:tcPr>
          <w:p>
            <w:pPr>
              <w:spacing w:after="0"/>
              <w:rPr>
                <w:sz w:val="1"/>
                <w:szCs w:val="1"/>
                <w:color w:val="auto"/>
              </w:rPr>
            </w:pPr>
          </w:p>
        </w:tc>
      </w:tr>
      <w:tr>
        <w:trPr>
          <w:trHeight w:val="27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b w:val="1"/>
                <w:bCs w:val="1"/>
                <w:color w:val="auto"/>
              </w:rPr>
              <w:t>NEOs and Directors</w:t>
            </w:r>
          </w:p>
        </w:tc>
        <w:tc>
          <w:tcPr>
            <w:tcW w:w="60" w:type="dxa"/>
            <w:vAlign w:val="bottom"/>
            <w:shd w:val="clear" w:color="auto" w:fill="FCDEC5"/>
          </w:tcPr>
          <w:p>
            <w:pPr>
              <w:spacing w:after="0"/>
              <w:rPr>
                <w:sz w:val="24"/>
                <w:szCs w:val="24"/>
                <w:color w:val="auto"/>
              </w:rPr>
            </w:pPr>
          </w:p>
        </w:tc>
        <w:tc>
          <w:tcPr>
            <w:tcW w:w="560" w:type="dxa"/>
            <w:vAlign w:val="bottom"/>
            <w:shd w:val="clear" w:color="auto" w:fill="FCDEC5"/>
          </w:tcPr>
          <w:p>
            <w:pPr>
              <w:spacing w:after="0"/>
              <w:rPr>
                <w:sz w:val="24"/>
                <w:szCs w:val="24"/>
                <w:color w:val="auto"/>
              </w:rPr>
            </w:pPr>
          </w:p>
        </w:tc>
        <w:tc>
          <w:tcPr>
            <w:tcW w:w="200" w:type="dxa"/>
            <w:vAlign w:val="bottom"/>
            <w:shd w:val="clear" w:color="auto" w:fill="FCDEC5"/>
          </w:tcPr>
          <w:p>
            <w:pPr>
              <w:spacing w:after="0"/>
              <w:rPr>
                <w:sz w:val="24"/>
                <w:szCs w:val="24"/>
                <w:color w:val="auto"/>
              </w:rPr>
            </w:pPr>
          </w:p>
        </w:tc>
        <w:tc>
          <w:tcPr>
            <w:tcW w:w="680" w:type="dxa"/>
            <w:vAlign w:val="bottom"/>
            <w:shd w:val="clear" w:color="auto" w:fill="FCDEC5"/>
          </w:tcPr>
          <w:p>
            <w:pPr>
              <w:spacing w:after="0"/>
              <w:rPr>
                <w:sz w:val="24"/>
                <w:szCs w:val="24"/>
                <w:color w:val="auto"/>
              </w:rPr>
            </w:pPr>
          </w:p>
        </w:tc>
        <w:tc>
          <w:tcPr>
            <w:tcW w:w="80" w:type="dxa"/>
            <w:vAlign w:val="bottom"/>
            <w:shd w:val="clear" w:color="auto" w:fill="FCDEC5"/>
          </w:tcPr>
          <w:p>
            <w:pPr>
              <w:spacing w:after="0"/>
              <w:rPr>
                <w:sz w:val="24"/>
                <w:szCs w:val="24"/>
                <w:color w:val="auto"/>
              </w:rPr>
            </w:pPr>
          </w:p>
        </w:tc>
        <w:tc>
          <w:tcPr>
            <w:tcW w:w="880" w:type="dxa"/>
            <w:vAlign w:val="bottom"/>
            <w:shd w:val="clear" w:color="auto" w:fill="FCDEC5"/>
          </w:tcPr>
          <w:p>
            <w:pPr>
              <w:spacing w:after="0"/>
              <w:rPr>
                <w:sz w:val="24"/>
                <w:szCs w:val="24"/>
                <w:color w:val="auto"/>
              </w:rPr>
            </w:pPr>
          </w:p>
        </w:tc>
        <w:tc>
          <w:tcPr>
            <w:tcW w:w="80" w:type="dxa"/>
            <w:vAlign w:val="bottom"/>
            <w:shd w:val="clear" w:color="auto" w:fill="FCDEC5"/>
          </w:tcPr>
          <w:p>
            <w:pPr>
              <w:spacing w:after="0"/>
              <w:rPr>
                <w:sz w:val="24"/>
                <w:szCs w:val="24"/>
                <w:color w:val="auto"/>
              </w:rPr>
            </w:pPr>
          </w:p>
        </w:tc>
        <w:tc>
          <w:tcPr>
            <w:tcW w:w="640" w:type="dxa"/>
            <w:vAlign w:val="bottom"/>
            <w:tcBorders>
              <w:right w:val="single" w:sz="8" w:color="F79646"/>
            </w:tcBorders>
            <w:shd w:val="clear" w:color="auto" w:fill="FCDEC5"/>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 w:type="dxa"/>
            <w:vAlign w:val="bottom"/>
            <w:tcBorders>
              <w:top w:val="single" w:sz="8" w:color="FCDEC5"/>
              <w:left w:val="single" w:sz="8" w:color="F79646"/>
            </w:tcBorders>
          </w:tcPr>
          <w:p>
            <w:pPr>
              <w:spacing w:after="0"/>
              <w:rPr>
                <w:sz w:val="12"/>
                <w:szCs w:val="12"/>
                <w:color w:val="auto"/>
              </w:rPr>
            </w:pPr>
          </w:p>
        </w:tc>
        <w:tc>
          <w:tcPr>
            <w:tcW w:w="118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Pavan Bagai</w:t>
            </w:r>
          </w:p>
        </w:tc>
        <w:tc>
          <w:tcPr>
            <w:tcW w:w="2500" w:type="dxa"/>
            <w:vAlign w:val="bottom"/>
            <w:tcBorders>
              <w:top w:val="single" w:sz="8" w:color="FCDEC5"/>
            </w:tcBorders>
            <w:gridSpan w:val="2"/>
          </w:tcPr>
          <w:p>
            <w:pPr>
              <w:spacing w:after="0"/>
              <w:rPr>
                <w:sz w:val="12"/>
                <w:szCs w:val="12"/>
                <w:color w:val="auto"/>
              </w:rPr>
            </w:pPr>
          </w:p>
        </w:tc>
        <w:tc>
          <w:tcPr>
            <w:tcW w:w="620" w:type="dxa"/>
            <w:vAlign w:val="bottom"/>
            <w:tcBorders>
              <w:top w:val="single" w:sz="8" w:color="FCDEC5"/>
            </w:tcBorders>
            <w:gridSpan w:val="2"/>
          </w:tcPr>
          <w:p>
            <w:pPr>
              <w:jc w:val="right"/>
              <w:spacing w:after="0" w:line="144" w:lineRule="exact"/>
              <w:rPr>
                <w:sz w:val="20"/>
                <w:szCs w:val="20"/>
                <w:color w:val="auto"/>
              </w:rPr>
            </w:pPr>
            <w:r>
              <w:rPr>
                <w:rFonts w:ascii="Arial" w:cs="Arial" w:eastAsia="Arial" w:hAnsi="Arial"/>
                <w:sz w:val="13"/>
                <w:szCs w:val="13"/>
                <w:color w:val="auto"/>
              </w:rPr>
              <w:t>50,612</w:t>
            </w:r>
          </w:p>
        </w:tc>
        <w:tc>
          <w:tcPr>
            <w:tcW w:w="200" w:type="dxa"/>
            <w:vAlign w:val="bottom"/>
            <w:tcBorders>
              <w:top w:val="single" w:sz="8" w:color="FCDEC5"/>
            </w:tcBorders>
          </w:tcPr>
          <w:p>
            <w:pPr>
              <w:spacing w:after="0"/>
              <w:rPr>
                <w:sz w:val="12"/>
                <w:szCs w:val="12"/>
                <w:color w:val="auto"/>
              </w:rPr>
            </w:pPr>
          </w:p>
        </w:tc>
        <w:tc>
          <w:tcPr>
            <w:tcW w:w="680" w:type="dxa"/>
            <w:vAlign w:val="bottom"/>
            <w:tcBorders>
              <w:top w:val="single" w:sz="8" w:color="FCDEC5"/>
            </w:tcBorders>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FCDEC5"/>
            </w:tcBorders>
          </w:tcPr>
          <w:p>
            <w:pPr>
              <w:spacing w:after="0"/>
              <w:rPr>
                <w:sz w:val="12"/>
                <w:szCs w:val="12"/>
                <w:color w:val="auto"/>
              </w:rPr>
            </w:pPr>
          </w:p>
        </w:tc>
        <w:tc>
          <w:tcPr>
            <w:tcW w:w="880" w:type="dxa"/>
            <w:vAlign w:val="bottom"/>
            <w:tcBorders>
              <w:top w:val="single" w:sz="8" w:color="FCDEC5"/>
            </w:tcBorders>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FCDEC5"/>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50,612</w:t>
            </w:r>
          </w:p>
        </w:tc>
        <w:tc>
          <w:tcPr>
            <w:tcW w:w="0" w:type="dxa"/>
            <w:vAlign w:val="bottom"/>
          </w:tcPr>
          <w:p>
            <w:pPr>
              <w:spacing w:after="0"/>
              <w:rPr>
                <w:sz w:val="1"/>
                <w:szCs w:val="1"/>
                <w:color w:val="auto"/>
              </w:rPr>
            </w:pPr>
          </w:p>
        </w:tc>
      </w:tr>
      <w:tr>
        <w:trPr>
          <w:trHeight w:val="28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Vishal Chhibbar</w:t>
            </w:r>
          </w:p>
        </w:tc>
        <w:tc>
          <w:tcPr>
            <w:tcW w:w="820" w:type="dxa"/>
            <w:vAlign w:val="bottom"/>
            <w:gridSpan w:val="3"/>
            <w:shd w:val="clear" w:color="auto" w:fill="FCDEC5"/>
          </w:tcPr>
          <w:p>
            <w:pPr>
              <w:jc w:val="right"/>
              <w:ind w:right="60"/>
              <w:spacing w:after="0"/>
              <w:rPr>
                <w:sz w:val="20"/>
                <w:szCs w:val="20"/>
                <w:color w:val="auto"/>
              </w:rPr>
            </w:pPr>
            <w:r>
              <w:rPr>
                <w:rFonts w:ascii="Arial" w:cs="Arial" w:eastAsia="Arial" w:hAnsi="Arial"/>
                <w:sz w:val="13"/>
                <w:szCs w:val="13"/>
                <w:color w:val="auto"/>
              </w:rPr>
              <w:t>43,734</w:t>
            </w:r>
            <w:r>
              <w:rPr>
                <w:rFonts w:ascii="Arial" w:cs="Arial" w:eastAsia="Arial" w:hAnsi="Arial"/>
                <w:sz w:val="20"/>
                <w:szCs w:val="20"/>
                <w:color w:val="auto"/>
                <w:vertAlign w:val="superscript"/>
              </w:rPr>
              <w:t>(8)</w:t>
            </w: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FCDEC5"/>
          </w:tcPr>
          <w:p>
            <w:pPr>
              <w:spacing w:after="0"/>
              <w:rPr>
                <w:sz w:val="24"/>
                <w:szCs w:val="24"/>
                <w:color w:val="auto"/>
              </w:rPr>
            </w:pPr>
          </w:p>
        </w:tc>
        <w:tc>
          <w:tcPr>
            <w:tcW w:w="880" w:type="dxa"/>
            <w:vAlign w:val="bottom"/>
            <w:shd w:val="clear" w:color="auto" w:fill="FCDEC5"/>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43,734</w:t>
            </w: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Rohit Kapoor</w:t>
            </w:r>
          </w:p>
        </w:tc>
        <w:tc>
          <w:tcPr>
            <w:tcW w:w="820" w:type="dxa"/>
            <w:vAlign w:val="bottom"/>
            <w:gridSpan w:val="3"/>
          </w:tcPr>
          <w:p>
            <w:pPr>
              <w:jc w:val="right"/>
              <w:ind w:right="60"/>
              <w:spacing w:after="0" w:line="145" w:lineRule="exact"/>
              <w:rPr>
                <w:sz w:val="20"/>
                <w:szCs w:val="20"/>
                <w:color w:val="auto"/>
              </w:rPr>
            </w:pPr>
            <w:r>
              <w:rPr>
                <w:rFonts w:ascii="Arial" w:cs="Arial" w:eastAsia="Arial" w:hAnsi="Arial"/>
                <w:sz w:val="10"/>
                <w:szCs w:val="10"/>
                <w:color w:val="auto"/>
              </w:rPr>
              <w:t>1,033,705</w:t>
            </w:r>
            <w:r>
              <w:rPr>
                <w:rFonts w:ascii="Arial" w:cs="Arial" w:eastAsia="Arial" w:hAnsi="Arial"/>
                <w:sz w:val="16"/>
                <w:szCs w:val="16"/>
                <w:color w:val="auto"/>
                <w:vertAlign w:val="superscript"/>
              </w:rPr>
              <w:t>(9)</w:t>
            </w: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2"/>
                <w:szCs w:val="12"/>
                <w:color w:val="auto"/>
              </w:rPr>
            </w:pPr>
          </w:p>
        </w:tc>
        <w:tc>
          <w:tcPr>
            <w:tcW w:w="8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1,033,705</w:t>
            </w:r>
          </w:p>
        </w:tc>
        <w:tc>
          <w:tcPr>
            <w:tcW w:w="0" w:type="dxa"/>
            <w:vAlign w:val="bottom"/>
          </w:tcPr>
          <w:p>
            <w:pPr>
              <w:spacing w:after="0"/>
              <w:rPr>
                <w:sz w:val="1"/>
                <w:szCs w:val="1"/>
                <w:color w:val="auto"/>
              </w:rPr>
            </w:pPr>
          </w:p>
        </w:tc>
      </w:tr>
      <w:tr>
        <w:trPr>
          <w:trHeight w:val="219"/>
        </w:trPr>
        <w:tc>
          <w:tcPr>
            <w:tcW w:w="80" w:type="dxa"/>
            <w:vAlign w:val="bottom"/>
            <w:tcBorders>
              <w:left w:val="single" w:sz="8" w:color="F79646"/>
            </w:tcBorders>
            <w:shd w:val="clear" w:color="auto" w:fill="FCDEC5"/>
          </w:tcPr>
          <w:p>
            <w:pPr>
              <w:spacing w:after="0"/>
              <w:rPr>
                <w:sz w:val="19"/>
                <w:szCs w:val="19"/>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Nalin Miglani</w:t>
            </w:r>
          </w:p>
        </w:tc>
        <w:tc>
          <w:tcPr>
            <w:tcW w:w="60" w:type="dxa"/>
            <w:vAlign w:val="bottom"/>
            <w:shd w:val="clear" w:color="auto" w:fill="FCDEC5"/>
          </w:tcPr>
          <w:p>
            <w:pPr>
              <w:spacing w:after="0"/>
              <w:rPr>
                <w:sz w:val="19"/>
                <w:szCs w:val="19"/>
                <w:color w:val="auto"/>
              </w:rPr>
            </w:pPr>
          </w:p>
        </w:tc>
        <w:tc>
          <w:tcPr>
            <w:tcW w:w="560" w:type="dxa"/>
            <w:vAlign w:val="bottom"/>
            <w:shd w:val="clear" w:color="auto" w:fill="FCDEC5"/>
          </w:tcPr>
          <w:p>
            <w:pPr>
              <w:spacing w:after="0"/>
              <w:rPr>
                <w:sz w:val="19"/>
                <w:szCs w:val="19"/>
                <w:color w:val="auto"/>
              </w:rPr>
            </w:pPr>
          </w:p>
        </w:tc>
        <w:tc>
          <w:tcPr>
            <w:tcW w:w="200" w:type="dxa"/>
            <w:vAlign w:val="bottom"/>
            <w:shd w:val="clear" w:color="auto" w:fill="FCDEC5"/>
          </w:tcPr>
          <w:p>
            <w:pPr>
              <w:spacing w:after="0"/>
              <w:rPr>
                <w:sz w:val="19"/>
                <w:szCs w:val="19"/>
                <w:color w:val="auto"/>
              </w:rPr>
            </w:pP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FCDEC5"/>
          </w:tcPr>
          <w:p>
            <w:pPr>
              <w:spacing w:after="0"/>
              <w:rPr>
                <w:sz w:val="19"/>
                <w:szCs w:val="19"/>
                <w:color w:val="auto"/>
              </w:rPr>
            </w:pPr>
          </w:p>
        </w:tc>
        <w:tc>
          <w:tcPr>
            <w:tcW w:w="880" w:type="dxa"/>
            <w:vAlign w:val="bottom"/>
            <w:shd w:val="clear" w:color="auto" w:fill="FCDEC5"/>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FCDEC5"/>
          </w:tcPr>
          <w:p>
            <w:pPr>
              <w:spacing w:after="0"/>
              <w:rPr>
                <w:sz w:val="19"/>
                <w:szCs w:val="19"/>
                <w:color w:val="auto"/>
              </w:rPr>
            </w:pPr>
          </w:p>
        </w:tc>
        <w:tc>
          <w:tcPr>
            <w:tcW w:w="640" w:type="dxa"/>
            <w:vAlign w:val="bottom"/>
            <w:tcBorders>
              <w:right w:val="single" w:sz="8" w:color="F79646"/>
            </w:tcBorders>
            <w:shd w:val="clear" w:color="auto" w:fill="FCDEC5"/>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0"/>
        </w:trPr>
        <w:tc>
          <w:tcPr>
            <w:tcW w:w="80" w:type="dxa"/>
            <w:vAlign w:val="bottom"/>
            <w:tcBorders>
              <w:left w:val="single" w:sz="8" w:color="F79646"/>
            </w:tcBorders>
            <w:shd w:val="clear" w:color="auto" w:fill="FCDEC5"/>
          </w:tcPr>
          <w:p>
            <w:pPr>
              <w:spacing w:after="0"/>
              <w:rPr>
                <w:sz w:val="6"/>
                <w:szCs w:val="6"/>
                <w:color w:val="auto"/>
              </w:rPr>
            </w:pPr>
          </w:p>
        </w:tc>
        <w:tc>
          <w:tcPr>
            <w:tcW w:w="1180" w:type="dxa"/>
            <w:vAlign w:val="bottom"/>
            <w:shd w:val="clear" w:color="auto" w:fill="FCDEC5"/>
          </w:tcPr>
          <w:p>
            <w:pPr>
              <w:spacing w:after="0"/>
              <w:rPr>
                <w:sz w:val="6"/>
                <w:szCs w:val="6"/>
                <w:color w:val="auto"/>
              </w:rPr>
            </w:pPr>
          </w:p>
        </w:tc>
        <w:tc>
          <w:tcPr>
            <w:tcW w:w="120" w:type="dxa"/>
            <w:vAlign w:val="bottom"/>
            <w:shd w:val="clear" w:color="auto" w:fill="FCDEC5"/>
          </w:tcPr>
          <w:p>
            <w:pPr>
              <w:spacing w:after="0"/>
              <w:rPr>
                <w:sz w:val="6"/>
                <w:szCs w:val="6"/>
                <w:color w:val="auto"/>
              </w:rPr>
            </w:pPr>
          </w:p>
        </w:tc>
        <w:tc>
          <w:tcPr>
            <w:tcW w:w="2380" w:type="dxa"/>
            <w:vAlign w:val="bottom"/>
            <w:shd w:val="clear" w:color="auto" w:fill="FCDEC5"/>
          </w:tcPr>
          <w:p>
            <w:pPr>
              <w:spacing w:after="0"/>
              <w:rPr>
                <w:sz w:val="6"/>
                <w:szCs w:val="6"/>
                <w:color w:val="auto"/>
              </w:rPr>
            </w:pPr>
          </w:p>
        </w:tc>
        <w:tc>
          <w:tcPr>
            <w:tcW w:w="620" w:type="dxa"/>
            <w:vAlign w:val="bottom"/>
            <w:gridSpan w:val="2"/>
            <w:shd w:val="clear" w:color="auto" w:fill="FCDEC5"/>
          </w:tcPr>
          <w:p>
            <w:pPr>
              <w:spacing w:after="0"/>
              <w:rPr>
                <w:sz w:val="6"/>
                <w:szCs w:val="6"/>
                <w:color w:val="auto"/>
              </w:rPr>
            </w:pPr>
          </w:p>
        </w:tc>
        <w:tc>
          <w:tcPr>
            <w:tcW w:w="200" w:type="dxa"/>
            <w:vAlign w:val="bottom"/>
            <w:shd w:val="clear" w:color="auto" w:fill="FCDEC5"/>
          </w:tcPr>
          <w:p>
            <w:pPr>
              <w:spacing w:after="0"/>
              <w:rPr>
                <w:sz w:val="6"/>
                <w:szCs w:val="6"/>
                <w:color w:val="auto"/>
              </w:rPr>
            </w:pPr>
          </w:p>
        </w:tc>
        <w:tc>
          <w:tcPr>
            <w:tcW w:w="680" w:type="dxa"/>
            <w:vAlign w:val="bottom"/>
            <w:shd w:val="clear" w:color="auto" w:fill="FCDEC5"/>
          </w:tcPr>
          <w:p>
            <w:pPr>
              <w:spacing w:after="0"/>
              <w:rPr>
                <w:sz w:val="6"/>
                <w:szCs w:val="6"/>
                <w:color w:val="auto"/>
              </w:rPr>
            </w:pPr>
          </w:p>
        </w:tc>
        <w:tc>
          <w:tcPr>
            <w:tcW w:w="80" w:type="dxa"/>
            <w:vAlign w:val="bottom"/>
            <w:shd w:val="clear" w:color="auto" w:fill="FCDEC5"/>
          </w:tcPr>
          <w:p>
            <w:pPr>
              <w:spacing w:after="0"/>
              <w:rPr>
                <w:sz w:val="6"/>
                <w:szCs w:val="6"/>
                <w:color w:val="auto"/>
              </w:rPr>
            </w:pPr>
          </w:p>
        </w:tc>
        <w:tc>
          <w:tcPr>
            <w:tcW w:w="880" w:type="dxa"/>
            <w:vAlign w:val="bottom"/>
            <w:shd w:val="clear" w:color="auto" w:fill="FCDEC5"/>
          </w:tcPr>
          <w:p>
            <w:pPr>
              <w:spacing w:after="0"/>
              <w:rPr>
                <w:sz w:val="6"/>
                <w:szCs w:val="6"/>
                <w:color w:val="auto"/>
              </w:rPr>
            </w:pPr>
          </w:p>
        </w:tc>
        <w:tc>
          <w:tcPr>
            <w:tcW w:w="720" w:type="dxa"/>
            <w:vAlign w:val="bottom"/>
            <w:tcBorders>
              <w:right w:val="single" w:sz="8" w:color="F79646"/>
            </w:tcBorders>
            <w:gridSpan w:val="2"/>
            <w:shd w:val="clear" w:color="auto" w:fill="FCDEC5"/>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Nagaraja Srivatsan</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2,958</w:t>
            </w:r>
          </w:p>
        </w:tc>
        <w:tc>
          <w:tcPr>
            <w:tcW w:w="200" w:type="dxa"/>
            <w:vAlign w:val="bottom"/>
          </w:tcPr>
          <w:p>
            <w:pPr>
              <w:spacing w:after="0"/>
              <w:rPr>
                <w:sz w:val="12"/>
                <w:szCs w:val="12"/>
                <w:color w:val="auto"/>
              </w:rPr>
            </w:pP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2,958</w:t>
            </w:r>
          </w:p>
        </w:tc>
        <w:tc>
          <w:tcPr>
            <w:tcW w:w="0" w:type="dxa"/>
            <w:vAlign w:val="bottom"/>
          </w:tcPr>
          <w:p>
            <w:pPr>
              <w:spacing w:after="0"/>
              <w:rPr>
                <w:sz w:val="1"/>
                <w:szCs w:val="1"/>
                <w:color w:val="auto"/>
              </w:rPr>
            </w:pPr>
          </w:p>
        </w:tc>
      </w:tr>
      <w:tr>
        <w:trPr>
          <w:trHeight w:val="28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David B. Kelso</w:t>
            </w:r>
          </w:p>
        </w:tc>
        <w:tc>
          <w:tcPr>
            <w:tcW w:w="820" w:type="dxa"/>
            <w:vAlign w:val="bottom"/>
            <w:gridSpan w:val="3"/>
            <w:shd w:val="clear" w:color="auto" w:fill="FCDEC5"/>
          </w:tcPr>
          <w:p>
            <w:pPr>
              <w:jc w:val="right"/>
              <w:spacing w:after="0"/>
              <w:rPr>
                <w:sz w:val="20"/>
                <w:szCs w:val="20"/>
                <w:color w:val="auto"/>
              </w:rPr>
            </w:pPr>
            <w:r>
              <w:rPr>
                <w:rFonts w:ascii="Arial" w:cs="Arial" w:eastAsia="Arial" w:hAnsi="Arial"/>
                <w:sz w:val="13"/>
                <w:szCs w:val="13"/>
                <w:color w:val="auto"/>
              </w:rPr>
              <w:t>28,148</w:t>
            </w:r>
            <w:r>
              <w:rPr>
                <w:rFonts w:ascii="Arial" w:cs="Arial" w:eastAsia="Arial" w:hAnsi="Arial"/>
                <w:sz w:val="20"/>
                <w:szCs w:val="20"/>
                <w:color w:val="auto"/>
                <w:vertAlign w:val="superscript"/>
              </w:rPr>
              <w:t>(10)</w:t>
            </w: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FCDEC5"/>
          </w:tcPr>
          <w:p>
            <w:pPr>
              <w:jc w:val="right"/>
              <w:ind w:right="157"/>
              <w:spacing w:after="0"/>
              <w:rPr>
                <w:sz w:val="20"/>
                <w:szCs w:val="20"/>
                <w:color w:val="auto"/>
              </w:rPr>
            </w:pPr>
            <w:r>
              <w:rPr>
                <w:rFonts w:ascii="Arial" w:cs="Arial" w:eastAsia="Arial" w:hAnsi="Arial"/>
                <w:sz w:val="13"/>
                <w:szCs w:val="13"/>
                <w:color w:val="auto"/>
              </w:rPr>
              <w:t>38,061</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66,209</w:t>
            </w: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Deborah Kerr</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57"/>
              <w:spacing w:after="0" w:line="144" w:lineRule="exact"/>
              <w:rPr>
                <w:sz w:val="20"/>
                <w:szCs w:val="20"/>
                <w:color w:val="auto"/>
              </w:rPr>
            </w:pPr>
            <w:r>
              <w:rPr>
                <w:rFonts w:ascii="Arial" w:cs="Arial" w:eastAsia="Arial" w:hAnsi="Arial"/>
                <w:sz w:val="13"/>
                <w:szCs w:val="13"/>
                <w:color w:val="auto"/>
              </w:rPr>
              <w:t>8,270</w:t>
            </w:r>
          </w:p>
        </w:tc>
        <w:tc>
          <w:tcPr>
            <w:tcW w:w="720" w:type="dxa"/>
            <w:vAlign w:val="bottom"/>
            <w:tcBorders>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8,270</w:t>
            </w:r>
          </w:p>
        </w:tc>
        <w:tc>
          <w:tcPr>
            <w:tcW w:w="0" w:type="dxa"/>
            <w:vAlign w:val="bottom"/>
          </w:tcPr>
          <w:p>
            <w:pPr>
              <w:spacing w:after="0"/>
              <w:rPr>
                <w:sz w:val="1"/>
                <w:szCs w:val="1"/>
                <w:color w:val="auto"/>
              </w:rPr>
            </w:pPr>
          </w:p>
        </w:tc>
      </w:tr>
      <w:tr>
        <w:trPr>
          <w:trHeight w:val="28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Anne E. Minto</w:t>
            </w:r>
          </w:p>
        </w:tc>
        <w:tc>
          <w:tcPr>
            <w:tcW w:w="820" w:type="dxa"/>
            <w:vAlign w:val="bottom"/>
            <w:gridSpan w:val="3"/>
            <w:shd w:val="clear" w:color="auto" w:fill="FCDEC5"/>
          </w:tcPr>
          <w:p>
            <w:pPr>
              <w:jc w:val="right"/>
              <w:spacing w:after="0"/>
              <w:rPr>
                <w:sz w:val="20"/>
                <w:szCs w:val="20"/>
                <w:color w:val="auto"/>
              </w:rPr>
            </w:pPr>
            <w:r>
              <w:rPr>
                <w:rFonts w:ascii="Arial" w:cs="Arial" w:eastAsia="Arial" w:hAnsi="Arial"/>
                <w:sz w:val="13"/>
                <w:szCs w:val="13"/>
                <w:color w:val="auto"/>
              </w:rPr>
              <w:t>3,093</w:t>
            </w:r>
            <w:r>
              <w:rPr>
                <w:rFonts w:ascii="Arial" w:cs="Arial" w:eastAsia="Arial" w:hAnsi="Arial"/>
                <w:sz w:val="20"/>
                <w:szCs w:val="20"/>
                <w:color w:val="auto"/>
                <w:vertAlign w:val="superscript"/>
              </w:rPr>
              <w:t>(11)</w:t>
            </w: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FCDEC5"/>
          </w:tcPr>
          <w:p>
            <w:pPr>
              <w:jc w:val="right"/>
              <w:ind w:right="157"/>
              <w:spacing w:after="0"/>
              <w:rPr>
                <w:sz w:val="20"/>
                <w:szCs w:val="20"/>
                <w:color w:val="auto"/>
              </w:rPr>
            </w:pPr>
            <w:r>
              <w:rPr>
                <w:rFonts w:ascii="Arial" w:cs="Arial" w:eastAsia="Arial" w:hAnsi="Arial"/>
                <w:sz w:val="13"/>
                <w:szCs w:val="13"/>
                <w:color w:val="auto"/>
              </w:rPr>
              <w:t>15,421</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18,514</w:t>
            </w: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Som Mittal</w:t>
            </w:r>
          </w:p>
        </w:tc>
        <w:tc>
          <w:tcPr>
            <w:tcW w:w="6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3,800</w:t>
            </w:r>
          </w:p>
        </w:tc>
        <w:tc>
          <w:tcPr>
            <w:tcW w:w="200" w:type="dxa"/>
            <w:vAlign w:val="bottom"/>
          </w:tcPr>
          <w:p>
            <w:pPr>
              <w:spacing w:after="0"/>
              <w:rPr>
                <w:sz w:val="12"/>
                <w:szCs w:val="12"/>
                <w:color w:val="auto"/>
              </w:rPr>
            </w:pP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57"/>
              <w:spacing w:after="0" w:line="144" w:lineRule="exact"/>
              <w:rPr>
                <w:sz w:val="20"/>
                <w:szCs w:val="20"/>
                <w:color w:val="auto"/>
              </w:rPr>
            </w:pPr>
            <w:r>
              <w:rPr>
                <w:rFonts w:ascii="Arial" w:cs="Arial" w:eastAsia="Arial" w:hAnsi="Arial"/>
                <w:sz w:val="13"/>
                <w:szCs w:val="13"/>
                <w:color w:val="auto"/>
              </w:rPr>
              <w:t>8,874</w:t>
            </w:r>
          </w:p>
        </w:tc>
        <w:tc>
          <w:tcPr>
            <w:tcW w:w="720" w:type="dxa"/>
            <w:vAlign w:val="bottom"/>
            <w:tcBorders>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12,674</w:t>
            </w:r>
          </w:p>
        </w:tc>
        <w:tc>
          <w:tcPr>
            <w:tcW w:w="0" w:type="dxa"/>
            <w:vAlign w:val="bottom"/>
          </w:tcPr>
          <w:p>
            <w:pPr>
              <w:spacing w:after="0"/>
              <w:rPr>
                <w:sz w:val="1"/>
                <w:szCs w:val="1"/>
                <w:color w:val="auto"/>
              </w:rPr>
            </w:pPr>
          </w:p>
        </w:tc>
      </w:tr>
      <w:tr>
        <w:trPr>
          <w:trHeight w:val="289"/>
        </w:trPr>
        <w:tc>
          <w:tcPr>
            <w:tcW w:w="80" w:type="dxa"/>
            <w:vAlign w:val="bottom"/>
            <w:tcBorders>
              <w:left w:val="single" w:sz="8" w:color="F79646"/>
            </w:tcBorders>
            <w:shd w:val="clear" w:color="auto" w:fill="FCDEC5"/>
          </w:tcPr>
          <w:p>
            <w:pPr>
              <w:spacing w:after="0"/>
              <w:rPr>
                <w:sz w:val="24"/>
                <w:szCs w:val="24"/>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Clyde W. Ostler</w:t>
            </w:r>
          </w:p>
        </w:tc>
        <w:tc>
          <w:tcPr>
            <w:tcW w:w="820" w:type="dxa"/>
            <w:vAlign w:val="bottom"/>
            <w:gridSpan w:val="3"/>
            <w:shd w:val="clear" w:color="auto" w:fill="FCDEC5"/>
          </w:tcPr>
          <w:p>
            <w:pPr>
              <w:jc w:val="right"/>
              <w:spacing w:after="0"/>
              <w:rPr>
                <w:sz w:val="20"/>
                <w:szCs w:val="20"/>
                <w:color w:val="auto"/>
              </w:rPr>
            </w:pPr>
            <w:r>
              <w:rPr>
                <w:rFonts w:ascii="Arial" w:cs="Arial" w:eastAsia="Arial" w:hAnsi="Arial"/>
                <w:sz w:val="13"/>
                <w:szCs w:val="13"/>
                <w:color w:val="auto"/>
              </w:rPr>
              <w:t>32,239</w:t>
            </w:r>
            <w:r>
              <w:rPr>
                <w:rFonts w:ascii="Arial" w:cs="Arial" w:eastAsia="Arial" w:hAnsi="Arial"/>
                <w:sz w:val="20"/>
                <w:szCs w:val="20"/>
                <w:color w:val="auto"/>
                <w:vertAlign w:val="superscript"/>
              </w:rPr>
              <w:t>(12)</w:t>
            </w: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FCDEC5"/>
          </w:tcPr>
          <w:p>
            <w:pPr>
              <w:jc w:val="right"/>
              <w:ind w:right="157"/>
              <w:spacing w:after="0"/>
              <w:rPr>
                <w:sz w:val="20"/>
                <w:szCs w:val="20"/>
                <w:color w:val="auto"/>
              </w:rPr>
            </w:pPr>
            <w:r>
              <w:rPr>
                <w:rFonts w:ascii="Arial" w:cs="Arial" w:eastAsia="Arial" w:hAnsi="Arial"/>
                <w:sz w:val="13"/>
                <w:szCs w:val="13"/>
                <w:color w:val="auto"/>
              </w:rPr>
              <w:t>32,588</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64,827</w:t>
            </w: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Vikram S. Pandit</w:t>
            </w: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Borders>
              <w:right w:val="single" w:sz="8" w:color="F79646"/>
            </w:tcBorders>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9"/>
        </w:trPr>
        <w:tc>
          <w:tcPr>
            <w:tcW w:w="80" w:type="dxa"/>
            <w:vAlign w:val="bottom"/>
            <w:tcBorders>
              <w:left w:val="single" w:sz="8" w:color="F79646"/>
            </w:tcBorders>
            <w:shd w:val="clear" w:color="auto" w:fill="FCDEC5"/>
          </w:tcPr>
          <w:p>
            <w:pPr>
              <w:spacing w:after="0"/>
              <w:rPr>
                <w:sz w:val="19"/>
                <w:szCs w:val="19"/>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Nitin Sahney</w:t>
            </w:r>
          </w:p>
        </w:tc>
        <w:tc>
          <w:tcPr>
            <w:tcW w:w="60" w:type="dxa"/>
            <w:vAlign w:val="bottom"/>
            <w:shd w:val="clear" w:color="auto" w:fill="FCDEC5"/>
          </w:tcPr>
          <w:p>
            <w:pPr>
              <w:spacing w:after="0"/>
              <w:rPr>
                <w:sz w:val="19"/>
                <w:szCs w:val="19"/>
                <w:color w:val="auto"/>
              </w:rPr>
            </w:pPr>
          </w:p>
        </w:tc>
        <w:tc>
          <w:tcPr>
            <w:tcW w:w="760" w:type="dxa"/>
            <w:vAlign w:val="bottom"/>
            <w:gridSpan w:val="2"/>
            <w:shd w:val="clear" w:color="auto" w:fill="FCDEC5"/>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FCDEC5"/>
          </w:tcPr>
          <w:p>
            <w:pPr>
              <w:jc w:val="right"/>
              <w:ind w:right="157"/>
              <w:spacing w:after="0"/>
              <w:rPr>
                <w:sz w:val="20"/>
                <w:szCs w:val="20"/>
                <w:color w:val="auto"/>
              </w:rPr>
            </w:pPr>
            <w:r>
              <w:rPr>
                <w:rFonts w:ascii="Arial" w:cs="Arial" w:eastAsia="Arial" w:hAnsi="Arial"/>
                <w:sz w:val="13"/>
                <w:szCs w:val="13"/>
                <w:color w:val="auto"/>
              </w:rPr>
              <w:t>4,846</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4,846</w:t>
            </w:r>
          </w:p>
        </w:tc>
        <w:tc>
          <w:tcPr>
            <w:tcW w:w="0" w:type="dxa"/>
            <w:vAlign w:val="bottom"/>
          </w:tcPr>
          <w:p>
            <w:pPr>
              <w:spacing w:after="0"/>
              <w:rPr>
                <w:sz w:val="1"/>
                <w:szCs w:val="1"/>
                <w:color w:val="auto"/>
              </w:rPr>
            </w:pPr>
          </w:p>
        </w:tc>
      </w:tr>
      <w:tr>
        <w:trPr>
          <w:trHeight w:val="70"/>
        </w:trPr>
        <w:tc>
          <w:tcPr>
            <w:tcW w:w="80" w:type="dxa"/>
            <w:vAlign w:val="bottom"/>
            <w:tcBorders>
              <w:left w:val="single" w:sz="8" w:color="F79646"/>
            </w:tcBorders>
            <w:shd w:val="clear" w:color="auto" w:fill="FCDEC5"/>
          </w:tcPr>
          <w:p>
            <w:pPr>
              <w:spacing w:after="0"/>
              <w:rPr>
                <w:sz w:val="6"/>
                <w:szCs w:val="6"/>
                <w:color w:val="auto"/>
              </w:rPr>
            </w:pPr>
          </w:p>
        </w:tc>
        <w:tc>
          <w:tcPr>
            <w:tcW w:w="1180" w:type="dxa"/>
            <w:vAlign w:val="bottom"/>
            <w:shd w:val="clear" w:color="auto" w:fill="FCDEC5"/>
          </w:tcPr>
          <w:p>
            <w:pPr>
              <w:spacing w:after="0"/>
              <w:rPr>
                <w:sz w:val="6"/>
                <w:szCs w:val="6"/>
                <w:color w:val="auto"/>
              </w:rPr>
            </w:pPr>
          </w:p>
        </w:tc>
        <w:tc>
          <w:tcPr>
            <w:tcW w:w="120" w:type="dxa"/>
            <w:vAlign w:val="bottom"/>
            <w:shd w:val="clear" w:color="auto" w:fill="FCDEC5"/>
          </w:tcPr>
          <w:p>
            <w:pPr>
              <w:spacing w:after="0"/>
              <w:rPr>
                <w:sz w:val="6"/>
                <w:szCs w:val="6"/>
                <w:color w:val="auto"/>
              </w:rPr>
            </w:pPr>
          </w:p>
        </w:tc>
        <w:tc>
          <w:tcPr>
            <w:tcW w:w="2380" w:type="dxa"/>
            <w:vAlign w:val="bottom"/>
            <w:shd w:val="clear" w:color="auto" w:fill="FCDEC5"/>
          </w:tcPr>
          <w:p>
            <w:pPr>
              <w:spacing w:after="0"/>
              <w:rPr>
                <w:sz w:val="6"/>
                <w:szCs w:val="6"/>
                <w:color w:val="auto"/>
              </w:rPr>
            </w:pPr>
          </w:p>
        </w:tc>
        <w:tc>
          <w:tcPr>
            <w:tcW w:w="820" w:type="dxa"/>
            <w:vAlign w:val="bottom"/>
            <w:gridSpan w:val="3"/>
            <w:shd w:val="clear" w:color="auto" w:fill="FCDEC5"/>
          </w:tcPr>
          <w:p>
            <w:pPr>
              <w:spacing w:after="0"/>
              <w:rPr>
                <w:sz w:val="6"/>
                <w:szCs w:val="6"/>
                <w:color w:val="auto"/>
              </w:rPr>
            </w:pPr>
          </w:p>
        </w:tc>
        <w:tc>
          <w:tcPr>
            <w:tcW w:w="680" w:type="dxa"/>
            <w:vAlign w:val="bottom"/>
            <w:shd w:val="clear" w:color="auto" w:fill="FCDEC5"/>
          </w:tcPr>
          <w:p>
            <w:pPr>
              <w:spacing w:after="0"/>
              <w:rPr>
                <w:sz w:val="6"/>
                <w:szCs w:val="6"/>
                <w:color w:val="auto"/>
              </w:rPr>
            </w:pPr>
          </w:p>
        </w:tc>
        <w:tc>
          <w:tcPr>
            <w:tcW w:w="960" w:type="dxa"/>
            <w:vAlign w:val="bottom"/>
            <w:gridSpan w:val="2"/>
            <w:shd w:val="clear" w:color="auto" w:fill="FCDEC5"/>
          </w:tcPr>
          <w:p>
            <w:pPr>
              <w:spacing w:after="0"/>
              <w:rPr>
                <w:sz w:val="6"/>
                <w:szCs w:val="6"/>
                <w:color w:val="auto"/>
              </w:rPr>
            </w:pPr>
          </w:p>
        </w:tc>
        <w:tc>
          <w:tcPr>
            <w:tcW w:w="720" w:type="dxa"/>
            <w:vAlign w:val="bottom"/>
            <w:tcBorders>
              <w:right w:val="single" w:sz="8" w:color="F79646"/>
            </w:tcBorders>
            <w:gridSpan w:val="2"/>
            <w:shd w:val="clear" w:color="auto" w:fill="FCDEC5"/>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F79646"/>
            </w:tcBorders>
          </w:tcPr>
          <w:p>
            <w:pPr>
              <w:spacing w:after="0"/>
              <w:rPr>
                <w:sz w:val="12"/>
                <w:szCs w:val="12"/>
                <w:color w:val="auto"/>
              </w:rPr>
            </w:pPr>
          </w:p>
        </w:tc>
        <w:tc>
          <w:tcPr>
            <w:tcW w:w="3680" w:type="dxa"/>
            <w:vAlign w:val="bottom"/>
            <w:gridSpan w:val="3"/>
          </w:tcPr>
          <w:p>
            <w:pPr>
              <w:spacing w:after="0" w:line="144" w:lineRule="exact"/>
              <w:rPr>
                <w:sz w:val="20"/>
                <w:szCs w:val="20"/>
                <w:color w:val="auto"/>
              </w:rPr>
            </w:pPr>
            <w:r>
              <w:rPr>
                <w:rFonts w:ascii="Arial" w:cs="Arial" w:eastAsia="Arial" w:hAnsi="Arial"/>
                <w:sz w:val="13"/>
                <w:szCs w:val="13"/>
                <w:color w:val="auto"/>
              </w:rPr>
              <w:t>Garen K. Staglin</w:t>
            </w:r>
          </w:p>
        </w:tc>
        <w:tc>
          <w:tcPr>
            <w:tcW w:w="820" w:type="dxa"/>
            <w:vAlign w:val="bottom"/>
            <w:gridSpan w:val="3"/>
          </w:tcPr>
          <w:p>
            <w:pPr>
              <w:jc w:val="right"/>
              <w:spacing w:after="0" w:line="145" w:lineRule="exact"/>
              <w:rPr>
                <w:sz w:val="20"/>
                <w:szCs w:val="20"/>
                <w:color w:val="auto"/>
              </w:rPr>
            </w:pPr>
            <w:r>
              <w:rPr>
                <w:rFonts w:ascii="Arial" w:cs="Arial" w:eastAsia="Arial" w:hAnsi="Arial"/>
                <w:sz w:val="10"/>
                <w:szCs w:val="10"/>
                <w:color w:val="auto"/>
              </w:rPr>
              <w:t>34,677</w:t>
            </w:r>
            <w:r>
              <w:rPr>
                <w:rFonts w:ascii="Arial" w:cs="Arial" w:eastAsia="Arial" w:hAnsi="Arial"/>
                <w:sz w:val="16"/>
                <w:szCs w:val="16"/>
                <w:color w:val="auto"/>
                <w:vertAlign w:val="superscript"/>
              </w:rPr>
              <w:t>(13)</w:t>
            </w:r>
          </w:p>
        </w:tc>
        <w:tc>
          <w:tcPr>
            <w:tcW w:w="680" w:type="dxa"/>
            <w:vAlign w:val="bottom"/>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57"/>
              <w:spacing w:after="0" w:line="144" w:lineRule="exact"/>
              <w:rPr>
                <w:sz w:val="20"/>
                <w:szCs w:val="20"/>
                <w:color w:val="auto"/>
              </w:rPr>
            </w:pPr>
            <w:r>
              <w:rPr>
                <w:rFonts w:ascii="Arial" w:cs="Arial" w:eastAsia="Arial" w:hAnsi="Arial"/>
                <w:sz w:val="13"/>
                <w:szCs w:val="13"/>
                <w:color w:val="auto"/>
              </w:rPr>
              <w:t>49,343</w:t>
            </w:r>
          </w:p>
        </w:tc>
        <w:tc>
          <w:tcPr>
            <w:tcW w:w="720" w:type="dxa"/>
            <w:vAlign w:val="bottom"/>
            <w:tcBorders>
              <w:right w:val="single" w:sz="8" w:color="F79646"/>
            </w:tcBorders>
            <w:gridSpan w:val="2"/>
          </w:tcPr>
          <w:p>
            <w:pPr>
              <w:jc w:val="right"/>
              <w:ind w:right="17"/>
              <w:spacing w:after="0" w:line="144" w:lineRule="exact"/>
              <w:rPr>
                <w:sz w:val="20"/>
                <w:szCs w:val="20"/>
                <w:color w:val="auto"/>
              </w:rPr>
            </w:pPr>
            <w:r>
              <w:rPr>
                <w:rFonts w:ascii="Arial" w:cs="Arial" w:eastAsia="Arial" w:hAnsi="Arial"/>
                <w:sz w:val="13"/>
                <w:szCs w:val="13"/>
                <w:color w:val="auto"/>
              </w:rPr>
              <w:t>84,020</w:t>
            </w:r>
          </w:p>
        </w:tc>
        <w:tc>
          <w:tcPr>
            <w:tcW w:w="0" w:type="dxa"/>
            <w:vAlign w:val="bottom"/>
          </w:tcPr>
          <w:p>
            <w:pPr>
              <w:spacing w:after="0"/>
              <w:rPr>
                <w:sz w:val="1"/>
                <w:szCs w:val="1"/>
                <w:color w:val="auto"/>
              </w:rPr>
            </w:pPr>
          </w:p>
        </w:tc>
      </w:tr>
      <w:tr>
        <w:trPr>
          <w:trHeight w:val="219"/>
        </w:trPr>
        <w:tc>
          <w:tcPr>
            <w:tcW w:w="80" w:type="dxa"/>
            <w:vAlign w:val="bottom"/>
            <w:tcBorders>
              <w:left w:val="single" w:sz="8" w:color="F79646"/>
            </w:tcBorders>
            <w:shd w:val="clear" w:color="auto" w:fill="FCDEC5"/>
          </w:tcPr>
          <w:p>
            <w:pPr>
              <w:spacing w:after="0"/>
              <w:rPr>
                <w:sz w:val="19"/>
                <w:szCs w:val="19"/>
                <w:color w:val="auto"/>
              </w:rPr>
            </w:pPr>
          </w:p>
        </w:tc>
        <w:tc>
          <w:tcPr>
            <w:tcW w:w="3680" w:type="dxa"/>
            <w:vAlign w:val="bottom"/>
            <w:gridSpan w:val="3"/>
            <w:shd w:val="clear" w:color="auto" w:fill="FCDEC5"/>
          </w:tcPr>
          <w:p>
            <w:pPr>
              <w:spacing w:after="0"/>
              <w:rPr>
                <w:sz w:val="20"/>
                <w:szCs w:val="20"/>
                <w:color w:val="auto"/>
              </w:rPr>
            </w:pPr>
            <w:r>
              <w:rPr>
                <w:rFonts w:ascii="Arial" w:cs="Arial" w:eastAsia="Arial" w:hAnsi="Arial"/>
                <w:sz w:val="13"/>
                <w:szCs w:val="13"/>
                <w:color w:val="auto"/>
              </w:rPr>
              <w:t>Jaynie M. Studenmund</w:t>
            </w:r>
          </w:p>
        </w:tc>
        <w:tc>
          <w:tcPr>
            <w:tcW w:w="620" w:type="dxa"/>
            <w:vAlign w:val="bottom"/>
            <w:gridSpan w:val="2"/>
            <w:shd w:val="clear" w:color="auto" w:fill="FCDEC5"/>
          </w:tcPr>
          <w:p>
            <w:pPr>
              <w:jc w:val="right"/>
              <w:spacing w:after="0"/>
              <w:rPr>
                <w:sz w:val="20"/>
                <w:szCs w:val="20"/>
                <w:color w:val="auto"/>
              </w:rPr>
            </w:pPr>
            <w:r>
              <w:rPr>
                <w:rFonts w:ascii="Arial" w:cs="Arial" w:eastAsia="Arial" w:hAnsi="Arial"/>
                <w:sz w:val="13"/>
                <w:szCs w:val="13"/>
                <w:color w:val="auto"/>
              </w:rPr>
              <w:t>2,220</w:t>
            </w:r>
          </w:p>
        </w:tc>
        <w:tc>
          <w:tcPr>
            <w:tcW w:w="200" w:type="dxa"/>
            <w:vAlign w:val="bottom"/>
            <w:shd w:val="clear" w:color="auto" w:fill="FCDEC5"/>
          </w:tcPr>
          <w:p>
            <w:pPr>
              <w:spacing w:after="0"/>
              <w:rPr>
                <w:sz w:val="19"/>
                <w:szCs w:val="19"/>
                <w:color w:val="auto"/>
              </w:rPr>
            </w:pPr>
          </w:p>
        </w:tc>
        <w:tc>
          <w:tcPr>
            <w:tcW w:w="680" w:type="dxa"/>
            <w:vAlign w:val="bottom"/>
            <w:shd w:val="clear" w:color="auto" w:fill="FCDEC5"/>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FCDEC5"/>
          </w:tcPr>
          <w:p>
            <w:pPr>
              <w:spacing w:after="0"/>
              <w:rPr>
                <w:sz w:val="19"/>
                <w:szCs w:val="19"/>
                <w:color w:val="auto"/>
              </w:rPr>
            </w:pPr>
          </w:p>
        </w:tc>
        <w:tc>
          <w:tcPr>
            <w:tcW w:w="880" w:type="dxa"/>
            <w:vAlign w:val="bottom"/>
            <w:shd w:val="clear" w:color="auto" w:fill="FCDEC5"/>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F79646"/>
            </w:tcBorders>
            <w:gridSpan w:val="2"/>
            <w:shd w:val="clear" w:color="auto" w:fill="FCDEC5"/>
          </w:tcPr>
          <w:p>
            <w:pPr>
              <w:jc w:val="right"/>
              <w:ind w:right="17"/>
              <w:spacing w:after="0"/>
              <w:rPr>
                <w:sz w:val="20"/>
                <w:szCs w:val="20"/>
                <w:color w:val="auto"/>
              </w:rPr>
            </w:pPr>
            <w:r>
              <w:rPr>
                <w:rFonts w:ascii="Arial" w:cs="Arial" w:eastAsia="Arial" w:hAnsi="Arial"/>
                <w:sz w:val="13"/>
                <w:szCs w:val="13"/>
                <w:color w:val="auto"/>
              </w:rPr>
              <w:t>2,220</w:t>
            </w:r>
          </w:p>
        </w:tc>
        <w:tc>
          <w:tcPr>
            <w:tcW w:w="0" w:type="dxa"/>
            <w:vAlign w:val="bottom"/>
          </w:tcPr>
          <w:p>
            <w:pPr>
              <w:spacing w:after="0"/>
              <w:rPr>
                <w:sz w:val="1"/>
                <w:szCs w:val="1"/>
                <w:color w:val="auto"/>
              </w:rPr>
            </w:pPr>
          </w:p>
        </w:tc>
      </w:tr>
      <w:tr>
        <w:trPr>
          <w:trHeight w:val="70"/>
        </w:trPr>
        <w:tc>
          <w:tcPr>
            <w:tcW w:w="80" w:type="dxa"/>
            <w:vAlign w:val="bottom"/>
            <w:tcBorders>
              <w:left w:val="single" w:sz="8" w:color="F79646"/>
            </w:tcBorders>
            <w:shd w:val="clear" w:color="auto" w:fill="FCDEC5"/>
          </w:tcPr>
          <w:p>
            <w:pPr>
              <w:spacing w:after="0"/>
              <w:rPr>
                <w:sz w:val="6"/>
                <w:szCs w:val="6"/>
                <w:color w:val="auto"/>
              </w:rPr>
            </w:pPr>
          </w:p>
        </w:tc>
        <w:tc>
          <w:tcPr>
            <w:tcW w:w="1180" w:type="dxa"/>
            <w:vAlign w:val="bottom"/>
            <w:shd w:val="clear" w:color="auto" w:fill="FCDEC5"/>
          </w:tcPr>
          <w:p>
            <w:pPr>
              <w:spacing w:after="0"/>
              <w:rPr>
                <w:sz w:val="6"/>
                <w:szCs w:val="6"/>
                <w:color w:val="auto"/>
              </w:rPr>
            </w:pPr>
          </w:p>
        </w:tc>
        <w:tc>
          <w:tcPr>
            <w:tcW w:w="120" w:type="dxa"/>
            <w:vAlign w:val="bottom"/>
            <w:shd w:val="clear" w:color="auto" w:fill="FCDEC5"/>
          </w:tcPr>
          <w:p>
            <w:pPr>
              <w:spacing w:after="0"/>
              <w:rPr>
                <w:sz w:val="6"/>
                <w:szCs w:val="6"/>
                <w:color w:val="auto"/>
              </w:rPr>
            </w:pPr>
          </w:p>
        </w:tc>
        <w:tc>
          <w:tcPr>
            <w:tcW w:w="2380" w:type="dxa"/>
            <w:vAlign w:val="bottom"/>
            <w:shd w:val="clear" w:color="auto" w:fill="FCDEC5"/>
          </w:tcPr>
          <w:p>
            <w:pPr>
              <w:spacing w:after="0"/>
              <w:rPr>
                <w:sz w:val="6"/>
                <w:szCs w:val="6"/>
                <w:color w:val="auto"/>
              </w:rPr>
            </w:pPr>
          </w:p>
        </w:tc>
        <w:tc>
          <w:tcPr>
            <w:tcW w:w="60" w:type="dxa"/>
            <w:vAlign w:val="bottom"/>
            <w:shd w:val="clear" w:color="auto" w:fill="FCDEC5"/>
          </w:tcPr>
          <w:p>
            <w:pPr>
              <w:spacing w:after="0"/>
              <w:rPr>
                <w:sz w:val="6"/>
                <w:szCs w:val="6"/>
                <w:color w:val="auto"/>
              </w:rPr>
            </w:pPr>
          </w:p>
        </w:tc>
        <w:tc>
          <w:tcPr>
            <w:tcW w:w="560" w:type="dxa"/>
            <w:vAlign w:val="bottom"/>
            <w:shd w:val="clear" w:color="auto" w:fill="FCDEC5"/>
          </w:tcPr>
          <w:p>
            <w:pPr>
              <w:spacing w:after="0"/>
              <w:rPr>
                <w:sz w:val="6"/>
                <w:szCs w:val="6"/>
                <w:color w:val="auto"/>
              </w:rPr>
            </w:pPr>
          </w:p>
        </w:tc>
        <w:tc>
          <w:tcPr>
            <w:tcW w:w="200" w:type="dxa"/>
            <w:vAlign w:val="bottom"/>
            <w:shd w:val="clear" w:color="auto" w:fill="FCDEC5"/>
          </w:tcPr>
          <w:p>
            <w:pPr>
              <w:spacing w:after="0"/>
              <w:rPr>
                <w:sz w:val="6"/>
                <w:szCs w:val="6"/>
                <w:color w:val="auto"/>
              </w:rPr>
            </w:pPr>
          </w:p>
        </w:tc>
        <w:tc>
          <w:tcPr>
            <w:tcW w:w="680" w:type="dxa"/>
            <w:vAlign w:val="bottom"/>
            <w:shd w:val="clear" w:color="auto" w:fill="FCDEC5"/>
          </w:tcPr>
          <w:p>
            <w:pPr>
              <w:spacing w:after="0"/>
              <w:rPr>
                <w:sz w:val="6"/>
                <w:szCs w:val="6"/>
                <w:color w:val="auto"/>
              </w:rPr>
            </w:pPr>
          </w:p>
        </w:tc>
        <w:tc>
          <w:tcPr>
            <w:tcW w:w="80" w:type="dxa"/>
            <w:vAlign w:val="bottom"/>
            <w:shd w:val="clear" w:color="auto" w:fill="FCDEC5"/>
          </w:tcPr>
          <w:p>
            <w:pPr>
              <w:spacing w:after="0"/>
              <w:rPr>
                <w:sz w:val="6"/>
                <w:szCs w:val="6"/>
                <w:color w:val="auto"/>
              </w:rPr>
            </w:pPr>
          </w:p>
        </w:tc>
        <w:tc>
          <w:tcPr>
            <w:tcW w:w="880" w:type="dxa"/>
            <w:vAlign w:val="bottom"/>
            <w:shd w:val="clear" w:color="auto" w:fill="FCDEC5"/>
          </w:tcPr>
          <w:p>
            <w:pPr>
              <w:spacing w:after="0"/>
              <w:rPr>
                <w:sz w:val="6"/>
                <w:szCs w:val="6"/>
                <w:color w:val="auto"/>
              </w:rPr>
            </w:pPr>
          </w:p>
        </w:tc>
        <w:tc>
          <w:tcPr>
            <w:tcW w:w="80" w:type="dxa"/>
            <w:vAlign w:val="bottom"/>
            <w:shd w:val="clear" w:color="auto" w:fill="FCDEC5"/>
          </w:tcPr>
          <w:p>
            <w:pPr>
              <w:spacing w:after="0"/>
              <w:rPr>
                <w:sz w:val="6"/>
                <w:szCs w:val="6"/>
                <w:color w:val="auto"/>
              </w:rPr>
            </w:pPr>
          </w:p>
        </w:tc>
        <w:tc>
          <w:tcPr>
            <w:tcW w:w="640" w:type="dxa"/>
            <w:vAlign w:val="bottom"/>
            <w:tcBorders>
              <w:right w:val="single" w:sz="8" w:color="F79646"/>
            </w:tcBorders>
            <w:shd w:val="clear" w:color="auto" w:fill="FCDEC5"/>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80" w:type="dxa"/>
            <w:vAlign w:val="bottom"/>
            <w:tcBorders>
              <w:left w:val="single" w:sz="8" w:color="F79646"/>
            </w:tcBorders>
          </w:tcPr>
          <w:p>
            <w:pPr>
              <w:spacing w:after="0"/>
              <w:rPr>
                <w:sz w:val="11"/>
                <w:szCs w:val="11"/>
                <w:color w:val="auto"/>
              </w:rPr>
            </w:pPr>
          </w:p>
        </w:tc>
        <w:tc>
          <w:tcPr>
            <w:tcW w:w="368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All current directors and executive officers as a group</w:t>
            </w:r>
          </w:p>
        </w:tc>
        <w:tc>
          <w:tcPr>
            <w:tcW w:w="8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8"/>
              </w:rPr>
              <w:t>1,247,998</w:t>
            </w:r>
            <w:r>
              <w:rPr>
                <w:rFonts w:ascii="Arial" w:cs="Arial" w:eastAsia="Arial" w:hAnsi="Arial"/>
                <w:sz w:val="20"/>
                <w:szCs w:val="20"/>
                <w:b w:val="1"/>
                <w:bCs w:val="1"/>
                <w:color w:val="auto"/>
                <w:w w:val="98"/>
                <w:vertAlign w:val="superscript"/>
              </w:rPr>
              <w:t>(15)</w:t>
            </w:r>
          </w:p>
        </w:tc>
        <w:tc>
          <w:tcPr>
            <w:tcW w:w="68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rPr>
              <w:t>3.6</w:t>
            </w:r>
          </w:p>
        </w:tc>
        <w:tc>
          <w:tcPr>
            <w:tcW w:w="960" w:type="dxa"/>
            <w:vAlign w:val="bottom"/>
            <w:gridSpan w:val="2"/>
            <w:vMerge w:val="restart"/>
          </w:tcPr>
          <w:p>
            <w:pPr>
              <w:jc w:val="right"/>
              <w:ind w:right="157"/>
              <w:spacing w:after="0"/>
              <w:rPr>
                <w:sz w:val="20"/>
                <w:szCs w:val="20"/>
                <w:color w:val="auto"/>
              </w:rPr>
            </w:pPr>
            <w:r>
              <w:rPr>
                <w:rFonts w:ascii="Arial" w:cs="Arial" w:eastAsia="Arial" w:hAnsi="Arial"/>
                <w:sz w:val="13"/>
                <w:szCs w:val="13"/>
                <w:b w:val="1"/>
                <w:bCs w:val="1"/>
                <w:color w:val="auto"/>
              </w:rPr>
              <w:t>157,403</w:t>
            </w:r>
          </w:p>
        </w:tc>
        <w:tc>
          <w:tcPr>
            <w:tcW w:w="720" w:type="dxa"/>
            <w:vAlign w:val="bottom"/>
            <w:tcBorders>
              <w:right w:val="single" w:sz="8" w:color="F79646"/>
            </w:tcBorders>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1,411,399</w:t>
            </w:r>
          </w:p>
        </w:tc>
        <w:tc>
          <w:tcPr>
            <w:tcW w:w="0" w:type="dxa"/>
            <w:vAlign w:val="bottom"/>
          </w:tcPr>
          <w:p>
            <w:pPr>
              <w:spacing w:after="0"/>
              <w:rPr>
                <w:sz w:val="1"/>
                <w:szCs w:val="1"/>
                <w:color w:val="auto"/>
              </w:rPr>
            </w:pPr>
          </w:p>
        </w:tc>
      </w:tr>
      <w:tr>
        <w:trPr>
          <w:trHeight w:val="154"/>
        </w:trPr>
        <w:tc>
          <w:tcPr>
            <w:tcW w:w="80" w:type="dxa"/>
            <w:vAlign w:val="bottom"/>
            <w:tcBorders>
              <w:left w:val="single" w:sz="8" w:color="F79646"/>
            </w:tcBorders>
          </w:tcPr>
          <w:p>
            <w:pPr>
              <w:spacing w:after="0"/>
              <w:rPr>
                <w:sz w:val="13"/>
                <w:szCs w:val="13"/>
                <w:color w:val="auto"/>
              </w:rPr>
            </w:pPr>
          </w:p>
        </w:tc>
        <w:tc>
          <w:tcPr>
            <w:tcW w:w="3680" w:type="dxa"/>
            <w:vAlign w:val="bottom"/>
            <w:gridSpan w:val="3"/>
            <w:vMerge w:val="restart"/>
          </w:tcPr>
          <w:p>
            <w:pPr>
              <w:ind w:left="140"/>
              <w:spacing w:after="0" w:line="184" w:lineRule="exact"/>
              <w:rPr>
                <w:sz w:val="20"/>
                <w:szCs w:val="20"/>
                <w:color w:val="auto"/>
              </w:rPr>
            </w:pPr>
            <w:r>
              <w:rPr>
                <w:rFonts w:ascii="Arial" w:cs="Arial" w:eastAsia="Arial" w:hAnsi="Arial"/>
                <w:sz w:val="13"/>
                <w:szCs w:val="13"/>
                <w:b w:val="1"/>
                <w:bCs w:val="1"/>
                <w:color w:val="auto"/>
              </w:rPr>
              <w:t>(17 persons)</w:t>
            </w:r>
            <w:r>
              <w:rPr>
                <w:rFonts w:ascii="Arial" w:cs="Arial" w:eastAsia="Arial" w:hAnsi="Arial"/>
                <w:sz w:val="20"/>
                <w:szCs w:val="20"/>
                <w:b w:val="1"/>
                <w:bCs w:val="1"/>
                <w:color w:val="auto"/>
                <w:vertAlign w:val="superscript"/>
              </w:rPr>
              <w:t>(14)</w:t>
            </w:r>
          </w:p>
        </w:tc>
        <w:tc>
          <w:tcPr>
            <w:tcW w:w="82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20" w:type="dxa"/>
            <w:vAlign w:val="bottom"/>
            <w:tcBorders>
              <w:right w:val="single" w:sz="8" w:color="F79646"/>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0" w:type="dxa"/>
            <w:vAlign w:val="bottom"/>
            <w:tcBorders>
              <w:left w:val="single" w:sz="8" w:color="F79646"/>
              <w:bottom w:val="single" w:sz="8" w:color="F79646"/>
            </w:tcBorders>
          </w:tcPr>
          <w:p>
            <w:pPr>
              <w:spacing w:after="0"/>
              <w:rPr>
                <w:sz w:val="2"/>
                <w:szCs w:val="2"/>
                <w:color w:val="auto"/>
              </w:rPr>
            </w:pPr>
          </w:p>
        </w:tc>
        <w:tc>
          <w:tcPr>
            <w:tcW w:w="3680" w:type="dxa"/>
            <w:vAlign w:val="bottom"/>
            <w:tcBorders>
              <w:bottom w:val="single" w:sz="8" w:color="F79646"/>
            </w:tcBorders>
            <w:gridSpan w:val="3"/>
            <w:vMerge w:val="continue"/>
          </w:tcPr>
          <w:p>
            <w:pPr>
              <w:spacing w:after="0"/>
              <w:rPr>
                <w:sz w:val="2"/>
                <w:szCs w:val="2"/>
                <w:color w:val="auto"/>
              </w:rPr>
            </w:pPr>
          </w:p>
        </w:tc>
        <w:tc>
          <w:tcPr>
            <w:tcW w:w="60" w:type="dxa"/>
            <w:vAlign w:val="bottom"/>
            <w:tcBorders>
              <w:bottom w:val="single" w:sz="8" w:color="F79646"/>
            </w:tcBorders>
          </w:tcPr>
          <w:p>
            <w:pPr>
              <w:spacing w:after="0"/>
              <w:rPr>
                <w:sz w:val="2"/>
                <w:szCs w:val="2"/>
                <w:color w:val="auto"/>
              </w:rPr>
            </w:pPr>
          </w:p>
        </w:tc>
        <w:tc>
          <w:tcPr>
            <w:tcW w:w="560" w:type="dxa"/>
            <w:vAlign w:val="bottom"/>
            <w:tcBorders>
              <w:bottom w:val="single" w:sz="8" w:color="F79646"/>
            </w:tcBorders>
          </w:tcPr>
          <w:p>
            <w:pPr>
              <w:spacing w:after="0"/>
              <w:rPr>
                <w:sz w:val="2"/>
                <w:szCs w:val="2"/>
                <w:color w:val="auto"/>
              </w:rPr>
            </w:pPr>
          </w:p>
        </w:tc>
        <w:tc>
          <w:tcPr>
            <w:tcW w:w="200" w:type="dxa"/>
            <w:vAlign w:val="bottom"/>
            <w:tcBorders>
              <w:bottom w:val="single" w:sz="8" w:color="F79646"/>
            </w:tcBorders>
          </w:tcPr>
          <w:p>
            <w:pPr>
              <w:spacing w:after="0"/>
              <w:rPr>
                <w:sz w:val="2"/>
                <w:szCs w:val="2"/>
                <w:color w:val="auto"/>
              </w:rPr>
            </w:pPr>
          </w:p>
        </w:tc>
        <w:tc>
          <w:tcPr>
            <w:tcW w:w="680" w:type="dxa"/>
            <w:vAlign w:val="bottom"/>
            <w:tcBorders>
              <w:bottom w:val="single" w:sz="8" w:color="F79646"/>
            </w:tcBorders>
          </w:tcPr>
          <w:p>
            <w:pPr>
              <w:spacing w:after="0"/>
              <w:rPr>
                <w:sz w:val="2"/>
                <w:szCs w:val="2"/>
                <w:color w:val="auto"/>
              </w:rPr>
            </w:pPr>
          </w:p>
        </w:tc>
        <w:tc>
          <w:tcPr>
            <w:tcW w:w="80" w:type="dxa"/>
            <w:vAlign w:val="bottom"/>
            <w:tcBorders>
              <w:bottom w:val="single" w:sz="8" w:color="F79646"/>
            </w:tcBorders>
          </w:tcPr>
          <w:p>
            <w:pPr>
              <w:spacing w:after="0"/>
              <w:rPr>
                <w:sz w:val="2"/>
                <w:szCs w:val="2"/>
                <w:color w:val="auto"/>
              </w:rPr>
            </w:pPr>
          </w:p>
        </w:tc>
        <w:tc>
          <w:tcPr>
            <w:tcW w:w="880" w:type="dxa"/>
            <w:vAlign w:val="bottom"/>
            <w:tcBorders>
              <w:bottom w:val="single" w:sz="8" w:color="F79646"/>
            </w:tcBorders>
          </w:tcPr>
          <w:p>
            <w:pPr>
              <w:spacing w:after="0"/>
              <w:rPr>
                <w:sz w:val="2"/>
                <w:szCs w:val="2"/>
                <w:color w:val="auto"/>
              </w:rPr>
            </w:pPr>
          </w:p>
        </w:tc>
        <w:tc>
          <w:tcPr>
            <w:tcW w:w="80" w:type="dxa"/>
            <w:vAlign w:val="bottom"/>
            <w:tcBorders>
              <w:bottom w:val="single" w:sz="8" w:color="F79646"/>
            </w:tcBorders>
          </w:tcPr>
          <w:p>
            <w:pPr>
              <w:spacing w:after="0"/>
              <w:rPr>
                <w:sz w:val="2"/>
                <w:szCs w:val="2"/>
                <w:color w:val="auto"/>
              </w:rPr>
            </w:pPr>
          </w:p>
        </w:tc>
        <w:tc>
          <w:tcPr>
            <w:tcW w:w="640" w:type="dxa"/>
            <w:vAlign w:val="bottom"/>
            <w:tcBorders>
              <w:bottom w:val="single" w:sz="8" w:color="F79646"/>
              <w:right w:val="single" w:sz="8" w:color="F7964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9019"/>
          </w:cols>
          <w:pgMar w:left="1440" w:top="296" w:right="1440" w:bottom="1440" w:gutter="0" w:footer="0" w:header="0"/>
        </w:sectPr>
      </w:pPr>
    </w:p>
    <w:p>
      <w:pPr>
        <w:jc w:val="center"/>
        <w:spacing w:after="0"/>
        <w:rPr>
          <w:sz w:val="20"/>
          <w:szCs w:val="20"/>
          <w:color w:val="auto"/>
        </w:rPr>
      </w:pPr>
      <w:r>
        <w:rPr>
          <w:rFonts w:ascii="Arial" w:cs="Arial" w:eastAsia="Arial" w:hAnsi="Arial"/>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type w:val="continuous"/>
        </w:sectPr>
      </w:pPr>
    </w:p>
    <w:bookmarkStart w:id="39" w:name="page40"/>
    <w:bookmarkEnd w:id="39"/>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142240</wp:posOffset>
            </wp:positionV>
            <wp:extent cx="85598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5980" cy="6350"/>
                    </a:xfrm>
                    <a:prstGeom prst="rect">
                      <a:avLst/>
                    </a:prstGeom>
                    <a:noFill/>
                  </pic:spPr>
                </pic:pic>
              </a:graphicData>
            </a:graphic>
          </wp:anchor>
        </w:drawing>
      </w:r>
    </w:p>
    <w:p>
      <w:pPr>
        <w:spacing w:after="0" w:line="365" w:lineRule="exact"/>
        <w:rPr>
          <w:sz w:val="20"/>
          <w:szCs w:val="20"/>
          <w:color w:val="auto"/>
        </w:rPr>
      </w:pPr>
    </w:p>
    <w:p>
      <w:pPr>
        <w:ind w:left="1440" w:hanging="382"/>
        <w:spacing w:after="0"/>
        <w:tabs>
          <w:tab w:leader="none" w:pos="14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9" w:lineRule="exact"/>
        <w:rPr>
          <w:sz w:val="20"/>
          <w:szCs w:val="20"/>
          <w:color w:val="auto"/>
        </w:rPr>
      </w:pPr>
    </w:p>
    <w:p>
      <w:pPr>
        <w:ind w:left="1440" w:right="199" w:hanging="382"/>
        <w:spacing w:after="0" w:line="184" w:lineRule="auto"/>
        <w:tabs>
          <w:tab w:leader="none" w:pos="1440" w:val="left"/>
        </w:tabs>
        <w:numPr>
          <w:ilvl w:val="0"/>
          <w:numId w:val="96"/>
        </w:numPr>
        <w:rPr>
          <w:rFonts w:ascii="Arial" w:cs="Arial" w:eastAsia="Arial" w:hAnsi="Arial"/>
          <w:sz w:val="24"/>
          <w:szCs w:val="24"/>
          <w:color w:val="auto"/>
          <w:vertAlign w:val="superscript"/>
        </w:rPr>
      </w:pPr>
      <w:r>
        <w:rPr>
          <w:rFonts w:ascii="Arial" w:cs="Arial" w:eastAsia="Arial" w:hAnsi="Arial"/>
          <w:sz w:val="12"/>
          <w:szCs w:val="12"/>
          <w:color w:val="auto"/>
        </w:rPr>
        <w:t>Unless otherwise noted, the business address of each beneficial owner is c/o ExlService Holdings, Inc., 320 Park Avenue,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New York 10022.</w:t>
      </w:r>
    </w:p>
    <w:p>
      <w:pPr>
        <w:ind w:left="1440"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Based on 34,365,437 shares outstanding as of the Determination Date.</w:t>
      </w:r>
    </w:p>
    <w:p>
      <w:pPr>
        <w:jc w:val="both"/>
        <w:ind w:left="1440" w:right="179" w:hanging="382"/>
        <w:spacing w:after="0" w:line="232"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2018"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w:t>
      </w:r>
    </w:p>
    <w:p>
      <w:pPr>
        <w:spacing w:after="0" w:line="8" w:lineRule="exact"/>
        <w:rPr>
          <w:rFonts w:ascii="Arial" w:cs="Arial" w:eastAsia="Arial" w:hAnsi="Arial"/>
          <w:sz w:val="13"/>
          <w:szCs w:val="13"/>
          <w:color w:val="auto"/>
        </w:rPr>
      </w:pPr>
    </w:p>
    <w:p>
      <w:pPr>
        <w:jc w:val="both"/>
        <w:ind w:left="1440" w:right="179"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Based on the Schedule 13G/A filed on January 28, 2019, BlackRock, Inc. had sole voting power with respect to 4,831,429 shares and sole dispositive power with respect to 4,904,881 shares. The business address of Blackrock, Inc. is 55 East 52nd Street, New York, New York 10022.</w:t>
      </w:r>
    </w:p>
    <w:p>
      <w:pPr>
        <w:spacing w:after="0" w:line="1" w:lineRule="exact"/>
        <w:rPr>
          <w:rFonts w:ascii="Arial" w:cs="Arial" w:eastAsia="Arial" w:hAnsi="Arial"/>
          <w:sz w:val="13"/>
          <w:szCs w:val="13"/>
          <w:color w:val="auto"/>
        </w:rPr>
      </w:pPr>
    </w:p>
    <w:p>
      <w:pPr>
        <w:jc w:val="both"/>
        <w:ind w:left="1440" w:right="179" w:hanging="382"/>
        <w:spacing w:after="0" w:line="273" w:lineRule="auto"/>
        <w:tabs>
          <w:tab w:leader="none" w:pos="1440" w:val="left"/>
        </w:tabs>
        <w:numPr>
          <w:ilvl w:val="0"/>
          <w:numId w:val="96"/>
        </w:numPr>
        <w:rPr>
          <w:rFonts w:ascii="Arial" w:cs="Arial" w:eastAsia="Arial" w:hAnsi="Arial"/>
          <w:sz w:val="11"/>
          <w:szCs w:val="11"/>
          <w:color w:val="auto"/>
        </w:rPr>
      </w:pPr>
      <w:r>
        <w:rPr>
          <w:rFonts w:ascii="Arial" w:cs="Arial" w:eastAsia="Arial" w:hAnsi="Arial"/>
          <w:sz w:val="11"/>
          <w:szCs w:val="11"/>
          <w:color w:val="auto"/>
        </w:rPr>
        <w:t>Based on the Schedule 13G/A filed on January 10, 2019, Vanguard Group, Inc. had sole voting power with respect to 69,208 shares, shared voting power with respect to 5,534 shares, sole dispositive power with respect to 3,359,853 shares and shared dispositive power with respect to 71,545 shares. The business address of Vanguard Group, Inc. is 100 Vanguard Boulevard, Malvern, PA 19355.</w:t>
      </w:r>
    </w:p>
    <w:p>
      <w:pPr>
        <w:spacing w:after="0" w:line="1" w:lineRule="exact"/>
        <w:rPr>
          <w:rFonts w:ascii="Arial" w:cs="Arial" w:eastAsia="Arial" w:hAnsi="Arial"/>
          <w:sz w:val="11"/>
          <w:szCs w:val="11"/>
          <w:color w:val="auto"/>
        </w:rPr>
      </w:pPr>
    </w:p>
    <w:p>
      <w:pPr>
        <w:jc w:val="both"/>
        <w:ind w:left="1440" w:right="179" w:hanging="382"/>
        <w:spacing w:after="0" w:line="234"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Based on the Schedule 13G/A filed on February 13, 2019, FMR LLC had sole voting power with respect to 882,921 shares and sole dispositive power with respect to 2,519,396 shares. The business address of FMR LLC is 245 Summer Street, Boston, Massachusetts 02210.</w:t>
      </w:r>
    </w:p>
    <w:p>
      <w:pPr>
        <w:spacing w:after="0" w:line="5" w:lineRule="exact"/>
        <w:rPr>
          <w:rFonts w:ascii="Arial" w:cs="Arial" w:eastAsia="Arial" w:hAnsi="Arial"/>
          <w:sz w:val="13"/>
          <w:szCs w:val="13"/>
          <w:color w:val="auto"/>
        </w:rPr>
      </w:pPr>
    </w:p>
    <w:p>
      <w:pPr>
        <w:jc w:val="both"/>
        <w:ind w:left="1440" w:right="179"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Based on the Schedule 13G/A filed on February 14, 2019, Mackenzie Financial Corporation had sole voting and dispositive power with respect to 1,723,020 shares. The business address of Mackenzie Financial Corporation is 180 Queen Street West, Toronto, Ontario M5V 3K1.</w:t>
      </w:r>
    </w:p>
    <w:p>
      <w:pPr>
        <w:spacing w:after="0" w:line="1" w:lineRule="exact"/>
        <w:rPr>
          <w:rFonts w:ascii="Arial" w:cs="Arial" w:eastAsia="Arial" w:hAnsi="Arial"/>
          <w:sz w:val="13"/>
          <w:szCs w:val="13"/>
          <w:color w:val="auto"/>
        </w:rPr>
      </w:pPr>
    </w:p>
    <w:p>
      <w:pPr>
        <w:ind w:left="1440" w:right="179"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This amount includes 33,000 shares of our common stock of which Mr. Chhibbar has the right to acquire beneficial ownership within 60 days of the Determination Date pursuant to currently vested and exercisable stock options.</w:t>
      </w:r>
    </w:p>
    <w:p>
      <w:pPr>
        <w:jc w:val="both"/>
        <w:ind w:left="1440" w:right="179" w:hanging="382"/>
        <w:spacing w:after="0" w:line="278" w:lineRule="auto"/>
        <w:tabs>
          <w:tab w:leader="none" w:pos="144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amount includes: (a)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40,219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(e) 333,185 shares of our common stock owned indirectly by Mr. Kapoor through a family trust for which Mr. Kapoor is the investment advisor to Commonwealth Trust Company, the trustee, and (f) 47,500 shares of our common stock of which Mr. Kapoor has the right to acquire beneficial ownership within 60 days of the Determination Date pursuant to currently vested and exercisable stock options.</w:t>
      </w:r>
    </w:p>
    <w:p>
      <w:pPr>
        <w:spacing w:after="0" w:line="130" w:lineRule="exact"/>
        <w:rPr>
          <w:rFonts w:ascii="Arial" w:cs="Arial" w:eastAsia="Arial" w:hAnsi="Arial"/>
          <w:sz w:val="11"/>
          <w:szCs w:val="11"/>
          <w:color w:val="auto"/>
        </w:rPr>
      </w:pPr>
    </w:p>
    <w:p>
      <w:pPr>
        <w:ind w:left="1440" w:right="199"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This amount consists of 26,294 shares of our common stock of which Mr. Kelso has the right to acquire beneficial ownership within 60 days of the Determination Date pursuant to currently vested and exercisable stock options.</w:t>
      </w:r>
    </w:p>
    <w:p>
      <w:pPr>
        <w:ind w:left="1440" w:right="199" w:hanging="382"/>
        <w:spacing w:after="0" w:line="231"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This amount consists of 3,093 shares of our common stock of which Ms. Minto has the right to acquire beneficial ownership within 60 days of the Determination Date pursuant to currently vested and exercisable stock options.</w:t>
      </w:r>
    </w:p>
    <w:p>
      <w:pPr>
        <w:ind w:left="1440" w:right="179" w:hanging="382"/>
        <w:spacing w:after="0" w:line="235"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This amount includes 15,831 shares of our common stock of which Mr. Ostler has the right to acquire beneficial ownership within 60 days of the Determination Date pursuant to currently vested and exercisable stock options.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59" w:lineRule="exact"/>
        <w:rPr>
          <w:sz w:val="20"/>
          <w:szCs w:val="20"/>
          <w:color w:val="auto"/>
        </w:rPr>
      </w:pPr>
    </w:p>
    <w:p>
      <w:pPr>
        <w:jc w:val="both"/>
        <w:ind w:left="1440" w:right="199" w:hanging="382"/>
        <w:spacing w:after="0" w:line="231" w:lineRule="auto"/>
        <w:tabs>
          <w:tab w:leader="none" w:pos="14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This amount includes 1,854 shares of our common stock owned indirectly by Mr. Staglin through an irrevocable family trust created in 2018, for which Mr. Staglin's spouse is the sole beneficiary and trustee with sole dispositive and voting control over the shares in the trust, and 15,831 shares of our common stock of which Mr. Staglin has the right to acquire beneficial ownership within 60 days of the Determination Date pursuant to currently vested and exercisable stock options.</w:t>
      </w:r>
    </w:p>
    <w:p>
      <w:pPr>
        <w:spacing w:after="0" w:line="1" w:lineRule="exact"/>
        <w:rPr>
          <w:rFonts w:ascii="Arial" w:cs="Arial" w:eastAsia="Arial" w:hAnsi="Arial"/>
          <w:sz w:val="13"/>
          <w:szCs w:val="13"/>
          <w:color w:val="auto"/>
        </w:rPr>
      </w:pPr>
    </w:p>
    <w:p>
      <w:pPr>
        <w:ind w:left="1440" w:right="199" w:hanging="382"/>
        <w:spacing w:after="0" w:line="235" w:lineRule="auto"/>
        <w:tabs>
          <w:tab w:leader="none" w:pos="14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Includes all ten current directors and our seven current executive officers, which includes our four named executive officers (other than Mr. Kapoor, counted as a director), and our other three executive officers.</w:t>
      </w:r>
    </w:p>
    <w:p>
      <w:pPr>
        <w:spacing w:after="0" w:line="5" w:lineRule="exact"/>
        <w:rPr>
          <w:rFonts w:ascii="Arial" w:cs="Arial" w:eastAsia="Arial" w:hAnsi="Arial"/>
          <w:sz w:val="13"/>
          <w:szCs w:val="13"/>
          <w:color w:val="auto"/>
        </w:rPr>
      </w:pPr>
    </w:p>
    <w:p>
      <w:pPr>
        <w:jc w:val="both"/>
        <w:ind w:left="1440" w:right="199" w:hanging="382"/>
        <w:spacing w:after="0" w:line="234" w:lineRule="auto"/>
        <w:tabs>
          <w:tab w:leader="none" w:pos="14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This amount includes an aggregate of 141,549 shares of our common stock of which our current directors and current executive officers have the right to acquire beneficial ownership within 60 days of the Determination Date pursuant to currently vested and exercisable stock options.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40" w:name="page41"/>
    <w:bookmarkEnd w:id="40"/>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F79646"/>
        </w:rPr>
        <w:t>CERTAIN RELATIONSHIPS AND RELATED PERSON TRANSACTIONS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Review and Approval of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103505</wp:posOffset>
            </wp:positionV>
            <wp:extent cx="1546225" cy="16135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6225" cy="1613535"/>
                    </a:xfrm>
                    <a:prstGeom prst="rect">
                      <a:avLst/>
                    </a:prstGeom>
                    <a:noFill/>
                  </pic:spPr>
                </pic:pic>
              </a:graphicData>
            </a:graphic>
          </wp:anchor>
        </w:drawing>
      </w:r>
    </w:p>
    <w:p>
      <w:pPr>
        <w:spacing w:after="0" w:line="145" w:lineRule="exact"/>
        <w:rPr>
          <w:sz w:val="20"/>
          <w:szCs w:val="20"/>
          <w:color w:val="auto"/>
        </w:rPr>
      </w:pPr>
    </w:p>
    <w:p>
      <w:pPr>
        <w:jc w:val="both"/>
        <w:ind w:left="200" w:right="2739"/>
        <w:spacing w:after="0" w:line="232" w:lineRule="auto"/>
        <w:rPr>
          <w:sz w:val="20"/>
          <w:szCs w:val="20"/>
          <w:color w:val="auto"/>
        </w:rPr>
      </w:pPr>
      <w:r>
        <w:rPr>
          <w:rFonts w:ascii="Arial" w:cs="Arial" w:eastAsia="Arial" w:hAnsi="Arial"/>
          <w:sz w:val="13"/>
          <w:szCs w:val="13"/>
          <w:color w:val="auto"/>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consideration. In the course of reviewing, approving or ratifying a disclosable related party transaction, our General Counsel and Audit Committee considers all factors it considers appropriate, including but not limited to the factors in the box to the right.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Related Party Transactions</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As required under SEC rules, transactions that are determined to be directly or indirectly material to us or a related person and which involve amounts exceeding $120,000 in the previous fiscal year are disclosed in our proxy statement.</w:t>
      </w:r>
    </w:p>
    <w:p>
      <w:pPr>
        <w:spacing w:after="0" w:line="150" w:lineRule="exact"/>
        <w:rPr>
          <w:sz w:val="20"/>
          <w:szCs w:val="20"/>
          <w:color w:val="auto"/>
        </w:rPr>
      </w:pPr>
    </w:p>
    <w:p>
      <w:pPr>
        <w:jc w:val="both"/>
        <w:ind w:left="200" w:right="179"/>
        <w:spacing w:after="0" w:line="282" w:lineRule="auto"/>
        <w:rPr>
          <w:sz w:val="20"/>
          <w:szCs w:val="20"/>
          <w:color w:val="auto"/>
        </w:rPr>
      </w:pPr>
      <w:r>
        <w:rPr>
          <w:rFonts w:ascii="Arial" w:cs="Arial" w:eastAsia="Arial" w:hAnsi="Arial"/>
          <w:sz w:val="11"/>
          <w:szCs w:val="11"/>
          <w:color w:val="auto"/>
        </w:rPr>
        <w:t>For fiscal year 2018, the Company recognized revenue of approximately $225,000 for consulting services provided to PharmaCord, LLC. One of the Company's directors, Nitin Sahney, is the member-manager and chief executive officer of PharmaCord, LLC. The terms of the Company's services with PharmaCord, LLC are, in the Company's opinion, no less favorable than the terms the Company would have been able to negotiate with an unrelated party, and the transactions with PharmaCord have been approved or ratified by our Audit Committee, with Mr. Sahney recusing himself from the discussion and decision regarding the transactions. After considering the amounts and other facts and circumstances regarding the relationship, the Board has determined that our transactions with PharmaCord, LLC do not impair Mr. Sahney's independence under applicable Nasdaq standards and federal securities laws.</w:t>
      </w:r>
    </w:p>
    <w:p>
      <w:pPr>
        <w:spacing w:after="0" w:line="12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On October 1, 2018, the Company entered into the Investment Agreement with the Purchaser, an affiliate of The Orogen Group LLC. One of the Company's directors, Vikram Pandit, is the Chairman and Chief Executive Officer of The Orogen Group LLC. Under the terms of the Investment Agreement, the Company issued to the Purchaser $150,000,000 in aggregate principal amount of 3.50% Convertible Senior Notes due October 1, 2024. In addition, we appointed Mr. Pandit, a nominee of the Purchaser, to our board of directors pursuant to the Investment Agreement. After considering the facts and circumstances regarding the relationship, the Board has determined that the Investment Agreement does not impair Mr. Pandit's independence under applicable Nasdaq standards and federal securities laws.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REPORT OF THE AUDIT COMMITTEE</w:t>
      </w:r>
    </w:p>
    <w:p>
      <w:pPr>
        <w:spacing w:after="0" w:line="188"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The Audit Committee of the board of directors of ExlService Holdings, Inc. assists our board of directors in fulfilling its oversight responsibilities with respect to the following:</w:t>
      </w:r>
    </w:p>
    <w:p>
      <w:pPr>
        <w:spacing w:after="0" w:line="150" w:lineRule="exact"/>
        <w:rPr>
          <w:sz w:val="20"/>
          <w:szCs w:val="20"/>
          <w:color w:val="auto"/>
        </w:rPr>
      </w:pPr>
    </w:p>
    <w:p>
      <w:pPr>
        <w:ind w:left="960" w:right="179" w:hanging="381"/>
        <w:spacing w:after="0" w:line="235" w:lineRule="auto"/>
        <w:tabs>
          <w:tab w:leader="none" w:pos="960" w:val="left"/>
        </w:tabs>
        <w:numPr>
          <w:ilvl w:val="0"/>
          <w:numId w:val="98"/>
        </w:numPr>
        <w:rPr>
          <w:rFonts w:ascii="Arial" w:cs="Arial" w:eastAsia="Arial" w:hAnsi="Arial"/>
          <w:sz w:val="13"/>
          <w:szCs w:val="13"/>
          <w:color w:val="F79646"/>
        </w:rPr>
      </w:pPr>
      <w:r>
        <w:rPr>
          <w:rFonts w:ascii="Arial" w:cs="Arial" w:eastAsia="Arial" w:hAnsi="Arial"/>
          <w:sz w:val="13"/>
          <w:szCs w:val="13"/>
          <w:color w:val="auto"/>
        </w:rPr>
        <w:t>our accounting and financial reporting processes, including the integrity of the financial statements and other financial information provided by us to our stockholders, the public, stock exchanges and others;</w:t>
      </w:r>
    </w:p>
    <w:p>
      <w:pPr>
        <w:spacing w:after="0" w:line="149" w:lineRule="exact"/>
        <w:rPr>
          <w:rFonts w:ascii="Arial" w:cs="Arial" w:eastAsia="Arial" w:hAnsi="Arial"/>
          <w:sz w:val="13"/>
          <w:szCs w:val="13"/>
          <w:color w:val="F79646"/>
        </w:rPr>
      </w:pPr>
    </w:p>
    <w:p>
      <w:pPr>
        <w:ind w:left="960" w:hanging="381"/>
        <w:spacing w:after="0"/>
        <w:tabs>
          <w:tab w:leader="none" w:pos="960" w:val="left"/>
        </w:tabs>
        <w:numPr>
          <w:ilvl w:val="0"/>
          <w:numId w:val="98"/>
        </w:numPr>
        <w:rPr>
          <w:rFonts w:ascii="Arial" w:cs="Arial" w:eastAsia="Arial" w:hAnsi="Arial"/>
          <w:sz w:val="13"/>
          <w:szCs w:val="13"/>
          <w:color w:val="F79646"/>
        </w:rPr>
      </w:pPr>
      <w:r>
        <w:rPr>
          <w:rFonts w:ascii="Arial" w:cs="Arial" w:eastAsia="Arial" w:hAnsi="Arial"/>
          <w:sz w:val="13"/>
          <w:szCs w:val="13"/>
          <w:color w:val="auto"/>
        </w:rPr>
        <w:t>our compliance with legal and regulatory requirements;</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98"/>
        </w:numPr>
        <w:rPr>
          <w:rFonts w:ascii="Arial" w:cs="Arial" w:eastAsia="Arial" w:hAnsi="Arial"/>
          <w:sz w:val="13"/>
          <w:szCs w:val="13"/>
          <w:color w:val="F79646"/>
        </w:rPr>
      </w:pPr>
      <w:r>
        <w:rPr>
          <w:rFonts w:ascii="Arial" w:cs="Arial" w:eastAsia="Arial" w:hAnsi="Arial"/>
          <w:sz w:val="13"/>
          <w:szCs w:val="13"/>
          <w:color w:val="auto"/>
        </w:rPr>
        <w:t>our registered independent public accounting firm's qualifications and independence;</w:t>
      </w:r>
    </w:p>
    <w:p>
      <w:pPr>
        <w:spacing w:after="0" w:line="139" w:lineRule="exact"/>
        <w:rPr>
          <w:rFonts w:ascii="Arial" w:cs="Arial" w:eastAsia="Arial" w:hAnsi="Arial"/>
          <w:sz w:val="13"/>
          <w:szCs w:val="13"/>
          <w:color w:val="F79646"/>
        </w:rPr>
      </w:pPr>
    </w:p>
    <w:p>
      <w:pPr>
        <w:ind w:left="960" w:hanging="381"/>
        <w:spacing w:after="0"/>
        <w:tabs>
          <w:tab w:leader="none" w:pos="960" w:val="left"/>
        </w:tabs>
        <w:numPr>
          <w:ilvl w:val="0"/>
          <w:numId w:val="98"/>
        </w:numPr>
        <w:rPr>
          <w:rFonts w:ascii="Arial" w:cs="Arial" w:eastAsia="Arial" w:hAnsi="Arial"/>
          <w:sz w:val="13"/>
          <w:szCs w:val="13"/>
          <w:color w:val="F79646"/>
        </w:rPr>
      </w:pPr>
      <w:r>
        <w:rPr>
          <w:rFonts w:ascii="Arial" w:cs="Arial" w:eastAsia="Arial" w:hAnsi="Arial"/>
          <w:sz w:val="13"/>
          <w:szCs w:val="13"/>
          <w:color w:val="auto"/>
        </w:rPr>
        <w:t>the audit of our financial statements; and</w:t>
      </w:r>
    </w:p>
    <w:p>
      <w:pPr>
        <w:spacing w:after="0" w:line="148" w:lineRule="exact"/>
        <w:rPr>
          <w:rFonts w:ascii="Arial" w:cs="Arial" w:eastAsia="Arial" w:hAnsi="Arial"/>
          <w:sz w:val="13"/>
          <w:szCs w:val="13"/>
          <w:color w:val="F79646"/>
        </w:rPr>
      </w:pPr>
    </w:p>
    <w:p>
      <w:pPr>
        <w:ind w:left="960" w:hanging="381"/>
        <w:spacing w:after="0"/>
        <w:tabs>
          <w:tab w:leader="none" w:pos="960" w:val="left"/>
        </w:tabs>
        <w:numPr>
          <w:ilvl w:val="0"/>
          <w:numId w:val="98"/>
        </w:numPr>
        <w:rPr>
          <w:rFonts w:ascii="Arial" w:cs="Arial" w:eastAsia="Arial" w:hAnsi="Arial"/>
          <w:sz w:val="13"/>
          <w:szCs w:val="13"/>
          <w:color w:val="F79646"/>
        </w:rPr>
      </w:pPr>
      <w:r>
        <w:rPr>
          <w:rFonts w:ascii="Arial" w:cs="Arial" w:eastAsia="Arial" w:hAnsi="Arial"/>
          <w:sz w:val="13"/>
          <w:szCs w:val="13"/>
          <w:color w:val="auto"/>
        </w:rPr>
        <w:t>the performance of our internal audit function and independent registered public accounting firm.</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In connection with these responsibilities, the Audit Committee met with management and Deloitte &amp; Touche LLP to review and discuss the December 31, 2018 audited consolidated financial statements. The Audit Committee also discussed with Deloitte &amp; Touche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w:t>
      </w:r>
    </w:p>
    <w:p>
      <w:pPr>
        <w:spacing w:after="0" w:line="150"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Based on the review and discussions referred to above, the Audit Committee approved the inclusion of the audited financial statements in the Company's Annual Report on Form 10-K for the fiscal year ended December 31, 2018.</w:t>
      </w:r>
    </w:p>
    <w:p>
      <w:pPr>
        <w:spacing w:after="0" w:line="150" w:lineRule="exact"/>
        <w:rPr>
          <w:sz w:val="20"/>
          <w:szCs w:val="20"/>
          <w:color w:val="auto"/>
        </w:rPr>
      </w:pPr>
    </w:p>
    <w:p>
      <w:pPr>
        <w:ind w:left="6660"/>
        <w:spacing w:after="0"/>
        <w:rPr>
          <w:sz w:val="20"/>
          <w:szCs w:val="20"/>
          <w:color w:val="auto"/>
        </w:rPr>
      </w:pPr>
      <w:r>
        <w:rPr>
          <w:rFonts w:ascii="Arial" w:cs="Arial" w:eastAsia="Arial" w:hAnsi="Arial"/>
          <w:sz w:val="13"/>
          <w:szCs w:val="13"/>
          <w:color w:val="auto"/>
        </w:rPr>
        <w:t>AUDIT COMMITTEE</w:t>
      </w:r>
    </w:p>
    <w:p>
      <w:pPr>
        <w:spacing w:after="0" w:line="163" w:lineRule="exact"/>
        <w:rPr>
          <w:sz w:val="20"/>
          <w:szCs w:val="20"/>
          <w:color w:val="auto"/>
        </w:rPr>
      </w:pPr>
    </w:p>
    <w:p>
      <w:pPr>
        <w:ind w:left="6660"/>
        <w:spacing w:after="0"/>
        <w:rPr>
          <w:sz w:val="20"/>
          <w:szCs w:val="20"/>
          <w:color w:val="auto"/>
        </w:rPr>
      </w:pPr>
      <w:r>
        <w:rPr>
          <w:rFonts w:ascii="Arial" w:cs="Arial" w:eastAsia="Arial" w:hAnsi="Arial"/>
          <w:sz w:val="13"/>
          <w:szCs w:val="13"/>
          <w:color w:val="auto"/>
        </w:rPr>
        <w:t>Mr. Clyde W. Ostler (Chairman)</w:t>
      </w:r>
    </w:p>
    <w:p>
      <w:pPr>
        <w:ind w:left="6660"/>
        <w:spacing w:after="0" w:line="231" w:lineRule="auto"/>
        <w:rPr>
          <w:sz w:val="20"/>
          <w:szCs w:val="20"/>
          <w:color w:val="auto"/>
        </w:rPr>
      </w:pPr>
      <w:r>
        <w:rPr>
          <w:rFonts w:ascii="Arial" w:cs="Arial" w:eastAsia="Arial" w:hAnsi="Arial"/>
          <w:sz w:val="13"/>
          <w:szCs w:val="13"/>
          <w:color w:val="auto"/>
        </w:rPr>
        <w:t>Mr. David B. Kelso</w:t>
      </w:r>
    </w:p>
    <w:p>
      <w:pPr>
        <w:ind w:left="6660"/>
        <w:spacing w:after="0" w:line="232" w:lineRule="auto"/>
        <w:rPr>
          <w:sz w:val="20"/>
          <w:szCs w:val="20"/>
          <w:color w:val="auto"/>
        </w:rPr>
      </w:pPr>
      <w:r>
        <w:rPr>
          <w:rFonts w:ascii="Arial" w:cs="Arial" w:eastAsia="Arial" w:hAnsi="Arial"/>
          <w:sz w:val="13"/>
          <w:szCs w:val="13"/>
          <w:color w:val="auto"/>
        </w:rPr>
        <w:t>Mr. Vikram Pandit</w:t>
      </w:r>
    </w:p>
    <w:p>
      <w:pPr>
        <w:ind w:left="6660"/>
        <w:spacing w:after="0" w:line="232" w:lineRule="auto"/>
        <w:rPr>
          <w:sz w:val="20"/>
          <w:szCs w:val="20"/>
          <w:color w:val="auto"/>
        </w:rPr>
      </w:pPr>
      <w:r>
        <w:rPr>
          <w:rFonts w:ascii="Arial" w:cs="Arial" w:eastAsia="Arial" w:hAnsi="Arial"/>
          <w:sz w:val="13"/>
          <w:szCs w:val="13"/>
          <w:color w:val="auto"/>
        </w:rPr>
        <w:t>Mr. Nitin Sahney</w:t>
      </w:r>
    </w:p>
    <w:p>
      <w:pPr>
        <w:ind w:left="6660"/>
        <w:spacing w:after="0"/>
        <w:rPr>
          <w:sz w:val="20"/>
          <w:szCs w:val="20"/>
          <w:color w:val="auto"/>
        </w:rPr>
      </w:pPr>
      <w:r>
        <w:rPr>
          <w:rFonts w:ascii="Arial" w:cs="Arial" w:eastAsia="Arial" w:hAnsi="Arial"/>
          <w:sz w:val="13"/>
          <w:szCs w:val="13"/>
          <w:color w:val="auto"/>
        </w:rPr>
        <w:t>Ms. Jaynie Studenmund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41" w:name="page42"/>
    <w:bookmarkEnd w:id="41"/>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PROPOSAL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AMENDMENT OF AMENDED &amp; RESTATED CERTIFICATE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INCORPORATION TO EFFECT A DECLASSIFICATION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OF THE BOARD OF DIRECTORS</w:t>
      </w:r>
    </w:p>
    <w:p>
      <w:pPr>
        <w:spacing w:after="0" w:line="166"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You are being asked to approve an amendment to the Company's Amended &amp; Restated Certificate of Incorporation (the "charter"), which will have the effect of phasing out and eliminating the classifications of the board of directors over the next three years.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General Information about the Proposal</w:t>
      </w:r>
    </w:p>
    <w:p>
      <w:pPr>
        <w:spacing w:after="0" w:line="165" w:lineRule="exact"/>
        <w:rPr>
          <w:sz w:val="20"/>
          <w:szCs w:val="20"/>
          <w:color w:val="auto"/>
        </w:rPr>
      </w:pPr>
    </w:p>
    <w:p>
      <w:pPr>
        <w:jc w:val="both"/>
        <w:ind w:left="200" w:right="199"/>
        <w:spacing w:after="0" w:line="317" w:lineRule="auto"/>
        <w:rPr>
          <w:sz w:val="20"/>
          <w:szCs w:val="20"/>
          <w:color w:val="auto"/>
        </w:rPr>
      </w:pPr>
      <w:r>
        <w:rPr>
          <w:rFonts w:ascii="Arial" w:cs="Arial" w:eastAsia="Arial" w:hAnsi="Arial"/>
          <w:sz w:val="11"/>
          <w:szCs w:val="11"/>
          <w:color w:val="auto"/>
        </w:rPr>
        <w:t>Currently, the charter divides the Company's board of directors into three classes (Class I, Class II and Class III), each with a three-year term. The terms of the classes are staggered, so that only one of the three classes stands for election for a three-year term at each Annual Meeting of Stockholders.</w:t>
      </w:r>
    </w:p>
    <w:p>
      <w:pPr>
        <w:spacing w:after="0" w:line="109"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The board of directors has determined that it is advisable, and in the best interests of the Company and its stockholders, to amend the charter to declassify the board of directors and allow the stockholders of the Company to vote on the election of the entire board of directors on an annual basis, rather than on a staggered basis. Accordingly, the board of directors has adopted and recommended that the stockholders of the Company approve the amendment to the charter set forth on Appendix A attached hereto (the "Charter Amendment").</w:t>
      </w:r>
    </w:p>
    <w:p>
      <w:pPr>
        <w:spacing w:after="0" w:line="151"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Under the Charter Amendment, director nominees standing for election at each annual meeting of stockholders, commencing with the Annual Meeting, will be elected for a one-year term expiring at the next Annual Meeting of Stockholders or until their successors are duly elected and qualified in accordance with our by-laws. The Charter Amendment will not shorten the term of any current director. If the Charter Amendment is approved by the stockholders of the Company by the requisite vote at the Annual Meeting, then the Charter Amendment will become effective upon the filing of the Charter Amendment with the office of the Secretary of State of the State of Delaware, which the Company intends to cause to occur promptly after it is determined that the Charter Amendment has been approved by the requisite vote of stockholders at the Annual Meeting.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Phased Declassification</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As mentioned above, if the Charter Amendment is approved by the Company's stockholders, the classification of the board of directors will be phased out over the next three Annual Meetings of Stockholders, such that:</w:t>
      </w:r>
    </w:p>
    <w:p>
      <w:pPr>
        <w:spacing w:after="0" w:line="150" w:lineRule="exact"/>
        <w:rPr>
          <w:sz w:val="20"/>
          <w:szCs w:val="20"/>
          <w:color w:val="auto"/>
        </w:rPr>
      </w:pPr>
    </w:p>
    <w:p>
      <w:pPr>
        <w:ind w:left="580" w:right="199" w:hanging="1"/>
        <w:spacing w:after="0" w:line="235" w:lineRule="auto"/>
        <w:tabs>
          <w:tab w:leader="none" w:pos="81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at the Annual Meeting, each of the Class I director nominees elected by our stockholders will be elected to hold office for a term of one year, or until their successors are duly elected and qualified in accordance with our by-laws,</w:t>
      </w:r>
    </w:p>
    <w:p>
      <w:pPr>
        <w:spacing w:after="0" w:line="150" w:lineRule="exact"/>
        <w:rPr>
          <w:rFonts w:ascii="Arial" w:cs="Arial" w:eastAsia="Arial" w:hAnsi="Arial"/>
          <w:sz w:val="13"/>
          <w:szCs w:val="13"/>
          <w:color w:val="auto"/>
        </w:rPr>
      </w:pPr>
    </w:p>
    <w:p>
      <w:pPr>
        <w:ind w:left="580" w:right="179" w:hanging="1"/>
        <w:spacing w:after="0" w:line="235" w:lineRule="auto"/>
        <w:tabs>
          <w:tab w:leader="none" w:pos="853" w:val="left"/>
        </w:tabs>
        <w:numPr>
          <w:ilvl w:val="0"/>
          <w:numId w:val="99"/>
        </w:numPr>
        <w:rPr>
          <w:rFonts w:ascii="Arial" w:cs="Arial" w:eastAsia="Arial" w:hAnsi="Arial"/>
          <w:sz w:val="13"/>
          <w:szCs w:val="13"/>
          <w:color w:val="auto"/>
        </w:rPr>
      </w:pPr>
      <w:r>
        <w:rPr>
          <w:rFonts w:ascii="Arial" w:cs="Arial" w:eastAsia="Arial" w:hAnsi="Arial"/>
          <w:sz w:val="13"/>
          <w:szCs w:val="13"/>
          <w:color w:val="auto"/>
        </w:rPr>
        <w:t>at the 2020 annual meeting of stockholders, each of the Class I and Class II director nominees elected by our stockholders will be elected to hold office for a term of one year, or until their successors are duly elected and qualified in accordance with our by-laws, and</w:t>
      </w:r>
    </w:p>
    <w:p>
      <w:pPr>
        <w:spacing w:after="0" w:line="150" w:lineRule="exact"/>
        <w:rPr>
          <w:rFonts w:ascii="Arial" w:cs="Arial" w:eastAsia="Arial" w:hAnsi="Arial"/>
          <w:sz w:val="13"/>
          <w:szCs w:val="13"/>
          <w:color w:val="auto"/>
        </w:rPr>
      </w:pPr>
    </w:p>
    <w:p>
      <w:pPr>
        <w:jc w:val="both"/>
        <w:ind w:left="580" w:right="199" w:hanging="1"/>
        <w:spacing w:after="0" w:line="234" w:lineRule="auto"/>
        <w:tabs>
          <w:tab w:leader="none" w:pos="841" w:val="left"/>
        </w:tabs>
        <w:numPr>
          <w:ilvl w:val="0"/>
          <w:numId w:val="99"/>
        </w:numPr>
        <w:rPr>
          <w:rFonts w:ascii="Arial" w:cs="Arial" w:eastAsia="Arial" w:hAnsi="Arial"/>
          <w:sz w:val="13"/>
          <w:szCs w:val="13"/>
          <w:color w:val="auto"/>
        </w:rPr>
      </w:pPr>
      <w:r>
        <w:rPr>
          <w:rFonts w:ascii="Arial" w:cs="Arial" w:eastAsia="Arial" w:hAnsi="Arial"/>
          <w:sz w:val="13"/>
          <w:szCs w:val="13"/>
          <w:color w:val="auto"/>
        </w:rPr>
        <w:t>at the 2021 annual meeting of stockholders, each of the Class I, Class II and Class III director nominees elected by our stockholders will be elected to hold office for a term of one year, or until their successors are duly elected and qualified in accordance with our by-laws, and thereafter the classification of the board of directors will terminate in its entirety.</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3"/>
          <w:szCs w:val="13"/>
          <w:color w:val="auto"/>
        </w:rPr>
        <w:t>If the Charter Amendment is not approved by the Company's stockholders by the requisite vote at the Annual Meeting, the Company will continue to have a classified board as currently provided by the Charter.</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Required Vote</w:t>
      </w:r>
    </w:p>
    <w:p>
      <w:pPr>
        <w:spacing w:after="0" w:line="165" w:lineRule="exact"/>
        <w:rPr>
          <w:sz w:val="20"/>
          <w:szCs w:val="20"/>
          <w:color w:val="auto"/>
        </w:rPr>
      </w:pPr>
    </w:p>
    <w:p>
      <w:pPr>
        <w:jc w:val="both"/>
        <w:ind w:left="200" w:right="199"/>
        <w:spacing w:after="0" w:line="217" w:lineRule="auto"/>
        <w:rPr>
          <w:sz w:val="20"/>
          <w:szCs w:val="20"/>
          <w:color w:val="auto"/>
        </w:rPr>
      </w:pPr>
      <w:r>
        <w:rPr>
          <w:rFonts w:ascii="Arial" w:cs="Arial" w:eastAsia="Arial" w:hAnsi="Arial"/>
          <w:sz w:val="12"/>
          <w:szCs w:val="12"/>
          <w:color w:val="auto"/>
        </w:rPr>
        <w:t>The ratification of the Charter Amendment requires the affirmative vote of at least 66</w:t>
      </w:r>
      <w:r>
        <w:rPr>
          <w:rFonts w:ascii="Arial" w:cs="Arial" w:eastAsia="Arial" w:hAnsi="Arial"/>
          <w:sz w:val="19"/>
          <w:szCs w:val="19"/>
          <w:color w:val="auto"/>
          <w:vertAlign w:val="superscript"/>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voting power of the then-outstanding shares of the Company, voting together as a single class. Unless marked to the contrary, proxies received will be voted "FOR" ratification of the Charter Amendment.</w:t>
      </w:r>
    </w:p>
    <w:p>
      <w:pPr>
        <w:spacing w:after="0" w:line="134"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FFFFFE"/>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-100330</wp:posOffset>
            </wp:positionV>
            <wp:extent cx="4388485" cy="1162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ind w:left="1240"/>
        <w:spacing w:after="0"/>
        <w:tabs>
          <w:tab w:leader="none" w:pos="1760" w:val="left"/>
        </w:tabs>
        <w:rPr>
          <w:sz w:val="20"/>
          <w:szCs w:val="20"/>
          <w:color w:val="auto"/>
        </w:rPr>
      </w:pPr>
      <w:r>
        <w:rPr>
          <w:rFonts w:ascii="Arial" w:cs="Arial" w:eastAsia="Arial" w:hAnsi="Arial"/>
          <w:sz w:val="15"/>
          <w:szCs w:val="15"/>
          <w:b w:val="1"/>
          <w:bCs w:val="1"/>
          <w:color w:val="auto"/>
        </w:rPr>
        <w:t>FOR</w:t>
      </w:r>
      <w:r>
        <w:rPr>
          <w:sz w:val="20"/>
          <w:szCs w:val="20"/>
          <w:color w:val="auto"/>
        </w:rPr>
        <w:tab/>
      </w:r>
      <w:r>
        <w:rPr>
          <w:rFonts w:ascii="Arial" w:cs="Arial" w:eastAsia="Arial" w:hAnsi="Arial"/>
          <w:sz w:val="13"/>
          <w:szCs w:val="13"/>
          <w:b w:val="1"/>
          <w:bCs w:val="1"/>
          <w:color w:val="auto"/>
        </w:rPr>
        <w:t>the approval of the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-95885</wp:posOffset>
            </wp:positionV>
            <wp:extent cx="4388485" cy="1162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PROPOSAL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ELECTION OF DIRECTORS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The Nominees</w:t>
      </w:r>
    </w:p>
    <w:p>
      <w:pPr>
        <w:spacing w:after="0" w:line="165"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Our Nominating and Governance Committee has nominated, and our board of directors has designated, Mses. Minto and Studenmund and Mr. Kapoor to stand for election as Class I directors at the Annual Meeting. Ms. Minto and Mr. Kapoor are standing for re-election and Ms. Studemund was appointed since the last annual meeting of stockholders and is standing for her first stockholder election. Ms. Studenmund was identified and recommended to the Nominating and Governance Committee by a third-party search firm.</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Term of Office</w:t>
      </w:r>
    </w:p>
    <w:p>
      <w:pPr>
        <w:spacing w:after="0" w:line="149" w:lineRule="exact"/>
        <w:rPr>
          <w:sz w:val="20"/>
          <w:szCs w:val="20"/>
          <w:color w:val="auto"/>
        </w:rPr>
      </w:pPr>
    </w:p>
    <w:p>
      <w:pPr>
        <w:jc w:val="both"/>
        <w:ind w:left="200" w:right="179"/>
        <w:spacing w:after="0" w:line="236" w:lineRule="auto"/>
        <w:rPr>
          <w:sz w:val="20"/>
          <w:szCs w:val="20"/>
          <w:color w:val="auto"/>
        </w:rPr>
      </w:pPr>
      <w:r>
        <w:rPr>
          <w:rFonts w:ascii="Arial" w:cs="Arial" w:eastAsia="Arial" w:hAnsi="Arial"/>
          <w:sz w:val="13"/>
          <w:szCs w:val="13"/>
          <w:b w:val="1"/>
          <w:bCs w:val="1"/>
          <w:color w:val="auto"/>
        </w:rPr>
        <w:t xml:space="preserve">If Proposal 1 is approved by the Company's stockholders, </w:t>
      </w:r>
      <w:r>
        <w:rPr>
          <w:rFonts w:ascii="Arial" w:cs="Arial" w:eastAsia="Arial" w:hAnsi="Arial"/>
          <w:sz w:val="13"/>
          <w:szCs w:val="13"/>
          <w:color w:val="auto"/>
        </w:rPr>
        <w:t>upon the filing of the amendment to the charter set forth on Appendix A attached hereto, the</w:t>
      </w:r>
      <w:r>
        <w:rPr>
          <w:rFonts w:ascii="Arial" w:cs="Arial" w:eastAsia="Arial" w:hAnsi="Arial"/>
          <w:sz w:val="13"/>
          <w:szCs w:val="13"/>
          <w:b w:val="1"/>
          <w:bCs w:val="1"/>
          <w:color w:val="auto"/>
        </w:rPr>
        <w:t xml:space="preserve"> </w:t>
      </w:r>
      <w:r>
        <w:rPr>
          <w:rFonts w:ascii="Arial" w:cs="Arial" w:eastAsia="Arial" w:hAnsi="Arial"/>
          <w:sz w:val="13"/>
          <w:szCs w:val="13"/>
          <w:color w:val="auto"/>
        </w:rPr>
        <w:t>classification of the Board of Directors will be phased out over the next three annual meetings of stockholders as described in Proposal 1, such that (i) at the Annual Meeting, each of the directors in Class I will be elected to hold office for a term of one year, (ii) at the 2020 Annual Meeting of Stockholders, each of the Directors in Class I and Class II will be elected to hold office for a term of one year, and (iii) at the 2021 Annual Meeting of Stockholders, each of the Directors in Class I, Class II and Class III will be elected to hold office for a term of one year, and thereafter the classification of the Board of Directors will terminate in its entirety, and if elected, each of the Class I director nominees will serve a term or one year on our board of directors, until our 2020 annual meeting of stockholders or until their successors are duly elected and qualified in accordance with our by-laws.</w:t>
      </w:r>
    </w:p>
    <w:p>
      <w:pPr>
        <w:spacing w:after="0" w:line="136" w:lineRule="exact"/>
        <w:rPr>
          <w:sz w:val="20"/>
          <w:szCs w:val="20"/>
          <w:color w:val="auto"/>
        </w:rPr>
      </w:pPr>
    </w:p>
    <w:p>
      <w:pPr>
        <w:jc w:val="both"/>
        <w:ind w:left="200" w:right="179"/>
        <w:spacing w:after="0" w:line="347" w:lineRule="auto"/>
        <w:rPr>
          <w:sz w:val="20"/>
          <w:szCs w:val="20"/>
          <w:color w:val="auto"/>
        </w:rPr>
      </w:pPr>
      <w:r>
        <w:rPr>
          <w:rFonts w:ascii="Arial" w:cs="Arial" w:eastAsia="Arial" w:hAnsi="Arial"/>
          <w:sz w:val="11"/>
          <w:szCs w:val="11"/>
          <w:b w:val="1"/>
          <w:bCs w:val="1"/>
          <w:color w:val="auto"/>
        </w:rPr>
        <w:t>If Proposal 1 is not approved by the Company's stockholders</w:t>
      </w:r>
      <w:r>
        <w:rPr>
          <w:rFonts w:ascii="Arial" w:cs="Arial" w:eastAsia="Arial" w:hAnsi="Arial"/>
          <w:sz w:val="11"/>
          <w:szCs w:val="11"/>
          <w:color w:val="auto"/>
        </w:rPr>
        <w:t>, and if elected, each of the Class III director nominees will serve a term of three years on</w:t>
      </w:r>
      <w:r>
        <w:rPr>
          <w:rFonts w:ascii="Arial" w:cs="Arial" w:eastAsia="Arial" w:hAnsi="Arial"/>
          <w:sz w:val="11"/>
          <w:szCs w:val="11"/>
          <w:b w:val="1"/>
          <w:bCs w:val="1"/>
          <w:color w:val="auto"/>
        </w:rPr>
        <w:t xml:space="preserve"> </w:t>
      </w:r>
      <w:r>
        <w:rPr>
          <w:rFonts w:ascii="Arial" w:cs="Arial" w:eastAsia="Arial" w:hAnsi="Arial"/>
          <w:sz w:val="11"/>
          <w:szCs w:val="11"/>
          <w:color w:val="auto"/>
        </w:rPr>
        <w:t>our board of directors, until our 2022 Annual Meeting of Stockholders or until their successors are duly elected and qualified in accordance with our by-laws.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Voting Instructions and Substitutes</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General Information About Nominees</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w:t>
      </w:r>
    </w:p>
    <w:p>
      <w:pPr>
        <w:sectPr>
          <w:pgSz w:w="11900" w:h="16838" w:orient="portrait"/>
          <w:cols w:equalWidth="0" w:num="1">
            <w:col w:w="9019"/>
          </w:cols>
          <w:pgMar w:left="1440" w:top="296" w:right="1440" w:bottom="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440" w:gutter="0" w:footer="0" w:header="0"/>
          <w:type w:val="continuous"/>
        </w:sectPr>
      </w:pPr>
    </w:p>
    <w:bookmarkStart w:id="42" w:name="page43"/>
    <w:bookmarkEnd w:id="42"/>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under "Our Board of Directors." Other information required with respect to any solicitation of proxies in connection with the election of directors is found elsewhere in this proxy statement.</w:t>
      </w:r>
    </w:p>
    <w:p>
      <w:pPr>
        <w:spacing w:after="0" w:line="148" w:lineRule="exact"/>
        <w:rPr>
          <w:sz w:val="20"/>
          <w:szCs w:val="20"/>
          <w:color w:val="auto"/>
        </w:rPr>
      </w:pPr>
    </w:p>
    <w:tbl>
      <w:tblPr>
        <w:tblLayout w:type="fixed"/>
        <w:tblInd w:w="210" w:type="dxa"/>
        <w:tblCellMar>
          <w:top w:w="0" w:type="dxa"/>
          <w:left w:w="0" w:type="dxa"/>
          <w:bottom w:w="0" w:type="dxa"/>
          <w:right w:w="0" w:type="dxa"/>
        </w:tblCellMar>
      </w:tblPr>
      <w:tr>
        <w:trPr>
          <w:trHeight w:val="154"/>
        </w:trPr>
        <w:tc>
          <w:tcPr>
            <w:tcW w:w="200" w:type="dxa"/>
            <w:vAlign w:val="bottom"/>
            <w:tcBorders>
              <w:left w:val="single" w:sz="8" w:color="F79646"/>
              <w:bottom w:val="single" w:sz="8" w:color="F79646"/>
            </w:tcBorders>
            <w:shd w:val="clear" w:color="auto" w:fill="F79646"/>
          </w:tcPr>
          <w:p>
            <w:pPr>
              <w:spacing w:after="0"/>
              <w:rPr>
                <w:sz w:val="13"/>
                <w:szCs w:val="13"/>
                <w:color w:val="auto"/>
              </w:rPr>
            </w:pPr>
          </w:p>
        </w:tc>
        <w:tc>
          <w:tcPr>
            <w:tcW w:w="2320" w:type="dxa"/>
            <w:vAlign w:val="bottom"/>
            <w:tcBorders>
              <w:bottom w:val="single" w:sz="8" w:color="auto"/>
            </w:tcBorders>
            <w:shd w:val="clear" w:color="auto" w:fill="F79646"/>
          </w:tcPr>
          <w:p>
            <w:pPr>
              <w:ind w:left="98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F79646"/>
            </w:tcBorders>
            <w:shd w:val="clear" w:color="auto" w:fill="F79646"/>
          </w:tcPr>
          <w:p>
            <w:pPr>
              <w:spacing w:after="0"/>
              <w:rPr>
                <w:sz w:val="13"/>
                <w:szCs w:val="13"/>
                <w:color w:val="auto"/>
              </w:rPr>
            </w:pPr>
          </w:p>
        </w:tc>
        <w:tc>
          <w:tcPr>
            <w:tcW w:w="2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3"/>
                <w:szCs w:val="13"/>
                <w:b w:val="1"/>
                <w:bCs w:val="1"/>
                <w:color w:val="auto"/>
                <w:w w:val="97"/>
              </w:rPr>
              <w:t>Age</w:t>
            </w:r>
          </w:p>
        </w:tc>
        <w:tc>
          <w:tcPr>
            <w:tcW w:w="120" w:type="dxa"/>
            <w:vAlign w:val="bottom"/>
            <w:tcBorders>
              <w:bottom w:val="single" w:sz="8" w:color="F79646"/>
            </w:tcBorders>
            <w:shd w:val="clear" w:color="auto" w:fill="F79646"/>
          </w:tcPr>
          <w:p>
            <w:pPr>
              <w:spacing w:after="0"/>
              <w:rPr>
                <w:sz w:val="13"/>
                <w:szCs w:val="13"/>
                <w:color w:val="auto"/>
              </w:rPr>
            </w:pPr>
          </w:p>
        </w:tc>
        <w:tc>
          <w:tcPr>
            <w:tcW w:w="12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3"/>
                <w:szCs w:val="13"/>
                <w:b w:val="1"/>
                <w:bCs w:val="1"/>
                <w:color w:val="auto"/>
                <w:w w:val="97"/>
              </w:rPr>
              <w:t>Director Since</w:t>
            </w:r>
          </w:p>
        </w:tc>
        <w:tc>
          <w:tcPr>
            <w:tcW w:w="120" w:type="dxa"/>
            <w:vAlign w:val="bottom"/>
            <w:tcBorders>
              <w:bottom w:val="single" w:sz="8" w:color="F79646"/>
            </w:tcBorders>
            <w:shd w:val="clear" w:color="auto" w:fill="F79646"/>
          </w:tcPr>
          <w:p>
            <w:pPr>
              <w:spacing w:after="0"/>
              <w:rPr>
                <w:sz w:val="13"/>
                <w:szCs w:val="13"/>
                <w:color w:val="auto"/>
              </w:rPr>
            </w:pPr>
          </w:p>
        </w:tc>
        <w:tc>
          <w:tcPr>
            <w:tcW w:w="9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3"/>
                <w:szCs w:val="13"/>
                <w:b w:val="1"/>
                <w:bCs w:val="1"/>
                <w:color w:val="auto"/>
                <w:w w:val="98"/>
              </w:rPr>
              <w:t>Independent</w:t>
            </w:r>
          </w:p>
        </w:tc>
        <w:tc>
          <w:tcPr>
            <w:tcW w:w="120" w:type="dxa"/>
            <w:vAlign w:val="bottom"/>
            <w:tcBorders>
              <w:bottom w:val="single" w:sz="8" w:color="F79646"/>
            </w:tcBorders>
            <w:shd w:val="clear" w:color="auto" w:fill="F79646"/>
          </w:tcPr>
          <w:p>
            <w:pPr>
              <w:spacing w:after="0"/>
              <w:rPr>
                <w:sz w:val="13"/>
                <w:szCs w:val="13"/>
                <w:color w:val="auto"/>
              </w:rPr>
            </w:pPr>
          </w:p>
        </w:tc>
        <w:tc>
          <w:tcPr>
            <w:tcW w:w="140" w:type="dxa"/>
            <w:vAlign w:val="bottom"/>
            <w:tcBorders>
              <w:bottom w:val="single" w:sz="8" w:color="auto"/>
            </w:tcBorders>
            <w:shd w:val="clear" w:color="auto" w:fill="F79646"/>
          </w:tcPr>
          <w:p>
            <w:pPr>
              <w:spacing w:after="0"/>
              <w:rPr>
                <w:sz w:val="13"/>
                <w:szCs w:val="13"/>
                <w:color w:val="auto"/>
              </w:rPr>
            </w:pPr>
          </w:p>
        </w:tc>
        <w:tc>
          <w:tcPr>
            <w:tcW w:w="2860" w:type="dxa"/>
            <w:vAlign w:val="bottom"/>
            <w:tcBorders>
              <w:bottom w:val="single" w:sz="8" w:color="auto"/>
            </w:tcBorders>
            <w:shd w:val="clear" w:color="auto" w:fill="F79646"/>
          </w:tcPr>
          <w:p>
            <w:pPr>
              <w:ind w:left="640"/>
              <w:spacing w:after="0"/>
              <w:rPr>
                <w:sz w:val="20"/>
                <w:szCs w:val="20"/>
                <w:color w:val="auto"/>
              </w:rPr>
            </w:pPr>
            <w:r>
              <w:rPr>
                <w:rFonts w:ascii="Arial" w:cs="Arial" w:eastAsia="Arial" w:hAnsi="Arial"/>
                <w:sz w:val="13"/>
                <w:szCs w:val="13"/>
                <w:b w:val="1"/>
                <w:bCs w:val="1"/>
                <w:color w:val="auto"/>
              </w:rPr>
              <w:t>Committee Membership</w:t>
            </w:r>
          </w:p>
        </w:tc>
        <w:tc>
          <w:tcPr>
            <w:tcW w:w="200" w:type="dxa"/>
            <w:vAlign w:val="bottom"/>
            <w:tcBorders>
              <w:bottom w:val="single" w:sz="8" w:color="F79646"/>
              <w:right w:val="single" w:sz="8" w:color="F79646"/>
            </w:tcBorders>
            <w:shd w:val="clear" w:color="auto" w:fill="F79646"/>
          </w:tcPr>
          <w:p>
            <w:pPr>
              <w:spacing w:after="0"/>
              <w:rPr>
                <w:sz w:val="13"/>
                <w:szCs w:val="13"/>
                <w:color w:val="auto"/>
              </w:rPr>
            </w:pPr>
          </w:p>
        </w:tc>
      </w:tr>
      <w:tr>
        <w:trPr>
          <w:trHeight w:val="134"/>
        </w:trPr>
        <w:tc>
          <w:tcPr>
            <w:tcW w:w="2520" w:type="dxa"/>
            <w:vAlign w:val="bottom"/>
            <w:tcBorders>
              <w:left w:val="single" w:sz="8" w:color="F79646"/>
            </w:tcBorders>
            <w:gridSpan w:val="2"/>
            <w:shd w:val="clear" w:color="auto" w:fill="FCDEC5"/>
          </w:tcPr>
          <w:p>
            <w:pPr>
              <w:ind w:left="180"/>
              <w:spacing w:after="0" w:line="134" w:lineRule="exact"/>
              <w:rPr>
                <w:sz w:val="20"/>
                <w:szCs w:val="20"/>
                <w:color w:val="auto"/>
              </w:rPr>
            </w:pPr>
            <w:r>
              <w:rPr>
                <w:rFonts w:ascii="Arial" w:cs="Arial" w:eastAsia="Arial" w:hAnsi="Arial"/>
                <w:sz w:val="13"/>
                <w:szCs w:val="13"/>
                <w:color w:val="auto"/>
              </w:rPr>
              <w:t>Rohit Kapoor, Vice Chairman &amp; CEO</w:t>
            </w:r>
          </w:p>
        </w:tc>
        <w:tc>
          <w:tcPr>
            <w:tcW w:w="380" w:type="dxa"/>
            <w:vAlign w:val="bottom"/>
            <w:gridSpan w:val="2"/>
            <w:shd w:val="clear" w:color="auto" w:fill="FCDEC5"/>
          </w:tcPr>
          <w:p>
            <w:pPr>
              <w:jc w:val="center"/>
              <w:ind w:left="57"/>
              <w:spacing w:after="0" w:line="134" w:lineRule="exact"/>
              <w:rPr>
                <w:sz w:val="20"/>
                <w:szCs w:val="20"/>
                <w:color w:val="auto"/>
              </w:rPr>
            </w:pPr>
            <w:r>
              <w:rPr>
                <w:rFonts w:ascii="Arial" w:cs="Arial" w:eastAsia="Arial" w:hAnsi="Arial"/>
                <w:sz w:val="13"/>
                <w:szCs w:val="13"/>
                <w:color w:val="auto"/>
                <w:w w:val="96"/>
              </w:rPr>
              <w:t>54</w:t>
            </w:r>
          </w:p>
        </w:tc>
        <w:tc>
          <w:tcPr>
            <w:tcW w:w="120" w:type="dxa"/>
            <w:vAlign w:val="bottom"/>
            <w:shd w:val="clear" w:color="auto" w:fill="FCDEC5"/>
          </w:tcPr>
          <w:p>
            <w:pPr>
              <w:spacing w:after="0"/>
              <w:rPr>
                <w:sz w:val="11"/>
                <w:szCs w:val="11"/>
                <w:color w:val="auto"/>
              </w:rPr>
            </w:pPr>
          </w:p>
        </w:tc>
        <w:tc>
          <w:tcPr>
            <w:tcW w:w="1200" w:type="dxa"/>
            <w:vAlign w:val="bottom"/>
            <w:shd w:val="clear" w:color="auto" w:fill="FCDEC5"/>
          </w:tcPr>
          <w:p>
            <w:pPr>
              <w:jc w:val="center"/>
              <w:spacing w:after="0" w:line="134" w:lineRule="exact"/>
              <w:rPr>
                <w:sz w:val="20"/>
                <w:szCs w:val="20"/>
                <w:color w:val="auto"/>
              </w:rPr>
            </w:pPr>
            <w:r>
              <w:rPr>
                <w:rFonts w:ascii="Arial" w:cs="Arial" w:eastAsia="Arial" w:hAnsi="Arial"/>
                <w:sz w:val="13"/>
                <w:szCs w:val="13"/>
                <w:color w:val="auto"/>
                <w:w w:val="99"/>
              </w:rPr>
              <w:t>April 2012</w:t>
            </w:r>
          </w:p>
        </w:tc>
        <w:tc>
          <w:tcPr>
            <w:tcW w:w="120" w:type="dxa"/>
            <w:vAlign w:val="bottom"/>
            <w:shd w:val="clear" w:color="auto" w:fill="FCDEC5"/>
          </w:tcPr>
          <w:p>
            <w:pPr>
              <w:spacing w:after="0"/>
              <w:rPr>
                <w:sz w:val="11"/>
                <w:szCs w:val="11"/>
                <w:color w:val="auto"/>
              </w:rPr>
            </w:pPr>
          </w:p>
        </w:tc>
        <w:tc>
          <w:tcPr>
            <w:tcW w:w="980" w:type="dxa"/>
            <w:vAlign w:val="bottom"/>
            <w:shd w:val="clear" w:color="auto" w:fill="FCDEC5"/>
          </w:tcPr>
          <w:p>
            <w:pPr>
              <w:jc w:val="center"/>
              <w:spacing w:after="0" w:line="134" w:lineRule="exact"/>
              <w:rPr>
                <w:sz w:val="20"/>
                <w:szCs w:val="20"/>
                <w:color w:val="auto"/>
              </w:rPr>
            </w:pPr>
            <w:r>
              <w:rPr>
                <w:rFonts w:ascii="Arial" w:cs="Arial" w:eastAsia="Arial" w:hAnsi="Arial"/>
                <w:sz w:val="13"/>
                <w:szCs w:val="13"/>
                <w:color w:val="auto"/>
                <w:w w:val="96"/>
              </w:rPr>
              <w:t>No</w:t>
            </w:r>
          </w:p>
        </w:tc>
        <w:tc>
          <w:tcPr>
            <w:tcW w:w="260" w:type="dxa"/>
            <w:vAlign w:val="bottom"/>
            <w:gridSpan w:val="2"/>
            <w:shd w:val="clear" w:color="auto" w:fill="FCDEC5"/>
          </w:tcPr>
          <w:p>
            <w:pPr>
              <w:ind w:left="100"/>
              <w:spacing w:after="0" w:line="134" w:lineRule="exact"/>
              <w:rPr>
                <w:sz w:val="20"/>
                <w:szCs w:val="20"/>
                <w:color w:val="auto"/>
              </w:rPr>
            </w:pPr>
            <w:r>
              <w:rPr>
                <w:rFonts w:ascii="Arial" w:cs="Arial" w:eastAsia="Arial" w:hAnsi="Arial"/>
                <w:sz w:val="13"/>
                <w:szCs w:val="13"/>
                <w:color w:val="F79646"/>
              </w:rPr>
              <w:t>&gt;</w:t>
            </w:r>
          </w:p>
        </w:tc>
        <w:tc>
          <w:tcPr>
            <w:tcW w:w="3060" w:type="dxa"/>
            <w:vAlign w:val="bottom"/>
            <w:tcBorders>
              <w:right w:val="single" w:sz="8" w:color="F79646"/>
            </w:tcBorders>
            <w:gridSpan w:val="2"/>
            <w:shd w:val="clear" w:color="auto" w:fill="FCDEC5"/>
          </w:tcPr>
          <w:p>
            <w:pPr>
              <w:ind w:left="80"/>
              <w:spacing w:after="0" w:line="134" w:lineRule="exact"/>
              <w:rPr>
                <w:sz w:val="20"/>
                <w:szCs w:val="20"/>
                <w:color w:val="auto"/>
              </w:rPr>
            </w:pPr>
            <w:r>
              <w:rPr>
                <w:rFonts w:ascii="Arial" w:cs="Arial" w:eastAsia="Arial" w:hAnsi="Arial"/>
                <w:sz w:val="13"/>
                <w:szCs w:val="13"/>
                <w:color w:val="auto"/>
              </w:rPr>
              <w:t>None</w:t>
            </w:r>
          </w:p>
        </w:tc>
      </w:tr>
      <w:tr>
        <w:trPr>
          <w:trHeight w:val="152"/>
        </w:trPr>
        <w:tc>
          <w:tcPr>
            <w:tcW w:w="2520" w:type="dxa"/>
            <w:vAlign w:val="bottom"/>
            <w:tcBorders>
              <w:left w:val="single" w:sz="8" w:color="F79646"/>
            </w:tcBorders>
            <w:gridSpan w:val="2"/>
          </w:tcPr>
          <w:p>
            <w:pPr>
              <w:ind w:left="180"/>
              <w:spacing w:after="0"/>
              <w:rPr>
                <w:sz w:val="20"/>
                <w:szCs w:val="20"/>
                <w:color w:val="auto"/>
              </w:rPr>
            </w:pPr>
            <w:r>
              <w:rPr>
                <w:rFonts w:ascii="Arial" w:cs="Arial" w:eastAsia="Arial" w:hAnsi="Arial"/>
                <w:sz w:val="13"/>
                <w:szCs w:val="13"/>
                <w:color w:val="auto"/>
              </w:rPr>
              <w:t>Anne Minto</w:t>
            </w:r>
          </w:p>
        </w:tc>
        <w:tc>
          <w:tcPr>
            <w:tcW w:w="38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65</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March 2013</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89"/>
              </w:rPr>
              <w:t>Yes</w:t>
            </w:r>
          </w:p>
        </w:tc>
        <w:tc>
          <w:tcPr>
            <w:tcW w:w="260" w:type="dxa"/>
            <w:vAlign w:val="bottom"/>
            <w:gridSpan w:val="2"/>
          </w:tcPr>
          <w:p>
            <w:pPr>
              <w:ind w:left="100"/>
              <w:spacing w:after="0"/>
              <w:rPr>
                <w:sz w:val="20"/>
                <w:szCs w:val="20"/>
                <w:color w:val="auto"/>
              </w:rPr>
            </w:pPr>
            <w:r>
              <w:rPr>
                <w:rFonts w:ascii="Arial" w:cs="Arial" w:eastAsia="Arial" w:hAnsi="Arial"/>
                <w:sz w:val="13"/>
                <w:szCs w:val="13"/>
                <w:color w:val="F79646"/>
              </w:rPr>
              <w:t>&gt;</w:t>
            </w:r>
          </w:p>
        </w:tc>
        <w:tc>
          <w:tcPr>
            <w:tcW w:w="3060" w:type="dxa"/>
            <w:vAlign w:val="bottom"/>
            <w:tcBorders>
              <w:right w:val="single" w:sz="8" w:color="F79646"/>
            </w:tcBorders>
            <w:gridSpan w:val="2"/>
          </w:tcPr>
          <w:p>
            <w:pPr>
              <w:ind w:left="80"/>
              <w:spacing w:after="0"/>
              <w:rPr>
                <w:sz w:val="20"/>
                <w:szCs w:val="20"/>
                <w:color w:val="auto"/>
              </w:rPr>
            </w:pPr>
            <w:r>
              <w:rPr>
                <w:rFonts w:ascii="Arial" w:cs="Arial" w:eastAsia="Arial" w:hAnsi="Arial"/>
                <w:sz w:val="13"/>
                <w:szCs w:val="13"/>
                <w:color w:val="auto"/>
              </w:rPr>
              <w:t>Compensation Committee (Chair)</w:t>
            </w:r>
          </w:p>
        </w:tc>
      </w:tr>
      <w:tr>
        <w:trPr>
          <w:trHeight w:val="274"/>
        </w:trPr>
        <w:tc>
          <w:tcPr>
            <w:tcW w:w="200" w:type="dxa"/>
            <w:vAlign w:val="bottom"/>
            <w:tcBorders>
              <w:left w:val="single" w:sz="8" w:color="F79646"/>
            </w:tcBorders>
          </w:tcPr>
          <w:p>
            <w:pPr>
              <w:spacing w:after="0"/>
              <w:rPr>
                <w:sz w:val="23"/>
                <w:szCs w:val="23"/>
                <w:color w:val="auto"/>
              </w:rPr>
            </w:pPr>
          </w:p>
        </w:tc>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320" w:type="dxa"/>
            <w:vAlign w:val="bottom"/>
            <w:tcBorders>
              <w:right w:val="single" w:sz="8" w:color="F79646"/>
            </w:tcBorders>
            <w:gridSpan w:val="4"/>
          </w:tcPr>
          <w:p>
            <w:pPr>
              <w:ind w:left="100"/>
              <w:spacing w:after="0"/>
              <w:rPr>
                <w:sz w:val="20"/>
                <w:szCs w:val="20"/>
                <w:color w:val="auto"/>
              </w:rPr>
            </w:pPr>
            <w:r>
              <w:rPr>
                <w:rFonts w:ascii="Arial" w:cs="Arial" w:eastAsia="Arial" w:hAnsi="Arial"/>
                <w:sz w:val="13"/>
                <w:szCs w:val="13"/>
                <w:color w:val="F79646"/>
              </w:rPr>
              <w:t xml:space="preserve">&gt;   </w:t>
            </w:r>
            <w:r>
              <w:rPr>
                <w:rFonts w:ascii="Arial" w:cs="Arial" w:eastAsia="Arial" w:hAnsi="Arial"/>
                <w:sz w:val="13"/>
                <w:szCs w:val="13"/>
                <w:color w:val="000000"/>
              </w:rPr>
              <w:t>Nominating and Corporate Governance</w:t>
            </w:r>
          </w:p>
        </w:tc>
      </w:tr>
      <w:tr>
        <w:trPr>
          <w:trHeight w:val="142"/>
        </w:trPr>
        <w:tc>
          <w:tcPr>
            <w:tcW w:w="200" w:type="dxa"/>
            <w:vAlign w:val="bottom"/>
            <w:tcBorders>
              <w:left w:val="single" w:sz="8" w:color="F79646"/>
            </w:tcBorders>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tcBorders>
              <w:right w:val="single" w:sz="8" w:color="F79646"/>
            </w:tcBorders>
            <w:gridSpan w:val="2"/>
          </w:tcPr>
          <w:p>
            <w:pPr>
              <w:ind w:left="80"/>
              <w:spacing w:after="0" w:line="143" w:lineRule="exact"/>
              <w:rPr>
                <w:sz w:val="20"/>
                <w:szCs w:val="20"/>
                <w:color w:val="auto"/>
              </w:rPr>
            </w:pPr>
            <w:r>
              <w:rPr>
                <w:rFonts w:ascii="Arial" w:cs="Arial" w:eastAsia="Arial" w:hAnsi="Arial"/>
                <w:sz w:val="13"/>
                <w:szCs w:val="13"/>
                <w:color w:val="auto"/>
              </w:rPr>
              <w:t>Committee</w:t>
            </w:r>
          </w:p>
        </w:tc>
      </w:tr>
      <w:tr>
        <w:trPr>
          <w:trHeight w:val="152"/>
        </w:trPr>
        <w:tc>
          <w:tcPr>
            <w:tcW w:w="2520" w:type="dxa"/>
            <w:vAlign w:val="bottom"/>
            <w:tcBorders>
              <w:left w:val="single" w:sz="8" w:color="F79646"/>
            </w:tcBorders>
            <w:gridSpan w:val="2"/>
            <w:shd w:val="clear" w:color="auto" w:fill="FCDEC5"/>
          </w:tcPr>
          <w:p>
            <w:pPr>
              <w:ind w:left="180"/>
              <w:spacing w:after="0"/>
              <w:rPr>
                <w:sz w:val="20"/>
                <w:szCs w:val="20"/>
                <w:color w:val="auto"/>
              </w:rPr>
            </w:pPr>
            <w:r>
              <w:rPr>
                <w:rFonts w:ascii="Arial" w:cs="Arial" w:eastAsia="Arial" w:hAnsi="Arial"/>
                <w:sz w:val="13"/>
                <w:szCs w:val="13"/>
                <w:color w:val="auto"/>
              </w:rPr>
              <w:t>Jaynie Studenmund</w:t>
            </w:r>
          </w:p>
        </w:tc>
        <w:tc>
          <w:tcPr>
            <w:tcW w:w="380" w:type="dxa"/>
            <w:vAlign w:val="bottom"/>
            <w:gridSpan w:val="2"/>
            <w:shd w:val="clear" w:color="auto" w:fill="FCDEC5"/>
          </w:tcPr>
          <w:p>
            <w:pPr>
              <w:jc w:val="center"/>
              <w:ind w:left="57"/>
              <w:spacing w:after="0"/>
              <w:rPr>
                <w:sz w:val="20"/>
                <w:szCs w:val="20"/>
                <w:color w:val="auto"/>
              </w:rPr>
            </w:pPr>
            <w:r>
              <w:rPr>
                <w:rFonts w:ascii="Arial" w:cs="Arial" w:eastAsia="Arial" w:hAnsi="Arial"/>
                <w:sz w:val="13"/>
                <w:szCs w:val="13"/>
                <w:color w:val="auto"/>
                <w:w w:val="96"/>
              </w:rPr>
              <w:t>73</w:t>
            </w:r>
          </w:p>
        </w:tc>
        <w:tc>
          <w:tcPr>
            <w:tcW w:w="120" w:type="dxa"/>
            <w:vAlign w:val="bottom"/>
            <w:shd w:val="clear" w:color="auto" w:fill="FCDEC5"/>
          </w:tcPr>
          <w:p>
            <w:pPr>
              <w:spacing w:after="0"/>
              <w:rPr>
                <w:sz w:val="13"/>
                <w:szCs w:val="13"/>
                <w:color w:val="auto"/>
              </w:rPr>
            </w:pPr>
          </w:p>
        </w:tc>
        <w:tc>
          <w:tcPr>
            <w:tcW w:w="1200" w:type="dxa"/>
            <w:vAlign w:val="bottom"/>
            <w:shd w:val="clear" w:color="auto" w:fill="FCDEC5"/>
          </w:tcPr>
          <w:p>
            <w:pPr>
              <w:jc w:val="center"/>
              <w:spacing w:after="0"/>
              <w:rPr>
                <w:sz w:val="20"/>
                <w:szCs w:val="20"/>
                <w:color w:val="auto"/>
              </w:rPr>
            </w:pPr>
            <w:r>
              <w:rPr>
                <w:rFonts w:ascii="Arial" w:cs="Arial" w:eastAsia="Arial" w:hAnsi="Arial"/>
                <w:sz w:val="13"/>
                <w:szCs w:val="13"/>
                <w:color w:val="auto"/>
                <w:w w:val="97"/>
              </w:rPr>
              <w:t>September 2018</w:t>
            </w:r>
          </w:p>
        </w:tc>
        <w:tc>
          <w:tcPr>
            <w:tcW w:w="120" w:type="dxa"/>
            <w:vAlign w:val="bottom"/>
            <w:shd w:val="clear" w:color="auto" w:fill="FCDEC5"/>
          </w:tcPr>
          <w:p>
            <w:pPr>
              <w:spacing w:after="0"/>
              <w:rPr>
                <w:sz w:val="13"/>
                <w:szCs w:val="13"/>
                <w:color w:val="auto"/>
              </w:rPr>
            </w:pPr>
          </w:p>
        </w:tc>
        <w:tc>
          <w:tcPr>
            <w:tcW w:w="980" w:type="dxa"/>
            <w:vAlign w:val="bottom"/>
            <w:shd w:val="clear" w:color="auto" w:fill="FCDEC5"/>
          </w:tcPr>
          <w:p>
            <w:pPr>
              <w:jc w:val="center"/>
              <w:spacing w:after="0"/>
              <w:rPr>
                <w:sz w:val="20"/>
                <w:szCs w:val="20"/>
                <w:color w:val="auto"/>
              </w:rPr>
            </w:pPr>
            <w:r>
              <w:rPr>
                <w:rFonts w:ascii="Arial" w:cs="Arial" w:eastAsia="Arial" w:hAnsi="Arial"/>
                <w:sz w:val="13"/>
                <w:szCs w:val="13"/>
                <w:color w:val="auto"/>
                <w:w w:val="89"/>
              </w:rPr>
              <w:t>Yes</w:t>
            </w:r>
          </w:p>
        </w:tc>
        <w:tc>
          <w:tcPr>
            <w:tcW w:w="260" w:type="dxa"/>
            <w:vAlign w:val="bottom"/>
            <w:gridSpan w:val="2"/>
            <w:shd w:val="clear" w:color="auto" w:fill="FCDEC5"/>
          </w:tcPr>
          <w:p>
            <w:pPr>
              <w:ind w:left="100"/>
              <w:spacing w:after="0"/>
              <w:rPr>
                <w:sz w:val="20"/>
                <w:szCs w:val="20"/>
                <w:color w:val="auto"/>
              </w:rPr>
            </w:pPr>
            <w:r>
              <w:rPr>
                <w:rFonts w:ascii="Arial" w:cs="Arial" w:eastAsia="Arial" w:hAnsi="Arial"/>
                <w:sz w:val="13"/>
                <w:szCs w:val="13"/>
                <w:color w:val="F79646"/>
              </w:rPr>
              <w:t>&gt;</w:t>
            </w:r>
          </w:p>
        </w:tc>
        <w:tc>
          <w:tcPr>
            <w:tcW w:w="3060" w:type="dxa"/>
            <w:vAlign w:val="bottom"/>
            <w:tcBorders>
              <w:right w:val="single" w:sz="8" w:color="F79646"/>
            </w:tcBorders>
            <w:gridSpan w:val="2"/>
            <w:shd w:val="clear" w:color="auto" w:fill="FCDEC5"/>
          </w:tcPr>
          <w:p>
            <w:pPr>
              <w:ind w:left="80"/>
              <w:spacing w:after="0"/>
              <w:rPr>
                <w:sz w:val="20"/>
                <w:szCs w:val="20"/>
                <w:color w:val="auto"/>
              </w:rPr>
            </w:pPr>
            <w:r>
              <w:rPr>
                <w:rFonts w:ascii="Arial" w:cs="Arial" w:eastAsia="Arial" w:hAnsi="Arial"/>
                <w:sz w:val="13"/>
                <w:szCs w:val="13"/>
                <w:color w:val="auto"/>
              </w:rPr>
              <w:t>Audit Committee</w:t>
            </w:r>
          </w:p>
        </w:tc>
      </w:tr>
      <w:tr>
        <w:trPr>
          <w:trHeight w:val="272"/>
        </w:trPr>
        <w:tc>
          <w:tcPr>
            <w:tcW w:w="200" w:type="dxa"/>
            <w:vAlign w:val="bottom"/>
            <w:tcBorders>
              <w:left w:val="single" w:sz="8" w:color="F79646"/>
              <w:bottom w:val="single" w:sz="8" w:color="F79646"/>
            </w:tcBorders>
            <w:shd w:val="clear" w:color="auto" w:fill="FCDEC5"/>
          </w:tcPr>
          <w:p>
            <w:pPr>
              <w:spacing w:after="0"/>
              <w:rPr>
                <w:sz w:val="23"/>
                <w:szCs w:val="23"/>
                <w:color w:val="auto"/>
              </w:rPr>
            </w:pPr>
          </w:p>
        </w:tc>
        <w:tc>
          <w:tcPr>
            <w:tcW w:w="2320" w:type="dxa"/>
            <w:vAlign w:val="bottom"/>
            <w:tcBorders>
              <w:bottom w:val="single" w:sz="8" w:color="F79646"/>
            </w:tcBorders>
            <w:shd w:val="clear" w:color="auto" w:fill="FCDEC5"/>
          </w:tcPr>
          <w:p>
            <w:pPr>
              <w:spacing w:after="0"/>
              <w:rPr>
                <w:sz w:val="23"/>
                <w:szCs w:val="23"/>
                <w:color w:val="auto"/>
              </w:rPr>
            </w:pPr>
          </w:p>
        </w:tc>
        <w:tc>
          <w:tcPr>
            <w:tcW w:w="120" w:type="dxa"/>
            <w:vAlign w:val="bottom"/>
            <w:tcBorders>
              <w:bottom w:val="single" w:sz="8" w:color="F79646"/>
            </w:tcBorders>
            <w:shd w:val="clear" w:color="auto" w:fill="FCDEC5"/>
          </w:tcPr>
          <w:p>
            <w:pPr>
              <w:spacing w:after="0"/>
              <w:rPr>
                <w:sz w:val="23"/>
                <w:szCs w:val="23"/>
                <w:color w:val="auto"/>
              </w:rPr>
            </w:pPr>
          </w:p>
        </w:tc>
        <w:tc>
          <w:tcPr>
            <w:tcW w:w="260" w:type="dxa"/>
            <w:vAlign w:val="bottom"/>
            <w:tcBorders>
              <w:bottom w:val="single" w:sz="8" w:color="F79646"/>
            </w:tcBorders>
            <w:shd w:val="clear" w:color="auto" w:fill="FCDEC5"/>
          </w:tcPr>
          <w:p>
            <w:pPr>
              <w:spacing w:after="0"/>
              <w:rPr>
                <w:sz w:val="23"/>
                <w:szCs w:val="23"/>
                <w:color w:val="auto"/>
              </w:rPr>
            </w:pPr>
          </w:p>
        </w:tc>
        <w:tc>
          <w:tcPr>
            <w:tcW w:w="120" w:type="dxa"/>
            <w:vAlign w:val="bottom"/>
            <w:tcBorders>
              <w:bottom w:val="single" w:sz="8" w:color="F79646"/>
            </w:tcBorders>
            <w:shd w:val="clear" w:color="auto" w:fill="FCDEC5"/>
          </w:tcPr>
          <w:p>
            <w:pPr>
              <w:spacing w:after="0"/>
              <w:rPr>
                <w:sz w:val="23"/>
                <w:szCs w:val="23"/>
                <w:color w:val="auto"/>
              </w:rPr>
            </w:pPr>
          </w:p>
        </w:tc>
        <w:tc>
          <w:tcPr>
            <w:tcW w:w="1200" w:type="dxa"/>
            <w:vAlign w:val="bottom"/>
            <w:tcBorders>
              <w:bottom w:val="single" w:sz="8" w:color="F79646"/>
            </w:tcBorders>
            <w:shd w:val="clear" w:color="auto" w:fill="FCDEC5"/>
          </w:tcPr>
          <w:p>
            <w:pPr>
              <w:spacing w:after="0"/>
              <w:rPr>
                <w:sz w:val="23"/>
                <w:szCs w:val="23"/>
                <w:color w:val="auto"/>
              </w:rPr>
            </w:pPr>
          </w:p>
        </w:tc>
        <w:tc>
          <w:tcPr>
            <w:tcW w:w="120" w:type="dxa"/>
            <w:vAlign w:val="bottom"/>
            <w:tcBorders>
              <w:bottom w:val="single" w:sz="8" w:color="F79646"/>
            </w:tcBorders>
            <w:shd w:val="clear" w:color="auto" w:fill="FCDEC5"/>
          </w:tcPr>
          <w:p>
            <w:pPr>
              <w:spacing w:after="0"/>
              <w:rPr>
                <w:sz w:val="23"/>
                <w:szCs w:val="23"/>
                <w:color w:val="auto"/>
              </w:rPr>
            </w:pPr>
          </w:p>
        </w:tc>
        <w:tc>
          <w:tcPr>
            <w:tcW w:w="980" w:type="dxa"/>
            <w:vAlign w:val="bottom"/>
            <w:tcBorders>
              <w:bottom w:val="single" w:sz="8" w:color="F79646"/>
            </w:tcBorders>
            <w:shd w:val="clear" w:color="auto" w:fill="FCDEC5"/>
          </w:tcPr>
          <w:p>
            <w:pPr>
              <w:spacing w:after="0"/>
              <w:rPr>
                <w:sz w:val="23"/>
                <w:szCs w:val="23"/>
                <w:color w:val="auto"/>
              </w:rPr>
            </w:pPr>
          </w:p>
        </w:tc>
        <w:tc>
          <w:tcPr>
            <w:tcW w:w="260" w:type="dxa"/>
            <w:vAlign w:val="bottom"/>
            <w:tcBorders>
              <w:bottom w:val="single" w:sz="8" w:color="F79646"/>
            </w:tcBorders>
            <w:gridSpan w:val="2"/>
            <w:shd w:val="clear" w:color="auto" w:fill="FCDEC5"/>
          </w:tcPr>
          <w:p>
            <w:pPr>
              <w:ind w:left="100"/>
              <w:spacing w:after="0"/>
              <w:rPr>
                <w:sz w:val="20"/>
                <w:szCs w:val="20"/>
                <w:color w:val="auto"/>
              </w:rPr>
            </w:pPr>
            <w:r>
              <w:rPr>
                <w:rFonts w:ascii="Arial" w:cs="Arial" w:eastAsia="Arial" w:hAnsi="Arial"/>
                <w:sz w:val="13"/>
                <w:szCs w:val="13"/>
                <w:color w:val="F79646"/>
              </w:rPr>
              <w:t>&gt;</w:t>
            </w:r>
          </w:p>
        </w:tc>
        <w:tc>
          <w:tcPr>
            <w:tcW w:w="3060" w:type="dxa"/>
            <w:vAlign w:val="bottom"/>
            <w:tcBorders>
              <w:bottom w:val="single" w:sz="8" w:color="F79646"/>
              <w:right w:val="single" w:sz="8" w:color="F79646"/>
            </w:tcBorders>
            <w:gridSpan w:val="2"/>
            <w:shd w:val="clear" w:color="auto" w:fill="FCDEC5"/>
          </w:tcPr>
          <w:p>
            <w:pPr>
              <w:ind w:left="80"/>
              <w:spacing w:after="0"/>
              <w:rPr>
                <w:sz w:val="20"/>
                <w:szCs w:val="20"/>
                <w:color w:val="auto"/>
              </w:rPr>
            </w:pPr>
            <w:r>
              <w:rPr>
                <w:rFonts w:ascii="Arial" w:cs="Arial" w:eastAsia="Arial" w:hAnsi="Arial"/>
                <w:sz w:val="13"/>
                <w:szCs w:val="13"/>
                <w:color w:val="auto"/>
              </w:rPr>
              <w:t>Compensation Committee</w:t>
            </w: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Required Vote</w:t>
      </w:r>
    </w:p>
    <w:p>
      <w:pPr>
        <w:spacing w:after="0" w:line="165"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The affirmative vote of a majority of votes (meaning the number of shares voted "for" a nominee must exceed the number of shares voted "against" such nominee) cast in person or represented by proxy and entitled to vote at the Annual Meeting will elect the three nominees as Class III directors for the specified three-year term. If any nominee for director receives a greater number of votes "against" his or her election than votes "for" such election, our by-laws provide that such person shall tender to the board of directors his or her resignation as a director. Unless marked to the contrary, proxies received will be voted "FOR" the nominees.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E"/>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-100330</wp:posOffset>
            </wp:positionV>
            <wp:extent cx="4388485" cy="1162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jc w:val="center"/>
        <w:ind w:right="-180"/>
        <w:spacing w:after="0"/>
        <w:tabs>
          <w:tab w:leader="none" w:pos="200" w:val="left"/>
        </w:tabs>
        <w:rPr>
          <w:sz w:val="20"/>
          <w:szCs w:val="20"/>
          <w:color w:val="auto"/>
        </w:rPr>
      </w:pPr>
      <w:r>
        <w:rPr>
          <w:rFonts w:ascii="Arial" w:cs="Arial" w:eastAsia="Arial" w:hAnsi="Arial"/>
          <w:sz w:val="15"/>
          <w:szCs w:val="15"/>
          <w:b w:val="1"/>
          <w:bCs w:val="1"/>
          <w:color w:val="auto"/>
        </w:rPr>
        <w:t>FOR</w:t>
      </w:r>
      <w:r>
        <w:rPr>
          <w:sz w:val="20"/>
          <w:szCs w:val="20"/>
          <w:color w:val="auto"/>
        </w:rPr>
        <w:tab/>
      </w:r>
      <w:r>
        <w:rPr>
          <w:rFonts w:ascii="Arial" w:cs="Arial" w:eastAsia="Arial" w:hAnsi="Arial"/>
          <w:sz w:val="13"/>
          <w:szCs w:val="13"/>
          <w:b w:val="1"/>
          <w:bCs w:val="1"/>
          <w:color w:val="auto"/>
        </w:rPr>
        <w:t>the election of Mses. Minto and Studenmund and Mr. Kapoor as Class I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-95885</wp:posOffset>
            </wp:positionV>
            <wp:extent cx="4388485" cy="1162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PROPOSAL 3</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RATIFICATION OF THE APPOINTMENT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INDEPENDENT REGISTERED PUBLIC ACCOUNTING FIRM</w:t>
      </w:r>
    </w:p>
    <w:p>
      <w:pPr>
        <w:spacing w:after="0" w:line="166"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Our Audit Committee has appointed Deloitte &amp; Touche LLP ("Deloitte") as the independent registered public accounting firm to audit the Company's and its subsidiaries' books, records and accounts for the fiscal year 2019.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w:t>
      </w:r>
    </w:p>
    <w:p>
      <w:pPr>
        <w:spacing w:after="0" w:line="153" w:lineRule="exact"/>
        <w:rPr>
          <w:sz w:val="20"/>
          <w:szCs w:val="20"/>
          <w:color w:val="auto"/>
        </w:rPr>
      </w:pPr>
    </w:p>
    <w:p>
      <w:pPr>
        <w:jc w:val="both"/>
        <w:ind w:left="200" w:right="199"/>
        <w:spacing w:after="0" w:line="233" w:lineRule="auto"/>
        <w:rPr>
          <w:sz w:val="20"/>
          <w:szCs w:val="20"/>
          <w:color w:val="auto"/>
        </w:rPr>
      </w:pPr>
      <w:r>
        <w:rPr>
          <w:rFonts w:ascii="Arial" w:cs="Arial" w:eastAsia="Arial" w:hAnsi="Arial"/>
          <w:sz w:val="13"/>
          <w:szCs w:val="13"/>
          <w:color w:val="auto"/>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Change in Accountants</w:t>
      </w:r>
    </w:p>
    <w:p>
      <w:pPr>
        <w:spacing w:after="0" w:line="165"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Ernst &amp; Young LLP ("EY") audited our consolidated financial statements for fiscal years 2017 and 2016. On February 27, 2018, pursuant to the Audit Committee determination, the Company dismissed EY as the Company's independent registered public accounting firm. EY's reports on the Company's consolidated financial statements as of and for the fiscal year ended December 31, 2017 did not contain an adverse opinion or disclaimer of opinion, nor were they qualified or modified as to uncertainty, audit scope, or accounting principles. During the fiscal years ended December 31, 2016 and 2017, and the subsequent interim periods through February 27,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153"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In connection with the filing of the Company's Current Report on Form 8-K dated February 27, 2018 (the "Form 8-K"), the Company provided EY with a copy of the above disclosures, and requested that EY furnish a letter addressed to the SEC stating whether or not EY agrees with the statements in the immediately preceding paragraph. The Company subsequently received the requested letter, and a copy of EY's letter, dated March 1, 2018, was filed as Exhibit 16.1 to the Form 8-K.</w:t>
      </w:r>
    </w:p>
    <w:p>
      <w:pPr>
        <w:spacing w:after="0" w:line="151" w:lineRule="exact"/>
        <w:rPr>
          <w:sz w:val="20"/>
          <w:szCs w:val="20"/>
          <w:color w:val="auto"/>
        </w:rPr>
      </w:pPr>
    </w:p>
    <w:p>
      <w:pPr>
        <w:jc w:val="both"/>
        <w:ind w:left="200" w:right="179"/>
        <w:spacing w:after="0" w:line="295" w:lineRule="auto"/>
        <w:rPr>
          <w:sz w:val="20"/>
          <w:szCs w:val="20"/>
          <w:color w:val="auto"/>
        </w:rPr>
      </w:pPr>
      <w:r>
        <w:rPr>
          <w:rFonts w:ascii="Arial" w:cs="Arial" w:eastAsia="Arial" w:hAnsi="Arial"/>
          <w:sz w:val="11"/>
          <w:szCs w:val="11"/>
          <w:color w:val="auto"/>
        </w:rPr>
        <w:t>As of February 28, 2018, pursuant to the Audit Committee's determination, the Company engaged Deloitte to serve as its independent registered public accounting firm for fiscal year 2018. During the fiscal years ended December 31, 2016 and 2017 and the subsequent interim periods through February 28, 2018, neither the Company nor anyone on its behalf has consulted with Deloitte regarding: (i) the application of accounting principles to a specific</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43" w:name="page44"/>
    <w:bookmarkEnd w:id="43"/>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change in independent registered public accounting firm did not result from any dissatisfaction with the quality of professional services rendered by EY.</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Audit and Non-Audit Fees</w:t>
      </w:r>
    </w:p>
    <w:p>
      <w:pPr>
        <w:spacing w:after="0" w:line="165"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The following is a summary of the fees billed or expected to be billed to us by the Company's independent registered public accounting firm for professional services rendered in each of the last two fiscal years:</w:t>
      </w:r>
    </w:p>
    <w:p>
      <w:pPr>
        <w:spacing w:after="0" w:line="148" w:lineRule="exact"/>
        <w:rPr>
          <w:sz w:val="20"/>
          <w:szCs w:val="20"/>
          <w:color w:val="auto"/>
        </w:rPr>
      </w:pPr>
    </w:p>
    <w:tbl>
      <w:tblPr>
        <w:tblLayout w:type="fixed"/>
        <w:tblInd w:w="1070" w:type="dxa"/>
        <w:tblCellMar>
          <w:top w:w="0" w:type="dxa"/>
          <w:left w:w="0" w:type="dxa"/>
          <w:bottom w:w="0" w:type="dxa"/>
          <w:right w:w="0" w:type="dxa"/>
        </w:tblCellMar>
      </w:tblPr>
      <w:tr>
        <w:trPr>
          <w:trHeight w:val="154"/>
        </w:trPr>
        <w:tc>
          <w:tcPr>
            <w:tcW w:w="460" w:type="dxa"/>
            <w:vAlign w:val="bottom"/>
            <w:tcBorders>
              <w:left w:val="single" w:sz="8" w:color="F79646"/>
            </w:tcBorders>
            <w:shd w:val="clear" w:color="auto" w:fill="F79646"/>
          </w:tcPr>
          <w:p>
            <w:pPr>
              <w:spacing w:after="0"/>
              <w:rPr>
                <w:sz w:val="13"/>
                <w:szCs w:val="13"/>
                <w:color w:val="auto"/>
              </w:rPr>
            </w:pPr>
          </w:p>
        </w:tc>
        <w:tc>
          <w:tcPr>
            <w:tcW w:w="1140" w:type="dxa"/>
            <w:vAlign w:val="bottom"/>
            <w:shd w:val="clear" w:color="auto" w:fill="F79646"/>
          </w:tcPr>
          <w:p>
            <w:pPr>
              <w:spacing w:after="0"/>
              <w:rPr>
                <w:sz w:val="13"/>
                <w:szCs w:val="13"/>
                <w:color w:val="auto"/>
              </w:rPr>
            </w:pPr>
          </w:p>
        </w:tc>
        <w:tc>
          <w:tcPr>
            <w:tcW w:w="3320" w:type="dxa"/>
            <w:vAlign w:val="bottom"/>
            <w:shd w:val="clear" w:color="auto" w:fill="F79646"/>
          </w:tcPr>
          <w:p>
            <w:pPr>
              <w:spacing w:after="0"/>
              <w:rPr>
                <w:sz w:val="13"/>
                <w:szCs w:val="13"/>
                <w:color w:val="auto"/>
              </w:rPr>
            </w:pPr>
          </w:p>
        </w:tc>
        <w:tc>
          <w:tcPr>
            <w:tcW w:w="12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500" w:type="dxa"/>
            <w:vAlign w:val="bottom"/>
            <w:shd w:val="clear" w:color="auto" w:fill="F79646"/>
          </w:tcPr>
          <w:p>
            <w:pPr>
              <w:jc w:val="right"/>
              <w:spacing w:after="0"/>
              <w:rPr>
                <w:sz w:val="20"/>
                <w:szCs w:val="20"/>
                <w:color w:val="auto"/>
              </w:rPr>
            </w:pPr>
            <w:r>
              <w:rPr>
                <w:rFonts w:ascii="Arial" w:cs="Arial" w:eastAsia="Arial" w:hAnsi="Arial"/>
                <w:sz w:val="13"/>
                <w:szCs w:val="13"/>
                <w:b w:val="1"/>
                <w:bCs w:val="1"/>
                <w:color w:val="FFFFFE"/>
              </w:rPr>
              <w:t>Fiscal</w:t>
            </w:r>
          </w:p>
        </w:tc>
        <w:tc>
          <w:tcPr>
            <w:tcW w:w="12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860" w:type="dxa"/>
            <w:vAlign w:val="bottom"/>
            <w:tcBorders>
              <w:right w:val="single" w:sz="8" w:color="F79646"/>
            </w:tcBorders>
            <w:gridSpan w:val="3"/>
            <w:shd w:val="clear" w:color="auto" w:fill="F79646"/>
          </w:tcPr>
          <w:p>
            <w:pPr>
              <w:ind w:left="140"/>
              <w:spacing w:after="0"/>
              <w:rPr>
                <w:sz w:val="20"/>
                <w:szCs w:val="20"/>
                <w:color w:val="auto"/>
              </w:rPr>
            </w:pPr>
            <w:r>
              <w:rPr>
                <w:rFonts w:ascii="Arial" w:cs="Arial" w:eastAsia="Arial" w:hAnsi="Arial"/>
                <w:sz w:val="13"/>
                <w:szCs w:val="13"/>
                <w:b w:val="1"/>
                <w:bCs w:val="1"/>
                <w:color w:val="FFFFFE"/>
              </w:rPr>
              <w:t>Fiscal</w:t>
            </w:r>
          </w:p>
        </w:tc>
      </w:tr>
      <w:tr>
        <w:trPr>
          <w:trHeight w:val="173"/>
        </w:trPr>
        <w:tc>
          <w:tcPr>
            <w:tcW w:w="460" w:type="dxa"/>
            <w:vAlign w:val="bottom"/>
            <w:tcBorders>
              <w:left w:val="single" w:sz="8" w:color="F79646"/>
              <w:bottom w:val="single" w:sz="8" w:color="F79646"/>
            </w:tcBorders>
            <w:shd w:val="clear" w:color="auto" w:fill="F79646"/>
          </w:tcPr>
          <w:p>
            <w:pPr>
              <w:spacing w:after="0"/>
              <w:rPr>
                <w:sz w:val="15"/>
                <w:szCs w:val="15"/>
                <w:color w:val="auto"/>
              </w:rPr>
            </w:pPr>
          </w:p>
        </w:tc>
        <w:tc>
          <w:tcPr>
            <w:tcW w:w="1140" w:type="dxa"/>
            <w:vAlign w:val="bottom"/>
            <w:tcBorders>
              <w:bottom w:val="single" w:sz="8" w:color="auto"/>
            </w:tcBorders>
            <w:shd w:val="clear" w:color="auto" w:fill="F79646"/>
          </w:tcPr>
          <w:p>
            <w:pPr>
              <w:spacing w:after="0"/>
              <w:rPr>
                <w:sz w:val="15"/>
                <w:szCs w:val="15"/>
                <w:color w:val="auto"/>
              </w:rPr>
            </w:pPr>
          </w:p>
        </w:tc>
        <w:tc>
          <w:tcPr>
            <w:tcW w:w="3320" w:type="dxa"/>
            <w:vAlign w:val="bottom"/>
            <w:tcBorders>
              <w:bottom w:val="single" w:sz="8" w:color="auto"/>
            </w:tcBorders>
            <w:shd w:val="clear" w:color="auto" w:fill="F79646"/>
          </w:tcPr>
          <w:p>
            <w:pPr>
              <w:ind w:left="700"/>
              <w:spacing w:after="0"/>
              <w:rPr>
                <w:sz w:val="20"/>
                <w:szCs w:val="20"/>
                <w:color w:val="auto"/>
              </w:rPr>
            </w:pPr>
            <w:r>
              <w:rPr>
                <w:rFonts w:ascii="Arial" w:cs="Arial" w:eastAsia="Arial" w:hAnsi="Arial"/>
                <w:sz w:val="13"/>
                <w:szCs w:val="13"/>
                <w:b w:val="1"/>
                <w:bCs w:val="1"/>
                <w:color w:val="FFFFFE"/>
              </w:rPr>
              <w:t>Fee Category</w:t>
            </w:r>
          </w:p>
        </w:tc>
        <w:tc>
          <w:tcPr>
            <w:tcW w:w="120" w:type="dxa"/>
            <w:vAlign w:val="bottom"/>
            <w:tcBorders>
              <w:bottom w:val="single" w:sz="8" w:color="F79646"/>
            </w:tcBorders>
            <w:shd w:val="clear" w:color="auto" w:fill="F79646"/>
          </w:tcPr>
          <w:p>
            <w:pPr>
              <w:spacing w:after="0"/>
              <w:rPr>
                <w:sz w:val="15"/>
                <w:szCs w:val="15"/>
                <w:color w:val="auto"/>
              </w:rPr>
            </w:pPr>
          </w:p>
        </w:tc>
        <w:tc>
          <w:tcPr>
            <w:tcW w:w="200" w:type="dxa"/>
            <w:vAlign w:val="bottom"/>
            <w:tcBorders>
              <w:bottom w:val="single" w:sz="8" w:color="auto"/>
            </w:tcBorders>
            <w:shd w:val="clear" w:color="auto" w:fill="F79646"/>
          </w:tcPr>
          <w:p>
            <w:pPr>
              <w:spacing w:after="0"/>
              <w:rPr>
                <w:sz w:val="15"/>
                <w:szCs w:val="15"/>
                <w:color w:val="auto"/>
              </w:rPr>
            </w:pPr>
          </w:p>
        </w:tc>
        <w:tc>
          <w:tcPr>
            <w:tcW w:w="500" w:type="dxa"/>
            <w:vAlign w:val="bottom"/>
            <w:tcBorders>
              <w:bottom w:val="single" w:sz="8" w:color="auto"/>
            </w:tcBorders>
            <w:shd w:val="clear" w:color="auto" w:fill="F79646"/>
          </w:tcPr>
          <w:p>
            <w:pPr>
              <w:jc w:val="right"/>
              <w:spacing w:after="0"/>
              <w:rPr>
                <w:sz w:val="20"/>
                <w:szCs w:val="20"/>
                <w:color w:val="auto"/>
              </w:rPr>
            </w:pPr>
            <w:r>
              <w:rPr>
                <w:rFonts w:ascii="Arial" w:cs="Arial" w:eastAsia="Arial" w:hAnsi="Arial"/>
                <w:sz w:val="13"/>
                <w:szCs w:val="13"/>
                <w:b w:val="1"/>
                <w:bCs w:val="1"/>
                <w:color w:val="FFFFFE"/>
              </w:rPr>
              <w:t>2018</w:t>
            </w:r>
          </w:p>
        </w:tc>
        <w:tc>
          <w:tcPr>
            <w:tcW w:w="120" w:type="dxa"/>
            <w:vAlign w:val="bottom"/>
            <w:tcBorders>
              <w:bottom w:val="single" w:sz="8" w:color="F79646"/>
            </w:tcBorders>
            <w:shd w:val="clear" w:color="auto" w:fill="F79646"/>
          </w:tcPr>
          <w:p>
            <w:pPr>
              <w:spacing w:after="0"/>
              <w:rPr>
                <w:sz w:val="15"/>
                <w:szCs w:val="15"/>
                <w:color w:val="auto"/>
              </w:rPr>
            </w:pPr>
          </w:p>
        </w:tc>
        <w:tc>
          <w:tcPr>
            <w:tcW w:w="200" w:type="dxa"/>
            <w:vAlign w:val="bottom"/>
            <w:tcBorders>
              <w:bottom w:val="single" w:sz="8" w:color="auto"/>
            </w:tcBorders>
            <w:shd w:val="clear" w:color="auto" w:fill="F79646"/>
          </w:tcPr>
          <w:p>
            <w:pPr>
              <w:spacing w:after="0"/>
              <w:rPr>
                <w:sz w:val="15"/>
                <w:szCs w:val="15"/>
                <w:color w:val="auto"/>
              </w:rPr>
            </w:pPr>
          </w:p>
        </w:tc>
        <w:tc>
          <w:tcPr>
            <w:tcW w:w="540" w:type="dxa"/>
            <w:vAlign w:val="bottom"/>
            <w:tcBorders>
              <w:bottom w:val="single" w:sz="8" w:color="auto"/>
            </w:tcBorders>
            <w:shd w:val="clear" w:color="auto" w:fill="F79646"/>
          </w:tcPr>
          <w:p>
            <w:pPr>
              <w:jc w:val="right"/>
              <w:spacing w:after="0" w:line="173" w:lineRule="exact"/>
              <w:rPr>
                <w:sz w:val="20"/>
                <w:szCs w:val="20"/>
                <w:color w:val="auto"/>
              </w:rPr>
            </w:pPr>
            <w:r>
              <w:rPr>
                <w:rFonts w:ascii="Arial" w:cs="Arial" w:eastAsia="Arial" w:hAnsi="Arial"/>
                <w:sz w:val="13"/>
                <w:szCs w:val="13"/>
                <w:b w:val="1"/>
                <w:bCs w:val="1"/>
                <w:color w:val="FFFFFE"/>
              </w:rPr>
              <w:t>2017</w:t>
            </w:r>
            <w:r>
              <w:rPr>
                <w:rFonts w:ascii="Arial" w:cs="Arial" w:eastAsia="Arial" w:hAnsi="Arial"/>
                <w:sz w:val="20"/>
                <w:szCs w:val="20"/>
                <w:b w:val="1"/>
                <w:bCs w:val="1"/>
                <w:color w:val="FFFFFE"/>
                <w:vertAlign w:val="superscript"/>
              </w:rPr>
              <w:t>(1)</w:t>
            </w:r>
          </w:p>
        </w:tc>
        <w:tc>
          <w:tcPr>
            <w:tcW w:w="120" w:type="dxa"/>
            <w:vAlign w:val="bottom"/>
            <w:tcBorders>
              <w:bottom w:val="single" w:sz="8" w:color="F79646"/>
            </w:tcBorders>
            <w:shd w:val="clear" w:color="auto" w:fill="F79646"/>
          </w:tcPr>
          <w:p>
            <w:pPr>
              <w:spacing w:after="0"/>
              <w:rPr>
                <w:sz w:val="15"/>
                <w:szCs w:val="15"/>
                <w:color w:val="auto"/>
              </w:rPr>
            </w:pPr>
          </w:p>
        </w:tc>
        <w:tc>
          <w:tcPr>
            <w:tcW w:w="200" w:type="dxa"/>
            <w:vAlign w:val="bottom"/>
            <w:tcBorders>
              <w:bottom w:val="single" w:sz="8" w:color="F79646"/>
              <w:right w:val="single" w:sz="8" w:color="F79646"/>
            </w:tcBorders>
            <w:shd w:val="clear" w:color="auto" w:fill="F79646"/>
          </w:tcPr>
          <w:p>
            <w:pPr>
              <w:spacing w:after="0"/>
              <w:rPr>
                <w:sz w:val="15"/>
                <w:szCs w:val="15"/>
                <w:color w:val="auto"/>
              </w:rPr>
            </w:pPr>
          </w:p>
        </w:tc>
      </w:tr>
      <w:tr>
        <w:trPr>
          <w:trHeight w:val="144"/>
        </w:trPr>
        <w:tc>
          <w:tcPr>
            <w:tcW w:w="460" w:type="dxa"/>
            <w:vAlign w:val="bottom"/>
            <w:tcBorders>
              <w:left w:val="single" w:sz="8" w:color="F79646"/>
            </w:tcBorders>
            <w:shd w:val="clear" w:color="auto" w:fill="F79646"/>
          </w:tcPr>
          <w:p>
            <w:pPr>
              <w:spacing w:after="0"/>
              <w:rPr>
                <w:sz w:val="12"/>
                <w:szCs w:val="12"/>
                <w:color w:val="auto"/>
              </w:rPr>
            </w:pPr>
          </w:p>
        </w:tc>
        <w:tc>
          <w:tcPr>
            <w:tcW w:w="1140" w:type="dxa"/>
            <w:vAlign w:val="bottom"/>
            <w:shd w:val="clear" w:color="auto" w:fill="F79646"/>
          </w:tcPr>
          <w:p>
            <w:pPr>
              <w:spacing w:after="0"/>
              <w:rPr>
                <w:sz w:val="12"/>
                <w:szCs w:val="12"/>
                <w:color w:val="auto"/>
              </w:rPr>
            </w:pPr>
          </w:p>
        </w:tc>
        <w:tc>
          <w:tcPr>
            <w:tcW w:w="3320" w:type="dxa"/>
            <w:vAlign w:val="bottom"/>
            <w:shd w:val="clear" w:color="auto" w:fill="F79646"/>
          </w:tcPr>
          <w:p>
            <w:pPr>
              <w:spacing w:after="0"/>
              <w:rPr>
                <w:sz w:val="12"/>
                <w:szCs w:val="12"/>
                <w:color w:val="auto"/>
              </w:rPr>
            </w:pPr>
          </w:p>
        </w:tc>
        <w:tc>
          <w:tcPr>
            <w:tcW w:w="120" w:type="dxa"/>
            <w:vAlign w:val="bottom"/>
            <w:shd w:val="clear" w:color="auto" w:fill="F79646"/>
          </w:tcPr>
          <w:p>
            <w:pPr>
              <w:spacing w:after="0"/>
              <w:rPr>
                <w:sz w:val="12"/>
                <w:szCs w:val="12"/>
                <w:color w:val="auto"/>
              </w:rPr>
            </w:pPr>
          </w:p>
        </w:tc>
        <w:tc>
          <w:tcPr>
            <w:tcW w:w="200" w:type="dxa"/>
            <w:vAlign w:val="bottom"/>
            <w:shd w:val="clear" w:color="auto" w:fill="F79646"/>
          </w:tcPr>
          <w:p>
            <w:pPr>
              <w:spacing w:after="0"/>
              <w:rPr>
                <w:sz w:val="12"/>
                <w:szCs w:val="12"/>
                <w:color w:val="auto"/>
              </w:rPr>
            </w:pPr>
          </w:p>
        </w:tc>
        <w:tc>
          <w:tcPr>
            <w:tcW w:w="1360" w:type="dxa"/>
            <w:vAlign w:val="bottom"/>
            <w:gridSpan w:val="4"/>
            <w:shd w:val="clear" w:color="auto" w:fill="F79646"/>
          </w:tcPr>
          <w:p>
            <w:pPr>
              <w:jc w:val="right"/>
              <w:ind w:right="137"/>
              <w:spacing w:after="0" w:line="144" w:lineRule="exact"/>
              <w:rPr>
                <w:sz w:val="20"/>
                <w:szCs w:val="20"/>
                <w:color w:val="auto"/>
              </w:rPr>
            </w:pPr>
            <w:r>
              <w:rPr>
                <w:rFonts w:ascii="Arial" w:cs="Arial" w:eastAsia="Arial" w:hAnsi="Arial"/>
                <w:sz w:val="13"/>
                <w:szCs w:val="13"/>
                <w:b w:val="1"/>
                <w:bCs w:val="1"/>
                <w:color w:val="FFFFFE"/>
              </w:rPr>
              <w:t>(in thousands)</w:t>
            </w:r>
          </w:p>
        </w:tc>
        <w:tc>
          <w:tcPr>
            <w:tcW w:w="120" w:type="dxa"/>
            <w:vAlign w:val="bottom"/>
            <w:shd w:val="clear" w:color="auto" w:fill="F79646"/>
          </w:tcPr>
          <w:p>
            <w:pPr>
              <w:spacing w:after="0"/>
              <w:rPr>
                <w:sz w:val="12"/>
                <w:szCs w:val="12"/>
                <w:color w:val="auto"/>
              </w:rPr>
            </w:pPr>
          </w:p>
        </w:tc>
        <w:tc>
          <w:tcPr>
            <w:tcW w:w="200" w:type="dxa"/>
            <w:vAlign w:val="bottom"/>
            <w:tcBorders>
              <w:right w:val="single" w:sz="8" w:color="F79646"/>
            </w:tcBorders>
            <w:shd w:val="clear" w:color="auto" w:fill="F79646"/>
          </w:tcPr>
          <w:p>
            <w:pPr>
              <w:spacing w:after="0"/>
              <w:rPr>
                <w:sz w:val="12"/>
                <w:szCs w:val="12"/>
                <w:color w:val="auto"/>
              </w:rPr>
            </w:pPr>
          </w:p>
        </w:tc>
      </w:tr>
      <w:tr>
        <w:trPr>
          <w:trHeight w:val="144"/>
        </w:trPr>
        <w:tc>
          <w:tcPr>
            <w:tcW w:w="460" w:type="dxa"/>
            <w:vAlign w:val="bottom"/>
            <w:tcBorders>
              <w:left w:val="single" w:sz="8" w:color="F79646"/>
            </w:tcBorders>
            <w:shd w:val="clear" w:color="auto" w:fill="FCDEC5"/>
          </w:tcPr>
          <w:p>
            <w:pPr>
              <w:spacing w:after="0"/>
              <w:rPr>
                <w:sz w:val="12"/>
                <w:szCs w:val="12"/>
                <w:color w:val="auto"/>
              </w:rPr>
            </w:pPr>
          </w:p>
        </w:tc>
        <w:tc>
          <w:tcPr>
            <w:tcW w:w="4460" w:type="dxa"/>
            <w:vAlign w:val="bottom"/>
            <w:gridSpan w:val="2"/>
            <w:shd w:val="clear" w:color="auto" w:fill="FCDEC5"/>
          </w:tcPr>
          <w:p>
            <w:pPr>
              <w:spacing w:after="0" w:line="144" w:lineRule="exact"/>
              <w:rPr>
                <w:sz w:val="20"/>
                <w:szCs w:val="20"/>
                <w:color w:val="auto"/>
              </w:rPr>
            </w:pPr>
            <w:r>
              <w:rPr>
                <w:rFonts w:ascii="Arial" w:cs="Arial" w:eastAsia="Arial" w:hAnsi="Arial"/>
                <w:sz w:val="13"/>
                <w:szCs w:val="13"/>
                <w:b w:val="1"/>
                <w:bCs w:val="1"/>
                <w:color w:val="auto"/>
              </w:rPr>
              <w:t>Audit Fees</w:t>
            </w:r>
          </w:p>
        </w:tc>
        <w:tc>
          <w:tcPr>
            <w:tcW w:w="320" w:type="dxa"/>
            <w:vAlign w:val="bottom"/>
            <w:gridSpan w:val="2"/>
            <w:shd w:val="clear" w:color="auto" w:fill="FCDEC5"/>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50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1,425</w:t>
            </w:r>
          </w:p>
        </w:tc>
        <w:tc>
          <w:tcPr>
            <w:tcW w:w="320" w:type="dxa"/>
            <w:vAlign w:val="bottom"/>
            <w:gridSpan w:val="2"/>
            <w:shd w:val="clear" w:color="auto" w:fill="FCDEC5"/>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79646"/>
            </w:tcBorders>
            <w:gridSpan w:val="3"/>
            <w:shd w:val="clear" w:color="auto" w:fill="FCDEC5"/>
          </w:tcPr>
          <w:p>
            <w:pPr>
              <w:jc w:val="right"/>
              <w:ind w:right="320"/>
              <w:spacing w:after="0" w:line="144" w:lineRule="exact"/>
              <w:rPr>
                <w:sz w:val="20"/>
                <w:szCs w:val="20"/>
                <w:color w:val="auto"/>
              </w:rPr>
            </w:pPr>
            <w:r>
              <w:rPr>
                <w:rFonts w:ascii="Arial" w:cs="Arial" w:eastAsia="Arial" w:hAnsi="Arial"/>
                <w:sz w:val="13"/>
                <w:szCs w:val="13"/>
                <w:color w:val="auto"/>
              </w:rPr>
              <w:t>—</w:t>
            </w:r>
          </w:p>
        </w:tc>
      </w:tr>
      <w:tr>
        <w:trPr>
          <w:trHeight w:val="144"/>
        </w:trPr>
        <w:tc>
          <w:tcPr>
            <w:tcW w:w="4920" w:type="dxa"/>
            <w:vAlign w:val="bottom"/>
            <w:tcBorders>
              <w:left w:val="single" w:sz="8" w:color="F79646"/>
            </w:tcBorders>
            <w:gridSpan w:val="3"/>
          </w:tcPr>
          <w:p>
            <w:pPr>
              <w:ind w:left="460"/>
              <w:spacing w:after="0" w:line="144" w:lineRule="exact"/>
              <w:rPr>
                <w:sz w:val="20"/>
                <w:szCs w:val="20"/>
                <w:color w:val="auto"/>
              </w:rPr>
            </w:pPr>
            <w:r>
              <w:rPr>
                <w:rFonts w:ascii="Arial" w:cs="Arial" w:eastAsia="Arial" w:hAnsi="Arial"/>
                <w:sz w:val="13"/>
                <w:szCs w:val="13"/>
                <w:b w:val="1"/>
                <w:bCs w:val="1"/>
                <w:color w:val="auto"/>
              </w:rPr>
              <w:t>Audit-Related Fees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F79646"/>
            </w:tcBorders>
            <w:gridSpan w:val="3"/>
          </w:tcPr>
          <w:p>
            <w:pPr>
              <w:jc w:val="right"/>
              <w:ind w:right="320"/>
              <w:spacing w:after="0" w:line="144" w:lineRule="exact"/>
              <w:rPr>
                <w:sz w:val="20"/>
                <w:szCs w:val="20"/>
                <w:color w:val="auto"/>
              </w:rPr>
            </w:pPr>
            <w:r>
              <w:rPr>
                <w:rFonts w:ascii="Arial" w:cs="Arial" w:eastAsia="Arial" w:hAnsi="Arial"/>
                <w:sz w:val="13"/>
                <w:szCs w:val="13"/>
                <w:color w:val="auto"/>
              </w:rPr>
              <w:t>—</w:t>
            </w:r>
          </w:p>
        </w:tc>
      </w:tr>
      <w:tr>
        <w:trPr>
          <w:trHeight w:val="144"/>
        </w:trPr>
        <w:tc>
          <w:tcPr>
            <w:tcW w:w="4920" w:type="dxa"/>
            <w:vAlign w:val="bottom"/>
            <w:tcBorders>
              <w:left w:val="single" w:sz="8" w:color="F79646"/>
            </w:tcBorders>
            <w:gridSpan w:val="3"/>
            <w:shd w:val="clear" w:color="auto" w:fill="FCDEC5"/>
          </w:tcPr>
          <w:p>
            <w:pPr>
              <w:ind w:left="460"/>
              <w:spacing w:after="0" w:line="144" w:lineRule="exact"/>
              <w:rPr>
                <w:sz w:val="20"/>
                <w:szCs w:val="20"/>
                <w:color w:val="auto"/>
              </w:rPr>
            </w:pPr>
            <w:r>
              <w:rPr>
                <w:rFonts w:ascii="Arial" w:cs="Arial" w:eastAsia="Arial" w:hAnsi="Arial"/>
                <w:sz w:val="13"/>
                <w:szCs w:val="13"/>
                <w:b w:val="1"/>
                <w:bCs w:val="1"/>
                <w:color w:val="auto"/>
              </w:rPr>
              <w:t>Tax Fees</w:t>
            </w:r>
          </w:p>
        </w:tc>
        <w:tc>
          <w:tcPr>
            <w:tcW w:w="120" w:type="dxa"/>
            <w:vAlign w:val="bottom"/>
            <w:shd w:val="clear" w:color="auto" w:fill="FCDEC5"/>
          </w:tcPr>
          <w:p>
            <w:pPr>
              <w:spacing w:after="0"/>
              <w:rPr>
                <w:sz w:val="12"/>
                <w:szCs w:val="12"/>
                <w:color w:val="auto"/>
              </w:rPr>
            </w:pPr>
          </w:p>
        </w:tc>
        <w:tc>
          <w:tcPr>
            <w:tcW w:w="200" w:type="dxa"/>
            <w:vAlign w:val="bottom"/>
            <w:shd w:val="clear" w:color="auto" w:fill="FCDEC5"/>
          </w:tcPr>
          <w:p>
            <w:pPr>
              <w:spacing w:after="0"/>
              <w:rPr>
                <w:sz w:val="12"/>
                <w:szCs w:val="12"/>
                <w:color w:val="auto"/>
              </w:rPr>
            </w:pPr>
          </w:p>
        </w:tc>
        <w:tc>
          <w:tcPr>
            <w:tcW w:w="50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523</w:t>
            </w:r>
          </w:p>
        </w:tc>
        <w:tc>
          <w:tcPr>
            <w:tcW w:w="120" w:type="dxa"/>
            <w:vAlign w:val="bottom"/>
            <w:shd w:val="clear" w:color="auto" w:fill="FCDEC5"/>
          </w:tcPr>
          <w:p>
            <w:pPr>
              <w:spacing w:after="0"/>
              <w:rPr>
                <w:sz w:val="12"/>
                <w:szCs w:val="12"/>
                <w:color w:val="auto"/>
              </w:rPr>
            </w:pPr>
          </w:p>
        </w:tc>
        <w:tc>
          <w:tcPr>
            <w:tcW w:w="200" w:type="dxa"/>
            <w:vAlign w:val="bottom"/>
            <w:shd w:val="clear" w:color="auto" w:fill="FCDEC5"/>
          </w:tcPr>
          <w:p>
            <w:pPr>
              <w:spacing w:after="0"/>
              <w:rPr>
                <w:sz w:val="12"/>
                <w:szCs w:val="12"/>
                <w:color w:val="auto"/>
              </w:rPr>
            </w:pPr>
          </w:p>
        </w:tc>
        <w:tc>
          <w:tcPr>
            <w:tcW w:w="540" w:type="dxa"/>
            <w:vAlign w:val="bottom"/>
            <w:shd w:val="clear" w:color="auto" w:fill="FCDEC5"/>
          </w:tcPr>
          <w:p>
            <w:pPr>
              <w:jc w:val="right"/>
              <w:spacing w:after="0" w:line="144" w:lineRule="exact"/>
              <w:rPr>
                <w:sz w:val="20"/>
                <w:szCs w:val="20"/>
                <w:color w:val="auto"/>
              </w:rPr>
            </w:pPr>
            <w:r>
              <w:rPr>
                <w:rFonts w:ascii="Arial" w:cs="Arial" w:eastAsia="Arial" w:hAnsi="Arial"/>
                <w:sz w:val="13"/>
                <w:szCs w:val="13"/>
                <w:color w:val="auto"/>
              </w:rPr>
              <w:t>862</w:t>
            </w:r>
          </w:p>
        </w:tc>
        <w:tc>
          <w:tcPr>
            <w:tcW w:w="120" w:type="dxa"/>
            <w:vAlign w:val="bottom"/>
            <w:shd w:val="clear" w:color="auto" w:fill="FCDEC5"/>
          </w:tcPr>
          <w:p>
            <w:pPr>
              <w:spacing w:after="0"/>
              <w:rPr>
                <w:sz w:val="12"/>
                <w:szCs w:val="12"/>
                <w:color w:val="auto"/>
              </w:rPr>
            </w:pPr>
          </w:p>
        </w:tc>
        <w:tc>
          <w:tcPr>
            <w:tcW w:w="200" w:type="dxa"/>
            <w:vAlign w:val="bottom"/>
            <w:tcBorders>
              <w:right w:val="single" w:sz="8" w:color="F79646"/>
            </w:tcBorders>
            <w:shd w:val="clear" w:color="auto" w:fill="FCDEC5"/>
          </w:tcPr>
          <w:p>
            <w:pPr>
              <w:spacing w:after="0"/>
              <w:rPr>
                <w:sz w:val="12"/>
                <w:szCs w:val="12"/>
                <w:color w:val="auto"/>
              </w:rPr>
            </w:pPr>
          </w:p>
        </w:tc>
      </w:tr>
      <w:tr>
        <w:trPr>
          <w:trHeight w:val="144"/>
        </w:trPr>
        <w:tc>
          <w:tcPr>
            <w:tcW w:w="4920" w:type="dxa"/>
            <w:vAlign w:val="bottom"/>
            <w:tcBorders>
              <w:left w:val="single" w:sz="8" w:color="F79646"/>
            </w:tcBorders>
            <w:gridSpan w:val="3"/>
          </w:tcPr>
          <w:p>
            <w:pPr>
              <w:ind w:left="460"/>
              <w:spacing w:after="0" w:line="144" w:lineRule="exact"/>
              <w:rPr>
                <w:sz w:val="20"/>
                <w:szCs w:val="20"/>
                <w:color w:val="auto"/>
              </w:rPr>
            </w:pPr>
            <w:r>
              <w:rPr>
                <w:rFonts w:ascii="Arial" w:cs="Arial" w:eastAsia="Arial" w:hAnsi="Arial"/>
                <w:sz w:val="13"/>
                <w:szCs w:val="13"/>
                <w:b w:val="1"/>
                <w:bCs w:val="1"/>
                <w:color w:val="auto"/>
              </w:rPr>
              <w:t>All Other Fees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124</w:t>
            </w:r>
          </w:p>
        </w:tc>
        <w:tc>
          <w:tcPr>
            <w:tcW w:w="120" w:type="dxa"/>
            <w:vAlign w:val="bottom"/>
          </w:tcPr>
          <w:p>
            <w:pPr>
              <w:spacing w:after="0"/>
              <w:rPr>
                <w:sz w:val="12"/>
                <w:szCs w:val="12"/>
                <w:color w:val="auto"/>
              </w:rPr>
            </w:pPr>
          </w:p>
        </w:tc>
        <w:tc>
          <w:tcPr>
            <w:tcW w:w="200" w:type="dxa"/>
            <w:vAlign w:val="bottom"/>
            <w:tcBorders>
              <w:right w:val="single" w:sz="8" w:color="F79646"/>
            </w:tcBorders>
          </w:tcPr>
          <w:p>
            <w:pPr>
              <w:spacing w:after="0"/>
              <w:rPr>
                <w:sz w:val="12"/>
                <w:szCs w:val="12"/>
                <w:color w:val="auto"/>
              </w:rPr>
            </w:pPr>
          </w:p>
        </w:tc>
      </w:tr>
      <w:tr>
        <w:trPr>
          <w:trHeight w:val="144"/>
        </w:trPr>
        <w:tc>
          <w:tcPr>
            <w:tcW w:w="4920" w:type="dxa"/>
            <w:vAlign w:val="bottom"/>
            <w:tcBorders>
              <w:left w:val="single" w:sz="8" w:color="F79646"/>
              <w:bottom w:val="single" w:sz="8" w:color="F79646"/>
            </w:tcBorders>
            <w:gridSpan w:val="3"/>
            <w:shd w:val="clear" w:color="auto" w:fill="FCDEC5"/>
          </w:tcPr>
          <w:p>
            <w:pPr>
              <w:ind w:left="460"/>
              <w:spacing w:after="0" w:line="144" w:lineRule="exact"/>
              <w:rPr>
                <w:sz w:val="20"/>
                <w:szCs w:val="20"/>
                <w:color w:val="auto"/>
              </w:rPr>
            </w:pPr>
            <w:r>
              <w:rPr>
                <w:rFonts w:ascii="Arial" w:cs="Arial" w:eastAsia="Arial" w:hAnsi="Arial"/>
                <w:sz w:val="13"/>
                <w:szCs w:val="13"/>
                <w:b w:val="1"/>
                <w:bCs w:val="1"/>
                <w:color w:val="auto"/>
              </w:rPr>
              <w:t>Total Fees</w:t>
            </w:r>
          </w:p>
        </w:tc>
        <w:tc>
          <w:tcPr>
            <w:tcW w:w="320" w:type="dxa"/>
            <w:vAlign w:val="bottom"/>
            <w:tcBorders>
              <w:bottom w:val="single" w:sz="8" w:color="F79646"/>
            </w:tcBorders>
            <w:gridSpan w:val="2"/>
            <w:shd w:val="clear" w:color="auto" w:fill="FCDEC5"/>
          </w:tcPr>
          <w:p>
            <w:pPr>
              <w:jc w:val="right"/>
              <w:ind w:right="120"/>
              <w:spacing w:after="0" w:line="144"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F79646"/>
            </w:tcBorders>
            <w:shd w:val="clear" w:color="auto" w:fill="FCDEC5"/>
          </w:tcPr>
          <w:p>
            <w:pPr>
              <w:jc w:val="right"/>
              <w:spacing w:after="0" w:line="144" w:lineRule="exact"/>
              <w:rPr>
                <w:sz w:val="20"/>
                <w:szCs w:val="20"/>
                <w:color w:val="auto"/>
              </w:rPr>
            </w:pPr>
            <w:r>
              <w:rPr>
                <w:rFonts w:ascii="Arial" w:cs="Arial" w:eastAsia="Arial" w:hAnsi="Arial"/>
                <w:sz w:val="13"/>
                <w:szCs w:val="13"/>
                <w:b w:val="1"/>
                <w:bCs w:val="1"/>
                <w:color w:val="auto"/>
              </w:rPr>
              <w:t>2,002</w:t>
            </w:r>
          </w:p>
        </w:tc>
        <w:tc>
          <w:tcPr>
            <w:tcW w:w="320" w:type="dxa"/>
            <w:vAlign w:val="bottom"/>
            <w:tcBorders>
              <w:bottom w:val="single" w:sz="8" w:color="F79646"/>
            </w:tcBorders>
            <w:gridSpan w:val="2"/>
            <w:shd w:val="clear" w:color="auto" w:fill="FCDEC5"/>
          </w:tcPr>
          <w:p>
            <w:pPr>
              <w:jc w:val="right"/>
              <w:ind w:right="140"/>
              <w:spacing w:after="0" w:line="144"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F79646"/>
            </w:tcBorders>
            <w:shd w:val="clear" w:color="auto" w:fill="FCDEC5"/>
          </w:tcPr>
          <w:p>
            <w:pPr>
              <w:jc w:val="right"/>
              <w:spacing w:after="0" w:line="144" w:lineRule="exact"/>
              <w:rPr>
                <w:sz w:val="20"/>
                <w:szCs w:val="20"/>
                <w:color w:val="auto"/>
              </w:rPr>
            </w:pPr>
            <w:r>
              <w:rPr>
                <w:rFonts w:ascii="Arial" w:cs="Arial" w:eastAsia="Arial" w:hAnsi="Arial"/>
                <w:sz w:val="13"/>
                <w:szCs w:val="13"/>
                <w:b w:val="1"/>
                <w:bCs w:val="1"/>
                <w:color w:val="auto"/>
              </w:rPr>
              <w:t>986</w:t>
            </w:r>
          </w:p>
        </w:tc>
        <w:tc>
          <w:tcPr>
            <w:tcW w:w="120" w:type="dxa"/>
            <w:vAlign w:val="bottom"/>
            <w:tcBorders>
              <w:bottom w:val="single" w:sz="8" w:color="F79646"/>
            </w:tcBorders>
            <w:shd w:val="clear" w:color="auto" w:fill="FCDEC5"/>
          </w:tcPr>
          <w:p>
            <w:pPr>
              <w:spacing w:after="0"/>
              <w:rPr>
                <w:sz w:val="12"/>
                <w:szCs w:val="12"/>
                <w:color w:val="auto"/>
              </w:rPr>
            </w:pPr>
          </w:p>
        </w:tc>
        <w:tc>
          <w:tcPr>
            <w:tcW w:w="200" w:type="dxa"/>
            <w:vAlign w:val="bottom"/>
            <w:tcBorders>
              <w:bottom w:val="single" w:sz="8" w:color="F79646"/>
              <w:right w:val="single" w:sz="8" w:color="F79646"/>
            </w:tcBorders>
            <w:shd w:val="clear" w:color="auto" w:fill="FCDEC5"/>
          </w:tcPr>
          <w:p>
            <w:pPr>
              <w:spacing w:after="0"/>
              <w:rPr>
                <w:sz w:val="12"/>
                <w:szCs w:val="12"/>
                <w:color w:val="auto"/>
              </w:rPr>
            </w:pPr>
          </w:p>
        </w:tc>
      </w:tr>
      <w:tr>
        <w:trPr>
          <w:trHeight w:val="67"/>
        </w:trPr>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r>
    </w:tbl>
    <w:p>
      <w:pPr>
        <w:spacing w:after="0" w:line="156" w:lineRule="exact"/>
        <w:rPr>
          <w:sz w:val="20"/>
          <w:szCs w:val="20"/>
          <w:color w:val="auto"/>
        </w:rPr>
      </w:pPr>
    </w:p>
    <w:p>
      <w:pPr>
        <w:ind w:left="1440" w:hanging="382"/>
        <w:spacing w:after="0"/>
        <w:tabs>
          <w:tab w:leader="none" w:pos="14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Reflects fees of Deloitte prior to its appointment as the Company's independent registered public accounting firm.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Audit Fees. </w:t>
      </w:r>
      <w:r>
        <w:rPr>
          <w:rFonts w:ascii="Arial" w:cs="Arial" w:eastAsia="Arial" w:hAnsi="Arial"/>
          <w:sz w:val="11"/>
          <w:szCs w:val="11"/>
          <w:color w:val="auto"/>
        </w:rPr>
        <w:t>Consist of fees billed or expected to be billed for professional services rendered for the audit of our consolidated financial statements, including</w:t>
      </w:r>
    </w:p>
    <w:p>
      <w:pPr>
        <w:spacing w:after="0" w:line="34" w:lineRule="exact"/>
        <w:rPr>
          <w:sz w:val="20"/>
          <w:szCs w:val="20"/>
          <w:color w:val="auto"/>
        </w:rPr>
      </w:pPr>
    </w:p>
    <w:p>
      <w:pPr>
        <w:jc w:val="both"/>
        <w:ind w:left="200" w:right="199" w:hanging="6"/>
        <w:spacing w:after="0" w:line="234" w:lineRule="auto"/>
        <w:tabs>
          <w:tab w:leader="none" w:pos="35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audit of effectiveness of internal control 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Tax Fees. </w:t>
      </w:r>
      <w:r>
        <w:rPr>
          <w:rFonts w:ascii="Arial" w:cs="Arial" w:eastAsia="Arial" w:hAnsi="Arial"/>
          <w:sz w:val="13"/>
          <w:szCs w:val="13"/>
          <w:color w:val="auto"/>
        </w:rPr>
        <w:t>Consist primarily of fees billed or expected to be billed for other tax filing and advisory projects.</w:t>
      </w:r>
    </w:p>
    <w:p>
      <w:pPr>
        <w:spacing w:after="0" w:line="149" w:lineRule="exact"/>
        <w:rPr>
          <w:sz w:val="20"/>
          <w:szCs w:val="20"/>
          <w:color w:val="auto"/>
        </w:rPr>
      </w:pPr>
    </w:p>
    <w:p>
      <w:pPr>
        <w:jc w:val="both"/>
        <w:ind w:left="200" w:right="199"/>
        <w:spacing w:after="0" w:line="257" w:lineRule="auto"/>
        <w:rPr>
          <w:sz w:val="20"/>
          <w:szCs w:val="20"/>
          <w:color w:val="auto"/>
        </w:rPr>
      </w:pPr>
      <w:r>
        <w:rPr>
          <w:rFonts w:ascii="Arial" w:cs="Arial" w:eastAsia="Arial" w:hAnsi="Arial"/>
          <w:sz w:val="13"/>
          <w:szCs w:val="13"/>
          <w:b w:val="1"/>
          <w:bCs w:val="1"/>
          <w:color w:val="auto"/>
        </w:rPr>
        <w:t xml:space="preserve">All Other Fees. </w:t>
      </w:r>
      <w:r>
        <w:rPr>
          <w:rFonts w:ascii="Arial" w:cs="Arial" w:eastAsia="Arial" w:hAnsi="Arial"/>
          <w:sz w:val="13"/>
          <w:szCs w:val="13"/>
          <w:color w:val="auto"/>
        </w:rPr>
        <w:t>Consist of fees billed or expected to be billed for other permissible work performed by the Company's independent public registered</w:t>
      </w:r>
      <w:r>
        <w:rPr>
          <w:rFonts w:ascii="Arial" w:cs="Arial" w:eastAsia="Arial" w:hAnsi="Arial"/>
          <w:sz w:val="13"/>
          <w:szCs w:val="13"/>
          <w:b w:val="1"/>
          <w:bCs w:val="1"/>
          <w:color w:val="auto"/>
        </w:rPr>
        <w:t xml:space="preserve"> </w:t>
      </w:r>
      <w:r>
        <w:rPr>
          <w:rFonts w:ascii="Arial" w:cs="Arial" w:eastAsia="Arial" w:hAnsi="Arial"/>
          <w:sz w:val="13"/>
          <w:szCs w:val="13"/>
          <w:color w:val="auto"/>
        </w:rPr>
        <w:t>accounting firm that does not meet the above category descriptions.</w:t>
      </w:r>
    </w:p>
    <w:p>
      <w:pPr>
        <w:spacing w:after="0" w:line="13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All of the fees paid to Deloitte in fiscal year 2018 were pre-approved by the Audit Committee.</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Required Vote</w:t>
      </w:r>
    </w:p>
    <w:p>
      <w:pPr>
        <w:spacing w:after="0" w:line="165"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3"/>
          <w:szCs w:val="13"/>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E"/>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-100330</wp:posOffset>
            </wp:positionV>
            <wp:extent cx="4388485" cy="1162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jc w:val="center"/>
        <w:ind w:right="-180"/>
        <w:spacing w:after="0"/>
        <w:tabs>
          <w:tab w:leader="none" w:pos="200" w:val="left"/>
        </w:tabs>
        <w:rPr>
          <w:sz w:val="20"/>
          <w:szCs w:val="20"/>
          <w:color w:val="auto"/>
        </w:rPr>
      </w:pPr>
      <w:r>
        <w:rPr>
          <w:rFonts w:ascii="Arial" w:cs="Arial" w:eastAsia="Arial" w:hAnsi="Arial"/>
          <w:sz w:val="15"/>
          <w:szCs w:val="15"/>
          <w:b w:val="1"/>
          <w:bCs w:val="1"/>
          <w:color w:val="auto"/>
        </w:rPr>
        <w:t>FOR</w:t>
      </w:r>
      <w:r>
        <w:rPr>
          <w:sz w:val="20"/>
          <w:szCs w:val="20"/>
          <w:color w:val="auto"/>
        </w:rPr>
        <w:tab/>
      </w:r>
      <w:r>
        <w:rPr>
          <w:rFonts w:ascii="Arial" w:cs="Arial" w:eastAsia="Arial" w:hAnsi="Arial"/>
          <w:sz w:val="13"/>
          <w:szCs w:val="13"/>
          <w:b w:val="1"/>
          <w:bCs w:val="1"/>
          <w:color w:val="auto"/>
        </w:rPr>
        <w:t>the ratification of the appoinrment of Deloitte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-95885</wp:posOffset>
            </wp:positionV>
            <wp:extent cx="4388485" cy="1162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PROPOSAL 4</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ADVISORY (NON-BINDING) VOTE ON EXECUTIVE COMPENSATION</w:t>
      </w:r>
    </w:p>
    <w:p>
      <w:pPr>
        <w:spacing w:after="0" w:line="166"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Proposal 4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At the 2018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 to be held in 2023.</w:t>
      </w:r>
    </w:p>
    <w:p>
      <w:pPr>
        <w:spacing w:after="0" w:line="161" w:lineRule="exact"/>
        <w:rPr>
          <w:sz w:val="20"/>
          <w:szCs w:val="20"/>
          <w:color w:val="auto"/>
        </w:rPr>
      </w:pPr>
    </w:p>
    <w:p>
      <w:pPr>
        <w:ind w:left="960" w:right="199" w:hanging="381"/>
        <w:spacing w:after="0" w:line="235" w:lineRule="auto"/>
        <w:tabs>
          <w:tab w:leader="none" w:pos="9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Our board of directors is committed to corporate governance best practices and recognizes the significant interest of stockholders in executive compensation matters.</w:t>
      </w:r>
    </w:p>
    <w:p>
      <w:pPr>
        <w:spacing w:after="0" w:line="140" w:lineRule="exact"/>
        <w:rPr>
          <w:rFonts w:ascii="Arial" w:cs="Arial" w:eastAsia="Arial" w:hAnsi="Arial"/>
          <w:sz w:val="13"/>
          <w:szCs w:val="13"/>
          <w:color w:val="auto"/>
        </w:rPr>
      </w:pPr>
    </w:p>
    <w:p>
      <w:pPr>
        <w:jc w:val="both"/>
        <w:ind w:left="960" w:right="179" w:hanging="381"/>
        <w:spacing w:after="0" w:line="282" w:lineRule="auto"/>
        <w:tabs>
          <w:tab w:leader="none" w:pos="96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PBT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29" w:lineRule="exact"/>
        <w:rPr>
          <w:sz w:val="20"/>
          <w:szCs w:val="20"/>
          <w:color w:val="auto"/>
        </w:rPr>
      </w:pPr>
    </w:p>
    <w:p>
      <w:pPr>
        <w:ind w:left="200" w:right="179"/>
        <w:spacing w:after="0" w:line="235" w:lineRule="auto"/>
        <w:rPr>
          <w:sz w:val="20"/>
          <w:szCs w:val="20"/>
          <w:color w:val="auto"/>
        </w:rPr>
      </w:pPr>
      <w:r>
        <w:rPr>
          <w:rFonts w:ascii="Arial" w:cs="Arial" w:eastAsia="Arial" w:hAnsi="Arial"/>
          <w:sz w:val="13"/>
          <w:szCs w:val="13"/>
          <w:color w:val="auto"/>
        </w:rPr>
        <w:t>In addition, our philosophy places more emphasis on variable elements of compensation (such as incentive bonuses and equity-based compensation) than fixed remuneration.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Our stockholders have the opportunity to vote for, against or abstain from voting on the following resolution:</w:t>
      </w:r>
    </w:p>
    <w:p>
      <w:pPr>
        <w:spacing w:after="0" w:line="133" w:lineRule="exact"/>
        <w:rPr>
          <w:sz w:val="20"/>
          <w:szCs w:val="20"/>
          <w:color w:val="auto"/>
        </w:rPr>
      </w:pPr>
    </w:p>
    <w:p>
      <w:pPr>
        <w:jc w:val="both"/>
        <w:ind w:left="580" w:right="199"/>
        <w:spacing w:after="0" w:line="244" w:lineRule="auto"/>
        <w:rPr>
          <w:sz w:val="20"/>
          <w:szCs w:val="20"/>
          <w:color w:val="auto"/>
        </w:rPr>
      </w:pPr>
      <w:r>
        <w:rPr>
          <w:rFonts w:ascii="Arial" w:cs="Arial" w:eastAsia="Arial" w:hAnsi="Arial"/>
          <w:sz w:val="13"/>
          <w:szCs w:val="13"/>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3"/>
          <w:szCs w:val="13"/>
          <w:color w:val="auto"/>
        </w:rPr>
        <w: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above-referenced disclosures related to the compensation of our named executive officers appear beginning at page 33 of this proxy statement.</w:t>
      </w:r>
    </w:p>
    <w:p>
      <w:pPr>
        <w:sectPr>
          <w:pgSz w:w="11900" w:h="16838" w:orient="portrait"/>
          <w:cols w:equalWidth="0" w:num="1">
            <w:col w:w="9019"/>
          </w:cols>
          <w:pgMar w:left="1440" w:top="296" w:right="1440" w:bottom="999"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999" w:gutter="0" w:footer="0" w:header="0"/>
          <w:type w:val="continuous"/>
        </w:sectPr>
      </w:pPr>
    </w:p>
    <w:bookmarkStart w:id="44" w:name="page45"/>
    <w:bookmarkEnd w:id="44"/>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Required Vote</w:t>
      </w:r>
    </w:p>
    <w:p>
      <w:pPr>
        <w:spacing w:after="0" w:line="165"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E"/>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-100330</wp:posOffset>
            </wp:positionV>
            <wp:extent cx="4388485" cy="1162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88485" cy="116205"/>
                    </a:xfrm>
                    <a:prstGeom prst="rect">
                      <a:avLst/>
                    </a:prstGeom>
                    <a:noFill/>
                  </pic:spPr>
                </pic:pic>
              </a:graphicData>
            </a:graphic>
          </wp:anchor>
        </w:drawing>
      </w:r>
    </w:p>
    <w:p>
      <w:pPr>
        <w:jc w:val="both"/>
        <w:ind w:left="1780" w:right="1219" w:hanging="539"/>
        <w:spacing w:after="0" w:line="227" w:lineRule="auto"/>
        <w:tabs>
          <w:tab w:leader="none" w:pos="1760" w:val="left"/>
        </w:tabs>
        <w:rPr>
          <w:sz w:val="20"/>
          <w:szCs w:val="20"/>
          <w:color w:val="auto"/>
        </w:rPr>
      </w:pPr>
      <w:r>
        <w:rPr>
          <w:rFonts w:ascii="Arial" w:cs="Arial" w:eastAsia="Arial" w:hAnsi="Arial"/>
          <w:sz w:val="15"/>
          <w:szCs w:val="15"/>
          <w:b w:val="1"/>
          <w:bCs w:val="1"/>
          <w:color w:val="auto"/>
        </w:rPr>
        <w:t>FOR</w:t>
      </w:r>
      <w:r>
        <w:rPr>
          <w:sz w:val="20"/>
          <w:szCs w:val="20"/>
          <w:color w:val="auto"/>
        </w:rPr>
        <w:tab/>
      </w:r>
      <w:r>
        <w:rPr>
          <w:rFonts w:ascii="Arial" w:cs="Arial" w:eastAsia="Arial" w:hAnsi="Arial"/>
          <w:sz w:val="13"/>
          <w:szCs w:val="13"/>
          <w:b w:val="1"/>
          <w:bCs w:val="1"/>
          <w:color w:val="auto"/>
        </w:rPr>
        <w:t>the approval, on an advisory (non-binding) basis, of the compensation of our named executive officers as disclosed pursuant to the compensation disclosure rules of the SEC (including the Compensation Discussion and Analysis, the compensation tables and any related material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-369570</wp:posOffset>
            </wp:positionV>
            <wp:extent cx="4388485" cy="3727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88485" cy="372745"/>
                    </a:xfrm>
                    <a:prstGeom prst="rect">
                      <a:avLst/>
                    </a:prstGeom>
                    <a:noFill/>
                  </pic:spPr>
                </pic:pic>
              </a:graphicData>
            </a:graphic>
          </wp:anchor>
        </w:drawing>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STOCKHOLDER PROPOSALS AND DIRECTOR NOMINATIONS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FOR THE 2020 ANNUAL MEETING</w:t>
      </w:r>
    </w:p>
    <w:p>
      <w:pPr>
        <w:spacing w:after="0" w:line="166" w:lineRule="exact"/>
        <w:rPr>
          <w:sz w:val="20"/>
          <w:szCs w:val="20"/>
          <w:color w:val="auto"/>
        </w:rPr>
      </w:pPr>
    </w:p>
    <w:p>
      <w:pPr>
        <w:jc w:val="both"/>
        <w:ind w:left="200" w:right="179"/>
        <w:spacing w:after="0" w:line="273" w:lineRule="auto"/>
        <w:rPr>
          <w:sz w:val="20"/>
          <w:szCs w:val="20"/>
          <w:color w:val="auto"/>
        </w:rPr>
      </w:pPr>
      <w:r>
        <w:rPr>
          <w:rFonts w:ascii="Arial" w:cs="Arial" w:eastAsia="Arial" w:hAnsi="Arial"/>
          <w:sz w:val="11"/>
          <w:szCs w:val="11"/>
          <w:color w:val="auto"/>
        </w:rPr>
        <w:t>Stockholder proposals intended to be included in our proxy materials for the 2020 Annual Meeting of Stockholders ("2020 Annual Meeting") must be received by the deadline calculated in accordance with SEC Rule 14a-8, which is 120 days before the anniversary of the date of this year's proxy statement. This year's deadline is Saturday, December 28, 2019. Such proposals must include the information required by SEC rules, and should be sent in writing by</w:t>
      </w:r>
    </w:p>
    <w:p>
      <w:pPr>
        <w:spacing w:after="0" w:line="1" w:lineRule="exact"/>
        <w:rPr>
          <w:sz w:val="20"/>
          <w:szCs w:val="20"/>
          <w:color w:val="auto"/>
        </w:rPr>
      </w:pPr>
    </w:p>
    <w:p>
      <w:pPr>
        <w:jc w:val="both"/>
        <w:ind w:left="200" w:right="199"/>
        <w:spacing w:after="0" w:line="204" w:lineRule="auto"/>
        <w:rPr>
          <w:sz w:val="20"/>
          <w:szCs w:val="20"/>
          <w:color w:val="auto"/>
        </w:rPr>
      </w:pPr>
      <w:r>
        <w:rPr>
          <w:rFonts w:ascii="Arial" w:cs="Arial" w:eastAsia="Arial" w:hAnsi="Arial"/>
          <w:sz w:val="13"/>
          <w:szCs w:val="13"/>
          <w:color w:val="auto"/>
        </w:rPr>
        <w:t>courier or certified mail to the Corporate Secretary of the Company at 320 Park Avenue, 29</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Floor, New York, New York 10022. Stockholder proposals that are sent to any other person or location or by any other means may not be received in a timely manner and thus ineligible for inclusion.</w:t>
      </w:r>
    </w:p>
    <w:p>
      <w:pPr>
        <w:spacing w:after="0" w:line="149"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Stockholders who intend to submit proposals at the 2020 Annual Meeting but whose proposals are not included in the proxy materials for the meeting, and stockholders who intend to submit nominations for directors at the 2020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2019 Annual Meeting must be delivered between February 18, 2020 and March 19, 2020. Special notice provisions apply under the by-laws if the date of the 2020 Annual Meeting is more than 30 days before or 70 days after the anniversary date of this year's Annual Meeting of Stockholders.</w:t>
      </w:r>
    </w:p>
    <w:p>
      <w:pPr>
        <w:spacing w:after="0" w:line="150" w:lineRule="exact"/>
        <w:rPr>
          <w:sz w:val="20"/>
          <w:szCs w:val="20"/>
          <w:color w:val="auto"/>
        </w:rPr>
      </w:pPr>
    </w:p>
    <w:p>
      <w:pPr>
        <w:jc w:val="both"/>
        <w:ind w:left="200" w:right="179"/>
        <w:spacing w:after="0" w:line="233" w:lineRule="auto"/>
        <w:rPr>
          <w:sz w:val="20"/>
          <w:szCs w:val="20"/>
          <w:color w:val="auto"/>
        </w:rPr>
      </w:pPr>
      <w:r>
        <w:rPr>
          <w:rFonts w:ascii="Arial" w:cs="Arial" w:eastAsia="Arial" w:hAnsi="Arial"/>
          <w:sz w:val="13"/>
          <w:szCs w:val="13"/>
          <w:color w:val="auto"/>
        </w:rPr>
        <w:t>Any notice of proposed business or nomination, whether or not included in our proxy statement, must include the information required under our by-laws, including Section 2.11.4, in order for the matter to be eligible for consideration at the 2020 Annual Meeting. The presiding officer of the 2020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MISCELLANEOUS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Delivery of Documents to Stockholders Sharing an Address</w:t>
      </w:r>
    </w:p>
    <w:p>
      <w:pPr>
        <w:spacing w:after="0" w:line="165" w:lineRule="exact"/>
        <w:rPr>
          <w:sz w:val="20"/>
          <w:szCs w:val="20"/>
          <w:color w:val="auto"/>
        </w:rPr>
      </w:pPr>
    </w:p>
    <w:p>
      <w:pPr>
        <w:jc w:val="both"/>
        <w:ind w:left="200" w:right="179"/>
        <w:spacing w:after="0" w:line="232" w:lineRule="auto"/>
        <w:rPr>
          <w:sz w:val="20"/>
          <w:szCs w:val="20"/>
          <w:color w:val="auto"/>
        </w:rPr>
      </w:pPr>
      <w:r>
        <w:rPr>
          <w:rFonts w:ascii="Arial" w:cs="Arial" w:eastAsia="Arial" w:hAnsi="Arial"/>
          <w:sz w:val="13"/>
          <w:szCs w:val="13"/>
          <w:color w:val="auto"/>
        </w:rPr>
        <w:t>If you are the beneficial owner, but not the record holder, of shares of our common stock, your broker, bank, trust or other nominee may only deliver one copy of this proxy statement and the 2018 Form 10-K, which serves as our Annual Report to Stockholders under Regulation 14A (the "2018 Annual Report"), to multiple stockholders who share an address unless that nominee has received contrary instructions from one or more of the stockholders. We will deliver promptly, upon written or oral request, a separate copy of this proxy statement and the 2018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08ED0"/>
        </w:rPr>
        <w:t>Electronic Access to Proxy Statement and Annual Report</w:t>
      </w:r>
    </w:p>
    <w:p>
      <w:pPr>
        <w:spacing w:after="0" w:line="165" w:lineRule="exact"/>
        <w:rPr>
          <w:sz w:val="20"/>
          <w:szCs w:val="20"/>
          <w:color w:val="auto"/>
        </w:rPr>
      </w:pPr>
    </w:p>
    <w:p>
      <w:pPr>
        <w:jc w:val="both"/>
        <w:ind w:left="200" w:right="179"/>
        <w:spacing w:after="0" w:line="284" w:lineRule="auto"/>
        <w:rPr>
          <w:sz w:val="20"/>
          <w:szCs w:val="20"/>
          <w:color w:val="auto"/>
        </w:rPr>
      </w:pPr>
      <w:r>
        <w:rPr>
          <w:rFonts w:ascii="Arial" w:cs="Arial" w:eastAsia="Arial" w:hAnsi="Arial"/>
          <w:sz w:val="11"/>
          <w:szCs w:val="11"/>
          <w:color w:val="auto"/>
        </w:rPr>
        <w:t xml:space="preserve">This proxy statement and our 2018 Annual Report may be viewed on our website at </w:t>
      </w:r>
      <w:r>
        <w:rPr>
          <w:rFonts w:ascii="Arial" w:cs="Arial" w:eastAsia="Arial" w:hAnsi="Arial"/>
          <w:sz w:val="11"/>
          <w:szCs w:val="11"/>
          <w:u w:val="single" w:color="auto"/>
          <w:color w:val="auto"/>
        </w:rPr>
        <w:t>www.exlservice.com</w:t>
      </w:r>
      <w:r>
        <w:rPr>
          <w:rFonts w:ascii="Arial" w:cs="Arial" w:eastAsia="Arial" w:hAnsi="Arial"/>
          <w:sz w:val="11"/>
          <w:szCs w:val="11"/>
          <w:color w:val="auto"/>
        </w:rPr>
        <w:t xml:space="preserve"> and at </w:t>
      </w:r>
      <w:r>
        <w:rPr>
          <w:rFonts w:ascii="Arial" w:cs="Arial" w:eastAsia="Arial" w:hAnsi="Arial"/>
          <w:sz w:val="11"/>
          <w:szCs w:val="11"/>
          <w:u w:val="single" w:color="auto"/>
          <w:color w:val="auto"/>
        </w:rPr>
        <w:t>www.proxyvote.com</w:t>
      </w:r>
      <w:r>
        <w:rPr>
          <w:rFonts w:ascii="Arial" w:cs="Arial" w:eastAsia="Arial" w:hAnsi="Arial"/>
          <w:sz w:val="11"/>
          <w:szCs w:val="11"/>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79646"/>
        </w:rPr>
        <w:t>OTHER MATTERS</w:t>
      </w:r>
    </w:p>
    <w:p>
      <w:pPr>
        <w:spacing w:after="0" w:line="188" w:lineRule="exact"/>
        <w:rPr>
          <w:sz w:val="20"/>
          <w:szCs w:val="20"/>
          <w:color w:val="auto"/>
        </w:rPr>
      </w:pPr>
    </w:p>
    <w:p>
      <w:pPr>
        <w:jc w:val="both"/>
        <w:ind w:left="200" w:right="179"/>
        <w:spacing w:after="0" w:line="235" w:lineRule="auto"/>
        <w:rPr>
          <w:sz w:val="20"/>
          <w:szCs w:val="20"/>
          <w:color w:val="auto"/>
        </w:rPr>
      </w:pPr>
      <w:r>
        <w:rPr>
          <w:rFonts w:ascii="Arial" w:cs="Arial" w:eastAsia="Arial" w:hAnsi="Arial"/>
          <w:sz w:val="13"/>
          <w:szCs w:val="13"/>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Whether or not you intend to be present at the Annual Meeting, we urge you to submit your signed proxy promptly.</w:t>
      </w:r>
    </w:p>
    <w:p>
      <w:pPr>
        <w:spacing w:after="0" w:line="322"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By Order of the Board of Directors,</w:t>
      </w:r>
    </w:p>
    <w:p>
      <w:pPr>
        <w:spacing w:after="0" w:line="163"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Ajay Ayyappan</w:t>
      </w:r>
    </w:p>
    <w:p>
      <w:pPr>
        <w:ind w:left="6460"/>
        <w:spacing w:after="0" w:line="231" w:lineRule="auto"/>
        <w:rPr>
          <w:sz w:val="20"/>
          <w:szCs w:val="20"/>
          <w:color w:val="auto"/>
        </w:rPr>
      </w:pPr>
      <w:r>
        <w:rPr>
          <w:rFonts w:ascii="Arial" w:cs="Arial" w:eastAsia="Arial" w:hAnsi="Arial"/>
          <w:sz w:val="13"/>
          <w:szCs w:val="13"/>
          <w:color w:val="auto"/>
        </w:rPr>
        <w:t>Senior Vice President, General Counsel</w:t>
      </w:r>
    </w:p>
    <w:p>
      <w:pPr>
        <w:ind w:left="6460"/>
        <w:spacing w:after="0"/>
        <w:rPr>
          <w:sz w:val="20"/>
          <w:szCs w:val="20"/>
          <w:color w:val="auto"/>
        </w:rPr>
      </w:pPr>
      <w:r>
        <w:rPr>
          <w:rFonts w:ascii="Arial" w:cs="Arial" w:eastAsia="Arial" w:hAnsi="Arial"/>
          <w:sz w:val="13"/>
          <w:szCs w:val="13"/>
          <w:color w:val="auto"/>
        </w:rPr>
        <w:t>and Corporate Secretary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New York, New York</w:t>
      </w:r>
    </w:p>
    <w:p>
      <w:pPr>
        <w:ind w:left="200"/>
        <w:spacing w:after="0"/>
        <w:rPr>
          <w:sz w:val="20"/>
          <w:szCs w:val="20"/>
          <w:color w:val="auto"/>
        </w:rPr>
      </w:pPr>
      <w:r>
        <w:rPr>
          <w:rFonts w:ascii="Arial" w:cs="Arial" w:eastAsia="Arial" w:hAnsi="Arial"/>
          <w:sz w:val="13"/>
          <w:szCs w:val="13"/>
          <w:color w:val="auto"/>
        </w:rPr>
        <w:t>April 26, 2019</w:t>
      </w:r>
    </w:p>
    <w:p>
      <w:pPr>
        <w:spacing w:after="0" w:line="133" w:lineRule="exact"/>
        <w:rPr>
          <w:sz w:val="20"/>
          <w:szCs w:val="20"/>
          <w:color w:val="auto"/>
        </w:rPr>
      </w:pPr>
    </w:p>
    <w:p>
      <w:pPr>
        <w:jc w:val="both"/>
        <w:ind w:left="200" w:right="179"/>
        <w:spacing w:after="0" w:line="288" w:lineRule="auto"/>
        <w:rPr>
          <w:sz w:val="20"/>
          <w:szCs w:val="20"/>
          <w:color w:val="auto"/>
        </w:rPr>
      </w:pPr>
      <w:r>
        <w:rPr>
          <w:rFonts w:ascii="Arial" w:cs="Arial" w:eastAsia="Arial" w:hAnsi="Arial"/>
          <w:sz w:val="11"/>
          <w:szCs w:val="11"/>
          <w:b w:val="1"/>
          <w:bCs w:val="1"/>
          <w:color w:val="auto"/>
        </w:rPr>
        <w:t>We will furnish without charge to each person whose proxy is being solicited, upon the written request of any such person, a copy of the 2018 Form 10-K, as filed with the SEC, as well as copies of exhibits to the 2018 Form 10-K, but for copies of exhibits will charge a reasonable fee per</w:t>
      </w:r>
    </w:p>
    <w:p>
      <w:pPr>
        <w:spacing w:after="0" w:line="1" w:lineRule="exact"/>
        <w:rPr>
          <w:sz w:val="20"/>
          <w:szCs w:val="20"/>
          <w:color w:val="auto"/>
        </w:rPr>
      </w:pPr>
    </w:p>
    <w:p>
      <w:pPr>
        <w:jc w:val="both"/>
        <w:ind w:left="200" w:right="179"/>
        <w:spacing w:after="0" w:line="211" w:lineRule="auto"/>
        <w:rPr>
          <w:sz w:val="20"/>
          <w:szCs w:val="20"/>
          <w:color w:val="auto"/>
        </w:rPr>
      </w:pPr>
      <w:r>
        <w:rPr>
          <w:rFonts w:ascii="Arial" w:cs="Arial" w:eastAsia="Arial" w:hAnsi="Arial"/>
          <w:sz w:val="13"/>
          <w:szCs w:val="13"/>
          <w:b w:val="1"/>
          <w:bCs w:val="1"/>
          <w:color w:val="auto"/>
        </w:rPr>
        <w:t>page to any requesting stockholder. Stockholders may make such request in writing to ExlService Holdings, Inc., 320 Park Avenue, 29</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Floor, New York, New York 10022, Attention: Investor Relations. The request must include a representation by the stockholder that as of April 18, 2019, the stockholder was entitled to vote at the Annual Meeting.</w:t>
      </w:r>
    </w:p>
    <w:p>
      <w:pPr>
        <w:sectPr>
          <w:pgSz w:w="11900" w:h="16838" w:orient="portrait"/>
          <w:cols w:equalWidth="0" w:num="1">
            <w:col w:w="9019"/>
          </w:cols>
          <w:pgMar w:left="1440" w:top="296" w:right="1440" w:bottom="652"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104140</wp:posOffset>
            </wp:positionV>
            <wp:extent cx="549529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652" w:gutter="0" w:footer="0" w:header="0"/>
          <w:type w:val="continuous"/>
        </w:sectPr>
      </w:pPr>
    </w:p>
    <w:bookmarkStart w:id="45" w:name="page46"/>
    <w:bookmarkEnd w:id="45"/>
    <w:p>
      <w:pPr>
        <w:ind w:left="20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Annex A</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CERTIFICATE OF AMENDMENT</w:t>
      </w:r>
    </w:p>
    <w:p>
      <w:pPr>
        <w:jc w:val="center"/>
        <w:ind w:right="-20"/>
        <w:spacing w:after="0" w:line="231" w:lineRule="auto"/>
        <w:rPr>
          <w:sz w:val="20"/>
          <w:szCs w:val="20"/>
          <w:color w:val="auto"/>
        </w:rPr>
      </w:pPr>
      <w:r>
        <w:rPr>
          <w:rFonts w:ascii="Arial" w:cs="Arial" w:eastAsia="Arial" w:hAnsi="Arial"/>
          <w:sz w:val="13"/>
          <w:szCs w:val="13"/>
          <w:color w:val="auto"/>
        </w:rPr>
        <w:t>TO AMENDED AND RESTATED CERTIFICATE OF INCORPORATION</w:t>
      </w:r>
    </w:p>
    <w:p>
      <w:pPr>
        <w:jc w:val="center"/>
        <w:ind w:right="-20"/>
        <w:spacing w:after="0" w:line="232" w:lineRule="auto"/>
        <w:rPr>
          <w:sz w:val="20"/>
          <w:szCs w:val="20"/>
          <w:color w:val="auto"/>
        </w:rPr>
      </w:pPr>
      <w:r>
        <w:rPr>
          <w:rFonts w:ascii="Arial" w:cs="Arial" w:eastAsia="Arial" w:hAnsi="Arial"/>
          <w:sz w:val="13"/>
          <w:szCs w:val="13"/>
          <w:color w:val="auto"/>
        </w:rPr>
        <w:t>OF</w:t>
      </w:r>
    </w:p>
    <w:p>
      <w:pPr>
        <w:jc w:val="center"/>
        <w:ind w:right="-20"/>
        <w:spacing w:after="0"/>
        <w:rPr>
          <w:sz w:val="20"/>
          <w:szCs w:val="20"/>
          <w:color w:val="auto"/>
        </w:rPr>
      </w:pPr>
      <w:r>
        <w:rPr>
          <w:rFonts w:ascii="Arial" w:cs="Arial" w:eastAsia="Arial" w:hAnsi="Arial"/>
          <w:sz w:val="13"/>
          <w:szCs w:val="13"/>
          <w:color w:val="auto"/>
        </w:rPr>
        <w:t>EXLSERVICE HOLDINGS, INC.</w:t>
      </w:r>
    </w:p>
    <w:p>
      <w:pPr>
        <w:spacing w:after="0" w:line="149" w:lineRule="exact"/>
        <w:rPr>
          <w:sz w:val="20"/>
          <w:szCs w:val="20"/>
          <w:color w:val="auto"/>
        </w:rPr>
      </w:pPr>
    </w:p>
    <w:p>
      <w:pPr>
        <w:jc w:val="both"/>
        <w:ind w:left="200" w:right="179"/>
        <w:spacing w:after="0" w:line="234" w:lineRule="auto"/>
        <w:rPr>
          <w:sz w:val="20"/>
          <w:szCs w:val="20"/>
          <w:color w:val="auto"/>
        </w:rPr>
      </w:pPr>
      <w:r>
        <w:rPr>
          <w:rFonts w:ascii="Arial" w:cs="Arial" w:eastAsia="Arial" w:hAnsi="Arial"/>
          <w:sz w:val="13"/>
          <w:szCs w:val="13"/>
          <w:color w:val="auto"/>
        </w:rPr>
        <w:t>I, the undersigned, being the officer designated by the board of directors to execute this Certificate of Amendment to the Amended and Restated Certificate of Incorporation of ExlService Holdings, Inc. (the "Corporation"), a corporation organized and existing under and by virtue of the General Corporation Law of the State of Delaware do hereby certify:</w:t>
      </w:r>
    </w:p>
    <w:p>
      <w:pPr>
        <w:spacing w:after="0" w:line="134" w:lineRule="exact"/>
        <w:rPr>
          <w:sz w:val="20"/>
          <w:szCs w:val="20"/>
          <w:color w:val="auto"/>
        </w:rPr>
      </w:pPr>
    </w:p>
    <w:p>
      <w:pPr>
        <w:jc w:val="both"/>
        <w:ind w:left="200" w:right="179"/>
        <w:spacing w:after="0" w:line="244" w:lineRule="auto"/>
        <w:rPr>
          <w:sz w:val="20"/>
          <w:szCs w:val="20"/>
          <w:color w:val="auto"/>
        </w:rPr>
      </w:pPr>
      <w:r>
        <w:rPr>
          <w:rFonts w:ascii="Arial" w:cs="Arial" w:eastAsia="Arial" w:hAnsi="Arial"/>
          <w:sz w:val="13"/>
          <w:szCs w:val="13"/>
          <w:b w:val="1"/>
          <w:bCs w:val="1"/>
          <w:color w:val="auto"/>
        </w:rPr>
        <w:t xml:space="preserve">FIRST: </w:t>
      </w:r>
      <w:r>
        <w:rPr>
          <w:rFonts w:ascii="Arial" w:cs="Arial" w:eastAsia="Arial" w:hAnsi="Arial"/>
          <w:sz w:val="13"/>
          <w:szCs w:val="13"/>
          <w:color w:val="auto"/>
        </w:rPr>
        <w:t>By unanimous written consent of the Board of Directors of ExlService Holdings, Inc., filed with the Corporation, resolutions were duly adopted setting</w:t>
      </w:r>
      <w:r>
        <w:rPr>
          <w:rFonts w:ascii="Arial" w:cs="Arial" w:eastAsia="Arial" w:hAnsi="Arial"/>
          <w:sz w:val="13"/>
          <w:szCs w:val="13"/>
          <w:b w:val="1"/>
          <w:bCs w:val="1"/>
          <w:color w:val="auto"/>
        </w:rPr>
        <w:t xml:space="preserve"> </w:t>
      </w:r>
      <w:r>
        <w:rPr>
          <w:rFonts w:ascii="Arial" w:cs="Arial" w:eastAsia="Arial" w:hAnsi="Arial"/>
          <w:sz w:val="13"/>
          <w:szCs w:val="13"/>
          <w:color w:val="auto"/>
        </w:rPr>
        <w:t>forth a proposed amendment to the Amended and Restated Certificate of Incorporation, as amended, of said corporation, declaring said amendment to be advisable and directing that the amendment be considered at the next annual meeting of the stockholders of said corporation.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text of the Amended and Restated Certificate of Incorporation is as set forth in such resolution is as follows:</w:t>
      </w:r>
    </w:p>
    <w:p>
      <w:pPr>
        <w:spacing w:after="0" w:line="149" w:lineRule="exact"/>
        <w:rPr>
          <w:sz w:val="20"/>
          <w:szCs w:val="20"/>
          <w:color w:val="auto"/>
        </w:rPr>
      </w:pPr>
    </w:p>
    <w:p>
      <w:pPr>
        <w:ind w:left="200" w:right="199" w:hanging="6"/>
        <w:spacing w:after="0" w:line="235" w:lineRule="auto"/>
        <w:tabs>
          <w:tab w:leader="none" w:pos="57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The first paragraph of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of the Amended Restated Certificate of Incorporation, as amended, is hereby amended and restated in its entirety to read as follows:</w:t>
      </w:r>
    </w:p>
    <w:p>
      <w:pPr>
        <w:spacing w:after="0" w:line="179" w:lineRule="exact"/>
        <w:rPr>
          <w:sz w:val="20"/>
          <w:szCs w:val="20"/>
          <w:color w:val="auto"/>
        </w:rPr>
      </w:pPr>
    </w:p>
    <w:p>
      <w:pPr>
        <w:jc w:val="both"/>
        <w:ind w:left="580" w:right="179"/>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Terms of Directors</w:t>
      </w:r>
      <w:r>
        <w:rPr>
          <w:rFonts w:ascii="Arial" w:cs="Arial" w:eastAsia="Arial" w:hAnsi="Arial"/>
          <w:sz w:val="11"/>
          <w:szCs w:val="11"/>
          <w:color w:val="auto"/>
        </w:rPr>
        <w:t>. 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w:t>
      </w:r>
      <w:r>
        <w:rPr>
          <w:rFonts w:ascii="Arial" w:cs="Arial" w:eastAsia="Arial" w:hAnsi="Arial"/>
          <w:sz w:val="11"/>
          <w:szCs w:val="11"/>
          <w:u w:val="single" w:color="auto"/>
          <w:color w:val="auto"/>
        </w:rPr>
        <w:t>2020 Class</w:t>
      </w:r>
      <w:r>
        <w:rPr>
          <w:rFonts w:ascii="Arial" w:cs="Arial" w:eastAsia="Arial" w:hAnsi="Arial"/>
          <w:sz w:val="11"/>
          <w:szCs w:val="11"/>
          <w:color w:val="auto"/>
        </w:rPr>
        <w:t>"), and each director of the corporation who was elected at the 2018 annual meeting of stockholders for a three-year term expiring in 2021 (the "</w:t>
      </w:r>
      <w:r>
        <w:rPr>
          <w:rFonts w:ascii="Arial" w:cs="Arial" w:eastAsia="Arial" w:hAnsi="Arial"/>
          <w:sz w:val="11"/>
          <w:szCs w:val="11"/>
          <w:u w:val="single" w:color="auto"/>
          <w:color w:val="auto"/>
        </w:rPr>
        <w:t>2021 Class</w:t>
      </w:r>
      <w:r>
        <w:rPr>
          <w:rFonts w:ascii="Arial" w:cs="Arial" w:eastAsia="Arial" w:hAnsi="Arial"/>
          <w:sz w:val="11"/>
          <w:szCs w:val="11"/>
          <w:color w:val="auto"/>
        </w:rPr>
        <w:t>"),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this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w:t>
      </w:r>
    </w:p>
    <w:p>
      <w:pPr>
        <w:spacing w:after="0" w:line="128" w:lineRule="exact"/>
        <w:rPr>
          <w:sz w:val="20"/>
          <w:szCs w:val="20"/>
          <w:color w:val="auto"/>
        </w:rPr>
      </w:pPr>
    </w:p>
    <w:p>
      <w:pPr>
        <w:jc w:val="both"/>
        <w:ind w:left="580" w:right="179" w:hanging="1"/>
        <w:spacing w:after="0" w:line="234" w:lineRule="auto"/>
        <w:tabs>
          <w:tab w:leader="none" w:pos="76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134" w:lineRule="exact"/>
        <w:rPr>
          <w:sz w:val="20"/>
          <w:szCs w:val="20"/>
          <w:color w:val="auto"/>
        </w:rPr>
      </w:pPr>
    </w:p>
    <w:p>
      <w:pPr>
        <w:ind w:left="200" w:right="199"/>
        <w:spacing w:after="0" w:line="257" w:lineRule="auto"/>
        <w:rPr>
          <w:sz w:val="20"/>
          <w:szCs w:val="20"/>
          <w:color w:val="auto"/>
        </w:rPr>
      </w:pPr>
      <w:r>
        <w:rPr>
          <w:rFonts w:ascii="Arial" w:cs="Arial" w:eastAsia="Arial" w:hAnsi="Arial"/>
          <w:sz w:val="13"/>
          <w:szCs w:val="13"/>
          <w:b w:val="1"/>
          <w:bCs w:val="1"/>
          <w:color w:val="auto"/>
        </w:rPr>
        <w:t xml:space="preserve">SECOND: </w:t>
      </w:r>
      <w:r>
        <w:rPr>
          <w:rFonts w:ascii="Arial" w:cs="Arial" w:eastAsia="Arial" w:hAnsi="Arial"/>
          <w:sz w:val="13"/>
          <w:szCs w:val="13"/>
          <w:color w:val="auto"/>
        </w:rPr>
        <w:t>That said amendments were duly adopted in accordance with the provisions of Section 242 of the General Corporation Law of the State of</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The foregoing amendments shall be effective upon filing with the Secretary of State of the State of Delaware.</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90170</wp:posOffset>
            </wp:positionV>
            <wp:extent cx="549529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95290" cy="1905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29805" cy="94862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329805" cy="948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95250</wp:posOffset>
            </wp:positionV>
            <wp:extent cx="7329805" cy="94862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329805" cy="9486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o"/>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o"/>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o"/>
      <w:numFmt w:val="bullet"/>
      <w:start w:val="1"/>
    </w:lvl>
    <w:lvl w:ilvl="1">
      <w:lvlJc w:val="left"/>
      <w:lvlText w:val="(%2)"/>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gt;"/>
      <w:numFmt w:val="bullet"/>
      <w:start w:val="1"/>
    </w:lvl>
  </w:abstractNum>
  <w:abstractNum w:abstractNumId="8">
    <w:nsid w:val="39386575"/>
    <w:multiLevelType w:val="hybridMultilevel"/>
    <w:lvl w:ilvl="0">
      <w:lvlJc w:val="left"/>
      <w:lvlText w:val="&gt;"/>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gt;"/>
      <w:numFmt w:val="bullet"/>
      <w:start w:val="1"/>
    </w:lvl>
    <w:lvl w:ilvl="1">
      <w:lvlJc w:val="left"/>
      <w:lvlText w:val="\endash "/>
      <w:numFmt w:val="bullet"/>
      <w:start w:val="1"/>
    </w:lvl>
  </w:abstractNum>
  <w:abstractNum w:abstractNumId="13">
    <w:nsid w:val="354FE9F9"/>
    <w:multiLevelType w:val="hybridMultilevel"/>
    <w:lvl w:ilvl="0">
      <w:lvlJc w:val="left"/>
      <w:lvlText w:val="&gt;"/>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lvl w:ilvl="1">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gt;"/>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gt;"/>
      <w:numFmt w:val="bullet"/>
      <w:start w:val="1"/>
    </w:lvl>
  </w:abstractNum>
  <w:abstractNum w:abstractNumId="52">
    <w:nsid w:val="8F2B15E"/>
    <w:multiLevelType w:val="hybridMultilevel"/>
    <w:lvl w:ilvl="0">
      <w:lvlJc w:val="left"/>
      <w:lvlText w:val="&gt;"/>
      <w:numFmt w:val="bullet"/>
      <w:start w:val="1"/>
    </w:lvl>
  </w:abstractNum>
  <w:abstractNum w:abstractNumId="53">
    <w:nsid w:val="1A32234B"/>
    <w:multiLevelType w:val="hybridMultilevel"/>
    <w:lvl w:ilvl="0">
      <w:lvlJc w:val="left"/>
      <w:lvlText w:val="&gt;"/>
      <w:numFmt w:val="bullet"/>
      <w:start w:val="1"/>
    </w:lvl>
  </w:abstractNum>
  <w:abstractNum w:abstractNumId="54">
    <w:nsid w:val="3B0FD379"/>
    <w:multiLevelType w:val="hybridMultilevel"/>
    <w:lvl w:ilvl="0">
      <w:lvlJc w:val="left"/>
      <w:lvlText w:val="&gt;"/>
      <w:numFmt w:val="bullet"/>
      <w:start w:val="1"/>
    </w:lvl>
  </w:abstractNum>
  <w:abstractNum w:abstractNumId="55">
    <w:nsid w:val="68EB2F63"/>
    <w:multiLevelType w:val="hybridMultilevel"/>
    <w:lvl w:ilvl="0">
      <w:lvlJc w:val="left"/>
      <w:lvlText w:val="&gt;"/>
      <w:numFmt w:val="bullet"/>
      <w:start w:val="1"/>
    </w:lvl>
  </w:abstractNum>
  <w:abstractNum w:abstractNumId="56">
    <w:nsid w:val="4962813B"/>
    <w:multiLevelType w:val="hybridMultilevel"/>
    <w:lvl w:ilvl="0">
      <w:lvlJc w:val="left"/>
      <w:lvlText w:val="&gt;"/>
      <w:numFmt w:val="bullet"/>
      <w:start w:val="1"/>
    </w:lvl>
  </w:abstractNum>
  <w:abstractNum w:abstractNumId="57">
    <w:nsid w:val="60B6DF70"/>
    <w:multiLevelType w:val="hybridMultilevel"/>
    <w:lvl w:ilvl="0">
      <w:lvlJc w:val="left"/>
      <w:lvlText w:val="&gt;"/>
      <w:numFmt w:val="bullet"/>
      <w:start w:val="1"/>
    </w:lvl>
    <w:lvl w:ilvl="1">
      <w:lvlJc w:val="left"/>
      <w:lvlText w:val="\endash "/>
      <w:numFmt w:val="bullet"/>
      <w:start w:val="1"/>
    </w:lvl>
  </w:abstractNum>
  <w:abstractNum w:abstractNumId="58">
    <w:nsid w:val="6A5EE64"/>
    <w:multiLevelType w:val="hybridMultilevel"/>
    <w:lvl w:ilvl="0">
      <w:lvlJc w:val="left"/>
      <w:lvlText w:val="&gt;"/>
      <w:numFmt w:val="bullet"/>
      <w:start w:val="1"/>
    </w:lvl>
    <w:lvl w:ilvl="1">
      <w:lvlJc w:val="left"/>
      <w:lvlText w:val="\endash "/>
      <w:numFmt w:val="bullet"/>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gt;"/>
      <w:numFmt w:val="bullet"/>
      <w:start w:val="1"/>
    </w:lvl>
  </w:abstractNum>
  <w:abstractNum w:abstractNumId="61">
    <w:nsid w:val="1A27709E"/>
    <w:multiLevelType w:val="hybridMultilevel"/>
    <w:lvl w:ilvl="0">
      <w:lvlJc w:val="left"/>
      <w:lvlText w:val="&gt;"/>
      <w:numFmt w:val="bullet"/>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gt;"/>
      <w:numFmt w:val="bullet"/>
      <w:start w:val="1"/>
    </w:lvl>
  </w:abstractNum>
  <w:abstractNum w:abstractNumId="64">
    <w:nsid w:val="7FB7E0AA"/>
    <w:multiLevelType w:val="hybridMultilevel"/>
    <w:lvl w:ilvl="0">
      <w:lvlJc w:val="left"/>
      <w:lvlText w:val="&gt;"/>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gt;"/>
      <w:numFmt w:val="bullet"/>
      <w:start w:val="1"/>
    </w:lvl>
  </w:abstractNum>
  <w:abstractNum w:abstractNumId="67">
    <w:nsid w:val="94211F2"/>
    <w:multiLevelType w:val="hybridMultilevel"/>
    <w:lvl w:ilvl="0">
      <w:lvlJc w:val="left"/>
      <w:lvlText w:val="&gt;"/>
      <w:numFmt w:val="bullet"/>
      <w:start w:val="1"/>
    </w:lvl>
  </w:abstractNum>
  <w:abstractNum w:abstractNumId="68">
    <w:nsid w:val="885E1B"/>
    <w:multiLevelType w:val="hybridMultilevel"/>
    <w:lvl w:ilvl="0">
      <w:lvlJc w:val="left"/>
      <w:lvlText w:val="&gt;"/>
      <w:numFmt w:val="bullet"/>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gt;"/>
      <w:numFmt w:val="bullet"/>
      <w:start w:val="1"/>
    </w:lvl>
    <w:lvl w:ilvl="1">
      <w:lvlJc w:val="left"/>
      <w:lvlText w:val="\endash "/>
      <w:numFmt w:val="bullet"/>
      <w:start w:val="1"/>
    </w:lvl>
  </w:abstractNum>
  <w:abstractNum w:abstractNumId="71">
    <w:nsid w:val="1716703B"/>
    <w:multiLevelType w:val="hybridMultilevel"/>
    <w:lvl w:ilvl="0">
      <w:lvlJc w:val="left"/>
      <w:lvlText w:val="\endash "/>
      <w:numFmt w:val="bullet"/>
      <w:start w:val="1"/>
    </w:lvl>
  </w:abstractNum>
  <w:abstractNum w:abstractNumId="72">
    <w:nsid w:val="14E17E33"/>
    <w:multiLevelType w:val="hybridMultilevel"/>
    <w:lvl w:ilvl="0">
      <w:lvlJc w:val="left"/>
      <w:lvlText w:val="&gt;"/>
      <w:numFmt w:val="bullet"/>
      <w:start w:val="1"/>
    </w:lvl>
  </w:abstractNum>
  <w:abstractNum w:abstractNumId="73">
    <w:nsid w:val="3222E7CD"/>
    <w:multiLevelType w:val="hybridMultilevel"/>
    <w:lvl w:ilvl="0">
      <w:lvlJc w:val="left"/>
      <w:lvlText w:val="&gt;"/>
      <w:numFmt w:val="bullet"/>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3"/>
    </w:lvl>
  </w:abstractNum>
  <w:abstractNum w:abstractNumId="76">
    <w:nsid w:val="2DF6D648"/>
    <w:multiLevelType w:val="hybridMultilevel"/>
    <w:lvl w:ilvl="0">
      <w:lvlJc w:val="left"/>
      <w:lvlText w:val="(%1)"/>
      <w:numFmt w:val="decimal"/>
      <w:start w:val="4"/>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2"/>
    </w:lvl>
    <w:lvl w:ilvl="1">
      <w:lvlJc w:val="left"/>
      <w:lvlText w:val="(%2)"/>
      <w:numFmt w:val="lowerLetter"/>
      <w:start w:val="1"/>
    </w:lvl>
  </w:abstractNum>
  <w:abstractNum w:abstractNumId="80">
    <w:nsid w:val="57FC4FBB"/>
    <w:multiLevelType w:val="hybridMultilevel"/>
    <w:lvl w:ilvl="0">
      <w:lvlJc w:val="left"/>
      <w:lvlText w:val="%1"/>
      <w:numFmt w:val="decimal"/>
      <w:start w:val="1"/>
    </w:lvl>
    <w:lvl w:ilvl="1">
      <w:lvlJc w:val="left"/>
      <w:lvlText w:val="(%2)"/>
      <w:numFmt w:val="lowerLetter"/>
      <w:start w:val="3"/>
    </w:lvl>
  </w:abstractNum>
  <w:abstractNum w:abstractNumId="81">
    <w:nsid w:val="CC1016F"/>
    <w:multiLevelType w:val="hybridMultilevel"/>
    <w:lvl w:ilvl="0">
      <w:lvlJc w:val="left"/>
      <w:lvlText w:val="(%1)"/>
      <w:numFmt w:val="decimal"/>
      <w:start w:val="4"/>
    </w:lvl>
    <w:lvl w:ilvl="1">
      <w:lvlJc w:val="left"/>
      <w:lvlText w:val="%2"/>
      <w:numFmt w:val="lowerLetter"/>
      <w:start w:val="1"/>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gt;"/>
      <w:numFmt w:val="bullet"/>
      <w:start w:val="1"/>
    </w:lvl>
  </w:abstractNum>
  <w:abstractNum w:abstractNumId="84">
    <w:nsid w:val="26F324BA"/>
    <w:multiLevelType w:val="hybridMultilevel"/>
    <w:lvl w:ilvl="0">
      <w:lvlJc w:val="left"/>
      <w:lvlText w:val="&gt;"/>
      <w:numFmt w:val="bullet"/>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gt;"/>
      <w:numFmt w:val="bullet"/>
      <w:start w:val="1"/>
    </w:lvl>
  </w:abstractNum>
  <w:abstractNum w:abstractNumId="87">
    <w:nsid w:val="7055A5F5"/>
    <w:multiLevelType w:val="hybridMultilevel"/>
    <w:lvl w:ilvl="0">
      <w:lvlJc w:val="left"/>
      <w:lvlText w:val="&gt;"/>
      <w:numFmt w:val="bullet"/>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4"/>
    </w:lvl>
  </w:abstractNum>
  <w:abstractNum w:abstractNumId="92">
    <w:nsid w:val="6AA78F7F"/>
    <w:multiLevelType w:val="hybridMultilevel"/>
    <w:lvl w:ilvl="0">
      <w:lvlJc w:val="left"/>
      <w:lvlText w:val="&gt;"/>
      <w:numFmt w:val="bullet"/>
      <w:start w:val="1"/>
    </w:lvl>
  </w:abstractNum>
  <w:abstractNum w:abstractNumId="93">
    <w:nsid w:val="7672BD23"/>
    <w:multiLevelType w:val="hybridMultilevel"/>
    <w:lvl w:ilvl="0">
      <w:lvlJc w:val="left"/>
      <w:lvlText w:val="&gt;"/>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13"/>
    </w:lvl>
  </w:abstractNum>
  <w:abstractNum w:abstractNumId="97">
    <w:nsid w:val="5F3534A4"/>
    <w:multiLevelType w:val="hybridMultilevel"/>
    <w:lvl w:ilvl="0">
      <w:lvlJc w:val="left"/>
      <w:lvlText w:val="&gt;"/>
      <w:numFmt w:val="bullet"/>
      <w:start w:val="1"/>
    </w:lvl>
  </w:abstractNum>
  <w:abstractNum w:abstractNumId="98">
    <w:nsid w:val="73A1821B"/>
    <w:multiLevelType w:val="hybridMultilevel"/>
    <w:lvl w:ilvl="0">
      <w:lvlJc w:val="left"/>
      <w:lvlText w:val="(%1)"/>
      <w:numFmt w:val="lowerRoman"/>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lowerRoman"/>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2019-12-03T02:49:38Z</dcterms:created>
  <dcterms:modified xsi:type="dcterms:W3CDTF">2019-12-03T02:49:38Z</dcterms:modified>
</cp:coreProperties>
</file>