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191770</wp:posOffset>
            </wp:positionH>
            <wp:positionV relativeFrom="page">
              <wp:posOffset>243205</wp:posOffset>
            </wp:positionV>
            <wp:extent cx="718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29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-199390</wp:posOffset>
            </wp:positionV>
            <wp:extent cx="7186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6"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Report (Date of earliest event reported): July 28, 2016</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57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0860"/>
          </w:cols>
          <w:pgMar w:left="240" w:top="499" w:right="7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1980"/>
          </w:cols>
          <w:pgMar w:left="240" w:top="499" w:right="799" w:bottom="1440" w:gutter="0" w:footer="0" w:header="0"/>
          <w:type w:val="continuous"/>
        </w:sectPr>
      </w:pPr>
    </w:p>
    <w:p>
      <w:pPr>
        <w:spacing w:after="0" w:line="2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0860"/>
          </w:cols>
          <w:pgMar w:left="240" w:top="499" w:right="799" w:bottom="1440" w:gutter="0" w:footer="0" w:header="0"/>
          <w:type w:val="continuous"/>
        </w:sectPr>
      </w:pPr>
    </w:p>
    <w:p>
      <w:pPr>
        <w:spacing w:after="0" w:line="2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373" w:lineRule="exact"/>
        <w:rPr>
          <w:sz w:val="24"/>
          <w:szCs w:val="24"/>
          <w:color w:val="auto"/>
        </w:rPr>
      </w:pPr>
    </w:p>
    <w:p>
      <w:pPr>
        <w:ind w:left="600" w:hanging="565"/>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00" w:hanging="565"/>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00" w:hanging="565"/>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00" w:hanging="565"/>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203835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118110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0860"/>
          </w:cols>
          <w:pgMar w:left="240" w:top="499"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28, 2016, ExlService Holdings, Inc. (the “Company”) reported its results of operations for the three months ended June 30, 2016.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8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w w:val="88"/>
              </w:rPr>
              <w:t>Press Release, dated July 28, 2016 (furnished pursuant to Item 2.02).</w:t>
            </w:r>
          </w:p>
        </w:tc>
      </w:tr>
    </w:tbl>
    <w:p>
      <w:pPr>
        <w:sectPr>
          <w:pgSz w:w="11900" w:h="16838" w:orient="portrait"/>
          <w:cols w:equalWidth="0" w:num="1">
            <w:col w:w="11380"/>
          </w:cols>
          <w:pgMar w:left="240" w:top="59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40" w:type="dxa"/>
            <w:vAlign w:val="bottom"/>
          </w:tcPr>
          <w:p>
            <w:pPr>
              <w:spacing w:after="0"/>
              <w:rPr>
                <w:sz w:val="19"/>
                <w:szCs w:val="19"/>
                <w:color w:val="auto"/>
              </w:rPr>
            </w:pPr>
          </w:p>
        </w:tc>
        <w:tc>
          <w:tcPr>
            <w:tcW w:w="8140" w:type="dxa"/>
            <w:vAlign w:val="bottom"/>
            <w:gridSpan w:val="2"/>
          </w:tcPr>
          <w:p>
            <w:pPr>
              <w:ind w:left="17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40" w:type="dxa"/>
            <w:vAlign w:val="bottom"/>
          </w:tcPr>
          <w:p>
            <w:pPr>
              <w:spacing w:after="0"/>
              <w:rPr>
                <w:sz w:val="20"/>
                <w:szCs w:val="20"/>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40" w:type="dxa"/>
            <w:vAlign w:val="bottom"/>
          </w:tcPr>
          <w:p>
            <w:pPr>
              <w:spacing w:after="0"/>
              <w:rPr>
                <w:sz w:val="20"/>
                <w:szCs w:val="20"/>
                <w:color w:val="auto"/>
              </w:rPr>
            </w:pPr>
            <w:r>
              <w:rPr>
                <w:rFonts w:ascii="Arial" w:cs="Arial" w:eastAsia="Arial" w:hAnsi="Arial"/>
                <w:sz w:val="18"/>
                <w:szCs w:val="18"/>
                <w:color w:val="auto"/>
              </w:rPr>
              <w:t>Date: July 28, 2016</w:t>
            </w:r>
          </w:p>
        </w:tc>
        <w:tc>
          <w:tcPr>
            <w:tcW w:w="3120" w:type="dxa"/>
            <w:vAlign w:val="bottom"/>
          </w:tcPr>
          <w:p>
            <w:pPr>
              <w:ind w:left="17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2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40" w:type="dxa"/>
            <w:vAlign w:val="bottom"/>
          </w:tcPr>
          <w:p>
            <w:pPr>
              <w:spacing w:after="0"/>
              <w:rPr>
                <w:sz w:val="21"/>
                <w:szCs w:val="21"/>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240" w:type="dxa"/>
            <w:vAlign w:val="bottom"/>
          </w:tcPr>
          <w:p>
            <w:pPr>
              <w:spacing w:after="0"/>
              <w:rPr>
                <w:sz w:val="22"/>
                <w:szCs w:val="22"/>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0" w:type="dxa"/>
            <w:vAlign w:val="bottom"/>
          </w:tcPr>
          <w:p>
            <w:pPr>
              <w:ind w:left="252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88"/>
              </w:rPr>
              <w:t>Press Release, dated July 28, 2016 (furnished pursuant to Item 2.02).</w:t>
            </w:r>
          </w:p>
        </w:tc>
      </w:tr>
    </w:tbl>
    <w:p>
      <w:pPr>
        <w:sectPr>
          <w:pgSz w:w="11900" w:h="16838" w:orient="portrait"/>
          <w:cols w:equalWidth="0" w:num="1">
            <w:col w:w="10219"/>
          </w:cols>
          <w:pgMar w:left="240" w:top="58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2016 SECOND QUARTER RESULTS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2016 Second Quarter Revenues of $170.5 Million, up 9.5% year over year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Diluted EPS (GAAP) of $0.47, up from $0.35 in Q2 of 2015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EPS (Non-GAAP) of $0.55, up from $0.48 in Q2 of 2015</w:t>
      </w:r>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New York, NY - July 28, 2016 - ExlService Holdings, Inc. (NASDAQ: EXLS), a leading provider of operations management and analytics services, today announced its financial results for the quarter ended June 30, 2016.</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Rohit Kapoor, Vice Chairman and CEO, commented, “EXL achieved strong second quarter results led by Healthcare and Banking &amp; Financial Services through new strategic deal wins and the expansion of existing client relationships.</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“Growth remains strong in both of our business segments; Analytics continued its momentum with 30% year-over-year growth as clients across our verticals continue to leverage our insights and proven proprietary models to grow revenue, manage risk and compliance, identify and mitigate fraud, and improve profitability. In Operations Management, our investments in automation, robotics and digital capabilities continue to be validated in the market.</w:t>
      </w:r>
    </w:p>
    <w:p>
      <w:pPr>
        <w:spacing w:after="0" w:line="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Earlier this month, we announced the acquisition of Liss Systems Limited, a leader in the digital insurance market in the UK and Europe. Liss strengthens our UK presence and further enhances our solutions and leadership in the insurance domain.”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Vishal Chhibbar, EXL’s CFO, commented, “Our second quarter revenue was $170.5 million, an increase year over year of 11.4% and 1.9% sequentially, in constant currency. Our adjusted diluted EPS was up 14.6% year-over year to $0.55 due to higher revenue and operating leverage. EXL’s balance sheet remains strong with cash and short-term investments of $201 million.</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updated our revenue guidance for 2016 to $691 million - $703 million, which represents annual revenue growth of 12-14% on a constant currency basis, from $694 million - $706 million to reflect primarily the impact of currency movements in the second half of the year. Our adjusted diluted EPS guidance for 2016 is unchanged.”</w:t>
      </w:r>
    </w:p>
    <w:p>
      <w:pPr>
        <w:sectPr>
          <w:pgSz w:w="11900" w:h="16838" w:orient="portrait"/>
          <w:cols w:equalWidth="0" w:num="1">
            <w:col w:w="11420"/>
          </w:cols>
          <w:pgMar w:left="240" w:top="59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Second Quarter 2016</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business is divided into two reporting segments: Operations Management and Analytics. Reconciliations of adjusted (non-GAAP) financial measures to GAAP measures are included at the end of this release.</w:t>
      </w:r>
    </w:p>
    <w:p>
      <w:pPr>
        <w:spacing w:after="0" w:line="200" w:lineRule="exact"/>
        <w:rPr>
          <w:sz w:val="20"/>
          <w:szCs w:val="20"/>
          <w:color w:val="auto"/>
        </w:rPr>
      </w:pPr>
    </w:p>
    <w:p>
      <w:pPr>
        <w:spacing w:after="0" w:line="295" w:lineRule="exact"/>
        <w:rPr>
          <w:sz w:val="20"/>
          <w:szCs w:val="20"/>
          <w:color w:val="auto"/>
        </w:rPr>
      </w:pPr>
    </w:p>
    <w:p>
      <w:pPr>
        <w:ind w:left="340" w:right="20" w:hanging="264"/>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increased to $170.5 million compared to $155.6 million, up 9.5% (11.4% on a constant currency basis) from the second quarter of 2015 and up 2.1% sequentially from the quarter ended March 31, 2016.</w:t>
      </w:r>
    </w:p>
    <w:p>
      <w:pPr>
        <w:spacing w:after="0" w:line="170" w:lineRule="exact"/>
        <w:rPr>
          <w:rFonts w:ascii="Arial" w:cs="Arial" w:eastAsia="Arial" w:hAnsi="Arial"/>
          <w:sz w:val="18"/>
          <w:szCs w:val="18"/>
          <w:color w:val="auto"/>
        </w:rPr>
      </w:pPr>
    </w:p>
    <w:p>
      <w:pPr>
        <w:ind w:left="980" w:right="400" w:hanging="418"/>
        <w:spacing w:after="0" w:line="277" w:lineRule="auto"/>
        <w:tabs>
          <w:tab w:leader="none" w:pos="980" w:val="left"/>
        </w:tabs>
        <w:numPr>
          <w:ilvl w:val="2"/>
          <w:numId w:val="2"/>
        </w:numPr>
        <w:rPr>
          <w:rFonts w:ascii="Arial" w:cs="Arial" w:eastAsia="Arial" w:hAnsi="Arial"/>
          <w:sz w:val="18"/>
          <w:szCs w:val="18"/>
          <w:color w:val="auto"/>
        </w:rPr>
      </w:pPr>
      <w:r>
        <w:rPr>
          <w:rFonts w:ascii="Arial" w:cs="Arial" w:eastAsia="Arial" w:hAnsi="Arial"/>
          <w:sz w:val="18"/>
          <w:szCs w:val="18"/>
          <w:color w:val="auto"/>
        </w:rPr>
        <w:t>Operations Management revenues increased 4.7% to $130.9 million (6.6% on a constant currency basis) compared to $125.0 million in the second quarter of 2015 and increased 2.2% sequentially from the quarter ended March 31, 2016.</w:t>
      </w:r>
    </w:p>
    <w:p>
      <w:pPr>
        <w:spacing w:after="0" w:line="170" w:lineRule="exact"/>
        <w:rPr>
          <w:rFonts w:ascii="Arial" w:cs="Arial" w:eastAsia="Arial" w:hAnsi="Arial"/>
          <w:sz w:val="18"/>
          <w:szCs w:val="18"/>
          <w:color w:val="auto"/>
        </w:rPr>
      </w:pPr>
    </w:p>
    <w:p>
      <w:pPr>
        <w:ind w:left="980" w:right="180" w:hanging="418"/>
        <w:spacing w:after="0" w:line="277" w:lineRule="auto"/>
        <w:tabs>
          <w:tab w:leader="none" w:pos="9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Analytics revenues increased 29.6% to $39.6 million (31.2% on a constant currency basis) compared to $30.6 million in the second quarter of 2015, and increased 1.7 % sequentially from the quarter ended March 31, 2016.</w:t>
      </w:r>
    </w:p>
    <w:p>
      <w:pPr>
        <w:spacing w:after="0" w:line="170" w:lineRule="exact"/>
        <w:rPr>
          <w:rFonts w:ascii="Arial" w:cs="Arial" w:eastAsia="Arial" w:hAnsi="Arial"/>
          <w:sz w:val="18"/>
          <w:szCs w:val="18"/>
          <w:color w:val="auto"/>
        </w:rPr>
      </w:pPr>
    </w:p>
    <w:p>
      <w:pPr>
        <w:ind w:left="340" w:hanging="251"/>
        <w:spacing w:after="0" w:line="264"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2016 was 9.5% compared to 9.8% in the second quarter of 2015 and 9.8% for the quarter ended March 31, 2016. Adjusted operating income margin was 13.7% compared to 13.9% in the second quarter of 2015 and 15.0% for the quarter ended March 31, 2016.</w:t>
      </w:r>
    </w:p>
    <w:p>
      <w:pPr>
        <w:spacing w:after="0" w:line="181" w:lineRule="exact"/>
        <w:rPr>
          <w:rFonts w:ascii="Arial" w:cs="Arial" w:eastAsia="Arial" w:hAnsi="Arial"/>
          <w:sz w:val="18"/>
          <w:szCs w:val="18"/>
          <w:color w:val="auto"/>
        </w:rPr>
      </w:pPr>
    </w:p>
    <w:p>
      <w:pPr>
        <w:ind w:left="340" w:right="180" w:hanging="251"/>
        <w:spacing w:after="0" w:line="264"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2016 was $0.47 compared to $0.35 in the second quarter of 2015 and $0.40 for the quarter ended March 31, 2016. Adjusted diluted earnings per share was $0.55 compared to $0.48 in the second quarter of 2015 and $0.56 for the quarter ended March 31,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Second Quarter 2016</w:t>
      </w:r>
    </w:p>
    <w:p>
      <w:pPr>
        <w:spacing w:after="0" w:line="243" w:lineRule="exact"/>
        <w:rPr>
          <w:sz w:val="20"/>
          <w:szCs w:val="20"/>
          <w:color w:val="auto"/>
        </w:rPr>
      </w:pPr>
    </w:p>
    <w:p>
      <w:pPr>
        <w:ind w:left="340" w:right="10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Liss Systems Limited on July 1, a London-based provider of digital customer acquisition and policy administration solutions for the insurance industry.</w:t>
      </w:r>
    </w:p>
    <w:p>
      <w:pPr>
        <w:spacing w:after="0" w:line="170"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Won 7 new clients , consisting of 2 new clients in Operations Management and 5 new clients in Analytics.</w:t>
      </w:r>
    </w:p>
    <w:p>
      <w:pPr>
        <w:spacing w:after="0" w:line="225" w:lineRule="exact"/>
        <w:rPr>
          <w:rFonts w:ascii="Arial" w:cs="Arial" w:eastAsia="Arial" w:hAnsi="Arial"/>
          <w:sz w:val="18"/>
          <w:szCs w:val="18"/>
          <w:color w:val="auto"/>
        </w:rPr>
      </w:pPr>
    </w:p>
    <w:p>
      <w:pPr>
        <w:ind w:left="340" w:right="20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highest “Leader” and “Star Performer” in Everest Group’s “Property and Casualty Insurance BPO - Service Provider Landscape with PEAK Matrix™ Assessment 2016”.</w:t>
      </w:r>
    </w:p>
    <w:p>
      <w:pPr>
        <w:spacing w:after="0" w:line="170"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Named in the "Winner's Circle" in "HfS Blueprint: Finance As-a-Service 2016".</w:t>
      </w:r>
    </w:p>
    <w:p>
      <w:pPr>
        <w:spacing w:after="0" w:line="225" w:lineRule="exact"/>
        <w:rPr>
          <w:rFonts w:ascii="Arial" w:cs="Arial" w:eastAsia="Arial" w:hAnsi="Arial"/>
          <w:sz w:val="18"/>
          <w:szCs w:val="18"/>
          <w:color w:val="auto"/>
        </w:rPr>
      </w:pPr>
    </w:p>
    <w:p>
      <w:pPr>
        <w:ind w:left="340" w:right="2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Positioned as a “Leader” and “Star Performer” in Everest Group’s “Analytics Business Process Services (BPS) - Service Provider Landscape with PEAK Matrix™ Assessment 2016”.</w:t>
      </w:r>
    </w:p>
    <w:p>
      <w:pPr>
        <w:spacing w:after="0" w:line="170"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53 new processes.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Guidance</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current visibility and an Indian rupee to U.S. dollar exchange rate of 67.5, British Pound to U.S. Dollars exchange rate at 1.32, the Philippine Peso to U.S. Dollar exchange rate of 47.0 and all other currencies at current exchange rates, the Company is providing the following guidance for the calendar year 2016:</w:t>
      </w:r>
    </w:p>
    <w:p>
      <w:pPr>
        <w:spacing w:after="0" w:line="181" w:lineRule="exact"/>
        <w:rPr>
          <w:sz w:val="20"/>
          <w:szCs w:val="20"/>
          <w:color w:val="auto"/>
        </w:rPr>
      </w:pPr>
    </w:p>
    <w:p>
      <w:pPr>
        <w:ind w:left="340" w:hanging="251"/>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of $691 million to $703 million, representing annual revenue growth 12% to 14% on a constant currency basis year-over-year.</w:t>
      </w:r>
    </w:p>
    <w:p>
      <w:pPr>
        <w:spacing w:after="0" w:line="225" w:lineRule="exact"/>
        <w:rPr>
          <w:rFonts w:ascii="Arial" w:cs="Arial" w:eastAsia="Arial" w:hAnsi="Arial"/>
          <w:sz w:val="18"/>
          <w:szCs w:val="18"/>
          <w:color w:val="auto"/>
        </w:rPr>
      </w:pPr>
    </w:p>
    <w:p>
      <w:pPr>
        <w:ind w:left="340" w:hanging="251"/>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diluted earnings per share of $2.25 to $2.35, representing an increase of 11% to 16% year -over-year.</w:t>
      </w:r>
    </w:p>
    <w:p>
      <w:pPr>
        <w:sectPr>
          <w:pgSz w:w="11900" w:h="16838" w:orient="portrait"/>
          <w:cols w:equalWidth="0" w:num="1">
            <w:col w:w="11380"/>
          </w:cols>
          <w:pgMar w:left="240" w:top="66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00" w:lineRule="exact"/>
        <w:rPr>
          <w:sz w:val="20"/>
          <w:szCs w:val="20"/>
          <w:color w:val="auto"/>
        </w:rPr>
      </w:pP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ExlService Holdings, Inc. will host a conference call on Thursday, July 28, 2016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EXL (NASDAQ: EXLS) is a leading operations management and analytics company that helps businesses enhance growth and profitability in the face of relentless competition and continuous disruption. Using our proprietary award-winning Business EXLerator Framework™, which integrate analytics, automation, benchmarking, BPO, consulting, industry best practices and technology platforms, EXL looks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24,000 professionals in locations throughout the United States, Europe, Asia (primarily India and Philippines), Latin America, Australia and South Africa. For more information, visit </w:t>
      </w:r>
      <w:r>
        <w:rPr>
          <w:rFonts w:ascii="Arial" w:cs="Arial" w:eastAsia="Arial" w:hAnsi="Arial"/>
          <w:sz w:val="18"/>
          <w:szCs w:val="18"/>
          <w:u w:val="single" w:color="auto"/>
          <w:color w:val="0000FF"/>
        </w:rPr>
        <w:t>www.exlservice.com.</w:t>
      </w:r>
    </w:p>
    <w:p>
      <w:pPr>
        <w:spacing w:after="0" w:line="200" w:lineRule="exact"/>
        <w:rPr>
          <w:sz w:val="20"/>
          <w:szCs w:val="20"/>
          <w:color w:val="auto"/>
        </w:rPr>
      </w:pPr>
    </w:p>
    <w:p>
      <w:pPr>
        <w:spacing w:after="0" w:line="2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Continuing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2015.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598"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800" w:type="dxa"/>
            <w:vAlign w:val="bottom"/>
            <w:gridSpan w:val="4"/>
          </w:tcPr>
          <w:p>
            <w:pPr>
              <w:ind w:left="22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170,478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337,514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299,131</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112,026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220,405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193,603</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58,452</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117,109</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105,528</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41,766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38,611</w:t>
            </w: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12,798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26,252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23,087</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8,270</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16,403</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15,114</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42,216</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84,421</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76,812</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32,688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28,716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2,156</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5,784</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8,578</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2,513</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23,383</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43,098</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33,385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7,008</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12,903</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11,744</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16,375</w:t>
            </w:r>
          </w:p>
        </w:tc>
        <w:tc>
          <w:tcPr>
            <w:tcW w:w="1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30,195</w:t>
            </w:r>
          </w:p>
        </w:tc>
        <w:tc>
          <w:tcPr>
            <w:tcW w:w="1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21,641</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1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0.65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share: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33,621,444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33,417,079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33,500,736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33,327,169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34,510,400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34,207,973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34,431,028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34,130,472</w:t>
            </w:r>
          </w:p>
        </w:tc>
      </w:tr>
    </w:tbl>
    <w:p>
      <w:pPr>
        <w:sectPr>
          <w:pgSz w:w="11900" w:h="16838" w:orient="portrait"/>
          <w:cols w:equalWidth="0" w:num="1">
            <w:col w:w="11360"/>
          </w:cols>
          <w:pgMar w:left="280" w:top="796" w:right="2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64"/>
        </w:trPr>
        <w:tc>
          <w:tcPr>
            <w:tcW w:w="7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93,113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205,323</w:t>
            </w: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107,594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111,383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343,772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339,199</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52,733</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22,257</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44,526</w:t>
            </w: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100,461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107,079</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17,655</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149,898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185,012</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35,370,296 shares issued and 33,469,481 shares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80"/>
              <w:spacing w:after="0"/>
              <w:rPr>
                <w:sz w:val="20"/>
                <w:szCs w:val="20"/>
                <w:color w:val="auto"/>
              </w:rPr>
            </w:pPr>
            <w:r>
              <w:rPr>
                <w:rFonts w:ascii="Arial" w:cs="Arial" w:eastAsia="Arial" w:hAnsi="Arial"/>
                <w:sz w:val="16"/>
                <w:szCs w:val="16"/>
                <w:color w:val="auto"/>
                <w:w w:val="90"/>
              </w:rPr>
              <w:t>outstanding as of June 30, 2016 and 34,781,201 shares issued and 33,091,223 shares outstanding as of December</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80"/>
              <w:spacing w:after="0"/>
              <w:rPr>
                <w:sz w:val="20"/>
                <w:szCs w:val="20"/>
                <w:color w:val="auto"/>
              </w:rPr>
            </w:pPr>
            <w:r>
              <w:rPr>
                <w:rFonts w:ascii="Arial" w:cs="Arial" w:eastAsia="Arial" w:hAnsi="Arial"/>
                <w:sz w:val="16"/>
                <w:szCs w:val="16"/>
                <w:color w:val="auto"/>
              </w:rPr>
              <w:t>31, 2015</w:t>
            </w:r>
          </w:p>
        </w:tc>
        <w:tc>
          <w:tcPr>
            <w:tcW w:w="28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254,052</w:t>
            </w:r>
          </w:p>
        </w:tc>
        <w:tc>
          <w:tcPr>
            <w:tcW w:w="0" w:type="dxa"/>
            <w:vAlign w:val="bottom"/>
          </w:tcPr>
          <w:p>
            <w:pPr>
              <w:spacing w:after="0"/>
              <w:rPr>
                <w:sz w:val="1"/>
                <w:szCs w:val="1"/>
                <w:color w:val="auto"/>
              </w:rPr>
            </w:pPr>
          </w:p>
        </w:tc>
      </w:tr>
      <w:tr>
        <w:trPr>
          <w:trHeight w:val="224"/>
        </w:trPr>
        <w:tc>
          <w:tcPr>
            <w:tcW w:w="78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351,184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320,989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548,680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507,751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Less: 1,900,815 shares as of June 30, 2016 and 1,689,978 shares as of December 31, 2015, held in treasury, at cost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496,817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465,592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496,999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465,771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646,897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742" w:right="25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4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operating income, adjusted operating income margin, adjusted EBITDA, adjusted net income, adjusted diluted earnings per share and information on a constant currency basis)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adjusted financial measures to determine variable compensation of its employees. EXL believes that it is unreasonably difficult to provide its earnings per share financial outlook in accordance with GAAP for a number of reasons including, without limitation, EXL’s inability to predict its future stock-based compensation expense under ASC Topic 718, the amortization of intangibles associated with further acquisitions and the currency fluctuations. EXL also incurs significant non-cash charges for depreciation that may not be indicative of the Company’s ability to generate cash flow.</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EXL provides certain information on a constant currency basis, which reflects a comparison of current period results translated at the prior period currency rates. EXL primary exchange rate exposure is with the Indian Rupee, the U.K. pound sterling and the Philippine peso. The average exchange rate of the Indian rupee against the U.S. dollar increased from 63.60 during the quarter ended June 30, 2015 to 67.06 during the quarter ended June 30, 2016, representing a depreciation of 5.5%. The average exchange rate of the Philippine peso against the U.S. dollar increased from 44.73 during the quarter ended June 30, 2015 to 46.90 during the quarter ended June 30, 2016, representing a depreciation of 4.8%. The average exchange rate of the U.K pound sterling against the U.S. dollar decreased from 1.55 during the quarter ended June 30, 2015 to 1.42 during the quarter ended June 30, 2016, representing a depreciation of 8.0%. This information is provided because EXL believes that it provides useful comparative incremental information to investors regarding EXL’s operating performance.</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June 30, 2016 and 2015 and for the three months ended March 31, 2016:</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16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40"/>
        </w:trPr>
        <w:tc>
          <w:tcPr>
            <w:tcW w:w="52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 (GAAP)</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170,478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155,621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167,036</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color w:val="auto"/>
              </w:rPr>
              <w:t>subtract: Cost of revenues (GAAP)</w:t>
            </w:r>
          </w:p>
        </w:tc>
        <w:tc>
          <w:tcPr>
            <w:tcW w:w="4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(112,026)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(100,478)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(108,379)</w:t>
            </w:r>
          </w:p>
        </w:tc>
        <w:tc>
          <w:tcPr>
            <w:tcW w:w="0" w:type="dxa"/>
            <w:vAlign w:val="bottom"/>
          </w:tcPr>
          <w:p>
            <w:pPr>
              <w:spacing w:after="0"/>
              <w:rPr>
                <w:sz w:val="1"/>
                <w:szCs w:val="1"/>
                <w:color w:val="auto"/>
              </w:rPr>
            </w:pPr>
          </w:p>
        </w:tc>
      </w:tr>
      <w:tr>
        <w:trPr>
          <w:trHeight w:val="47"/>
        </w:trPr>
        <w:tc>
          <w:tcPr>
            <w:tcW w:w="5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Operating expenses (GAAP)</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(42,216)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(42,205)</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16,236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15,248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16,452</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 Stock-based compensation expense </w:t>
            </w:r>
            <w:r>
              <w:rPr>
                <w:rFonts w:ascii="Arial" w:cs="Arial" w:eastAsia="Arial" w:hAnsi="Arial"/>
                <w:sz w:val="21"/>
                <w:szCs w:val="21"/>
                <w:color w:val="auto"/>
                <w:vertAlign w:val="superscript"/>
              </w:rPr>
              <w:t>(a)</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add: Amortization of acquisition-related intangibles </w:t>
            </w:r>
            <w:r>
              <w:rPr>
                <w:rFonts w:ascii="Arial" w:cs="Arial" w:eastAsia="Arial" w:hAnsi="Arial"/>
                <w:sz w:val="21"/>
                <w:szCs w:val="21"/>
                <w:color w:val="auto"/>
                <w:vertAlign w:val="superscript"/>
              </w:rPr>
              <w:t>(b)</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23,403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24,976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13.7%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Depreciation</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5,418</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28,956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26,862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30,394</w:t>
            </w:r>
          </w:p>
        </w:tc>
        <w:tc>
          <w:tcPr>
            <w:tcW w:w="0" w:type="dxa"/>
            <w:vAlign w:val="bottom"/>
          </w:tcPr>
          <w:p>
            <w:pPr>
              <w:spacing w:after="0"/>
              <w:rPr>
                <w:sz w:val="1"/>
                <w:szCs w:val="1"/>
                <w:color w:val="auto"/>
              </w:rPr>
            </w:pPr>
          </w:p>
        </w:tc>
      </w:tr>
      <w:tr>
        <w:trPr>
          <w:trHeight w:val="73"/>
        </w:trPr>
        <w:tc>
          <w:tcPr>
            <w:tcW w:w="52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i w:val="1"/>
                <w:iCs w:val="1"/>
                <w:color w:val="auto"/>
              </w:rPr>
              <w:t>Adjusted EBITDA margin as a % of Revenues (Non-GAAP)</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w:t>
            </w:r>
          </w:p>
        </w:tc>
        <w:tc>
          <w:tcPr>
            <w:tcW w:w="0" w:type="dxa"/>
            <w:vAlign w:val="bottom"/>
          </w:tcPr>
          <w:p>
            <w:pPr>
              <w:spacing w:after="0"/>
              <w:rPr>
                <w:sz w:val="1"/>
                <w:szCs w:val="1"/>
                <w:color w:val="auto"/>
              </w:rPr>
            </w:pPr>
          </w:p>
        </w:tc>
      </w:tr>
      <w:tr>
        <w:trPr>
          <w:trHeight w:val="33"/>
        </w:trPr>
        <w:tc>
          <w:tcPr>
            <w:tcW w:w="5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ectPr>
          <w:pgSz w:w="11900" w:h="16838" w:orient="portrait"/>
          <w:cols w:equalWidth="0" w:num="1">
            <w:col w:w="11300"/>
          </w:cols>
          <w:pgMar w:left="240" w:top="71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Three Months</w:t>
            </w:r>
          </w:p>
        </w:tc>
        <w:tc>
          <w:tcPr>
            <w:tcW w:w="0" w:type="dxa"/>
            <w:vAlign w:val="bottom"/>
          </w:tcPr>
          <w:p>
            <w:pPr>
              <w:spacing w:after="0"/>
              <w:rPr>
                <w:sz w:val="1"/>
                <w:szCs w:val="1"/>
                <w:color w:val="auto"/>
              </w:rPr>
            </w:pPr>
          </w:p>
        </w:tc>
      </w:tr>
      <w:tr>
        <w:trPr>
          <w:trHeight w:val="95"/>
        </w:trPr>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gridSpan w:val="3"/>
            <w:vMerge w:val="restart"/>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47"/>
        </w:trPr>
        <w:tc>
          <w:tcPr>
            <w:tcW w:w="67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16,375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13,820</w:t>
            </w:r>
          </w:p>
        </w:tc>
        <w:tc>
          <w:tcPr>
            <w:tcW w:w="0" w:type="dxa"/>
            <w:vAlign w:val="bottom"/>
          </w:tcPr>
          <w:p>
            <w:pPr>
              <w:spacing w:after="0"/>
              <w:rPr>
                <w:sz w:val="1"/>
                <w:szCs w:val="1"/>
                <w:color w:val="auto"/>
              </w:rPr>
            </w:pPr>
          </w:p>
        </w:tc>
      </w:tr>
      <w:tr>
        <w:trPr>
          <w:trHeight w:val="270"/>
        </w:trPr>
        <w:tc>
          <w:tcPr>
            <w:tcW w:w="6700" w:type="dxa"/>
            <w:vAlign w:val="bottom"/>
          </w:tcPr>
          <w:p>
            <w:pPr>
              <w:ind w:left="180"/>
              <w:spacing w:after="0"/>
              <w:rPr>
                <w:sz w:val="20"/>
                <w:szCs w:val="20"/>
                <w:color w:val="auto"/>
              </w:rPr>
            </w:pPr>
            <w:r>
              <w:rPr>
                <w:rFonts w:ascii="Arial" w:cs="Arial" w:eastAsia="Arial" w:hAnsi="Arial"/>
                <w:sz w:val="16"/>
                <w:szCs w:val="16"/>
                <w:color w:val="auto"/>
              </w:rPr>
              <w:t xml:space="preserve">add: Stock-based compensation expense </w:t>
            </w:r>
            <w:r>
              <w:rPr>
                <w:rFonts w:ascii="Arial" w:cs="Arial" w:eastAsia="Arial" w:hAnsi="Arial"/>
                <w:sz w:val="21"/>
                <w:szCs w:val="21"/>
                <w:color w:val="auto"/>
                <w:vertAlign w:val="superscript"/>
              </w:rPr>
              <w:t>(a)</w:t>
            </w: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4,450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 Amortization of acquisition-related intangibles </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24"/>
        </w:trPr>
        <w:tc>
          <w:tcPr>
            <w:tcW w:w="6700" w:type="dxa"/>
            <w:vAlign w:val="bottom"/>
          </w:tcPr>
          <w:p>
            <w:pPr>
              <w:ind w:left="180"/>
              <w:spacing w:after="0"/>
              <w:rPr>
                <w:sz w:val="20"/>
                <w:szCs w:val="20"/>
                <w:color w:val="auto"/>
              </w:rPr>
            </w:pPr>
            <w:r>
              <w:rPr>
                <w:rFonts w:ascii="Arial" w:cs="Arial" w:eastAsia="Arial" w:hAnsi="Arial"/>
                <w:sz w:val="16"/>
                <w:szCs w:val="16"/>
                <w:color w:val="auto"/>
              </w:rPr>
              <w:t>subtract: Tax impact on stock-based compensation expense</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subtract: Changes in fair value of earn-out consideration (net of tax) </w:t>
            </w:r>
            <w:r>
              <w:rPr>
                <w:rFonts w:ascii="Arial" w:cs="Arial" w:eastAsia="Arial" w:hAnsi="Arial"/>
                <w:sz w:val="21"/>
                <w:szCs w:val="21"/>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18,843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19,318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0.55</w:t>
            </w:r>
          </w:p>
        </w:tc>
        <w:tc>
          <w:tcPr>
            <w:tcW w:w="12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0.48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0.56</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change in fair value of earn-out consideration related to the RPM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624-5913</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ir@exlservice.com</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2019-12-29T11:28:08Z</dcterms:created>
  <dcterms:modified xsi:type="dcterms:W3CDTF">2019-12-29T11:28:08Z</dcterms:modified>
</cp:coreProperties>
</file>