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728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72833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de Villa Rembert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02/03/2015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23"/>
        <w:spacing w:after="0"/>
        <w:rPr>
          <w:sz w:val="20"/>
          <w:szCs w:val="20"/>
          <w:color w:val="auto"/>
        </w:rPr>
      </w:pPr>
      <w:r>
        <w:rPr>
          <w:rFonts w:ascii="Arial" w:cs="Arial" w:eastAsia="Arial" w:hAnsi="Arial"/>
          <w:sz w:val="16"/>
          <w:szCs w:val="16"/>
          <w:color w:val="0000FF"/>
        </w:rPr>
        <w:t>EVP, Head of Insurance &amp; CSO</w:t>
      </w:r>
    </w:p>
    <w:p>
      <w:pPr>
        <w:spacing w:after="0" w:line="338"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2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540" w:type="dxa"/>
            <w:vAlign w:val="bottom"/>
            <w:gridSpan w:val="2"/>
          </w:tcPr>
          <w:p>
            <w:pPr>
              <w:ind w:left="46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2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20" w:type="dxa"/>
            <w:vAlign w:val="bottom"/>
            <w:gridSpan w:val="3"/>
          </w:tcPr>
          <w:p>
            <w:pPr>
              <w:ind w:left="60"/>
              <w:spacing w:after="0"/>
              <w:rPr>
                <w:sz w:val="20"/>
                <w:szCs w:val="20"/>
                <w:color w:val="auto"/>
              </w:rPr>
            </w:pPr>
            <w:r>
              <w:rPr>
                <w:rFonts w:ascii="Arial" w:cs="Arial" w:eastAsia="Arial" w:hAnsi="Arial"/>
                <w:sz w:val="18"/>
                <w:szCs w:val="18"/>
                <w:color w:val="0000FF"/>
                <w:w w:val="88"/>
              </w:rPr>
              <w:t>Common Stock, par value $0.001 per</w:t>
            </w:r>
          </w:p>
        </w:tc>
        <w:tc>
          <w:tcPr>
            <w:tcW w:w="1540" w:type="dxa"/>
            <w:vAlign w:val="bottom"/>
            <w:gridSpan w:val="2"/>
            <w:vMerge w:val="restart"/>
          </w:tcPr>
          <w:p>
            <w:pPr>
              <w:jc w:val="right"/>
              <w:ind w:right="118"/>
              <w:spacing w:after="0"/>
              <w:rPr>
                <w:sz w:val="20"/>
                <w:szCs w:val="20"/>
                <w:color w:val="auto"/>
              </w:rPr>
            </w:pPr>
            <w:r>
              <w:rPr>
                <w:rFonts w:ascii="Arial" w:cs="Arial" w:eastAsia="Arial" w:hAnsi="Arial"/>
                <w:sz w:val="18"/>
                <w:szCs w:val="18"/>
                <w:color w:val="0000FF"/>
              </w:rPr>
              <w:t>02/03/2015</w:t>
            </w: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vMerge w:val="restart"/>
          </w:tcPr>
          <w:p>
            <w:pPr>
              <w:ind w:left="160"/>
              <w:spacing w:after="0"/>
              <w:rPr>
                <w:sz w:val="20"/>
                <w:szCs w:val="20"/>
                <w:color w:val="auto"/>
              </w:rPr>
            </w:pPr>
            <w:r>
              <w:rPr>
                <w:rFonts w:ascii="Arial" w:cs="Arial" w:eastAsia="Arial" w:hAnsi="Arial"/>
                <w:sz w:val="14"/>
                <w:szCs w:val="14"/>
                <w:color w:val="0000FF"/>
              </w:rPr>
              <w:t>M</w:t>
            </w:r>
          </w:p>
        </w:tc>
        <w:tc>
          <w:tcPr>
            <w:tcW w:w="760" w:type="dxa"/>
            <w:vAlign w:val="bottom"/>
            <w:vMerge w:val="restart"/>
          </w:tcPr>
          <w:p>
            <w:pPr>
              <w:jc w:val="center"/>
              <w:spacing w:after="0"/>
              <w:rPr>
                <w:sz w:val="20"/>
                <w:szCs w:val="20"/>
                <w:color w:val="auto"/>
              </w:rPr>
            </w:pPr>
            <w:r>
              <w:rPr>
                <w:rFonts w:ascii="Arial" w:cs="Arial" w:eastAsia="Arial" w:hAnsi="Arial"/>
                <w:sz w:val="18"/>
                <w:szCs w:val="18"/>
                <w:color w:val="0000FF"/>
                <w:w w:val="84"/>
              </w:rPr>
              <w:t>1,700</w:t>
            </w:r>
          </w:p>
        </w:tc>
        <w:tc>
          <w:tcPr>
            <w:tcW w:w="600" w:type="dxa"/>
            <w:vAlign w:val="bottom"/>
            <w:vMerge w:val="restart"/>
          </w:tcPr>
          <w:p>
            <w:pPr>
              <w:ind w:left="240"/>
              <w:spacing w:after="0"/>
              <w:rPr>
                <w:sz w:val="20"/>
                <w:szCs w:val="20"/>
                <w:color w:val="auto"/>
              </w:rPr>
            </w:pPr>
            <w:r>
              <w:rPr>
                <w:rFonts w:ascii="Arial" w:cs="Arial" w:eastAsia="Arial" w:hAnsi="Arial"/>
                <w:sz w:val="18"/>
                <w:szCs w:val="18"/>
                <w:color w:val="0000FF"/>
              </w:rPr>
              <w:t>A</w:t>
            </w:r>
          </w:p>
        </w:tc>
        <w:tc>
          <w:tcPr>
            <w:tcW w:w="660" w:type="dxa"/>
            <w:vAlign w:val="bottom"/>
            <w:vMerge w:val="restart"/>
          </w:tcPr>
          <w:p>
            <w:pPr>
              <w:jc w:val="right"/>
              <w:ind w:right="114"/>
              <w:spacing w:after="0"/>
              <w:rPr>
                <w:sz w:val="20"/>
                <w:szCs w:val="20"/>
                <w:color w:val="auto"/>
              </w:rPr>
            </w:pPr>
            <w:r>
              <w:rPr>
                <w:rFonts w:ascii="Arial" w:cs="Arial" w:eastAsia="Arial" w:hAnsi="Arial"/>
                <w:sz w:val="11"/>
                <w:szCs w:val="11"/>
                <w:color w:val="008000"/>
              </w:rPr>
              <w:t>(1)</w:t>
            </w:r>
          </w:p>
        </w:tc>
        <w:tc>
          <w:tcPr>
            <w:tcW w:w="1480" w:type="dxa"/>
            <w:vAlign w:val="bottom"/>
            <w:gridSpan w:val="3"/>
            <w:vMerge w:val="restart"/>
          </w:tcPr>
          <w:p>
            <w:pPr>
              <w:jc w:val="right"/>
              <w:ind w:right="396"/>
              <w:spacing w:after="0"/>
              <w:rPr>
                <w:sz w:val="20"/>
                <w:szCs w:val="20"/>
                <w:color w:val="auto"/>
              </w:rPr>
            </w:pPr>
            <w:r>
              <w:rPr>
                <w:rFonts w:ascii="Arial" w:cs="Arial" w:eastAsia="Arial" w:hAnsi="Arial"/>
                <w:sz w:val="18"/>
                <w:szCs w:val="18"/>
                <w:color w:val="0000FF"/>
              </w:rPr>
              <w:t>1,700</w:t>
            </w:r>
          </w:p>
        </w:tc>
        <w:tc>
          <w:tcPr>
            <w:tcW w:w="920" w:type="dxa"/>
            <w:vAlign w:val="bottom"/>
            <w:vMerge w:val="restart"/>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20" w:type="dxa"/>
            <w:vAlign w:val="bottom"/>
            <w:vMerge w:val="restart"/>
          </w:tcPr>
          <w:p>
            <w:pPr>
              <w:ind w:left="60"/>
              <w:spacing w:after="0"/>
              <w:rPr>
                <w:sz w:val="20"/>
                <w:szCs w:val="20"/>
                <w:color w:val="auto"/>
              </w:rPr>
            </w:pPr>
            <w:r>
              <w:rPr>
                <w:rFonts w:ascii="Arial" w:cs="Arial" w:eastAsia="Arial" w:hAnsi="Arial"/>
                <w:sz w:val="18"/>
                <w:szCs w:val="18"/>
                <w:color w:val="0000FF"/>
              </w:rPr>
              <w:t>share</w:t>
            </w:r>
          </w:p>
        </w:tc>
        <w:tc>
          <w:tcPr>
            <w:tcW w:w="8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0" w:type="dxa"/>
            <w:vAlign w:val="bottom"/>
          </w:tcPr>
          <w:p>
            <w:pPr>
              <w:spacing w:after="0"/>
              <w:rPr>
                <w:sz w:val="9"/>
                <w:szCs w:val="9"/>
                <w:color w:val="auto"/>
              </w:rPr>
            </w:pPr>
          </w:p>
        </w:tc>
        <w:tc>
          <w:tcPr>
            <w:tcW w:w="9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720" w:type="dxa"/>
            <w:vAlign w:val="bottom"/>
            <w:tcBorders>
              <w:bottom w:val="single" w:sz="8" w:color="2C2C2C"/>
            </w:tcBorders>
            <w:gridSpan w:val="3"/>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20" w:type="dxa"/>
            <w:vAlign w:val="bottom"/>
            <w:gridSpan w:val="3"/>
          </w:tcPr>
          <w:p>
            <w:pPr>
              <w:ind w:left="60"/>
              <w:spacing w:after="0"/>
              <w:rPr>
                <w:sz w:val="20"/>
                <w:szCs w:val="20"/>
                <w:color w:val="auto"/>
              </w:rPr>
            </w:pPr>
            <w:r>
              <w:rPr>
                <w:rFonts w:ascii="Arial" w:cs="Arial" w:eastAsia="Arial" w:hAnsi="Arial"/>
                <w:sz w:val="18"/>
                <w:szCs w:val="18"/>
                <w:color w:val="0000FF"/>
                <w:w w:val="88"/>
              </w:rPr>
              <w:t>Common Stock, par value $0.001 per</w:t>
            </w:r>
          </w:p>
        </w:tc>
        <w:tc>
          <w:tcPr>
            <w:tcW w:w="1540" w:type="dxa"/>
            <w:vAlign w:val="bottom"/>
            <w:gridSpan w:val="2"/>
            <w:vMerge w:val="restart"/>
          </w:tcPr>
          <w:p>
            <w:pPr>
              <w:jc w:val="right"/>
              <w:ind w:right="118"/>
              <w:spacing w:after="0"/>
              <w:rPr>
                <w:sz w:val="20"/>
                <w:szCs w:val="20"/>
                <w:color w:val="auto"/>
              </w:rPr>
            </w:pPr>
            <w:r>
              <w:rPr>
                <w:rFonts w:ascii="Arial" w:cs="Arial" w:eastAsia="Arial" w:hAnsi="Arial"/>
                <w:sz w:val="18"/>
                <w:szCs w:val="18"/>
                <w:color w:val="0000FF"/>
              </w:rPr>
              <w:t>02/03/2015</w:t>
            </w: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vMerge w:val="restart"/>
          </w:tcPr>
          <w:p>
            <w:pPr>
              <w:ind w:left="180"/>
              <w:spacing w:after="0"/>
              <w:rPr>
                <w:sz w:val="20"/>
                <w:szCs w:val="20"/>
                <w:color w:val="auto"/>
              </w:rPr>
            </w:pPr>
            <w:r>
              <w:rPr>
                <w:rFonts w:ascii="Arial" w:cs="Arial" w:eastAsia="Arial" w:hAnsi="Arial"/>
                <w:sz w:val="14"/>
                <w:szCs w:val="14"/>
                <w:color w:val="0000FF"/>
              </w:rPr>
              <w:t>F</w:t>
            </w:r>
          </w:p>
        </w:tc>
        <w:tc>
          <w:tcPr>
            <w:tcW w:w="760" w:type="dxa"/>
            <w:vAlign w:val="bottom"/>
            <w:vMerge w:val="restart"/>
          </w:tcPr>
          <w:p>
            <w:pPr>
              <w:jc w:val="center"/>
              <w:spacing w:after="0"/>
              <w:rPr>
                <w:sz w:val="20"/>
                <w:szCs w:val="20"/>
                <w:color w:val="auto"/>
              </w:rPr>
            </w:pPr>
            <w:r>
              <w:rPr>
                <w:rFonts w:ascii="Arial" w:cs="Arial" w:eastAsia="Arial" w:hAnsi="Arial"/>
                <w:sz w:val="18"/>
                <w:szCs w:val="18"/>
                <w:color w:val="0000FF"/>
                <w:w w:val="86"/>
              </w:rPr>
              <w:t>743</w:t>
            </w:r>
          </w:p>
        </w:tc>
        <w:tc>
          <w:tcPr>
            <w:tcW w:w="600" w:type="dxa"/>
            <w:vAlign w:val="bottom"/>
            <w:vMerge w:val="restart"/>
          </w:tcPr>
          <w:p>
            <w:pPr>
              <w:ind w:left="240"/>
              <w:spacing w:after="0"/>
              <w:rPr>
                <w:sz w:val="20"/>
                <w:szCs w:val="20"/>
                <w:color w:val="auto"/>
              </w:rPr>
            </w:pPr>
            <w:r>
              <w:rPr>
                <w:rFonts w:ascii="Arial" w:cs="Arial" w:eastAsia="Arial" w:hAnsi="Arial"/>
                <w:sz w:val="18"/>
                <w:szCs w:val="18"/>
                <w:color w:val="0000FF"/>
              </w:rPr>
              <w:t>D</w:t>
            </w:r>
          </w:p>
        </w:tc>
        <w:tc>
          <w:tcPr>
            <w:tcW w:w="880" w:type="dxa"/>
            <w:vAlign w:val="bottom"/>
            <w:gridSpan w:val="2"/>
            <w:vMerge w:val="restart"/>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29.5475</w:t>
            </w:r>
            <w:r>
              <w:rPr>
                <w:rFonts w:ascii="Arial" w:cs="Arial" w:eastAsia="Arial" w:hAnsi="Arial"/>
                <w:sz w:val="22"/>
                <w:szCs w:val="22"/>
                <w:color w:val="008000"/>
                <w:w w:val="85"/>
                <w:vertAlign w:val="superscript"/>
              </w:rPr>
              <w:t>(2)</w:t>
            </w:r>
          </w:p>
        </w:tc>
        <w:tc>
          <w:tcPr>
            <w:tcW w:w="460" w:type="dxa"/>
            <w:vAlign w:val="bottom"/>
          </w:tcPr>
          <w:p>
            <w:pPr>
              <w:spacing w:after="0"/>
              <w:rPr>
                <w:sz w:val="22"/>
                <w:szCs w:val="22"/>
                <w:color w:val="auto"/>
              </w:rPr>
            </w:pPr>
          </w:p>
        </w:tc>
        <w:tc>
          <w:tcPr>
            <w:tcW w:w="800" w:type="dxa"/>
            <w:vAlign w:val="bottom"/>
            <w:vMerge w:val="restart"/>
          </w:tcPr>
          <w:p>
            <w:pPr>
              <w:jc w:val="right"/>
              <w:ind w:right="476"/>
              <w:spacing w:after="0"/>
              <w:rPr>
                <w:sz w:val="20"/>
                <w:szCs w:val="20"/>
                <w:color w:val="auto"/>
              </w:rPr>
            </w:pPr>
            <w:r>
              <w:rPr>
                <w:rFonts w:ascii="Arial" w:cs="Arial" w:eastAsia="Arial" w:hAnsi="Arial"/>
                <w:sz w:val="18"/>
                <w:szCs w:val="18"/>
                <w:color w:val="0000FF"/>
                <w:w w:val="79"/>
              </w:rPr>
              <w:t>957</w:t>
            </w:r>
          </w:p>
        </w:tc>
        <w:tc>
          <w:tcPr>
            <w:tcW w:w="920" w:type="dxa"/>
            <w:vAlign w:val="bottom"/>
            <w:vMerge w:val="restart"/>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vMerge w:val="restart"/>
          </w:tcPr>
          <w:p>
            <w:pPr>
              <w:ind w:left="60"/>
              <w:spacing w:after="0"/>
              <w:rPr>
                <w:sz w:val="20"/>
                <w:szCs w:val="20"/>
                <w:color w:val="auto"/>
              </w:rPr>
            </w:pPr>
            <w:r>
              <w:rPr>
                <w:rFonts w:ascii="Arial" w:cs="Arial" w:eastAsia="Arial" w:hAnsi="Arial"/>
                <w:sz w:val="18"/>
                <w:szCs w:val="18"/>
                <w:color w:val="0000FF"/>
              </w:rPr>
              <w:t>share</w:t>
            </w:r>
          </w:p>
        </w:tc>
        <w:tc>
          <w:tcPr>
            <w:tcW w:w="8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4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6920" w:type="dxa"/>
            <w:vAlign w:val="bottom"/>
            <w:tcBorders>
              <w:bottom w:val="single" w:sz="8" w:color="2C2C2C"/>
            </w:tcBorders>
            <w:gridSpan w:val="10"/>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80" w:type="dxa"/>
            <w:vAlign w:val="bottom"/>
            <w:tcBorders>
              <w:top w:val="single" w:sz="8" w:color="2C2C2C"/>
            </w:tcBorders>
            <w:gridSpan w:val="11"/>
          </w:tcPr>
          <w:p>
            <w:pPr>
              <w:ind w:left="104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0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520" w:type="dxa"/>
            <w:vAlign w:val="bottom"/>
            <w:gridSpan w:val="8"/>
          </w:tcPr>
          <w:p>
            <w:pPr>
              <w:ind w:left="60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72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2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720" w:type="dxa"/>
            <w:vAlign w:val="bottom"/>
            <w:gridSpan w:val="2"/>
          </w:tcPr>
          <w:p>
            <w:pPr>
              <w:ind w:left="120"/>
              <w:spacing w:after="0"/>
              <w:rPr>
                <w:sz w:val="20"/>
                <w:szCs w:val="20"/>
                <w:color w:val="auto"/>
              </w:rPr>
            </w:pPr>
            <w:r>
              <w:rPr>
                <w:rFonts w:ascii="Arial" w:cs="Arial" w:eastAsia="Arial" w:hAnsi="Arial"/>
                <w:sz w:val="12"/>
                <w:szCs w:val="12"/>
                <w:b w:val="1"/>
                <w:bCs w:val="1"/>
                <w:color w:val="auto"/>
              </w:rPr>
              <w:t>9. Number of    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6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66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2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tcPr>
          <w:p>
            <w:pPr>
              <w:ind w:left="80"/>
              <w:spacing w:after="0"/>
              <w:rPr>
                <w:sz w:val="20"/>
                <w:szCs w:val="20"/>
                <w:color w:val="auto"/>
              </w:rPr>
            </w:pPr>
            <w:r>
              <w:rPr>
                <w:rFonts w:ascii="Arial" w:cs="Arial" w:eastAsia="Arial" w:hAnsi="Arial"/>
                <w:sz w:val="14"/>
                <w:szCs w:val="14"/>
                <w:color w:val="0000FF"/>
                <w:w w:val="87"/>
              </w:rPr>
              <w:t>Common</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(3)</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rPr>
              <w:t>(3)</w:t>
            </w:r>
          </w:p>
        </w:tc>
        <w:tc>
          <w:tcPr>
            <w:tcW w:w="60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660" w:type="dxa"/>
            <w:vAlign w:val="bottom"/>
            <w:vMerge w:val="restart"/>
          </w:tcPr>
          <w:p>
            <w:pPr>
              <w:ind w:left="160"/>
              <w:spacing w:after="0"/>
              <w:rPr>
                <w:sz w:val="20"/>
                <w:szCs w:val="20"/>
                <w:color w:val="auto"/>
              </w:rPr>
            </w:pPr>
            <w:r>
              <w:rPr>
                <w:rFonts w:ascii="Arial" w:cs="Arial" w:eastAsia="Arial" w:hAnsi="Arial"/>
                <w:sz w:val="18"/>
                <w:szCs w:val="18"/>
                <w:color w:val="0000FF"/>
              </w:rPr>
              <w:t>1,700</w:t>
            </w: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2"/>
                <w:szCs w:val="12"/>
                <w:color w:val="auto"/>
              </w:rPr>
            </w:pPr>
          </w:p>
        </w:tc>
        <w:tc>
          <w:tcPr>
            <w:tcW w:w="1180" w:type="dxa"/>
            <w:vAlign w:val="bottom"/>
          </w:tcPr>
          <w:p>
            <w:pPr>
              <w:ind w:left="260"/>
              <w:spacing w:after="0" w:line="149" w:lineRule="exact"/>
              <w:rPr>
                <w:sz w:val="20"/>
                <w:szCs w:val="20"/>
                <w:color w:val="auto"/>
              </w:rPr>
            </w:pPr>
            <w:r>
              <w:rPr>
                <w:rFonts w:ascii="Arial" w:cs="Arial" w:eastAsia="Arial" w:hAnsi="Arial"/>
                <w:sz w:val="14"/>
                <w:szCs w:val="14"/>
                <w:color w:val="0000FF"/>
              </w:rPr>
              <w:t>02/03/2015</w:t>
            </w:r>
          </w:p>
        </w:tc>
        <w:tc>
          <w:tcPr>
            <w:tcW w:w="1100" w:type="dxa"/>
            <w:vAlign w:val="bottom"/>
          </w:tcPr>
          <w:p>
            <w:pPr>
              <w:spacing w:after="0"/>
              <w:rPr>
                <w:sz w:val="12"/>
                <w:szCs w:val="12"/>
                <w:color w:val="auto"/>
              </w:rPr>
            </w:pPr>
          </w:p>
        </w:tc>
        <w:tc>
          <w:tcPr>
            <w:tcW w:w="440" w:type="dxa"/>
            <w:vAlign w:val="bottom"/>
          </w:tcPr>
          <w:p>
            <w:pPr>
              <w:jc w:val="right"/>
              <w:ind w:right="98"/>
              <w:spacing w:after="0" w:line="149" w:lineRule="exact"/>
              <w:rPr>
                <w:sz w:val="20"/>
                <w:szCs w:val="20"/>
                <w:color w:val="auto"/>
              </w:rPr>
            </w:pPr>
            <w:r>
              <w:rPr>
                <w:rFonts w:ascii="Arial" w:cs="Arial" w:eastAsia="Arial" w:hAnsi="Arial"/>
                <w:sz w:val="14"/>
                <w:szCs w:val="14"/>
                <w:color w:val="0000FF"/>
              </w:rPr>
              <w:t>M</w:t>
            </w:r>
          </w:p>
        </w:tc>
        <w:tc>
          <w:tcPr>
            <w:tcW w:w="420" w:type="dxa"/>
            <w:vAlign w:val="bottom"/>
          </w:tcPr>
          <w:p>
            <w:pPr>
              <w:spacing w:after="0"/>
              <w:rPr>
                <w:sz w:val="12"/>
                <w:szCs w:val="12"/>
                <w:color w:val="auto"/>
              </w:rPr>
            </w:pPr>
          </w:p>
        </w:tc>
        <w:tc>
          <w:tcPr>
            <w:tcW w:w="720" w:type="dxa"/>
            <w:vAlign w:val="bottom"/>
          </w:tcPr>
          <w:p>
            <w:pPr>
              <w:ind w:left="360"/>
              <w:spacing w:after="0" w:line="149" w:lineRule="exact"/>
              <w:rPr>
                <w:sz w:val="20"/>
                <w:szCs w:val="20"/>
                <w:color w:val="auto"/>
              </w:rPr>
            </w:pPr>
            <w:r>
              <w:rPr>
                <w:rFonts w:ascii="Arial" w:cs="Arial" w:eastAsia="Arial" w:hAnsi="Arial"/>
                <w:sz w:val="14"/>
                <w:szCs w:val="14"/>
                <w:color w:val="0000FF"/>
                <w:w w:val="96"/>
              </w:rPr>
              <w:t>1,700</w:t>
            </w:r>
          </w:p>
        </w:tc>
        <w:tc>
          <w:tcPr>
            <w:tcW w:w="82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600" w:type="dxa"/>
            <w:vAlign w:val="bottom"/>
          </w:tcPr>
          <w:p>
            <w:pPr>
              <w:ind w:left="80"/>
              <w:spacing w:after="0" w:line="149" w:lineRule="exact"/>
              <w:rPr>
                <w:sz w:val="20"/>
                <w:szCs w:val="20"/>
                <w:color w:val="auto"/>
              </w:rPr>
            </w:pPr>
            <w:r>
              <w:rPr>
                <w:rFonts w:ascii="Arial" w:cs="Arial" w:eastAsia="Arial" w:hAnsi="Arial"/>
                <w:sz w:val="14"/>
                <w:szCs w:val="14"/>
                <w:color w:val="0000FF"/>
                <w:w w:val="86"/>
              </w:rPr>
              <w:t>par value</w:t>
            </w:r>
          </w:p>
        </w:tc>
        <w:tc>
          <w:tcPr>
            <w:tcW w:w="660" w:type="dxa"/>
            <w:vAlign w:val="bottom"/>
            <w:vMerge w:val="continue"/>
          </w:tcPr>
          <w:p>
            <w:pPr>
              <w:spacing w:after="0"/>
              <w:rPr>
                <w:sz w:val="12"/>
                <w:szCs w:val="12"/>
                <w:color w:val="auto"/>
              </w:rPr>
            </w:pPr>
          </w:p>
        </w:tc>
        <w:tc>
          <w:tcPr>
            <w:tcW w:w="68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800" w:type="dxa"/>
            <w:vAlign w:val="bottom"/>
          </w:tcPr>
          <w:p>
            <w:pPr>
              <w:ind w:left="500"/>
              <w:spacing w:after="0" w:line="149" w:lineRule="exact"/>
              <w:rPr>
                <w:sz w:val="20"/>
                <w:szCs w:val="20"/>
                <w:color w:val="auto"/>
              </w:rPr>
            </w:pPr>
            <w:r>
              <w:rPr>
                <w:rFonts w:ascii="Arial" w:cs="Arial" w:eastAsia="Arial" w:hAnsi="Arial"/>
                <w:sz w:val="14"/>
                <w:szCs w:val="14"/>
                <w:color w:val="0000FF"/>
              </w:rPr>
              <w:t>0</w:t>
            </w:r>
          </w:p>
        </w:tc>
        <w:tc>
          <w:tcPr>
            <w:tcW w:w="920" w:type="dxa"/>
            <w:vAlign w:val="bottom"/>
          </w:tcPr>
          <w:p>
            <w:pPr>
              <w:ind w:left="56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0" w:type="dxa"/>
            <w:vAlign w:val="bottom"/>
          </w:tcPr>
          <w:p>
            <w:pPr>
              <w:ind w:left="140"/>
              <w:spacing w:after="0" w:line="149" w:lineRule="exact"/>
              <w:rPr>
                <w:sz w:val="20"/>
                <w:szCs w:val="20"/>
                <w:color w:val="auto"/>
              </w:rPr>
            </w:pPr>
            <w:r>
              <w:rPr>
                <w:rFonts w:ascii="Arial" w:cs="Arial" w:eastAsia="Arial" w:hAnsi="Arial"/>
                <w:sz w:val="14"/>
                <w:szCs w:val="14"/>
                <w:color w:val="0000FF"/>
              </w:rPr>
              <w:t>$0.001</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ind w:left="80"/>
              <w:spacing w:after="0"/>
              <w:rPr>
                <w:sz w:val="20"/>
                <w:szCs w:val="20"/>
                <w:color w:val="auto"/>
              </w:rPr>
            </w:pPr>
            <w:r>
              <w:rPr>
                <w:rFonts w:ascii="Arial" w:cs="Arial" w:eastAsia="Arial" w:hAnsi="Arial"/>
                <w:sz w:val="14"/>
                <w:szCs w:val="14"/>
                <w:color w:val="0000FF"/>
                <w:w w:val="84"/>
              </w:rPr>
              <w:t>per share</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Restricted stock units of ExlService Holdings, Inc. (the "Company") convert into common stock, par value $0.001 per share (the "Common Stock") on a one-for-one basis.</w:t>
      </w:r>
    </w:p>
    <w:p>
      <w:pPr>
        <w:spacing w:after="0" w:line="41" w:lineRule="exact"/>
        <w:rPr>
          <w:rFonts w:ascii="Arial" w:cs="Arial" w:eastAsia="Arial" w:hAnsi="Arial"/>
          <w:sz w:val="14"/>
          <w:szCs w:val="14"/>
          <w:color w:val="008000"/>
        </w:rPr>
      </w:pPr>
    </w:p>
    <w:p>
      <w:pPr>
        <w:ind w:left="40" w:right="48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restricted stock units reported in this report vested on February 3, 2015. Pursuant to the Company's 2006 Omnibus Award Plan, pursuant to which such restricted stock units were granted, the average of the high and low sale prices of the Common Stock on the Nasdaq Global Select Market on the preceding day is used for tax reporting and withholding purposes.</w:t>
      </w:r>
    </w:p>
    <w:p>
      <w:pPr>
        <w:ind w:left="40" w:right="1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February 3, 2011, the reporting person was granted 4,250 restricted stock units, vesting in 10%, 20%, 30% and 40% beginning on the first anniversary of the grant date. The remaining balance i/n/o 1,700 shares of restricted stock units became vested on February 3, 2015.</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02/05/2015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30882"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2019-12-08T12:31:46Z</dcterms:created>
  <dcterms:modified xsi:type="dcterms:W3CDTF">2019-12-08T12:31:46Z</dcterms:modified>
</cp:coreProperties>
</file>