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Sections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15,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EXLSERVICE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640" w:type="dxa"/>
        <w:tblCellMar>
          <w:top w:w="0" w:type="dxa"/>
          <w:left w:w="0" w:type="dxa"/>
          <w:bottom w:w="0" w:type="dxa"/>
          <w:right w:w="0" w:type="dxa"/>
        </w:tblCellMar>
      </w:tblPr>
      <w:tr>
        <w:trPr>
          <w:trHeight w:val="220"/>
        </w:trPr>
        <w:tc>
          <w:tcPr>
            <w:tcW w:w="24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3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001-33089</w:t>
            </w:r>
          </w:p>
        </w:tc>
        <w:tc>
          <w:tcPr>
            <w:tcW w:w="16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82-0572194</w:t>
            </w:r>
          </w:p>
        </w:tc>
      </w:tr>
      <w:tr>
        <w:trPr>
          <w:trHeight w:val="216"/>
        </w:trPr>
        <w:tc>
          <w:tcPr>
            <w:tcW w:w="24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3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16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5340" w:type="dxa"/>
            <w:vAlign w:val="bottom"/>
          </w:tcPr>
          <w:p>
            <w:pPr>
              <w:spacing w:after="0"/>
              <w:rPr>
                <w:sz w:val="20"/>
                <w:szCs w:val="20"/>
                <w:color w:val="auto"/>
              </w:rPr>
            </w:pPr>
          </w:p>
        </w:tc>
        <w:tc>
          <w:tcPr>
            <w:tcW w:w="16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440" w:type="dxa"/>
            <w:vAlign w:val="bottom"/>
          </w:tcPr>
          <w:p>
            <w:pPr>
              <w:spacing w:after="0"/>
              <w:rPr>
                <w:sz w:val="24"/>
                <w:szCs w:val="24"/>
                <w:color w:val="auto"/>
              </w:rPr>
            </w:pPr>
          </w:p>
        </w:tc>
        <w:tc>
          <w:tcPr>
            <w:tcW w:w="5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320 Park Avenue, 29th Floor,</w:t>
            </w:r>
          </w:p>
        </w:tc>
        <w:tc>
          <w:tcPr>
            <w:tcW w:w="1680" w:type="dxa"/>
            <w:vAlign w:val="bottom"/>
          </w:tcPr>
          <w:p>
            <w:pPr>
              <w:spacing w:after="0"/>
              <w:rPr>
                <w:sz w:val="24"/>
                <w:szCs w:val="24"/>
                <w:color w:val="auto"/>
              </w:rPr>
            </w:pPr>
          </w:p>
        </w:tc>
      </w:tr>
      <w:tr>
        <w:trPr>
          <w:trHeight w:val="220"/>
        </w:trPr>
        <w:tc>
          <w:tcPr>
            <w:tcW w:w="2440" w:type="dxa"/>
            <w:vAlign w:val="bottom"/>
          </w:tcPr>
          <w:p>
            <w:pPr>
              <w:spacing w:after="0"/>
              <w:rPr>
                <w:sz w:val="19"/>
                <w:szCs w:val="19"/>
                <w:color w:val="auto"/>
              </w:rPr>
            </w:pPr>
          </w:p>
        </w:tc>
        <w:tc>
          <w:tcPr>
            <w:tcW w:w="5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New York, New York</w:t>
            </w:r>
          </w:p>
        </w:tc>
        <w:tc>
          <w:tcPr>
            <w:tcW w:w="16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10022</w:t>
            </w:r>
          </w:p>
        </w:tc>
      </w:tr>
      <w:tr>
        <w:trPr>
          <w:trHeight w:val="234"/>
        </w:trPr>
        <w:tc>
          <w:tcPr>
            <w:tcW w:w="2440" w:type="dxa"/>
            <w:vAlign w:val="bottom"/>
          </w:tcPr>
          <w:p>
            <w:pPr>
              <w:spacing w:after="0"/>
              <w:rPr>
                <w:sz w:val="20"/>
                <w:szCs w:val="20"/>
                <w:color w:val="auto"/>
              </w:rPr>
            </w:pPr>
          </w:p>
        </w:tc>
        <w:tc>
          <w:tcPr>
            <w:tcW w:w="53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6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(Zip code)</w:t>
            </w:r>
          </w:p>
        </w:tc>
      </w:tr>
      <w:tr>
        <w:trPr>
          <w:trHeight w:val="432"/>
        </w:trPr>
        <w:tc>
          <w:tcPr>
            <w:tcW w:w="2440" w:type="dxa"/>
            <w:vAlign w:val="bottom"/>
          </w:tcPr>
          <w:p>
            <w:pPr>
              <w:spacing w:after="0"/>
              <w:rPr>
                <w:sz w:val="24"/>
                <w:szCs w:val="24"/>
                <w:color w:val="auto"/>
              </w:rPr>
            </w:pPr>
          </w:p>
        </w:tc>
        <w:tc>
          <w:tcPr>
            <w:tcW w:w="53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(212) 277-7100</w:t>
            </w:r>
          </w:p>
        </w:tc>
        <w:tc>
          <w:tcPr>
            <w:tcW w:w="1680" w:type="dxa"/>
            <w:vAlign w:val="bottom"/>
          </w:tcPr>
          <w:p>
            <w:pPr>
              <w:spacing w:after="0"/>
              <w:rPr>
                <w:sz w:val="24"/>
                <w:szCs w:val="24"/>
                <w:color w:val="auto"/>
              </w:rPr>
            </w:pPr>
          </w:p>
        </w:tc>
      </w:tr>
      <w:tr>
        <w:trPr>
          <w:trHeight w:val="414"/>
        </w:trPr>
        <w:tc>
          <w:tcPr>
            <w:tcW w:w="2440" w:type="dxa"/>
            <w:vAlign w:val="bottom"/>
          </w:tcPr>
          <w:p>
            <w:pPr>
              <w:spacing w:after="0"/>
              <w:rPr>
                <w:sz w:val="24"/>
                <w:szCs w:val="24"/>
                <w:color w:val="auto"/>
              </w:rPr>
            </w:pPr>
          </w:p>
        </w:tc>
        <w:tc>
          <w:tcPr>
            <w:tcW w:w="53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80" w:type="dxa"/>
            <w:vAlign w:val="bottom"/>
          </w:tcPr>
          <w:p>
            <w:pPr>
              <w:spacing w:after="0"/>
              <w:rPr>
                <w:sz w:val="24"/>
                <w:szCs w:val="24"/>
                <w:color w:val="auto"/>
              </w:rPr>
            </w:pPr>
          </w:p>
        </w:tc>
      </w:tr>
      <w:tr>
        <w:trPr>
          <w:trHeight w:val="234"/>
        </w:trPr>
        <w:tc>
          <w:tcPr>
            <w:tcW w:w="2440" w:type="dxa"/>
            <w:vAlign w:val="bottom"/>
          </w:tcPr>
          <w:p>
            <w:pPr>
              <w:spacing w:after="0"/>
              <w:rPr>
                <w:sz w:val="20"/>
                <w:szCs w:val="20"/>
                <w:color w:val="auto"/>
              </w:rPr>
            </w:pPr>
          </w:p>
        </w:tc>
        <w:tc>
          <w:tcPr>
            <w:tcW w:w="5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(Former name or address, if changed since last report)</w:t>
            </w:r>
          </w:p>
        </w:tc>
        <w:tc>
          <w:tcPr>
            <w:tcW w:w="16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660" w:right="160" w:hanging="652"/>
        <w:spacing w:after="0" w:line="282" w:lineRule="auto"/>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36"/>
        </w:trPr>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EXLS</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64"/>
        </w:trPr>
        <w:tc>
          <w:tcPr>
            <w:tcW w:w="374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tcPr>
          <w:p>
            <w:pPr>
              <w:spacing w:after="0"/>
              <w:rPr>
                <w:sz w:val="22"/>
                <w:szCs w:val="22"/>
                <w:color w:val="auto"/>
              </w:rPr>
            </w:pPr>
          </w:p>
        </w:tc>
        <w:tc>
          <w:tcPr>
            <w:tcW w:w="4360" w:type="dxa"/>
            <w:vAlign w:val="bottom"/>
            <w:tcBorders>
              <w:bottom w:val="single" w:sz="8" w:color="auto"/>
            </w:tcBorders>
          </w:tcPr>
          <w:p>
            <w:pPr>
              <w:spacing w:after="0"/>
              <w:rPr>
                <w:sz w:val="22"/>
                <w:szCs w:val="22"/>
                <w:color w:val="auto"/>
              </w:rPr>
            </w:pPr>
          </w:p>
        </w:tc>
      </w:tr>
      <w:tr>
        <w:trPr>
          <w:trHeight w:val="28"/>
        </w:trPr>
        <w:tc>
          <w:tcPr>
            <w:tcW w:w="37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459"/>
        </w:trPr>
        <w:tc>
          <w:tcPr>
            <w:tcW w:w="37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60" w:firstLine="441"/>
        <w:spacing w:after="0" w:line="271" w:lineRule="auto"/>
        <w:rPr>
          <w:sz w:val="20"/>
          <w:szCs w:val="20"/>
          <w:color w:val="auto"/>
        </w:rPr>
      </w:pPr>
      <w:r>
        <w:rPr>
          <w:rFonts w:ascii="Times New Roman" w:cs="Times New Roman" w:eastAsia="Times New Roman" w:hAnsi="Times New Roman"/>
          <w:sz w:val="17"/>
          <w:szCs w:val="17"/>
          <w:color w:val="auto"/>
        </w:rPr>
        <w:t>On March 15, 2024, ExlService Holdings, Inc. (the “Company”) entered into a master confirmation (the “Master ASR Confirmation”) and a supplemental confirmation (together with the Master ASR Confirmation, the “ASR Agreement”), with Citibank, N.A. (“Citibank”), as part of the Company’s previously announced $500 million common stock repurchase program. Under the ASR Agreement, the Company will pay an aggregate amount of $125 million to Citibank for an initial number of shares of the Company’s common stock, par value $0.001 per share (the “Common Stock”) at the beginning of the transaction. The Company plans to fund the repurchase with available cash on hand and/or borrowing from its credit facility.The ultimate number of shares of Common Stock that the Company will repurchase under the ASR Agreement will be based on the average of the daily volume-weighted average prices of the Common Stock during the term of the ASR Agreement, less a discount and subject to adjustments pursuant to the terms and conditions of the ASR Agreement. At final settlement, Citibank may be required to deliver additional shares of Common Stock to the Company or, under certain circumstances, the Company may be required to make a cash payment or deliver shares of Common Stock, at its election, to Citibank.</w:t>
      </w:r>
    </w:p>
    <w:p>
      <w:pPr>
        <w:spacing w:after="0" w:line="173" w:lineRule="exact"/>
        <w:rPr>
          <w:sz w:val="20"/>
          <w:szCs w:val="20"/>
          <w:color w:val="auto"/>
        </w:rPr>
      </w:pPr>
    </w:p>
    <w:p>
      <w:pPr>
        <w:ind w:right="340" w:firstLine="441"/>
        <w:spacing w:after="0" w:line="261" w:lineRule="auto"/>
        <w:rPr>
          <w:sz w:val="20"/>
          <w:szCs w:val="20"/>
          <w:color w:val="auto"/>
        </w:rPr>
      </w:pPr>
      <w:r>
        <w:rPr>
          <w:rFonts w:ascii="Times New Roman" w:cs="Times New Roman" w:eastAsia="Times New Roman" w:hAnsi="Times New Roman"/>
          <w:sz w:val="18"/>
          <w:szCs w:val="18"/>
          <w:color w:val="auto"/>
        </w:rPr>
        <w:t>The ASR Agreement contains the principal terms and provisions governing the accelerated share repurchase, including, but not limited to, the mechanism used to determine the number of shares of Common Stock that will be delivered, the required timing of delivery of the shares, the circumstances under which adjustments may be made to the transactions, the circumstances under which the transaction may be terminated prior to its scheduled maturity and various acknowledgments, representations and warranties made by the Company and Citibank to one another.</w:t>
      </w:r>
    </w:p>
    <w:p>
      <w:pPr>
        <w:spacing w:after="0" w:line="180" w:lineRule="exact"/>
        <w:rPr>
          <w:sz w:val="20"/>
          <w:szCs w:val="20"/>
          <w:color w:val="auto"/>
        </w:rPr>
      </w:pPr>
    </w:p>
    <w:p>
      <w:pPr>
        <w:ind w:firstLine="441"/>
        <w:spacing w:after="0" w:line="312" w:lineRule="auto"/>
        <w:rPr>
          <w:sz w:val="20"/>
          <w:szCs w:val="20"/>
          <w:color w:val="auto"/>
        </w:rPr>
      </w:pPr>
      <w:r>
        <w:rPr>
          <w:rFonts w:ascii="Times New Roman" w:cs="Times New Roman" w:eastAsia="Times New Roman" w:hAnsi="Times New Roman"/>
          <w:sz w:val="17"/>
          <w:szCs w:val="17"/>
          <w:color w:val="auto"/>
        </w:rPr>
        <w:t>From time to time, Citibank and/or its affiliates have directly and indirectly engaged, and may engage in the future, in investment and/or commercial banking transactions with the Company for which Citibank has received, or may receive, customary compensation, fees and expense reimbursement.</w:t>
      </w:r>
    </w:p>
    <w:p>
      <w:pPr>
        <w:spacing w:after="0" w:line="140" w:lineRule="exact"/>
        <w:rPr>
          <w:sz w:val="20"/>
          <w:szCs w:val="20"/>
          <w:color w:val="auto"/>
        </w:rPr>
      </w:pPr>
    </w:p>
    <w:p>
      <w:pPr>
        <w:ind w:right="200" w:firstLine="441"/>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ASR Agreement does not purport to be complete and is qualified in its entirety by reference to the full text of the ASR Agreement, which is attached hereto as Exhibit 10.1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herewith:</w:t>
      </w:r>
    </w:p>
    <w:p>
      <w:pPr>
        <w:spacing w:after="0" w:line="221" w:lineRule="exact"/>
        <w:rPr>
          <w:sz w:val="20"/>
          <w:szCs w:val="20"/>
          <w:color w:val="auto"/>
        </w:rPr>
      </w:pPr>
    </w:p>
    <w:p>
      <w:pPr>
        <w:ind w:left="140"/>
        <w:spacing w:after="0"/>
        <w:tabs>
          <w:tab w:leader="none" w:pos="568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1140" w:right="60" w:hanging="838"/>
        <w:spacing w:after="0" w:line="258" w:lineRule="auto"/>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8"/>
          <w:szCs w:val="18"/>
          <w:u w:val="single" w:color="auto"/>
          <w:color w:val="0000EE"/>
        </w:rPr>
        <w:t>Master Confirmation – Variable Tenor Accelerated Stock Repurchase, dated as of March 15, 2024, between ExlService Holdings, Inc. and Citibank, N.A.</w:t>
      </w:r>
    </w:p>
    <w:p>
      <w:pPr>
        <w:ind w:left="320"/>
        <w:spacing w:after="0"/>
        <w:tabs>
          <w:tab w:leader="none" w:pos="11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20" w:type="dxa"/>
            <w:vAlign w:val="bottom"/>
          </w:tcPr>
          <w:p>
            <w:pPr>
              <w:spacing w:after="0"/>
              <w:rPr>
                <w:sz w:val="19"/>
                <w:szCs w:val="19"/>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EXLSERVICE HOLDINGS, INC.</w:t>
            </w:r>
          </w:p>
        </w:tc>
      </w:tr>
      <w:tr>
        <w:trPr>
          <w:trHeight w:val="234"/>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(Registrant)</w:t>
            </w:r>
          </w:p>
        </w:tc>
      </w:tr>
      <w:tr>
        <w:trPr>
          <w:trHeight w:val="64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18, 2024</w:t>
            </w: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Ajay Ayyappan</w:t>
            </w:r>
          </w:p>
        </w:tc>
      </w:tr>
      <w:tr>
        <w:trPr>
          <w:trHeight w:val="191"/>
        </w:trPr>
        <w:tc>
          <w:tcPr>
            <w:tcW w:w="3620" w:type="dxa"/>
            <w:vAlign w:val="bottom"/>
          </w:tcPr>
          <w:p>
            <w:pPr>
              <w:spacing w:after="0"/>
              <w:rPr>
                <w:sz w:val="16"/>
                <w:szCs w:val="16"/>
                <w:color w:val="auto"/>
              </w:rPr>
            </w:pPr>
          </w:p>
        </w:tc>
        <w:tc>
          <w:tcPr>
            <w:tcW w:w="2580" w:type="dxa"/>
            <w:vAlign w:val="bottom"/>
          </w:tcPr>
          <w:p>
            <w:pPr>
              <w:ind w:left="20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Ajay Ayyappan</w:t>
            </w:r>
          </w:p>
        </w:tc>
      </w:tr>
      <w:tr>
        <w:trPr>
          <w:trHeight w:val="216"/>
        </w:trPr>
        <w:tc>
          <w:tcPr>
            <w:tcW w:w="3620" w:type="dxa"/>
            <w:vAlign w:val="bottom"/>
          </w:tcPr>
          <w:p>
            <w:pPr>
              <w:spacing w:after="0"/>
              <w:rPr>
                <w:sz w:val="18"/>
                <w:szCs w:val="18"/>
                <w:color w:val="auto"/>
              </w:rPr>
            </w:pP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34"/>
        </w:trPr>
        <w:tc>
          <w:tcPr>
            <w:tcW w:w="36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675"/>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6520180</wp:posOffset>
            </wp:positionH>
            <wp:positionV relativeFrom="paragraph">
              <wp:posOffset>154305</wp:posOffset>
            </wp:positionV>
            <wp:extent cx="617220" cy="411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2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VARIABLE TENOR ASR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ExlService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320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Accelerated Share Repurchase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master confirmation (this “</w:t>
      </w:r>
      <w:r>
        <w:rPr>
          <w:rFonts w:ascii="Times New Roman" w:cs="Times New Roman" w:eastAsia="Times New Roman" w:hAnsi="Times New Roman"/>
          <w:sz w:val="18"/>
          <w:szCs w:val="18"/>
          <w:u w:val="single" w:color="auto"/>
          <w:color w:val="auto"/>
        </w:rPr>
        <w:t>Master Confirmation</w:t>
      </w:r>
      <w:r>
        <w:rPr>
          <w:rFonts w:ascii="Times New Roman" w:cs="Times New Roman" w:eastAsia="Times New Roman" w:hAnsi="Times New Roman"/>
          <w:sz w:val="18"/>
          <w:szCs w:val="18"/>
          <w:color w:val="auto"/>
        </w:rPr>
        <w:t>”), dated as of March 15, 2024 is intended to set forth certain terms and provisions of certain Transactions (each, a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that may be entered into from time to time between Citibank, N.A. (“</w:t>
      </w:r>
      <w:r>
        <w:rPr>
          <w:rFonts w:ascii="Times New Roman" w:cs="Times New Roman" w:eastAsia="Times New Roman" w:hAnsi="Times New Roman"/>
          <w:sz w:val="18"/>
          <w:szCs w:val="18"/>
          <w:u w:val="single" w:color="auto"/>
          <w:color w:val="auto"/>
        </w:rPr>
        <w:t>Citibank</w:t>
      </w:r>
      <w:r>
        <w:rPr>
          <w:rFonts w:ascii="Times New Roman" w:cs="Times New Roman" w:eastAsia="Times New Roman" w:hAnsi="Times New Roman"/>
          <w:sz w:val="18"/>
          <w:szCs w:val="18"/>
          <w:color w:val="auto"/>
        </w:rPr>
        <w:t>”), and ExlService Holdings, Inc. (“</w:t>
      </w:r>
      <w:r>
        <w:rPr>
          <w:rFonts w:ascii="Times New Roman" w:cs="Times New Roman" w:eastAsia="Times New Roman" w:hAnsi="Times New Roman"/>
          <w:sz w:val="18"/>
          <w:szCs w:val="18"/>
          <w:u w:val="single" w:color="auto"/>
          <w:color w:val="auto"/>
        </w:rPr>
        <w:t>Counterparty</w:t>
      </w:r>
      <w:r>
        <w:rPr>
          <w:rFonts w:ascii="Times New Roman" w:cs="Times New Roman" w:eastAsia="Times New Roman" w:hAnsi="Times New Roman"/>
          <w:sz w:val="18"/>
          <w:szCs w:val="18"/>
          <w:color w:val="auto"/>
        </w:rPr>
        <w:t xml:space="preserve">”). This Master Confirmation, taken alone, is neither a commitment by either party to enter into any Transaction nor evidence of a Transaction. The additional terms of any particular Transaction shall be set forth in a Supplemental Confirmation substantially in the form of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with such changes as the parties agree (a “</w:t>
      </w:r>
      <w:r>
        <w:rPr>
          <w:rFonts w:ascii="Times New Roman" w:cs="Times New Roman" w:eastAsia="Times New Roman" w:hAnsi="Times New Roman"/>
          <w:sz w:val="18"/>
          <w:szCs w:val="18"/>
          <w:u w:val="single" w:color="auto"/>
          <w:color w:val="auto"/>
        </w:rPr>
        <w:t>Supplemental Confirmation</w:t>
      </w:r>
      <w:r>
        <w:rPr>
          <w:rFonts w:ascii="Times New Roman" w:cs="Times New Roman" w:eastAsia="Times New Roman" w:hAnsi="Times New Roman"/>
          <w:sz w:val="18"/>
          <w:szCs w:val="18"/>
          <w:color w:val="auto"/>
        </w:rPr>
        <w:t>”), which shall reference this Master Confirmation and supplement, form a part of, and be subject to this Master Confirmation. This Master Confirmation and each Supplemental Confirmation together shall constitute a “Confirmation” as referred to in the Agreement specified below.</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definitions and provisions contained in the 2002 ISDA Equity Derivatives Definitions (the “</w:t>
      </w:r>
      <w:r>
        <w:rPr>
          <w:rFonts w:ascii="Times New Roman" w:cs="Times New Roman" w:eastAsia="Times New Roman" w:hAnsi="Times New Roman"/>
          <w:sz w:val="18"/>
          <w:szCs w:val="18"/>
          <w:u w:val="single" w:color="auto"/>
          <w:color w:val="auto"/>
        </w:rPr>
        <w:t>Equity Definitions</w:t>
      </w:r>
      <w:r>
        <w:rPr>
          <w:rFonts w:ascii="Times New Roman" w:cs="Times New Roman" w:eastAsia="Times New Roman" w:hAnsi="Times New Roman"/>
          <w:sz w:val="18"/>
          <w:szCs w:val="18"/>
          <w:color w:val="auto"/>
        </w:rPr>
        <w:t>”), as published by the International Swaps and Derivatives Association, Inc., are incorporated into this Master Confirmation. This Master Confirmation and each Supplemental Confirmation evidence a complete binding agreement between Counterparty and Citibank as to the subject matter and terms of each Transaction to which this Master Confirmation and such Supplemental Confirmation relate and shall supersede all prior or contemporaneous written or oral communications with respect thereto.</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This Master Confirmation and each Supplemental Confirmation supplement, form a part of, and are subject to an agreement in the form of the ISDA 2002 Master Agreement (the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as if Citibank and Counterparty had executed the Agreement on the date of this Master Confirmation (but without any Schedule except for (i) the election of New York law (without reference to its choice of laws doctrine other than Title 14 of Article 5 of the New York General Obligations Law) as the governing law and U.S. Dollars (“</w:t>
      </w:r>
      <w:r>
        <w:rPr>
          <w:rFonts w:ascii="Times New Roman" w:cs="Times New Roman" w:eastAsia="Times New Roman" w:hAnsi="Times New Roman"/>
          <w:sz w:val="17"/>
          <w:szCs w:val="17"/>
          <w:u w:val="single" w:color="auto"/>
          <w:color w:val="auto"/>
        </w:rPr>
        <w:t>USD</w:t>
      </w:r>
      <w:r>
        <w:rPr>
          <w:rFonts w:ascii="Times New Roman" w:cs="Times New Roman" w:eastAsia="Times New Roman" w:hAnsi="Times New Roman"/>
          <w:sz w:val="17"/>
          <w:szCs w:val="17"/>
          <w:color w:val="auto"/>
        </w:rPr>
        <w:t>”) as the Termination Currency and (ii) the election that the “Cross Default” provisions of Section 5(a)(vi) shall apply to Citibank, with a “Threshold Amount” of three percent of the shareholders’ equity of Citigroup Inc. as of the Trade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 the phrase “, or becoming capable at such time of being declared, ” shall be deleted from clause (1) of such Section 5(a)</w:t>
      </w:r>
    </w:p>
    <w:p>
      <w:pPr>
        <w:spacing w:after="0" w:line="5" w:lineRule="exact"/>
        <w:rPr>
          <w:sz w:val="20"/>
          <w:szCs w:val="20"/>
          <w:color w:val="auto"/>
        </w:rPr>
      </w:pPr>
    </w:p>
    <w:p>
      <w:pPr>
        <w:jc w:val="both"/>
        <w:ind w:firstLine="8"/>
        <w:spacing w:after="0" w:line="253" w:lineRule="auto"/>
        <w:tabs>
          <w:tab w:leader="none" w:pos="31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Agreement, (b) the term “Specified Indebtedness” shall have the meaning specified in Section 14 of the Agreement, except that such term shall not include obligations in respect of deposits received in the ordinary course of a party’s banking business and (c) the following sentence shall be added to the end thereof: “Notwithstanding the foregoing, a default under subsection (2) hereof shall not constitute an Event of Default if (i) the default was caused solely by error or omission of an administrative or operational nature; (ii) funds were available to enable the party to make the payment when due; and (iii) the payment is made within two Local Business Days of such party’s receipt of written notice of its failure to pay.”)).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Transactions shall be the sole Transactions under the Agreement. If there exists any ISDA Master Agreement between Citibank and Counterparty or any confirmation or other agreement between Citibank and Counterparty pursuant to which an ISDA Master Agreement is deemed to exist between Citibank and Counterparty, then notwithstanding anything to the contrary in such ISDA Master Agreement, such confirmation or agreement or any other agreement to which Citibank and Counterparty are parties, the Transactions shall not be considered Transactions under, or otherwise governed by, such existing or deemed ISDA Master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6723380</wp:posOffset>
            </wp:positionH>
            <wp:positionV relativeFrom="page">
              <wp:posOffset>586105</wp:posOffset>
            </wp:positionV>
            <wp:extent cx="617220"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17220" cy="411480"/>
                    </a:xfrm>
                    <a:prstGeom prst="rect">
                      <a:avLst/>
                    </a:prstGeom>
                    <a:noFill/>
                  </pic:spPr>
                </pic:pic>
              </a:graphicData>
            </a:graphic>
          </wp:anchor>
        </w:drawing>
      </w: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provisions contained or incorporated by reference in the Agreement shall govern this Master Confirmation and each Supplemental Confirmation except as expressly modified herein or in such Supplemental Confirmation.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in relation to any Transaction to which this Master Confirmation and a Supplemental Confirmation relate, there is any inconsistency between the Agreement, this Master Confirmation, such Supplemental Confirmation and the Equity Definitions, the following will prevail for purposes of such Transaction in the order of precedence indicated: (i) such Supplemental Confirmation; (ii) this Master Confirmation; (iii) the Equity Definitions; and (iv) the Agreement.</w:t>
      </w:r>
    </w:p>
    <w:p>
      <w:pPr>
        <w:spacing w:after="0" w:line="180" w:lineRule="exact"/>
        <w:rPr>
          <w:sz w:val="20"/>
          <w:szCs w:val="20"/>
          <w:color w:val="auto"/>
        </w:rPr>
      </w:pPr>
    </w:p>
    <w:p>
      <w:pPr>
        <w:ind w:left="66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Transaction constitutes a Share Forward Transaction for the purposes of the Equity Definitions. Set forth below are the terms and conditions that, together with the terms and conditions set forth in the Supplemental Confirmation relating to any Transaction, shall govern such Transaction.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 Terms</w:t>
            </w:r>
            <w:r>
              <w:rPr>
                <w:rFonts w:ascii="Times New Roman" w:cs="Times New Roman" w:eastAsia="Times New Roman" w:hAnsi="Times New Roman"/>
                <w:sz w:val="18"/>
                <w:szCs w:val="18"/>
                <w:color w:val="auto"/>
              </w:rPr>
              <w:t>:</w:t>
            </w:r>
          </w:p>
        </w:tc>
        <w:tc>
          <w:tcPr>
            <w:tcW w:w="8840" w:type="dxa"/>
            <w:vAlign w:val="bottom"/>
          </w:tcPr>
          <w:p>
            <w:pPr>
              <w:spacing w:after="0"/>
              <w:rPr>
                <w:sz w:val="20"/>
                <w:szCs w:val="20"/>
                <w:color w:val="auto"/>
              </w:rPr>
            </w:pPr>
          </w:p>
        </w:tc>
      </w:tr>
      <w:tr>
        <w:trPr>
          <w:trHeight w:val="432"/>
        </w:trPr>
        <w:tc>
          <w:tcPr>
            <w:tcW w:w="2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Trade Date:</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 each Transaction, as set forth in the related Supplemental Confirmation.</w:t>
            </w:r>
          </w:p>
        </w:tc>
      </w:tr>
      <w:tr>
        <w:trPr>
          <w:trHeight w:val="432"/>
        </w:trPr>
        <w:tc>
          <w:tcPr>
            <w:tcW w:w="2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Buyer:</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Counterparty</w:t>
            </w:r>
          </w:p>
        </w:tc>
      </w:tr>
      <w:tr>
        <w:trPr>
          <w:trHeight w:val="432"/>
        </w:trPr>
        <w:tc>
          <w:tcPr>
            <w:tcW w:w="2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Seller:</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Citibank</w:t>
            </w:r>
          </w:p>
        </w:tc>
      </w:tr>
      <w:tr>
        <w:trPr>
          <w:trHeight w:val="432"/>
        </w:trPr>
        <w:tc>
          <w:tcPr>
            <w:tcW w:w="2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Shares:</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common stock of Counterparty, par value USD 0.001 per share (Ticker: EXLS)</w:t>
            </w:r>
          </w:p>
        </w:tc>
      </w:tr>
      <w:tr>
        <w:trPr>
          <w:trHeight w:val="432"/>
        </w:trPr>
        <w:tc>
          <w:tcPr>
            <w:tcW w:w="2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Exchange:</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NASDAQ Global Select Market</w:t>
            </w:r>
          </w:p>
        </w:tc>
      </w:tr>
      <w:tr>
        <w:trPr>
          <w:trHeight w:val="432"/>
        </w:trPr>
        <w:tc>
          <w:tcPr>
            <w:tcW w:w="2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Related Exchange(s):</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 Exchanges</w:t>
            </w:r>
          </w:p>
        </w:tc>
      </w:tr>
      <w:tr>
        <w:trPr>
          <w:trHeight w:val="432"/>
        </w:trPr>
        <w:tc>
          <w:tcPr>
            <w:tcW w:w="2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Prepayment:</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Applicable</w:t>
            </w:r>
          </w:p>
        </w:tc>
      </w:tr>
      <w:tr>
        <w:trPr>
          <w:trHeight w:val="432"/>
        </w:trPr>
        <w:tc>
          <w:tcPr>
            <w:tcW w:w="2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Prepayment Amount:</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 each Transaction, as set forth in the related Supplemental Confirmation.</w:t>
            </w:r>
          </w:p>
        </w:tc>
      </w:tr>
      <w:tr>
        <w:trPr>
          <w:trHeight w:val="432"/>
        </w:trPr>
        <w:tc>
          <w:tcPr>
            <w:tcW w:w="2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Prepayment Date:</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 each Transaction, as set forth in the related Supplemental Confirmation.</w:t>
            </w:r>
          </w:p>
        </w:tc>
      </w:tr>
      <w:tr>
        <w:trPr>
          <w:trHeight w:val="471"/>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Valuation</w:t>
            </w:r>
            <w:r>
              <w:rPr>
                <w:rFonts w:ascii="Times New Roman" w:cs="Times New Roman" w:eastAsia="Times New Roman" w:hAnsi="Times New Roman"/>
                <w:sz w:val="21"/>
                <w:szCs w:val="21"/>
                <w:color w:val="auto"/>
              </w:rPr>
              <w:t>:</w:t>
            </w:r>
          </w:p>
        </w:tc>
        <w:tc>
          <w:tcPr>
            <w:tcW w:w="8840" w:type="dxa"/>
            <w:vAlign w:val="bottom"/>
          </w:tcPr>
          <w:p>
            <w:pPr>
              <w:spacing w:after="0"/>
              <w:rPr>
                <w:sz w:val="24"/>
                <w:szCs w:val="24"/>
                <w:color w:val="auto"/>
              </w:rPr>
            </w:pPr>
          </w:p>
        </w:tc>
      </w:tr>
      <w:tr>
        <w:trPr>
          <w:trHeight w:val="400"/>
        </w:trPr>
        <w:tc>
          <w:tcPr>
            <w:tcW w:w="2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Reference Price:</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Subject to the provisions of “Pricing Disruption” below, for each Transaction, the amount equal to the arithmetic</w:t>
            </w:r>
          </w:p>
        </w:tc>
      </w:tr>
      <w:tr>
        <w:trPr>
          <w:trHeight w:val="218"/>
        </w:trPr>
        <w:tc>
          <w:tcPr>
            <w:tcW w:w="240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average of the Rule 10b-18 VWAPs for all Exchange Business Days in the Pricing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w:t>
            </w:r>
          </w:p>
        </w:tc>
      </w:tr>
      <w:tr>
        <w:trPr>
          <w:trHeight w:val="216"/>
        </w:trPr>
        <w:tc>
          <w:tcPr>
            <w:tcW w:w="240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Calculation Agent determines that a Disrupted Day during the Pricing Period is a Disrupted Day only in part,</w:t>
            </w:r>
          </w:p>
        </w:tc>
      </w:tr>
      <w:tr>
        <w:trPr>
          <w:trHeight w:val="216"/>
        </w:trPr>
        <w:tc>
          <w:tcPr>
            <w:tcW w:w="240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Calculation Agent shall determine the Reference Price based on an appropriately weighted average instead of such</w:t>
            </w:r>
          </w:p>
        </w:tc>
      </w:tr>
      <w:tr>
        <w:trPr>
          <w:trHeight w:val="234"/>
        </w:trPr>
        <w:tc>
          <w:tcPr>
            <w:tcW w:w="2400" w:type="dxa"/>
            <w:vAlign w:val="bottom"/>
          </w:tcPr>
          <w:p>
            <w:pPr>
              <w:spacing w:after="0"/>
              <w:rPr>
                <w:sz w:val="20"/>
                <w:szCs w:val="20"/>
                <w:color w:val="auto"/>
              </w:rPr>
            </w:pP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arithmetic average with respect to such Disrupted Day.</w:t>
            </w:r>
          </w:p>
        </w:tc>
      </w:tr>
      <w:tr>
        <w:trPr>
          <w:trHeight w:val="414"/>
        </w:trPr>
        <w:tc>
          <w:tcPr>
            <w:tcW w:w="2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Reference Price</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 each Transaction, as set forth in the related Supplemental Confirmation.</w:t>
            </w:r>
          </w:p>
        </w:tc>
      </w:tr>
      <w:tr>
        <w:trPr>
          <w:trHeight w:val="234"/>
        </w:trPr>
        <w:tc>
          <w:tcPr>
            <w:tcW w:w="2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Adjustment Amount:</w:t>
            </w:r>
          </w:p>
        </w:tc>
        <w:tc>
          <w:tcPr>
            <w:tcW w:w="8840" w:type="dxa"/>
            <w:vAlign w:val="bottom"/>
          </w:tcPr>
          <w:p>
            <w:pPr>
              <w:spacing w:after="0"/>
              <w:rPr>
                <w:sz w:val="20"/>
                <w:szCs w:val="20"/>
                <w:color w:val="auto"/>
              </w:rPr>
            </w:pPr>
          </w:p>
        </w:tc>
      </w:tr>
      <w:tr>
        <w:trPr>
          <w:trHeight w:val="864"/>
        </w:trPr>
        <w:tc>
          <w:tcPr>
            <w:tcW w:w="2400" w:type="dxa"/>
            <w:vAlign w:val="bottom"/>
            <w:tcBorders>
              <w:bottom w:val="single" w:sz="8" w:color="auto"/>
            </w:tcBorders>
          </w:tcPr>
          <w:p>
            <w:pPr>
              <w:spacing w:after="0"/>
              <w:rPr>
                <w:sz w:val="24"/>
                <w:szCs w:val="24"/>
                <w:color w:val="auto"/>
              </w:rPr>
            </w:pPr>
          </w:p>
        </w:tc>
        <w:tc>
          <w:tcPr>
            <w:tcW w:w="8840" w:type="dxa"/>
            <w:vAlign w:val="bottom"/>
            <w:tcBorders>
              <w:bottom w:val="single" w:sz="8" w:color="auto"/>
            </w:tcBorders>
          </w:tcPr>
          <w:p>
            <w:pPr>
              <w:ind w:left="318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1440" w:right="339" w:bottom="1440" w:gutter="0" w:footer="0" w:header="0"/>
        </w:sectPr>
      </w:pPr>
    </w:p>
    <w:bookmarkStart w:id="5" w:name="page6"/>
    <w:bookmarkEnd w:id="5"/>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6723380</wp:posOffset>
            </wp:positionH>
            <wp:positionV relativeFrom="page">
              <wp:posOffset>586105</wp:posOffset>
            </wp:positionV>
            <wp:extent cx="617220"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17220" cy="4114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Rule 10b-18 VWAP:</w:t>
            </w:r>
          </w:p>
        </w:tc>
        <w:tc>
          <w:tcPr>
            <w:tcW w:w="8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Subject to the provisions of “Pricing Disruption” below, for any Exchange Business Day, the volume-weighted average</w:t>
            </w:r>
          </w:p>
        </w:tc>
      </w:tr>
      <w:tr>
        <w:trPr>
          <w:trHeight w:val="216"/>
        </w:trPr>
        <w:tc>
          <w:tcPr>
            <w:tcW w:w="2600" w:type="dxa"/>
            <w:vAlign w:val="bottom"/>
          </w:tcPr>
          <w:p>
            <w:pPr>
              <w:spacing w:after="0"/>
              <w:rPr>
                <w:sz w:val="18"/>
                <w:szCs w:val="18"/>
                <w:color w:val="auto"/>
              </w:rPr>
            </w:pPr>
          </w:p>
        </w:tc>
        <w:tc>
          <w:tcPr>
            <w:tcW w:w="8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price at which the Shares trade as determined by the Calculation Agent based on the composite transactions for the</w:t>
            </w:r>
          </w:p>
        </w:tc>
      </w:tr>
      <w:tr>
        <w:trPr>
          <w:trHeight w:val="216"/>
        </w:trPr>
        <w:tc>
          <w:tcPr>
            <w:tcW w:w="2600" w:type="dxa"/>
            <w:vAlign w:val="bottom"/>
          </w:tcPr>
          <w:p>
            <w:pPr>
              <w:spacing w:after="0"/>
              <w:rPr>
                <w:sz w:val="18"/>
                <w:szCs w:val="18"/>
                <w:color w:val="auto"/>
              </w:rPr>
            </w:pPr>
          </w:p>
        </w:tc>
        <w:tc>
          <w:tcPr>
            <w:tcW w:w="864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principal U.S. securities exchange on which such Shares are then listed on such Exchange Business Day, without regard</w:t>
            </w:r>
          </w:p>
        </w:tc>
      </w:tr>
      <w:tr>
        <w:trPr>
          <w:trHeight w:val="216"/>
        </w:trPr>
        <w:tc>
          <w:tcPr>
            <w:tcW w:w="2600" w:type="dxa"/>
            <w:vAlign w:val="bottom"/>
          </w:tcPr>
          <w:p>
            <w:pPr>
              <w:spacing w:after="0"/>
              <w:rPr>
                <w:sz w:val="18"/>
                <w:szCs w:val="18"/>
                <w:color w:val="auto"/>
              </w:rPr>
            </w:pPr>
          </w:p>
        </w:tc>
        <w:tc>
          <w:tcPr>
            <w:tcW w:w="864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to pre-open or after hours trading outside of such regular trading session for such Exchange Business Day, excluding (i)</w:t>
            </w:r>
          </w:p>
        </w:tc>
      </w:tr>
      <w:tr>
        <w:trPr>
          <w:trHeight w:val="216"/>
        </w:trPr>
        <w:tc>
          <w:tcPr>
            <w:tcW w:w="2600" w:type="dxa"/>
            <w:vAlign w:val="bottom"/>
          </w:tcPr>
          <w:p>
            <w:pPr>
              <w:spacing w:after="0"/>
              <w:rPr>
                <w:sz w:val="18"/>
                <w:szCs w:val="18"/>
                <w:color w:val="auto"/>
              </w:rPr>
            </w:pPr>
          </w:p>
        </w:tc>
        <w:tc>
          <w:tcPr>
            <w:tcW w:w="8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trades that do not settle regular way, (ii) opening trades, as defined on Bloomberg using the function “EXLS &lt;Equity&gt;</w:t>
            </w:r>
          </w:p>
        </w:tc>
      </w:tr>
      <w:tr>
        <w:trPr>
          <w:trHeight w:val="216"/>
        </w:trPr>
        <w:tc>
          <w:tcPr>
            <w:tcW w:w="2600" w:type="dxa"/>
            <w:vAlign w:val="bottom"/>
          </w:tcPr>
          <w:p>
            <w:pPr>
              <w:spacing w:after="0"/>
              <w:rPr>
                <w:sz w:val="18"/>
                <w:szCs w:val="18"/>
                <w:color w:val="auto"/>
              </w:rPr>
            </w:pPr>
          </w:p>
        </w:tc>
        <w:tc>
          <w:tcPr>
            <w:tcW w:w="8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QR” and identifying trades marked as “OP” or “MO” in the “Condition” column, as determined by the Calculation</w:t>
            </w:r>
          </w:p>
        </w:tc>
      </w:tr>
      <w:tr>
        <w:trPr>
          <w:trHeight w:val="216"/>
        </w:trPr>
        <w:tc>
          <w:tcPr>
            <w:tcW w:w="2600" w:type="dxa"/>
            <w:vAlign w:val="bottom"/>
          </w:tcPr>
          <w:p>
            <w:pPr>
              <w:spacing w:after="0"/>
              <w:rPr>
                <w:sz w:val="18"/>
                <w:szCs w:val="18"/>
                <w:color w:val="auto"/>
              </w:rPr>
            </w:pPr>
          </w:p>
        </w:tc>
        <w:tc>
          <w:tcPr>
            <w:tcW w:w="8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Agent, (iii) trades that occur in the last ten minutes before the scheduled close of trading on the Exchange on such</w:t>
            </w:r>
          </w:p>
        </w:tc>
      </w:tr>
      <w:tr>
        <w:trPr>
          <w:trHeight w:val="216"/>
        </w:trPr>
        <w:tc>
          <w:tcPr>
            <w:tcW w:w="2600" w:type="dxa"/>
            <w:vAlign w:val="bottom"/>
          </w:tcPr>
          <w:p>
            <w:pPr>
              <w:spacing w:after="0"/>
              <w:rPr>
                <w:sz w:val="18"/>
                <w:szCs w:val="18"/>
                <w:color w:val="auto"/>
              </w:rPr>
            </w:pPr>
          </w:p>
        </w:tc>
        <w:tc>
          <w:tcPr>
            <w:tcW w:w="8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Exchange Business Day and ten minutes before the scheduled close of the primary trading in the market where the</w:t>
            </w:r>
          </w:p>
        </w:tc>
      </w:tr>
      <w:tr>
        <w:trPr>
          <w:trHeight w:val="216"/>
        </w:trPr>
        <w:tc>
          <w:tcPr>
            <w:tcW w:w="2600" w:type="dxa"/>
            <w:vAlign w:val="bottom"/>
          </w:tcPr>
          <w:p>
            <w:pPr>
              <w:spacing w:after="0"/>
              <w:rPr>
                <w:sz w:val="18"/>
                <w:szCs w:val="18"/>
                <w:color w:val="auto"/>
              </w:rPr>
            </w:pPr>
          </w:p>
        </w:tc>
        <w:tc>
          <w:tcPr>
            <w:tcW w:w="8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trade is effected, and (iv) trades on such Exchange Business Day that do not satisfy the requirements of Rule 10b-18(b)</w:t>
            </w:r>
          </w:p>
        </w:tc>
      </w:tr>
      <w:tr>
        <w:trPr>
          <w:trHeight w:val="194"/>
        </w:trPr>
        <w:tc>
          <w:tcPr>
            <w:tcW w:w="2600" w:type="dxa"/>
            <w:vAlign w:val="bottom"/>
          </w:tcPr>
          <w:p>
            <w:pPr>
              <w:spacing w:after="0"/>
              <w:rPr>
                <w:sz w:val="16"/>
                <w:szCs w:val="16"/>
                <w:color w:val="auto"/>
              </w:rPr>
            </w:pPr>
          </w:p>
        </w:tc>
        <w:tc>
          <w:tcPr>
            <w:tcW w:w="864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auto"/>
              </w:rPr>
              <w:t>(3) of the Securities Exchange Act of 1934, as amended (the “Exchange Act”), as determined in good faith by</w:t>
            </w:r>
          </w:p>
        </w:tc>
      </w:tr>
      <w:tr>
        <w:trPr>
          <w:trHeight w:val="20"/>
        </w:trPr>
        <w:tc>
          <w:tcPr>
            <w:tcW w:w="2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2600" w:type="dxa"/>
            <w:vAlign w:val="bottom"/>
          </w:tcPr>
          <w:p>
            <w:pPr>
              <w:spacing w:after="0"/>
              <w:rPr>
                <w:sz w:val="17"/>
                <w:szCs w:val="17"/>
                <w:color w:val="auto"/>
              </w:rPr>
            </w:pPr>
          </w:p>
        </w:tc>
        <w:tc>
          <w:tcPr>
            <w:tcW w:w="86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Calculation Agent (all such trades, other than those described in clauses (i) – (iv) above, “Rule 10b-18 eligible</w:t>
            </w:r>
          </w:p>
        </w:tc>
      </w:tr>
      <w:tr>
        <w:trPr>
          <w:trHeight w:val="20"/>
        </w:trPr>
        <w:tc>
          <w:tcPr>
            <w:tcW w:w="2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20" w:type="dxa"/>
            <w:vAlign w:val="bottom"/>
            <w:gridSpan w:val="3"/>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r>
        <w:trPr>
          <w:trHeight w:val="196"/>
        </w:trPr>
        <w:tc>
          <w:tcPr>
            <w:tcW w:w="2600" w:type="dxa"/>
            <w:vAlign w:val="bottom"/>
          </w:tcPr>
          <w:p>
            <w:pPr>
              <w:spacing w:after="0"/>
              <w:rPr>
                <w:sz w:val="17"/>
                <w:szCs w:val="17"/>
                <w:color w:val="auto"/>
              </w:rPr>
            </w:pPr>
          </w:p>
        </w:tc>
        <w:tc>
          <w:tcPr>
            <w:tcW w:w="86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transactions”). Counterparty acknowledges that Calculation Agent (i) may refer to the Bloomberg Page “EXLS</w:t>
            </w:r>
          </w:p>
        </w:tc>
      </w:tr>
      <w:tr>
        <w:trPr>
          <w:trHeight w:val="20"/>
        </w:trPr>
        <w:tc>
          <w:tcPr>
            <w:tcW w:w="26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780" w:type="dxa"/>
            <w:vAlign w:val="bottom"/>
            <w:gridSpan w:val="4"/>
          </w:tcPr>
          <w:p>
            <w:pPr>
              <w:spacing w:after="0" w:line="20" w:lineRule="exact"/>
              <w:rPr>
                <w:sz w:val="1"/>
                <w:szCs w:val="1"/>
                <w:color w:val="auto"/>
              </w:rPr>
            </w:pPr>
          </w:p>
        </w:tc>
      </w:tr>
      <w:tr>
        <w:trPr>
          <w:trHeight w:val="218"/>
        </w:trPr>
        <w:tc>
          <w:tcPr>
            <w:tcW w:w="2600" w:type="dxa"/>
            <w:vAlign w:val="bottom"/>
          </w:tcPr>
          <w:p>
            <w:pPr>
              <w:spacing w:after="0"/>
              <w:rPr>
                <w:sz w:val="18"/>
                <w:szCs w:val="18"/>
                <w:color w:val="auto"/>
              </w:rPr>
            </w:pPr>
          </w:p>
        </w:tc>
        <w:tc>
          <w:tcPr>
            <w:tcW w:w="8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&lt;Equity&gt; AQR SEC” (or any successor thereto), in its judgment, for such Exchange Business Day to determine the</w:t>
            </w:r>
          </w:p>
        </w:tc>
      </w:tr>
      <w:tr>
        <w:trPr>
          <w:trHeight w:val="216"/>
        </w:trPr>
        <w:tc>
          <w:tcPr>
            <w:tcW w:w="2600" w:type="dxa"/>
            <w:vAlign w:val="bottom"/>
          </w:tcPr>
          <w:p>
            <w:pPr>
              <w:spacing w:after="0"/>
              <w:rPr>
                <w:sz w:val="18"/>
                <w:szCs w:val="18"/>
                <w:color w:val="auto"/>
              </w:rPr>
            </w:pPr>
          </w:p>
        </w:tc>
        <w:tc>
          <w:tcPr>
            <w:tcW w:w="8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Rule 10b-18 VWAP; or (ii) if such price is not so reported on the Bloomberg Page on such Exchange Business Day for</w:t>
            </w:r>
          </w:p>
        </w:tc>
      </w:tr>
      <w:tr>
        <w:trPr>
          <w:trHeight w:val="216"/>
        </w:trPr>
        <w:tc>
          <w:tcPr>
            <w:tcW w:w="2600" w:type="dxa"/>
            <w:vAlign w:val="bottom"/>
          </w:tcPr>
          <w:p>
            <w:pPr>
              <w:spacing w:after="0"/>
              <w:rPr>
                <w:sz w:val="18"/>
                <w:szCs w:val="18"/>
                <w:color w:val="auto"/>
              </w:rPr>
            </w:pPr>
          </w:p>
        </w:tc>
        <w:tc>
          <w:tcPr>
            <w:tcW w:w="8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any reason or is, in the Calculation Agent’s good faith and commercially reasonable discretion, demonstrably</w:t>
            </w:r>
          </w:p>
        </w:tc>
      </w:tr>
      <w:tr>
        <w:trPr>
          <w:trHeight w:val="216"/>
        </w:trPr>
        <w:tc>
          <w:tcPr>
            <w:tcW w:w="2600" w:type="dxa"/>
            <w:vAlign w:val="bottom"/>
          </w:tcPr>
          <w:p>
            <w:pPr>
              <w:spacing w:after="0"/>
              <w:rPr>
                <w:sz w:val="18"/>
                <w:szCs w:val="18"/>
                <w:color w:val="auto"/>
              </w:rPr>
            </w:pPr>
          </w:p>
        </w:tc>
        <w:tc>
          <w:tcPr>
            <w:tcW w:w="8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erroneous, such Rule 10b-18 VWAP shall be as determined by the Calculation Agent in good faith and in a</w:t>
            </w:r>
          </w:p>
        </w:tc>
      </w:tr>
      <w:tr>
        <w:trPr>
          <w:trHeight w:val="216"/>
        </w:trPr>
        <w:tc>
          <w:tcPr>
            <w:tcW w:w="2600" w:type="dxa"/>
            <w:vAlign w:val="bottom"/>
          </w:tcPr>
          <w:p>
            <w:pPr>
              <w:spacing w:after="0"/>
              <w:rPr>
                <w:sz w:val="18"/>
                <w:szCs w:val="18"/>
                <w:color w:val="auto"/>
              </w:rPr>
            </w:pPr>
          </w:p>
        </w:tc>
        <w:tc>
          <w:tcPr>
            <w:tcW w:w="8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commercially reasonable manner. Upon request, Citibank shall promptly provide Counterparty with a statement</w:t>
            </w:r>
          </w:p>
        </w:tc>
      </w:tr>
      <w:tr>
        <w:trPr>
          <w:trHeight w:val="234"/>
        </w:trPr>
        <w:tc>
          <w:tcPr>
            <w:tcW w:w="2600" w:type="dxa"/>
            <w:vAlign w:val="bottom"/>
          </w:tcPr>
          <w:p>
            <w:pPr>
              <w:spacing w:after="0"/>
              <w:rPr>
                <w:sz w:val="20"/>
                <w:szCs w:val="20"/>
                <w:color w:val="auto"/>
              </w:rPr>
            </w:pPr>
          </w:p>
        </w:tc>
        <w:tc>
          <w:tcPr>
            <w:tcW w:w="8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detailing its calculation of the Rule 10b-18 VWAP during the Pricing Period.</w:t>
            </w:r>
          </w:p>
        </w:tc>
      </w:tr>
      <w:tr>
        <w:trPr>
          <w:trHeight w:val="414"/>
        </w:trPr>
        <w:tc>
          <w:tcPr>
            <w:tcW w:w="2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Pricing Period:</w:t>
            </w:r>
          </w:p>
        </w:tc>
        <w:tc>
          <w:tcPr>
            <w:tcW w:w="8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 any Transaction, the period commencing on the Pricing Period Commencement Date and ending on the Pricing</w:t>
            </w:r>
          </w:p>
        </w:tc>
      </w:tr>
      <w:tr>
        <w:trPr>
          <w:trHeight w:val="234"/>
        </w:trPr>
        <w:tc>
          <w:tcPr>
            <w:tcW w:w="2600" w:type="dxa"/>
            <w:vAlign w:val="bottom"/>
          </w:tcPr>
          <w:p>
            <w:pPr>
              <w:spacing w:after="0"/>
              <w:rPr>
                <w:sz w:val="20"/>
                <w:szCs w:val="20"/>
                <w:color w:val="auto"/>
              </w:rPr>
            </w:pPr>
          </w:p>
        </w:tc>
        <w:tc>
          <w:tcPr>
            <w:tcW w:w="8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Period Termination Date, subject to extension as provided herein.</w:t>
            </w:r>
          </w:p>
        </w:tc>
      </w:tr>
      <w:tr>
        <w:trPr>
          <w:trHeight w:val="414"/>
        </w:trPr>
        <w:tc>
          <w:tcPr>
            <w:tcW w:w="2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Pricing Period</w:t>
            </w:r>
          </w:p>
        </w:tc>
        <w:tc>
          <w:tcPr>
            <w:tcW w:w="8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 any Transaction, the first Scheduled Trading Day following the Trade Date.</w:t>
            </w:r>
          </w:p>
        </w:tc>
      </w:tr>
      <w:tr>
        <w:trPr>
          <w:trHeight w:val="234"/>
        </w:trPr>
        <w:tc>
          <w:tcPr>
            <w:tcW w:w="2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Commencement Date</w:t>
            </w:r>
          </w:p>
        </w:tc>
        <w:tc>
          <w:tcPr>
            <w:tcW w:w="8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14"/>
        </w:trPr>
        <w:tc>
          <w:tcPr>
            <w:tcW w:w="2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Pricing Period</w:t>
            </w:r>
          </w:p>
        </w:tc>
        <w:tc>
          <w:tcPr>
            <w:tcW w:w="864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For any Transaction, the earlier of (a) the Scheduled Termination Date, or (b) any Exchange Business Day occurring on</w:t>
            </w:r>
          </w:p>
        </w:tc>
      </w:tr>
      <w:tr>
        <w:trPr>
          <w:trHeight w:val="216"/>
        </w:trPr>
        <w:tc>
          <w:tcPr>
            <w:tcW w:w="2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Termination Date:</w:t>
            </w:r>
          </w:p>
        </w:tc>
        <w:tc>
          <w:tcPr>
            <w:tcW w:w="8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or following the First Optional Termination Date that Citibank designates as the Pricing Period Termination Date by</w:t>
            </w:r>
          </w:p>
        </w:tc>
      </w:tr>
      <w:tr>
        <w:trPr>
          <w:trHeight w:val="216"/>
        </w:trPr>
        <w:tc>
          <w:tcPr>
            <w:tcW w:w="2600" w:type="dxa"/>
            <w:vAlign w:val="bottom"/>
          </w:tcPr>
          <w:p>
            <w:pPr>
              <w:spacing w:after="0"/>
              <w:rPr>
                <w:sz w:val="18"/>
                <w:szCs w:val="18"/>
                <w:color w:val="auto"/>
              </w:rPr>
            </w:pPr>
          </w:p>
        </w:tc>
        <w:tc>
          <w:tcPr>
            <w:tcW w:w="8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delivering notice to Counterparty prior to 11:59 p.m. New York City time on the first Exchange Business Day</w:t>
            </w:r>
          </w:p>
        </w:tc>
      </w:tr>
      <w:tr>
        <w:trPr>
          <w:trHeight w:val="234"/>
        </w:trPr>
        <w:tc>
          <w:tcPr>
            <w:tcW w:w="2600" w:type="dxa"/>
            <w:vAlign w:val="bottom"/>
          </w:tcPr>
          <w:p>
            <w:pPr>
              <w:spacing w:after="0"/>
              <w:rPr>
                <w:sz w:val="20"/>
                <w:szCs w:val="20"/>
                <w:color w:val="auto"/>
              </w:rPr>
            </w:pPr>
          </w:p>
        </w:tc>
        <w:tc>
          <w:tcPr>
            <w:tcW w:w="8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immediately following such designated Exchange Business Day.</w:t>
            </w:r>
          </w:p>
        </w:tc>
      </w:tr>
      <w:tr>
        <w:trPr>
          <w:trHeight w:val="414"/>
        </w:trPr>
        <w:tc>
          <w:tcPr>
            <w:tcW w:w="2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First Optional</w:t>
            </w:r>
          </w:p>
        </w:tc>
        <w:tc>
          <w:tcPr>
            <w:tcW w:w="8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 each Transaction, as set forth in the related Supplemental Confirmation.</w:t>
            </w:r>
          </w:p>
        </w:tc>
      </w:tr>
      <w:tr>
        <w:trPr>
          <w:trHeight w:val="234"/>
        </w:trPr>
        <w:tc>
          <w:tcPr>
            <w:tcW w:w="2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Termination Date:</w:t>
            </w:r>
          </w:p>
        </w:tc>
        <w:tc>
          <w:tcPr>
            <w:tcW w:w="8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14"/>
        </w:trPr>
        <w:tc>
          <w:tcPr>
            <w:tcW w:w="2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Scheduled</w:t>
            </w:r>
          </w:p>
        </w:tc>
        <w:tc>
          <w:tcPr>
            <w:tcW w:w="8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For each Transaction, as set forth in the related Supplemental Confirmation;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Scheduled Termination</w:t>
            </w:r>
          </w:p>
        </w:tc>
      </w:tr>
      <w:tr>
        <w:trPr>
          <w:trHeight w:val="234"/>
        </w:trPr>
        <w:tc>
          <w:tcPr>
            <w:tcW w:w="2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Termination Date:</w:t>
            </w:r>
          </w:p>
        </w:tc>
        <w:tc>
          <w:tcPr>
            <w:tcW w:w="8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Date may be postponed by Calculation Agent as provided in “Pricing Disruption” below.</w:t>
            </w:r>
          </w:p>
        </w:tc>
      </w:tr>
      <w:tr>
        <w:trPr>
          <w:trHeight w:val="648"/>
        </w:trPr>
        <w:tc>
          <w:tcPr>
            <w:tcW w:w="260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gridSpan w:val="2"/>
          </w:tcPr>
          <w:p>
            <w:pPr>
              <w:ind w:left="2980"/>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6" w:name="page7"/>
    <w:bookmarkEnd w:id="6"/>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Pricing Disruption:</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definition of “Market Disruption Event” contained in Section 6.3(a) of the Equity Definitions is hereby amended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4869180</wp:posOffset>
            </wp:positionH>
            <wp:positionV relativeFrom="paragraph">
              <wp:posOffset>-845185</wp:posOffset>
            </wp:positionV>
            <wp:extent cx="617220"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220" cy="411480"/>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1380" w:space="560"/>
            <w:col w:w="8640"/>
          </w:cols>
          <w:pgMar w:left="980" w:top="1440" w:right="339" w:bottom="1440" w:gutter="0" w:footer="0" w:header="0"/>
        </w:sectPr>
      </w:pPr>
    </w:p>
    <w:p>
      <w:pPr>
        <w:jc w:val="both"/>
        <w:ind w:left="2580" w:firstLine="8"/>
        <w:spacing w:after="0" w:line="261" w:lineRule="auto"/>
        <w:tabs>
          <w:tab w:leader="none" w:pos="280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deleting the words “at any time during the one-hour period that ends at the relevant Valuation Time, Latest Exercise Time, Knock-in Valuation Time or Knock-out Valuation Time, as the case may be” and inserting the words “at any time on any Scheduled Trading Day during the Pricing Period or the Settlement Period” after the word “material” in the third line thereof; and</w:t>
      </w:r>
    </w:p>
    <w:p>
      <w:pPr>
        <w:spacing w:after="0" w:line="179" w:lineRule="exact"/>
        <w:rPr>
          <w:rFonts w:ascii="Times New Roman" w:cs="Times New Roman" w:eastAsia="Times New Roman" w:hAnsi="Times New Roman"/>
          <w:sz w:val="18"/>
          <w:szCs w:val="18"/>
          <w:color w:val="auto"/>
        </w:rPr>
      </w:pPr>
    </w:p>
    <w:p>
      <w:pPr>
        <w:ind w:left="2580" w:firstLine="8"/>
        <w:spacing w:after="0" w:line="282" w:lineRule="auto"/>
        <w:tabs>
          <w:tab w:leader="none" w:pos="28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the words “or (iii) an Early Closure” in the fifth line thereof with the words “, (iii) an Early Closure or (iv) a Regulatory Disruption”.</w:t>
      </w:r>
    </w:p>
    <w:p>
      <w:pPr>
        <w:spacing w:after="0" w:line="162" w:lineRule="exact"/>
        <w:rPr>
          <w:sz w:val="20"/>
          <w:szCs w:val="20"/>
          <w:color w:val="auto"/>
        </w:rPr>
      </w:pPr>
    </w:p>
    <w:p>
      <w:pPr>
        <w:jc w:val="both"/>
        <w:ind w:left="1940"/>
        <w:spacing w:after="0" w:line="252" w:lineRule="auto"/>
        <w:rPr>
          <w:sz w:val="20"/>
          <w:szCs w:val="20"/>
          <w:color w:val="auto"/>
        </w:rPr>
      </w:pPr>
      <w:r>
        <w:rPr>
          <w:rFonts w:ascii="Times New Roman" w:cs="Times New Roman" w:eastAsia="Times New Roman" w:hAnsi="Times New Roman"/>
          <w:sz w:val="18"/>
          <w:szCs w:val="18"/>
          <w:color w:val="auto"/>
        </w:rPr>
        <w:t>Notwithstanding anything to the contrary in the Equity Definitions, if a Disrupted Day occurs (i) in the Pricing Period, the Calculation Agent may, in its good faith and commercially reasonable discretion, postpone the Scheduled Termination Date, or (ii) in the Settlement Period, if any, the Calculation Agent may extend the Settlement Period. The Calculation Agent may also determine that (i) such Disrupted Day is a Disrupted Day in full, in which case the Rule 10b-18 VWAP for such Disrupted Day shall not be included for purposes of determining the Reference Price or the Settlement Price, as the case may be, or (ii) such Disrupted Day is a Disrupted Day only in part, in which case the Rule 10b-18 VWAP for such Disrupted Day shall be determined by the Calculation Agent based on Rule 10b-18 eligible transactions in the Shares on such Disrupted Day taking into account the nature and duration of such Market Disruption Event, and the weighting of the Rule 10b-18 VWAP for the relevant Exchange Business Days during the Pricing Period or the Settlement Period, as the case may be, shall be adjusted in a commercially reasonable manner by the Calculation Agent for purposes of determining the Reference Price or the Settlement Price, as the case may be, with such adjustments based on, among other factors, the duration of any Market Disruption Event and the volume, historical trading patterns and price of the Shares. Any Exchange Business Day on which, as of the date hereof, the Exchange is scheduled to close prior to its normal close of trading shall be deemed not to be an Exchange Business Day; if a closure of the Exchange prior to its normal close of trading on any Exchange Business Day is scheduled following the date hereof, then such Exchange Business Day shall be deemed to be a Disrupted Day in full.</w:t>
      </w:r>
    </w:p>
    <w:p>
      <w:pPr>
        <w:spacing w:after="0" w:line="195" w:lineRule="exact"/>
        <w:rPr>
          <w:sz w:val="20"/>
          <w:szCs w:val="20"/>
          <w:color w:val="auto"/>
        </w:rPr>
      </w:pPr>
    </w:p>
    <w:p>
      <w:pPr>
        <w:jc w:val="both"/>
        <w:ind w:left="1940"/>
        <w:spacing w:after="0" w:line="254" w:lineRule="auto"/>
        <w:rPr>
          <w:sz w:val="20"/>
          <w:szCs w:val="20"/>
          <w:color w:val="auto"/>
        </w:rPr>
      </w:pPr>
      <w:r>
        <w:rPr>
          <w:rFonts w:ascii="Times New Roman" w:cs="Times New Roman" w:eastAsia="Times New Roman" w:hAnsi="Times New Roman"/>
          <w:sz w:val="18"/>
          <w:szCs w:val="18"/>
          <w:color w:val="auto"/>
        </w:rPr>
        <w:t>If a Disrupted Day occurs during the Pricing Period or the Settlement Period for any Transaction, as the case may be, and each of the nine immediately following Scheduled Trading Day is a Disrupted Day (a “</w:t>
      </w:r>
      <w:r>
        <w:rPr>
          <w:rFonts w:ascii="Times New Roman" w:cs="Times New Roman" w:eastAsia="Times New Roman" w:hAnsi="Times New Roman"/>
          <w:sz w:val="18"/>
          <w:szCs w:val="18"/>
          <w:u w:val="single" w:color="auto"/>
          <w:color w:val="auto"/>
        </w:rPr>
        <w:t>Disruption Event</w:t>
      </w:r>
      <w:r>
        <w:rPr>
          <w:rFonts w:ascii="Times New Roman" w:cs="Times New Roman" w:eastAsia="Times New Roman" w:hAnsi="Times New Roman"/>
          <w:sz w:val="18"/>
          <w:szCs w:val="18"/>
          <w:color w:val="auto"/>
        </w:rPr>
        <w:t>”), then the Calculation Agent, in its good faith and commercially reasonable discretion, may (x) deem such ninth Scheduled Trading Day to be an Exchange Business Day that is not a Disrupted Day and determine the Rule 10b-18 VWAP for such ninth Scheduled Trading Day using its good faith estimate of the value of the Shares on such ninth Scheduled Trading Day based on the volume, historical trading patterns and price of the Shares and such other factors as it deems appropriate, (y) deem such Disruption Event (and each consecutive Disrupted Day thereafter) to be a Potential Adjustment Event and/or (z) deem such Disruption Event to be an Additional Termination Event in respect of such Transaction, with Counterparty as the sole Affected Party and such Transaction as the sole Affected Transaction.</w:t>
      </w:r>
    </w:p>
    <w:p>
      <w:pPr>
        <w:spacing w:after="0" w:line="200" w:lineRule="exact"/>
        <w:rPr>
          <w:sz w:val="20"/>
          <w:szCs w:val="20"/>
          <w:color w:val="auto"/>
        </w:rPr>
      </w:pPr>
    </w:p>
    <w:p>
      <w:pPr>
        <w:spacing w:after="0" w:line="20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1440" w:right="339" w:bottom="1440" w:gutter="0" w:footer="0" w:header="0"/>
          <w:type w:val="continuous"/>
        </w:sectPr>
      </w:pPr>
    </w:p>
    <w:bookmarkStart w:id="7" w:name="page8"/>
    <w:bookmarkEnd w:id="7"/>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6723380</wp:posOffset>
            </wp:positionH>
            <wp:positionV relativeFrom="page">
              <wp:posOffset>586105</wp:posOffset>
            </wp:positionV>
            <wp:extent cx="61722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17220" cy="4114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Early Closure:</w:t>
            </w:r>
          </w:p>
        </w:tc>
        <w:tc>
          <w:tcPr>
            <w:tcW w:w="8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definition of “Early Closure” contained in Section 6.3(d) of the Equity Definitions is hereby amended by deleting</w:t>
            </w:r>
          </w:p>
        </w:tc>
      </w:tr>
      <w:tr>
        <w:trPr>
          <w:trHeight w:val="234"/>
        </w:trPr>
        <w:tc>
          <w:tcPr>
            <w:tcW w:w="2600" w:type="dxa"/>
            <w:vAlign w:val="bottom"/>
          </w:tcPr>
          <w:p>
            <w:pPr>
              <w:spacing w:after="0"/>
              <w:rPr>
                <w:sz w:val="20"/>
                <w:szCs w:val="20"/>
                <w:color w:val="auto"/>
              </w:rPr>
            </w:pPr>
          </w:p>
        </w:tc>
        <w:tc>
          <w:tcPr>
            <w:tcW w:w="8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remainder of the provision following the term “Scheduled Closing Time” in the fourth line thereof.</w:t>
            </w:r>
          </w:p>
        </w:tc>
      </w:tr>
      <w:tr>
        <w:trPr>
          <w:trHeight w:val="414"/>
        </w:trPr>
        <w:tc>
          <w:tcPr>
            <w:tcW w:w="2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Regulatory Disruption:</w:t>
            </w:r>
          </w:p>
        </w:tc>
        <w:tc>
          <w:tcPr>
            <w:tcW w:w="8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 the event that Citibank reasonably concludes in good faith and upon the advice of counsel that it is appropriate for it</w:t>
            </w:r>
          </w:p>
        </w:tc>
      </w:tr>
      <w:tr>
        <w:trPr>
          <w:trHeight w:val="216"/>
        </w:trPr>
        <w:tc>
          <w:tcPr>
            <w:tcW w:w="2600" w:type="dxa"/>
            <w:vAlign w:val="bottom"/>
          </w:tcPr>
          <w:p>
            <w:pPr>
              <w:spacing w:after="0"/>
              <w:rPr>
                <w:sz w:val="18"/>
                <w:szCs w:val="18"/>
                <w:color w:val="auto"/>
              </w:rPr>
            </w:pPr>
          </w:p>
        </w:tc>
        <w:tc>
          <w:tcPr>
            <w:tcW w:w="8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to refrain from, decrease or otherwise materially alter any market activity on any Scheduled Trading Day during the</w:t>
            </w:r>
          </w:p>
        </w:tc>
      </w:tr>
      <w:tr>
        <w:trPr>
          <w:trHeight w:val="216"/>
        </w:trPr>
        <w:tc>
          <w:tcPr>
            <w:tcW w:w="2600" w:type="dxa"/>
            <w:vAlign w:val="bottom"/>
          </w:tcPr>
          <w:p>
            <w:pPr>
              <w:spacing w:after="0"/>
              <w:rPr>
                <w:sz w:val="18"/>
                <w:szCs w:val="18"/>
                <w:color w:val="auto"/>
              </w:rPr>
            </w:pPr>
          </w:p>
        </w:tc>
        <w:tc>
          <w:tcPr>
            <w:tcW w:w="8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Pricing Period or, if applicable, the Settlement Period in order to preserve Citibank’s hedge unwind or settlement</w:t>
            </w:r>
          </w:p>
        </w:tc>
      </w:tr>
      <w:tr>
        <w:trPr>
          <w:trHeight w:val="216"/>
        </w:trPr>
        <w:tc>
          <w:tcPr>
            <w:tcW w:w="2600" w:type="dxa"/>
            <w:vAlign w:val="bottom"/>
          </w:tcPr>
          <w:p>
            <w:pPr>
              <w:spacing w:after="0"/>
              <w:rPr>
                <w:sz w:val="18"/>
                <w:szCs w:val="18"/>
                <w:color w:val="auto"/>
              </w:rPr>
            </w:pPr>
          </w:p>
        </w:tc>
        <w:tc>
          <w:tcPr>
            <w:tcW w:w="8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activity hereunder in compliance with applicable legal, regulatory or self-regulatory requirements or related policies</w:t>
            </w:r>
          </w:p>
        </w:tc>
      </w:tr>
      <w:tr>
        <w:trPr>
          <w:trHeight w:val="216"/>
        </w:trPr>
        <w:tc>
          <w:tcPr>
            <w:tcW w:w="2600" w:type="dxa"/>
            <w:vAlign w:val="bottom"/>
          </w:tcPr>
          <w:p>
            <w:pPr>
              <w:spacing w:after="0"/>
              <w:rPr>
                <w:sz w:val="18"/>
                <w:szCs w:val="18"/>
                <w:color w:val="auto"/>
              </w:rPr>
            </w:pPr>
          </w:p>
        </w:tc>
        <w:tc>
          <w:tcPr>
            <w:tcW w:w="8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and procedures (whether or not such requirements, policies or procedures are imposed by law or have been voluntarily</w:t>
            </w:r>
          </w:p>
        </w:tc>
      </w:tr>
      <w:tr>
        <w:trPr>
          <w:trHeight w:val="214"/>
        </w:trPr>
        <w:tc>
          <w:tcPr>
            <w:tcW w:w="2600" w:type="dxa"/>
            <w:vAlign w:val="bottom"/>
          </w:tcPr>
          <w:p>
            <w:pPr>
              <w:spacing w:after="0"/>
              <w:rPr>
                <w:sz w:val="18"/>
                <w:szCs w:val="18"/>
                <w:color w:val="auto"/>
              </w:rPr>
            </w:pPr>
          </w:p>
        </w:tc>
        <w:tc>
          <w:tcPr>
            <w:tcW w:w="8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adopted by Citibank), or due to any other Market Disruption Event, Citibank may by written notice to Counterparty</w:t>
            </w:r>
          </w:p>
        </w:tc>
      </w:tr>
      <w:tr>
        <w:trPr>
          <w:trHeight w:val="218"/>
        </w:trPr>
        <w:tc>
          <w:tcPr>
            <w:tcW w:w="2600" w:type="dxa"/>
            <w:vAlign w:val="bottom"/>
          </w:tcPr>
          <w:p>
            <w:pPr>
              <w:spacing w:after="0"/>
              <w:rPr>
                <w:sz w:val="18"/>
                <w:szCs w:val="18"/>
                <w:color w:val="auto"/>
              </w:rPr>
            </w:pPr>
          </w:p>
        </w:tc>
        <w:tc>
          <w:tcPr>
            <w:tcW w:w="8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xml:space="preserve">elect to suspend the Pricing Period or Settlement Period for such day;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Regulatory Disruption is</w:t>
            </w:r>
          </w:p>
        </w:tc>
      </w:tr>
      <w:tr>
        <w:trPr>
          <w:trHeight w:val="216"/>
        </w:trPr>
        <w:tc>
          <w:tcPr>
            <w:tcW w:w="2600" w:type="dxa"/>
            <w:vAlign w:val="bottom"/>
          </w:tcPr>
          <w:p>
            <w:pPr>
              <w:spacing w:after="0"/>
              <w:rPr>
                <w:sz w:val="18"/>
                <w:szCs w:val="18"/>
                <w:color w:val="auto"/>
              </w:rPr>
            </w:pPr>
          </w:p>
        </w:tc>
        <w:tc>
          <w:tcPr>
            <w:tcW w:w="8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deemed to have occurred solely in response to such related policies or procedures, such Scheduled Trading Day or</w:t>
            </w:r>
          </w:p>
        </w:tc>
      </w:tr>
      <w:tr>
        <w:trPr>
          <w:trHeight w:val="216"/>
        </w:trPr>
        <w:tc>
          <w:tcPr>
            <w:tcW w:w="2600" w:type="dxa"/>
            <w:vAlign w:val="bottom"/>
          </w:tcPr>
          <w:p>
            <w:pPr>
              <w:spacing w:after="0"/>
              <w:rPr>
                <w:sz w:val="18"/>
                <w:szCs w:val="18"/>
                <w:color w:val="auto"/>
              </w:rPr>
            </w:pPr>
          </w:p>
        </w:tc>
        <w:tc>
          <w:tcPr>
            <w:tcW w:w="8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Scheduled Trading Days will each be a Disrupted Day in full. Citibank shall as soon as practicable notify Counterparty</w:t>
            </w:r>
          </w:p>
        </w:tc>
      </w:tr>
      <w:tr>
        <w:trPr>
          <w:trHeight w:val="216"/>
        </w:trPr>
        <w:tc>
          <w:tcPr>
            <w:tcW w:w="2600" w:type="dxa"/>
            <w:vAlign w:val="bottom"/>
          </w:tcPr>
          <w:p>
            <w:pPr>
              <w:spacing w:after="0"/>
              <w:rPr>
                <w:sz w:val="18"/>
                <w:szCs w:val="18"/>
                <w:color w:val="auto"/>
              </w:rPr>
            </w:pPr>
          </w:p>
        </w:tc>
        <w:tc>
          <w:tcPr>
            <w:tcW w:w="8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upon exercising its rights pursuant to this provision and shall subsequently notify Counterparty in writing on the day</w:t>
            </w:r>
          </w:p>
        </w:tc>
      </w:tr>
      <w:tr>
        <w:trPr>
          <w:trHeight w:val="214"/>
        </w:trPr>
        <w:tc>
          <w:tcPr>
            <w:tcW w:w="2600" w:type="dxa"/>
            <w:vAlign w:val="bottom"/>
          </w:tcPr>
          <w:p>
            <w:pPr>
              <w:spacing w:after="0"/>
              <w:rPr>
                <w:sz w:val="18"/>
                <w:szCs w:val="18"/>
                <w:color w:val="auto"/>
              </w:rPr>
            </w:pPr>
          </w:p>
        </w:tc>
        <w:tc>
          <w:tcPr>
            <w:tcW w:w="8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Citibank reasonably believes in good faith and upon the advice of counsel that it may resume its market activity;</w:t>
            </w:r>
          </w:p>
        </w:tc>
      </w:tr>
      <w:tr>
        <w:trPr>
          <w:trHeight w:val="218"/>
        </w:trPr>
        <w:tc>
          <w:tcPr>
            <w:tcW w:w="2600" w:type="dxa"/>
            <w:vAlign w:val="bottom"/>
          </w:tcPr>
          <w:p>
            <w:pPr>
              <w:spacing w:after="0"/>
              <w:rPr>
                <w:sz w:val="18"/>
                <w:szCs w:val="18"/>
                <w:color w:val="auto"/>
              </w:rPr>
            </w:pPr>
          </w:p>
        </w:tc>
        <w:tc>
          <w:tcPr>
            <w:tcW w:w="864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Citibank shall not be required to communicate to Counterparty the reason for Citibank’s exercise of its</w:t>
            </w:r>
          </w:p>
        </w:tc>
      </w:tr>
      <w:tr>
        <w:trPr>
          <w:trHeight w:val="216"/>
        </w:trPr>
        <w:tc>
          <w:tcPr>
            <w:tcW w:w="2600" w:type="dxa"/>
            <w:vAlign w:val="bottom"/>
          </w:tcPr>
          <w:p>
            <w:pPr>
              <w:spacing w:after="0"/>
              <w:rPr>
                <w:sz w:val="18"/>
                <w:szCs w:val="18"/>
                <w:color w:val="auto"/>
              </w:rPr>
            </w:pPr>
          </w:p>
        </w:tc>
        <w:tc>
          <w:tcPr>
            <w:tcW w:w="8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rights pursuant to this provision if Citibank reasonably determines in good faith and upon the advice of counsel that</w:t>
            </w:r>
          </w:p>
        </w:tc>
      </w:tr>
      <w:tr>
        <w:trPr>
          <w:trHeight w:val="216"/>
        </w:trPr>
        <w:tc>
          <w:tcPr>
            <w:tcW w:w="2600" w:type="dxa"/>
            <w:vAlign w:val="bottom"/>
          </w:tcPr>
          <w:p>
            <w:pPr>
              <w:spacing w:after="0"/>
              <w:rPr>
                <w:sz w:val="18"/>
                <w:szCs w:val="18"/>
                <w:color w:val="auto"/>
              </w:rPr>
            </w:pPr>
          </w:p>
        </w:tc>
        <w:tc>
          <w:tcPr>
            <w:tcW w:w="8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disclosing such reason may result in a violation of any legal, regulatory, or self-regulatory requirements or related</w:t>
            </w:r>
          </w:p>
        </w:tc>
      </w:tr>
      <w:tr>
        <w:trPr>
          <w:trHeight w:val="216"/>
        </w:trPr>
        <w:tc>
          <w:tcPr>
            <w:tcW w:w="2600" w:type="dxa"/>
            <w:vAlign w:val="bottom"/>
          </w:tcPr>
          <w:p>
            <w:pPr>
              <w:spacing w:after="0"/>
              <w:rPr>
                <w:sz w:val="18"/>
                <w:szCs w:val="18"/>
                <w:color w:val="auto"/>
              </w:rPr>
            </w:pPr>
          </w:p>
        </w:tc>
        <w:tc>
          <w:tcPr>
            <w:tcW w:w="8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policies and procedures (whether or not such requirements, policies or procedures are imposed by law or have been</w:t>
            </w:r>
          </w:p>
        </w:tc>
      </w:tr>
      <w:tr>
        <w:trPr>
          <w:trHeight w:val="234"/>
        </w:trPr>
        <w:tc>
          <w:tcPr>
            <w:tcW w:w="2600" w:type="dxa"/>
            <w:vAlign w:val="bottom"/>
          </w:tcPr>
          <w:p>
            <w:pPr>
              <w:spacing w:after="0"/>
              <w:rPr>
                <w:sz w:val="20"/>
                <w:szCs w:val="20"/>
                <w:color w:val="auto"/>
              </w:rPr>
            </w:pPr>
          </w:p>
        </w:tc>
        <w:tc>
          <w:tcPr>
            <w:tcW w:w="8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voluntarily adopted by Citibank.</w:t>
            </w:r>
          </w:p>
        </w:tc>
      </w:tr>
      <w:tr>
        <w:trPr>
          <w:trHeight w:val="432"/>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Settlement Terms</w:t>
            </w: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12"/>
        </w:trPr>
        <w:tc>
          <w:tcPr>
            <w:tcW w:w="2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Settlement Procedures:</w:t>
            </w:r>
          </w:p>
        </w:tc>
        <w:tc>
          <w:tcPr>
            <w:tcW w:w="8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 each Transaction, if the Number of Shares to be Delivered is positive, Physical Settlement shall be applicable;</w:t>
            </w:r>
          </w:p>
        </w:tc>
      </w:tr>
      <w:tr>
        <w:trPr>
          <w:trHeight w:val="218"/>
        </w:trPr>
        <w:tc>
          <w:tcPr>
            <w:tcW w:w="2600" w:type="dxa"/>
            <w:vAlign w:val="bottom"/>
          </w:tcPr>
          <w:p>
            <w:pPr>
              <w:spacing w:after="0"/>
              <w:rPr>
                <w:sz w:val="18"/>
                <w:szCs w:val="18"/>
                <w:color w:val="auto"/>
              </w:rPr>
            </w:pPr>
          </w:p>
        </w:tc>
        <w:tc>
          <w:tcPr>
            <w:tcW w:w="864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Citibank does not, and shall not make the agreement or the representations set forth in Section 9.11 of the</w:t>
            </w:r>
          </w:p>
        </w:tc>
      </w:tr>
      <w:tr>
        <w:trPr>
          <w:trHeight w:val="216"/>
        </w:trPr>
        <w:tc>
          <w:tcPr>
            <w:tcW w:w="2600" w:type="dxa"/>
            <w:vAlign w:val="bottom"/>
          </w:tcPr>
          <w:p>
            <w:pPr>
              <w:spacing w:after="0"/>
              <w:rPr>
                <w:sz w:val="18"/>
                <w:szCs w:val="18"/>
                <w:color w:val="auto"/>
              </w:rPr>
            </w:pPr>
          </w:p>
        </w:tc>
        <w:tc>
          <w:tcPr>
            <w:tcW w:w="8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Equity Definitions related to the restrictions imposed by applicable securities laws with respect to any Shares delivered</w:t>
            </w:r>
          </w:p>
        </w:tc>
      </w:tr>
      <w:tr>
        <w:trPr>
          <w:trHeight w:val="216"/>
        </w:trPr>
        <w:tc>
          <w:tcPr>
            <w:tcW w:w="2600" w:type="dxa"/>
            <w:vAlign w:val="bottom"/>
          </w:tcPr>
          <w:p>
            <w:pPr>
              <w:spacing w:after="0"/>
              <w:rPr>
                <w:sz w:val="18"/>
                <w:szCs w:val="18"/>
                <w:color w:val="auto"/>
              </w:rPr>
            </w:pPr>
          </w:p>
        </w:tc>
        <w:tc>
          <w:tcPr>
            <w:tcW w:w="8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by Citibank to Counterparty under any Transaction. If the Number of Shares to be Delivered is negative, then the</w:t>
            </w:r>
          </w:p>
        </w:tc>
      </w:tr>
      <w:tr>
        <w:trPr>
          <w:trHeight w:val="194"/>
        </w:trPr>
        <w:tc>
          <w:tcPr>
            <w:tcW w:w="2600" w:type="dxa"/>
            <w:vAlign w:val="bottom"/>
          </w:tcPr>
          <w:p>
            <w:pPr>
              <w:spacing w:after="0"/>
              <w:rPr>
                <w:sz w:val="16"/>
                <w:szCs w:val="16"/>
                <w:color w:val="auto"/>
              </w:rPr>
            </w:pPr>
          </w:p>
        </w:tc>
        <w:tc>
          <w:tcPr>
            <w:tcW w:w="864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auto"/>
              </w:rPr>
              <w:t>Counterparty Settlement Provisions in Annex B shall apply to such Transaction.</w:t>
            </w:r>
          </w:p>
        </w:tc>
      </w:tr>
      <w:tr>
        <w:trPr>
          <w:trHeight w:val="20"/>
        </w:trPr>
        <w:tc>
          <w:tcPr>
            <w:tcW w:w="2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2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Number of Shares</w:t>
            </w:r>
          </w:p>
        </w:tc>
        <w:tc>
          <w:tcPr>
            <w:tcW w:w="8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 each Transaction, a number of Shares equal to (i)(a) the Prepayment Amount divided by (b) the Valuation Amount</w:t>
            </w:r>
          </w:p>
        </w:tc>
      </w:tr>
      <w:tr>
        <w:trPr>
          <w:trHeight w:val="20"/>
        </w:trPr>
        <w:tc>
          <w:tcPr>
            <w:tcW w:w="2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500" w:type="dxa"/>
            <w:vAlign w:val="bottom"/>
            <w:gridSpan w:val="3"/>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2600" w:type="dxa"/>
            <w:vAlign w:val="bottom"/>
          </w:tcPr>
          <w:p>
            <w:pPr>
              <w:ind w:left="660"/>
              <w:spacing w:after="0" w:line="196" w:lineRule="exact"/>
              <w:rPr>
                <w:sz w:val="20"/>
                <w:szCs w:val="20"/>
                <w:color w:val="auto"/>
              </w:rPr>
            </w:pPr>
            <w:r>
              <w:rPr>
                <w:rFonts w:ascii="Times New Roman" w:cs="Times New Roman" w:eastAsia="Times New Roman" w:hAnsi="Times New Roman"/>
                <w:sz w:val="18"/>
                <w:szCs w:val="18"/>
                <w:color w:val="auto"/>
              </w:rPr>
              <w:t>to be Delivered:</w:t>
            </w:r>
          </w:p>
        </w:tc>
        <w:tc>
          <w:tcPr>
            <w:tcW w:w="86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minus (ii) the Initial Share Number. Notwithstanding Section 9.2 of the Equity Definitions, the Number of Shares to be</w:t>
            </w:r>
          </w:p>
        </w:tc>
      </w:tr>
      <w:tr>
        <w:trPr>
          <w:trHeight w:val="20"/>
        </w:trPr>
        <w:tc>
          <w:tcPr>
            <w:tcW w:w="26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0" w:type="dxa"/>
            <w:vAlign w:val="bottom"/>
            <w:gridSpan w:val="5"/>
          </w:tcPr>
          <w:p>
            <w:pPr>
              <w:spacing w:after="0" w:line="20" w:lineRule="exact"/>
              <w:rPr>
                <w:sz w:val="1"/>
                <w:szCs w:val="1"/>
                <w:color w:val="auto"/>
              </w:rPr>
            </w:pPr>
          </w:p>
        </w:tc>
      </w:tr>
      <w:tr>
        <w:trPr>
          <w:trHeight w:val="218"/>
        </w:trPr>
        <w:tc>
          <w:tcPr>
            <w:tcW w:w="2600" w:type="dxa"/>
            <w:vAlign w:val="bottom"/>
          </w:tcPr>
          <w:p>
            <w:pPr>
              <w:spacing w:after="0"/>
              <w:rPr>
                <w:sz w:val="18"/>
                <w:szCs w:val="18"/>
                <w:color w:val="auto"/>
              </w:rPr>
            </w:pPr>
          </w:p>
        </w:tc>
        <w:tc>
          <w:tcPr>
            <w:tcW w:w="8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Delivered shall be rounded down to the nearest whole number of Shares and no Fractional Share Amounts shall be</w:t>
            </w:r>
          </w:p>
        </w:tc>
      </w:tr>
      <w:tr>
        <w:trPr>
          <w:trHeight w:val="234"/>
        </w:trPr>
        <w:tc>
          <w:tcPr>
            <w:tcW w:w="2600" w:type="dxa"/>
            <w:vAlign w:val="bottom"/>
          </w:tcPr>
          <w:p>
            <w:pPr>
              <w:spacing w:after="0"/>
              <w:rPr>
                <w:sz w:val="20"/>
                <w:szCs w:val="20"/>
                <w:color w:val="auto"/>
              </w:rPr>
            </w:pPr>
          </w:p>
        </w:tc>
        <w:tc>
          <w:tcPr>
            <w:tcW w:w="8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delivered.</w:t>
            </w:r>
          </w:p>
        </w:tc>
      </w:tr>
      <w:tr>
        <w:trPr>
          <w:trHeight w:val="648"/>
        </w:trPr>
        <w:tc>
          <w:tcPr>
            <w:tcW w:w="26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3"/>
          </w:tcPr>
          <w:p>
            <w:pPr>
              <w:ind w:left="2980"/>
              <w:spacing w:after="0"/>
              <w:rPr>
                <w:sz w:val="20"/>
                <w:szCs w:val="20"/>
                <w:color w:val="auto"/>
              </w:rPr>
            </w:pPr>
            <w:r>
              <w:rPr>
                <w:rFonts w:ascii="Times New Roman" w:cs="Times New Roman" w:eastAsia="Times New Roman" w:hAnsi="Times New Roman"/>
                <w:sz w:val="18"/>
                <w:szCs w:val="18"/>
                <w:color w:val="auto"/>
              </w:rPr>
              <w:t>5</w:t>
            </w:r>
          </w:p>
        </w:tc>
        <w:tc>
          <w:tcPr>
            <w:tcW w:w="25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8" w:name="page9"/>
    <w:bookmarkEnd w:id="8"/>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6723380</wp:posOffset>
            </wp:positionH>
            <wp:positionV relativeFrom="page">
              <wp:posOffset>586105</wp:posOffset>
            </wp:positionV>
            <wp:extent cx="617220"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17220" cy="411480"/>
                    </a:xfrm>
                    <a:prstGeom prst="rect">
                      <a:avLst/>
                    </a:prstGeom>
                    <a:noFill/>
                  </pic:spPr>
                </pic:pic>
              </a:graphicData>
            </a:graphic>
          </wp:anchor>
        </w:drawing>
      </w:r>
    </w:p>
    <w:p>
      <w:pPr>
        <w:ind w:left="660"/>
        <w:spacing w:after="0"/>
        <w:tabs>
          <w:tab w:leader="none" w:pos="2580" w:val="left"/>
        </w:tabs>
        <w:rPr>
          <w:sz w:val="20"/>
          <w:szCs w:val="20"/>
          <w:color w:val="auto"/>
        </w:rPr>
      </w:pPr>
      <w:r>
        <w:rPr>
          <w:rFonts w:ascii="Times New Roman" w:cs="Times New Roman" w:eastAsia="Times New Roman" w:hAnsi="Times New Roman"/>
          <w:sz w:val="18"/>
          <w:szCs w:val="18"/>
          <w:color w:val="auto"/>
        </w:rPr>
        <w:t>Valuation Amount:</w:t>
      </w:r>
      <w:r>
        <w:rPr>
          <w:sz w:val="20"/>
          <w:szCs w:val="20"/>
          <w:color w:val="auto"/>
        </w:rPr>
        <w:tab/>
      </w:r>
      <w:r>
        <w:rPr>
          <w:rFonts w:ascii="Times New Roman" w:cs="Times New Roman" w:eastAsia="Times New Roman" w:hAnsi="Times New Roman"/>
          <w:sz w:val="17"/>
          <w:szCs w:val="17"/>
          <w:color w:val="auto"/>
        </w:rPr>
        <w:t xml:space="preserve">For each Transaction, (i) the Reference Price </w:t>
      </w:r>
      <w:r>
        <w:rPr>
          <w:rFonts w:ascii="Times New Roman" w:cs="Times New Roman" w:eastAsia="Times New Roman" w:hAnsi="Times New Roman"/>
          <w:sz w:val="17"/>
          <w:szCs w:val="17"/>
          <w:u w:val="single" w:color="auto"/>
          <w:color w:val="auto"/>
        </w:rPr>
        <w:t>minus</w:t>
      </w:r>
      <w:r>
        <w:rPr>
          <w:rFonts w:ascii="Times New Roman" w:cs="Times New Roman" w:eastAsia="Times New Roman" w:hAnsi="Times New Roman"/>
          <w:sz w:val="17"/>
          <w:szCs w:val="17"/>
          <w:color w:val="auto"/>
        </w:rPr>
        <w:t xml:space="preserve"> (ii) the Reference Price Adjustment Amount.</w:t>
      </w:r>
    </w:p>
    <w:p>
      <w:pPr>
        <w:spacing w:after="0" w:line="225" w:lineRule="exact"/>
        <w:rPr>
          <w:sz w:val="20"/>
          <w:szCs w:val="20"/>
          <w:color w:val="auto"/>
        </w:rPr>
      </w:pPr>
    </w:p>
    <w:p>
      <w:pPr>
        <w:ind w:left="2600" w:right="220" w:hanging="1943"/>
        <w:spacing w:after="0" w:line="282" w:lineRule="auto"/>
        <w:rPr>
          <w:sz w:val="20"/>
          <w:szCs w:val="20"/>
          <w:color w:val="auto"/>
        </w:rPr>
      </w:pPr>
      <w:r>
        <w:rPr>
          <w:rFonts w:ascii="Times New Roman" w:cs="Times New Roman" w:eastAsia="Times New Roman" w:hAnsi="Times New Roman"/>
          <w:sz w:val="18"/>
          <w:szCs w:val="18"/>
          <w:color w:val="auto"/>
        </w:rPr>
        <w:t>Excess Dividend Amount: For the avoidance of doubt, all references to Excess Dividend Amount shall be deleted from Section 9.2(a)(iii) of the Equity Definitions.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21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Settlement Date:</w:t>
            </w: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 each Transaction, if the Number of Shares to be Delivered is positive, the date that is one Settlement Cycle</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immediately following the earlier of (a) the Scheduled Termination Date and (b) any date Citibank delivers notice of</w:t>
            </w:r>
          </w:p>
        </w:tc>
      </w:tr>
      <w:tr>
        <w:trPr>
          <w:trHeight w:val="234"/>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Pricing Period Termination Date.</w:t>
            </w:r>
          </w:p>
        </w:tc>
      </w:tr>
      <w:tr>
        <w:trPr>
          <w:trHeight w:val="432"/>
        </w:trPr>
        <w:tc>
          <w:tcPr>
            <w:tcW w:w="340" w:type="dxa"/>
            <w:vAlign w:val="bottom"/>
          </w:tcPr>
          <w:p>
            <w:pPr>
              <w:spacing w:after="0"/>
              <w:rPr>
                <w:sz w:val="24"/>
                <w:szCs w:val="24"/>
                <w:color w:val="auto"/>
              </w:rPr>
            </w:pPr>
          </w:p>
        </w:tc>
        <w:tc>
          <w:tcPr>
            <w:tcW w:w="21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Settlement Currency:</w:t>
            </w: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USD</w:t>
            </w:r>
          </w:p>
        </w:tc>
      </w:tr>
      <w:tr>
        <w:trPr>
          <w:trHeight w:val="391"/>
        </w:trPr>
        <w:tc>
          <w:tcPr>
            <w:tcW w:w="34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Initial Shares:</w:t>
            </w:r>
          </w:p>
        </w:tc>
        <w:tc>
          <w:tcPr>
            <w:tcW w:w="874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r>
      <w:tr>
        <w:trPr>
          <w:trHeight w:val="434"/>
        </w:trPr>
        <w:tc>
          <w:tcPr>
            <w:tcW w:w="340" w:type="dxa"/>
            <w:vAlign w:val="bottom"/>
          </w:tcPr>
          <w:p>
            <w:pPr>
              <w:spacing w:after="0"/>
              <w:rPr>
                <w:sz w:val="24"/>
                <w:szCs w:val="24"/>
                <w:color w:val="auto"/>
              </w:rPr>
            </w:pPr>
          </w:p>
        </w:tc>
        <w:tc>
          <w:tcPr>
            <w:tcW w:w="21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Initial Share Delivery:</w:t>
            </w: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 any Transaction, upon payment by Counterparty of the Prepayment Amount, Citibank or an affiliate of Citibank</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shall deliver to Counterparty a number of Shares equal to the Initial Share Number on the Initial Settlement Date for</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such Transaction, in accordance with Section 9.4 of the Equity Definitions, with such Initial Settlement Date deemed to</w:t>
            </w:r>
          </w:p>
        </w:tc>
      </w:tr>
      <w:tr>
        <w:trPr>
          <w:trHeight w:val="234"/>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 a “Settlement Date” for purposes of such Section 9.4.</w:t>
            </w:r>
          </w:p>
        </w:tc>
      </w:tr>
      <w:tr>
        <w:trPr>
          <w:trHeight w:val="432"/>
        </w:trPr>
        <w:tc>
          <w:tcPr>
            <w:tcW w:w="340" w:type="dxa"/>
            <w:vAlign w:val="bottom"/>
          </w:tcPr>
          <w:p>
            <w:pPr>
              <w:spacing w:after="0"/>
              <w:rPr>
                <w:sz w:val="24"/>
                <w:szCs w:val="24"/>
                <w:color w:val="auto"/>
              </w:rPr>
            </w:pPr>
          </w:p>
        </w:tc>
        <w:tc>
          <w:tcPr>
            <w:tcW w:w="21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Initial Settlement Date:</w:t>
            </w: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 each Transaction, as set forth in the related Supplemental Confirmation.</w:t>
            </w:r>
          </w:p>
        </w:tc>
      </w:tr>
      <w:tr>
        <w:trPr>
          <w:trHeight w:val="432"/>
        </w:trPr>
        <w:tc>
          <w:tcPr>
            <w:tcW w:w="340" w:type="dxa"/>
            <w:vAlign w:val="bottom"/>
          </w:tcPr>
          <w:p>
            <w:pPr>
              <w:spacing w:after="0"/>
              <w:rPr>
                <w:sz w:val="24"/>
                <w:szCs w:val="24"/>
                <w:color w:val="auto"/>
              </w:rPr>
            </w:pPr>
          </w:p>
        </w:tc>
        <w:tc>
          <w:tcPr>
            <w:tcW w:w="21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Initial Share Number:</w:t>
            </w: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 each Transaction, as set forth in the related Supplemental Confirmation.</w:t>
            </w:r>
          </w:p>
        </w:tc>
      </w:tr>
      <w:tr>
        <w:trPr>
          <w:trHeight w:val="432"/>
        </w:trPr>
        <w:tc>
          <w:tcPr>
            <w:tcW w:w="2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 Adjustments</w:t>
            </w:r>
            <w:r>
              <w:rPr>
                <w:rFonts w:ascii="Times New Roman" w:cs="Times New Roman" w:eastAsia="Times New Roman" w:hAnsi="Times New Roman"/>
                <w:sz w:val="18"/>
                <w:szCs w:val="18"/>
                <w:color w:val="auto"/>
              </w:rPr>
              <w:t>:</w:t>
            </w:r>
          </w:p>
        </w:tc>
        <w:tc>
          <w:tcPr>
            <w:tcW w:w="874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21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Method of Adjustment:</w:t>
            </w: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Calculation Agent Adjustment</w:t>
            </w:r>
          </w:p>
        </w:tc>
      </w:tr>
      <w:tr>
        <w:trPr>
          <w:trHeight w:val="414"/>
        </w:trPr>
        <w:tc>
          <w:tcPr>
            <w:tcW w:w="340" w:type="dxa"/>
            <w:vAlign w:val="bottom"/>
          </w:tcPr>
          <w:p>
            <w:pPr>
              <w:spacing w:after="0"/>
              <w:rPr>
                <w:sz w:val="24"/>
                <w:szCs w:val="24"/>
                <w:color w:val="auto"/>
              </w:rPr>
            </w:pPr>
          </w:p>
        </w:tc>
        <w:tc>
          <w:tcPr>
            <w:tcW w:w="21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Potential Adjustment</w:t>
            </w: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Notwithstanding anything to the contrary in Section 11.2(e) of the Equity Definitions, an Extraordinary Dividend shall</w:t>
            </w:r>
          </w:p>
        </w:tc>
      </w:tr>
      <w:tr>
        <w:trPr>
          <w:trHeight w:val="234"/>
        </w:trPr>
        <w:tc>
          <w:tcPr>
            <w:tcW w:w="340" w:type="dxa"/>
            <w:vAlign w:val="bottom"/>
          </w:tcPr>
          <w:p>
            <w:pPr>
              <w:spacing w:after="0"/>
              <w:rPr>
                <w:sz w:val="20"/>
                <w:szCs w:val="20"/>
                <w:color w:val="auto"/>
              </w:rPr>
            </w:pPr>
          </w:p>
        </w:tc>
        <w:tc>
          <w:tcPr>
            <w:tcW w:w="21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Event:</w:t>
            </w: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 constitute a Potential Adjustment Event.</w:t>
            </w:r>
          </w:p>
        </w:tc>
      </w:tr>
      <w:tr>
        <w:trPr>
          <w:trHeight w:val="414"/>
        </w:trPr>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 shall constitute an additional Potential Adjustment Event if the Scheduled Termination Date for any Transaction is</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postponed pursuant to “Pricing Disruption” above, in which case the Calculation Agent may, in its commercially</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reasonable discretion, adjust any relevant terms of such Transaction as necessary to preserve as nearly as practicable the</w:t>
            </w:r>
          </w:p>
        </w:tc>
      </w:tr>
      <w:tr>
        <w:trPr>
          <w:trHeight w:val="234"/>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fair value of such Transaction to Citibank prior to such postponement.</w:t>
            </w:r>
          </w:p>
        </w:tc>
      </w:tr>
      <w:tr>
        <w:trPr>
          <w:trHeight w:val="414"/>
        </w:trPr>
        <w:tc>
          <w:tcPr>
            <w:tcW w:w="340" w:type="dxa"/>
            <w:vAlign w:val="bottom"/>
          </w:tcPr>
          <w:p>
            <w:pPr>
              <w:spacing w:after="0"/>
              <w:rPr>
                <w:sz w:val="24"/>
                <w:szCs w:val="24"/>
                <w:color w:val="auto"/>
              </w:rPr>
            </w:pPr>
          </w:p>
        </w:tc>
        <w:tc>
          <w:tcPr>
            <w:tcW w:w="21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Extraordinary Dividend:</w:t>
            </w: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Any dividend or distribution on the Shares (other than any dividend or distribution of the type described in Section</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11.2(e)(i) or Section 11.2(e)(ii)(A) of the Equity Definitions) the amount or value of which (as determined by the</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Calculation Agent) when aggregated with the amount or value (as determined by the Calculation Agent) of any and all</w:t>
            </w:r>
          </w:p>
        </w:tc>
      </w:tr>
      <w:tr>
        <w:trPr>
          <w:trHeight w:val="234"/>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previous Dividends with ex-dividend dates occurring in the same calendar quarter, exceeds the Ordinary Dividend.</w:t>
            </w:r>
          </w:p>
        </w:tc>
      </w:tr>
      <w:tr>
        <w:trPr>
          <w:trHeight w:val="432"/>
        </w:trPr>
        <w:tc>
          <w:tcPr>
            <w:tcW w:w="340" w:type="dxa"/>
            <w:vAlign w:val="bottom"/>
          </w:tcPr>
          <w:p>
            <w:pPr>
              <w:spacing w:after="0"/>
              <w:rPr>
                <w:sz w:val="24"/>
                <w:szCs w:val="24"/>
                <w:color w:val="auto"/>
              </w:rPr>
            </w:pPr>
          </w:p>
        </w:tc>
        <w:tc>
          <w:tcPr>
            <w:tcW w:w="21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Ordinary Dividend:</w:t>
            </w: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 each Transaction, as set forth in the related Supplemental Confirmation.</w:t>
            </w:r>
          </w:p>
        </w:tc>
      </w:tr>
      <w:tr>
        <w:trPr>
          <w:trHeight w:val="648"/>
        </w:trPr>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740" w:type="dxa"/>
            <w:vAlign w:val="bottom"/>
            <w:tcBorders>
              <w:bottom w:val="single" w:sz="8" w:color="auto"/>
            </w:tcBorders>
          </w:tcPr>
          <w:p>
            <w:pPr>
              <w:ind w:left="3080"/>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240"/>
          </w:cols>
          <w:pgMar w:left="320" w:top="1440" w:right="339" w:bottom="1440" w:gutter="0" w:footer="0" w:header="0"/>
        </w:sectPr>
      </w:pPr>
    </w:p>
    <w:bookmarkStart w:id="9" w:name="page10"/>
    <w:bookmarkEnd w:id="9"/>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6723380</wp:posOffset>
            </wp:positionH>
            <wp:positionV relativeFrom="page">
              <wp:posOffset>586105</wp:posOffset>
            </wp:positionV>
            <wp:extent cx="617220" cy="411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17220" cy="4114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Early Ordinary Dividend</w:t>
            </w: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If an ex-dividend date for any dividend that is not an Extraordinary Dividend occurs during any calendar quarter</w:t>
            </w:r>
          </w:p>
        </w:tc>
      </w:tr>
      <w:tr>
        <w:trPr>
          <w:trHeight w:val="216"/>
        </w:trPr>
        <w:tc>
          <w:tcPr>
            <w:tcW w:w="2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Payment:</w:t>
            </w: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occurring (in whole or in part) during the Relevant Period (as defined below) and is prior to the Scheduled Ex-Dividend</w:t>
            </w:r>
          </w:p>
        </w:tc>
      </w:tr>
      <w:tr>
        <w:trPr>
          <w:trHeight w:val="216"/>
        </w:trPr>
        <w:tc>
          <w:tcPr>
            <w:tcW w:w="260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for such calendar quarter, the Calculation Agent shall make such adjustment to the exercise, settlement, payment</w:t>
            </w:r>
          </w:p>
        </w:tc>
      </w:tr>
      <w:tr>
        <w:trPr>
          <w:trHeight w:val="216"/>
        </w:trPr>
        <w:tc>
          <w:tcPr>
            <w:tcW w:w="260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 any other terms of the relevant Transaction as the Calculation Agent determines in good faith and a commercially</w:t>
            </w:r>
          </w:p>
        </w:tc>
      </w:tr>
      <w:tr>
        <w:trPr>
          <w:trHeight w:val="234"/>
        </w:trPr>
        <w:tc>
          <w:tcPr>
            <w:tcW w:w="2600" w:type="dxa"/>
            <w:vAlign w:val="bottom"/>
          </w:tcPr>
          <w:p>
            <w:pPr>
              <w:spacing w:after="0"/>
              <w:rPr>
                <w:sz w:val="20"/>
                <w:szCs w:val="20"/>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reasonable manner, is appropriate to account for the economic effect on such Transaction of such event.</w:t>
            </w:r>
          </w:p>
        </w:tc>
      </w:tr>
      <w:tr>
        <w:trPr>
          <w:trHeight w:val="414"/>
        </w:trPr>
        <w:tc>
          <w:tcPr>
            <w:tcW w:w="2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Scheduled Ex-Dividend</w:t>
            </w: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each Transaction for each calendar quarter, as set forth in the related Supplemental Confirmation.</w:t>
            </w:r>
          </w:p>
        </w:tc>
      </w:tr>
      <w:tr>
        <w:trPr>
          <w:trHeight w:val="234"/>
        </w:trPr>
        <w:tc>
          <w:tcPr>
            <w:tcW w:w="2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Dates:</w:t>
            </w:r>
          </w:p>
        </w:tc>
        <w:tc>
          <w:tcPr>
            <w:tcW w:w="1080" w:type="dxa"/>
            <w:vAlign w:val="bottom"/>
          </w:tcPr>
          <w:p>
            <w:pPr>
              <w:spacing w:after="0"/>
              <w:rPr>
                <w:sz w:val="20"/>
                <w:szCs w:val="20"/>
                <w:color w:val="auto"/>
              </w:rPr>
            </w:pPr>
          </w:p>
        </w:tc>
        <w:tc>
          <w:tcPr>
            <w:tcW w:w="7560" w:type="dxa"/>
            <w:vAlign w:val="bottom"/>
          </w:tcPr>
          <w:p>
            <w:pPr>
              <w:spacing w:after="0"/>
              <w:rPr>
                <w:sz w:val="20"/>
                <w:szCs w:val="20"/>
                <w:color w:val="auto"/>
              </w:rPr>
            </w:pPr>
          </w:p>
        </w:tc>
      </w:tr>
      <w:tr>
        <w:trPr>
          <w:trHeight w:val="432"/>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Extraordinary Events</w:t>
            </w:r>
            <w:r>
              <w:rPr>
                <w:rFonts w:ascii="Times New Roman" w:cs="Times New Roman" w:eastAsia="Times New Roman" w:hAnsi="Times New Roman"/>
                <w:sz w:val="18"/>
                <w:szCs w:val="18"/>
                <w:color w:val="auto"/>
              </w:rPr>
              <w:t>:</w:t>
            </w:r>
          </w:p>
        </w:tc>
        <w:tc>
          <w:tcPr>
            <w:tcW w:w="1080" w:type="dxa"/>
            <w:vAlign w:val="bottom"/>
          </w:tcPr>
          <w:p>
            <w:pPr>
              <w:spacing w:after="0"/>
              <w:rPr>
                <w:sz w:val="24"/>
                <w:szCs w:val="24"/>
                <w:color w:val="auto"/>
              </w:rPr>
            </w:pPr>
          </w:p>
        </w:tc>
        <w:tc>
          <w:tcPr>
            <w:tcW w:w="7560" w:type="dxa"/>
            <w:vAlign w:val="bottom"/>
          </w:tcPr>
          <w:p>
            <w:pPr>
              <w:spacing w:after="0"/>
              <w:rPr>
                <w:sz w:val="24"/>
                <w:szCs w:val="24"/>
                <w:color w:val="auto"/>
              </w:rPr>
            </w:pPr>
          </w:p>
        </w:tc>
      </w:tr>
      <w:tr>
        <w:trPr>
          <w:trHeight w:val="414"/>
        </w:trPr>
        <w:tc>
          <w:tcPr>
            <w:tcW w:w="2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Consequences of</w:t>
            </w:r>
          </w:p>
        </w:tc>
        <w:tc>
          <w:tcPr>
            <w:tcW w:w="1080" w:type="dxa"/>
            <w:vAlign w:val="bottom"/>
          </w:tcPr>
          <w:p>
            <w:pPr>
              <w:spacing w:after="0"/>
              <w:rPr>
                <w:sz w:val="24"/>
                <w:szCs w:val="24"/>
                <w:color w:val="auto"/>
              </w:rPr>
            </w:pPr>
          </w:p>
        </w:tc>
        <w:tc>
          <w:tcPr>
            <w:tcW w:w="7560" w:type="dxa"/>
            <w:vAlign w:val="bottom"/>
          </w:tcPr>
          <w:p>
            <w:pPr>
              <w:spacing w:after="0"/>
              <w:rPr>
                <w:sz w:val="24"/>
                <w:szCs w:val="24"/>
                <w:color w:val="auto"/>
              </w:rPr>
            </w:pPr>
          </w:p>
        </w:tc>
      </w:tr>
      <w:tr>
        <w:trPr>
          <w:trHeight w:val="234"/>
        </w:trPr>
        <w:tc>
          <w:tcPr>
            <w:tcW w:w="2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Merger Events:</w:t>
            </w:r>
          </w:p>
        </w:tc>
        <w:tc>
          <w:tcPr>
            <w:tcW w:w="1080" w:type="dxa"/>
            <w:vAlign w:val="bottom"/>
          </w:tcPr>
          <w:p>
            <w:pPr>
              <w:spacing w:after="0"/>
              <w:rPr>
                <w:sz w:val="20"/>
                <w:szCs w:val="20"/>
                <w:color w:val="auto"/>
              </w:rPr>
            </w:pPr>
          </w:p>
        </w:tc>
        <w:tc>
          <w:tcPr>
            <w:tcW w:w="7560" w:type="dxa"/>
            <w:vAlign w:val="bottom"/>
          </w:tcPr>
          <w:p>
            <w:pPr>
              <w:spacing w:after="0"/>
              <w:rPr>
                <w:sz w:val="20"/>
                <w:szCs w:val="20"/>
                <w:color w:val="auto"/>
              </w:rPr>
            </w:pPr>
          </w:p>
        </w:tc>
      </w:tr>
      <w:tr>
        <w:trPr>
          <w:trHeight w:val="432"/>
        </w:trPr>
        <w:tc>
          <w:tcPr>
            <w:tcW w:w="26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  Share-for-Share:</w:t>
            </w:r>
          </w:p>
        </w:tc>
        <w:tc>
          <w:tcPr>
            <w:tcW w:w="1080" w:type="dxa"/>
            <w:vAlign w:val="bottom"/>
          </w:tcPr>
          <w:p>
            <w:pPr>
              <w:spacing w:after="0"/>
              <w:rPr>
                <w:sz w:val="24"/>
                <w:szCs w:val="24"/>
                <w:color w:val="auto"/>
              </w:rPr>
            </w:pPr>
          </w:p>
        </w:tc>
        <w:tc>
          <w:tcPr>
            <w:tcW w:w="75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Modified Calculation Agent Adjustment</w:t>
            </w:r>
          </w:p>
        </w:tc>
      </w:tr>
      <w:tr>
        <w:trPr>
          <w:trHeight w:val="432"/>
        </w:trPr>
        <w:tc>
          <w:tcPr>
            <w:tcW w:w="26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(b) Share-for-Other:</w:t>
            </w:r>
          </w:p>
        </w:tc>
        <w:tc>
          <w:tcPr>
            <w:tcW w:w="1080" w:type="dxa"/>
            <w:vAlign w:val="bottom"/>
          </w:tcPr>
          <w:p>
            <w:pPr>
              <w:spacing w:after="0"/>
              <w:rPr>
                <w:sz w:val="24"/>
                <w:szCs w:val="24"/>
                <w:color w:val="auto"/>
              </w:rPr>
            </w:pPr>
          </w:p>
        </w:tc>
        <w:tc>
          <w:tcPr>
            <w:tcW w:w="75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Modified Calculation Agent Adjustment</w:t>
            </w:r>
          </w:p>
        </w:tc>
      </w:tr>
      <w:tr>
        <w:trPr>
          <w:trHeight w:val="432"/>
        </w:trPr>
        <w:tc>
          <w:tcPr>
            <w:tcW w:w="36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(c)  Share-for-Combined:</w:t>
            </w:r>
          </w:p>
        </w:tc>
        <w:tc>
          <w:tcPr>
            <w:tcW w:w="75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Modified Calculation Agent Adjustment</w:t>
            </w:r>
          </w:p>
        </w:tc>
      </w:tr>
      <w:tr>
        <w:trPr>
          <w:trHeight w:val="414"/>
        </w:trPr>
        <w:tc>
          <w:tcPr>
            <w:tcW w:w="2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Tender Offer:</w:t>
            </w:r>
          </w:p>
        </w:tc>
        <w:tc>
          <w:tcPr>
            <w:tcW w:w="1080" w:type="dxa"/>
            <w:vAlign w:val="bottom"/>
          </w:tcPr>
          <w:p>
            <w:pPr>
              <w:spacing w:after="0"/>
              <w:rPr>
                <w:sz w:val="24"/>
                <w:szCs w:val="24"/>
                <w:color w:val="auto"/>
              </w:rPr>
            </w:pPr>
          </w:p>
        </w:tc>
        <w:tc>
          <w:tcPr>
            <w:tcW w:w="75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Section 12.1(l) of the Equity Definitions shall be amended (x)</w:t>
            </w:r>
          </w:p>
        </w:tc>
      </w:tr>
      <w:tr>
        <w:trPr>
          <w:trHeight w:val="216"/>
        </w:trPr>
        <w:tc>
          <w:tcPr>
            <w:tcW w:w="2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5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by deleting the parenthetical in the fifth line thereof, (y) by replacing “that” in the fifth line</w:t>
            </w:r>
          </w:p>
        </w:tc>
      </w:tr>
      <w:tr>
        <w:trPr>
          <w:trHeight w:val="216"/>
        </w:trPr>
        <w:tc>
          <w:tcPr>
            <w:tcW w:w="2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5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thereof with “whether or not such announcement” and (z) by adding immediately after the</w:t>
            </w:r>
          </w:p>
        </w:tc>
      </w:tr>
      <w:tr>
        <w:trPr>
          <w:trHeight w:val="216"/>
        </w:trPr>
        <w:tc>
          <w:tcPr>
            <w:tcW w:w="2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5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words “Tender Offer” in the fifth line thereof “, and any publicly announced change or</w:t>
            </w:r>
          </w:p>
        </w:tc>
      </w:tr>
      <w:tr>
        <w:trPr>
          <w:trHeight w:val="216"/>
        </w:trPr>
        <w:tc>
          <w:tcPr>
            <w:tcW w:w="2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5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amendment to such an announcement (including the announcement of an abandonment of</w:t>
            </w:r>
          </w:p>
        </w:tc>
      </w:tr>
      <w:tr>
        <w:trPr>
          <w:trHeight w:val="216"/>
        </w:trPr>
        <w:tc>
          <w:tcPr>
            <w:tcW w:w="2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5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such intention)” and (ii) Sections 12.3(a) and 12.3(d) of the Equity Definitions shall each be</w:t>
            </w:r>
          </w:p>
        </w:tc>
      </w:tr>
      <w:tr>
        <w:trPr>
          <w:trHeight w:val="216"/>
        </w:trPr>
        <w:tc>
          <w:tcPr>
            <w:tcW w:w="2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56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amended by replacing each occurrence of the words “Tender Offer Date” by “Announcement</w:t>
            </w:r>
          </w:p>
        </w:tc>
      </w:tr>
      <w:tr>
        <w:trPr>
          <w:trHeight w:val="234"/>
        </w:trPr>
        <w:tc>
          <w:tcPr>
            <w:tcW w:w="2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5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Date.”</w:t>
            </w:r>
          </w:p>
        </w:tc>
      </w:tr>
      <w:tr>
        <w:trPr>
          <w:trHeight w:val="414"/>
        </w:trPr>
        <w:tc>
          <w:tcPr>
            <w:tcW w:w="2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Consequences  of  Tender</w:t>
            </w:r>
          </w:p>
        </w:tc>
        <w:tc>
          <w:tcPr>
            <w:tcW w:w="1080" w:type="dxa"/>
            <w:vAlign w:val="bottom"/>
          </w:tcPr>
          <w:p>
            <w:pPr>
              <w:spacing w:after="0"/>
              <w:rPr>
                <w:sz w:val="24"/>
                <w:szCs w:val="24"/>
                <w:color w:val="auto"/>
              </w:rPr>
            </w:pPr>
          </w:p>
        </w:tc>
        <w:tc>
          <w:tcPr>
            <w:tcW w:w="7560" w:type="dxa"/>
            <w:vAlign w:val="bottom"/>
          </w:tcPr>
          <w:p>
            <w:pPr>
              <w:spacing w:after="0"/>
              <w:rPr>
                <w:sz w:val="24"/>
                <w:szCs w:val="24"/>
                <w:color w:val="auto"/>
              </w:rPr>
            </w:pPr>
          </w:p>
        </w:tc>
      </w:tr>
      <w:tr>
        <w:trPr>
          <w:trHeight w:val="234"/>
        </w:trPr>
        <w:tc>
          <w:tcPr>
            <w:tcW w:w="2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Offers:</w:t>
            </w:r>
          </w:p>
        </w:tc>
        <w:tc>
          <w:tcPr>
            <w:tcW w:w="1080" w:type="dxa"/>
            <w:vAlign w:val="bottom"/>
          </w:tcPr>
          <w:p>
            <w:pPr>
              <w:spacing w:after="0"/>
              <w:rPr>
                <w:sz w:val="20"/>
                <w:szCs w:val="20"/>
                <w:color w:val="auto"/>
              </w:rPr>
            </w:pPr>
          </w:p>
        </w:tc>
        <w:tc>
          <w:tcPr>
            <w:tcW w:w="7560" w:type="dxa"/>
            <w:vAlign w:val="bottom"/>
          </w:tcPr>
          <w:p>
            <w:pPr>
              <w:spacing w:after="0"/>
              <w:rPr>
                <w:sz w:val="20"/>
                <w:szCs w:val="20"/>
                <w:color w:val="auto"/>
              </w:rPr>
            </w:pPr>
          </w:p>
        </w:tc>
      </w:tr>
      <w:tr>
        <w:trPr>
          <w:trHeight w:val="432"/>
        </w:trPr>
        <w:tc>
          <w:tcPr>
            <w:tcW w:w="26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  Share-for-Share:</w:t>
            </w:r>
          </w:p>
        </w:tc>
        <w:tc>
          <w:tcPr>
            <w:tcW w:w="1080" w:type="dxa"/>
            <w:vAlign w:val="bottom"/>
          </w:tcPr>
          <w:p>
            <w:pPr>
              <w:spacing w:after="0"/>
              <w:rPr>
                <w:sz w:val="24"/>
                <w:szCs w:val="24"/>
                <w:color w:val="auto"/>
              </w:rPr>
            </w:pPr>
          </w:p>
        </w:tc>
        <w:tc>
          <w:tcPr>
            <w:tcW w:w="75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Modified Calculation Agent Adjustment</w:t>
            </w:r>
          </w:p>
        </w:tc>
      </w:tr>
      <w:tr>
        <w:trPr>
          <w:trHeight w:val="432"/>
        </w:trPr>
        <w:tc>
          <w:tcPr>
            <w:tcW w:w="26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(b) Share-for-Other:</w:t>
            </w:r>
          </w:p>
        </w:tc>
        <w:tc>
          <w:tcPr>
            <w:tcW w:w="1080" w:type="dxa"/>
            <w:vAlign w:val="bottom"/>
          </w:tcPr>
          <w:p>
            <w:pPr>
              <w:spacing w:after="0"/>
              <w:rPr>
                <w:sz w:val="24"/>
                <w:szCs w:val="24"/>
                <w:color w:val="auto"/>
              </w:rPr>
            </w:pPr>
          </w:p>
        </w:tc>
        <w:tc>
          <w:tcPr>
            <w:tcW w:w="75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Modified Calculation Agent Adjustment</w:t>
            </w:r>
          </w:p>
        </w:tc>
      </w:tr>
      <w:tr>
        <w:trPr>
          <w:trHeight w:val="432"/>
        </w:trPr>
        <w:tc>
          <w:tcPr>
            <w:tcW w:w="36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(c)  Share-for-Combined:</w:t>
            </w:r>
          </w:p>
        </w:tc>
        <w:tc>
          <w:tcPr>
            <w:tcW w:w="75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Modified Calculation Agent Adjustment</w:t>
            </w:r>
          </w:p>
        </w:tc>
      </w:tr>
      <w:tr>
        <w:trPr>
          <w:trHeight w:val="414"/>
        </w:trPr>
        <w:tc>
          <w:tcPr>
            <w:tcW w:w="2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Nationalization,</w:t>
            </w:r>
          </w:p>
        </w:tc>
        <w:tc>
          <w:tcPr>
            <w:tcW w:w="1080" w:type="dxa"/>
            <w:vAlign w:val="bottom"/>
          </w:tcPr>
          <w:p>
            <w:pPr>
              <w:spacing w:after="0"/>
              <w:rPr>
                <w:sz w:val="24"/>
                <w:szCs w:val="24"/>
                <w:color w:val="auto"/>
              </w:rPr>
            </w:pPr>
          </w:p>
        </w:tc>
        <w:tc>
          <w:tcPr>
            <w:tcW w:w="75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 xml:space="preserve">Cancellation and Payment;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addition to the provisions of Section 12.6(a)(iii)</w:t>
            </w:r>
          </w:p>
        </w:tc>
      </w:tr>
      <w:tr>
        <w:trPr>
          <w:trHeight w:val="216"/>
        </w:trPr>
        <w:tc>
          <w:tcPr>
            <w:tcW w:w="2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Insolvency or Delisting:</w:t>
            </w:r>
          </w:p>
        </w:tc>
        <w:tc>
          <w:tcPr>
            <w:tcW w:w="1080" w:type="dxa"/>
            <w:vAlign w:val="bottom"/>
          </w:tcPr>
          <w:p>
            <w:pPr>
              <w:spacing w:after="0"/>
              <w:rPr>
                <w:sz w:val="18"/>
                <w:szCs w:val="18"/>
                <w:color w:val="auto"/>
              </w:rPr>
            </w:pPr>
          </w:p>
        </w:tc>
        <w:tc>
          <w:tcPr>
            <w:tcW w:w="75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of the Equity Definitions, it shall also constitute a Delisting if the Exchange is located in the</w:t>
            </w:r>
          </w:p>
        </w:tc>
      </w:tr>
      <w:tr>
        <w:trPr>
          <w:trHeight w:val="216"/>
        </w:trPr>
        <w:tc>
          <w:tcPr>
            <w:tcW w:w="2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5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United States and the Shares are not immediately re-listed, re-traded or re-quoted on any of</w:t>
            </w:r>
          </w:p>
        </w:tc>
      </w:tr>
      <w:tr>
        <w:trPr>
          <w:trHeight w:val="234"/>
        </w:trPr>
        <w:tc>
          <w:tcPr>
            <w:tcW w:w="2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5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the New York Stock Exchange, The NASDAQ Global Select Market or The NASDAQ</w:t>
            </w:r>
          </w:p>
        </w:tc>
      </w:tr>
    </w:tbl>
    <w:p>
      <w:pPr>
        <w:jc w:val="both"/>
        <w:ind w:left="4500"/>
        <w:spacing w:after="0" w:line="255" w:lineRule="auto"/>
        <w:rPr>
          <w:sz w:val="20"/>
          <w:szCs w:val="20"/>
          <w:color w:val="auto"/>
        </w:rPr>
      </w:pPr>
      <w:r>
        <w:rPr>
          <w:rFonts w:ascii="Times New Roman" w:cs="Times New Roman" w:eastAsia="Times New Roman" w:hAnsi="Times New Roman"/>
          <w:sz w:val="18"/>
          <w:szCs w:val="18"/>
          <w:color w:val="auto"/>
        </w:rPr>
        <w:t>Global Market (or their respective successors); if the Shares are immediately re-listed, re-traded or re-quoted on any such exchange or quotation system, such exchange or quotation system shall be deemed to be the Exchange.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3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6723380</wp:posOffset>
            </wp:positionH>
            <wp:positionV relativeFrom="page">
              <wp:posOffset>586105</wp:posOffset>
            </wp:positionV>
            <wp:extent cx="617220" cy="411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17220" cy="4114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Additional Disruption Events</w:t>
            </w:r>
            <w:r>
              <w:rPr>
                <w:rFonts w:ascii="Times New Roman" w:cs="Times New Roman" w:eastAsia="Times New Roman" w:hAnsi="Times New Roman"/>
                <w:sz w:val="18"/>
                <w:szCs w:val="18"/>
                <w:color w:val="auto"/>
              </w:rPr>
              <w:t>:</w:t>
            </w:r>
          </w:p>
        </w:tc>
        <w:tc>
          <w:tcPr>
            <w:tcW w:w="7320" w:type="dxa"/>
            <w:vAlign w:val="bottom"/>
          </w:tcPr>
          <w:p>
            <w:pPr>
              <w:spacing w:after="0"/>
              <w:rPr>
                <w:sz w:val="20"/>
                <w:szCs w:val="20"/>
                <w:color w:val="auto"/>
              </w:rPr>
            </w:pPr>
          </w:p>
        </w:tc>
      </w:tr>
      <w:tr>
        <w:trPr>
          <w:trHeight w:val="414"/>
        </w:trPr>
        <w:tc>
          <w:tcPr>
            <w:tcW w:w="3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 Change in Law:</w:t>
            </w:r>
          </w:p>
        </w:tc>
        <w:tc>
          <w:tcPr>
            <w:tcW w:w="7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Section 12.9(a)(ii) of the Equity Definitions is hereby amended (i)</w:t>
            </w:r>
          </w:p>
        </w:tc>
      </w:tr>
      <w:tr>
        <w:trPr>
          <w:trHeight w:val="216"/>
        </w:trPr>
        <w:tc>
          <w:tcPr>
            <w:tcW w:w="3920" w:type="dxa"/>
            <w:vAlign w:val="bottom"/>
          </w:tcPr>
          <w:p>
            <w:pPr>
              <w:spacing w:after="0"/>
              <w:rPr>
                <w:sz w:val="18"/>
                <w:szCs w:val="18"/>
                <w:color w:val="auto"/>
              </w:rPr>
            </w:pPr>
          </w:p>
        </w:tc>
        <w:tc>
          <w:tcPr>
            <w:tcW w:w="7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by replacing the phrase “the interpretation” in the third line thereof with the phrase “, or</w:t>
            </w:r>
          </w:p>
        </w:tc>
      </w:tr>
      <w:tr>
        <w:trPr>
          <w:trHeight w:val="216"/>
        </w:trPr>
        <w:tc>
          <w:tcPr>
            <w:tcW w:w="3920" w:type="dxa"/>
            <w:vAlign w:val="bottom"/>
          </w:tcPr>
          <w:p>
            <w:pPr>
              <w:spacing w:after="0"/>
              <w:rPr>
                <w:sz w:val="18"/>
                <w:szCs w:val="18"/>
                <w:color w:val="auto"/>
              </w:rPr>
            </w:pPr>
          </w:p>
        </w:tc>
        <w:tc>
          <w:tcPr>
            <w:tcW w:w="7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public announcement of, the formal or informal interpretation”, (ii) by replacing the word</w:t>
            </w:r>
          </w:p>
        </w:tc>
      </w:tr>
      <w:tr>
        <w:trPr>
          <w:trHeight w:val="216"/>
        </w:trPr>
        <w:tc>
          <w:tcPr>
            <w:tcW w:w="3920" w:type="dxa"/>
            <w:vAlign w:val="bottom"/>
          </w:tcPr>
          <w:p>
            <w:pPr>
              <w:spacing w:after="0"/>
              <w:rPr>
                <w:sz w:val="18"/>
                <w:szCs w:val="18"/>
                <w:color w:val="auto"/>
              </w:rPr>
            </w:pPr>
          </w:p>
        </w:tc>
        <w:tc>
          <w:tcPr>
            <w:tcW w:w="7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“Shares” where it appears in clause (X) thereof with the words “Hedge Position”, (iii) by</w:t>
            </w:r>
          </w:p>
        </w:tc>
      </w:tr>
      <w:tr>
        <w:trPr>
          <w:trHeight w:val="214"/>
        </w:trPr>
        <w:tc>
          <w:tcPr>
            <w:tcW w:w="3920" w:type="dxa"/>
            <w:vAlign w:val="bottom"/>
          </w:tcPr>
          <w:p>
            <w:pPr>
              <w:spacing w:after="0"/>
              <w:rPr>
                <w:sz w:val="18"/>
                <w:szCs w:val="18"/>
                <w:color w:val="auto"/>
              </w:rPr>
            </w:pPr>
          </w:p>
        </w:tc>
        <w:tc>
          <w:tcPr>
            <w:tcW w:w="7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immediately following the word “Transaction” in clause (X) thereof, adding the phrase “in</w:t>
            </w:r>
          </w:p>
        </w:tc>
      </w:tr>
      <w:tr>
        <w:trPr>
          <w:trHeight w:val="218"/>
        </w:trPr>
        <w:tc>
          <w:tcPr>
            <w:tcW w:w="3920" w:type="dxa"/>
            <w:vAlign w:val="bottom"/>
          </w:tcPr>
          <w:p>
            <w:pPr>
              <w:spacing w:after="0"/>
              <w:rPr>
                <w:sz w:val="18"/>
                <w:szCs w:val="18"/>
                <w:color w:val="auto"/>
              </w:rPr>
            </w:pPr>
          </w:p>
        </w:tc>
        <w:tc>
          <w:tcPr>
            <w:tcW w:w="7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xml:space="preserve">the manner contemplated by the Hedging Party on the Trade Date”;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w:t>
            </w:r>
          </w:p>
        </w:tc>
      </w:tr>
      <w:tr>
        <w:trPr>
          <w:trHeight w:val="216"/>
        </w:trPr>
        <w:tc>
          <w:tcPr>
            <w:tcW w:w="3920" w:type="dxa"/>
            <w:vAlign w:val="bottom"/>
          </w:tcPr>
          <w:p>
            <w:pPr>
              <w:spacing w:after="0"/>
              <w:rPr>
                <w:sz w:val="18"/>
                <w:szCs w:val="18"/>
                <w:color w:val="auto"/>
              </w:rPr>
            </w:pPr>
          </w:p>
        </w:tc>
        <w:tc>
          <w:tcPr>
            <w:tcW w:w="7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any determination as to whether (a) the adoption of or any change in any applicable law or</w:t>
            </w:r>
          </w:p>
        </w:tc>
      </w:tr>
      <w:tr>
        <w:trPr>
          <w:trHeight w:val="216"/>
        </w:trPr>
        <w:tc>
          <w:tcPr>
            <w:tcW w:w="3920" w:type="dxa"/>
            <w:vAlign w:val="bottom"/>
          </w:tcPr>
          <w:p>
            <w:pPr>
              <w:spacing w:after="0"/>
              <w:rPr>
                <w:sz w:val="18"/>
                <w:szCs w:val="18"/>
                <w:color w:val="auto"/>
              </w:rPr>
            </w:pPr>
          </w:p>
        </w:tc>
        <w:tc>
          <w:tcPr>
            <w:tcW w:w="7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regulation (including, for the avoidance of doubt and without limitation, (x) any tax law or</w:t>
            </w:r>
          </w:p>
        </w:tc>
      </w:tr>
      <w:tr>
        <w:trPr>
          <w:trHeight w:val="216"/>
        </w:trPr>
        <w:tc>
          <w:tcPr>
            <w:tcW w:w="3920" w:type="dxa"/>
            <w:vAlign w:val="bottom"/>
          </w:tcPr>
          <w:p>
            <w:pPr>
              <w:spacing w:after="0"/>
              <w:rPr>
                <w:sz w:val="18"/>
                <w:szCs w:val="18"/>
                <w:color w:val="auto"/>
              </w:rPr>
            </w:pPr>
          </w:p>
        </w:tc>
        <w:tc>
          <w:tcPr>
            <w:tcW w:w="7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(y) adoption or promulgation of new regulations authorized or mandated by existing statute)</w:t>
            </w:r>
          </w:p>
        </w:tc>
      </w:tr>
      <w:tr>
        <w:trPr>
          <w:trHeight w:val="216"/>
        </w:trPr>
        <w:tc>
          <w:tcPr>
            <w:tcW w:w="3920" w:type="dxa"/>
            <w:vAlign w:val="bottom"/>
          </w:tcPr>
          <w:p>
            <w:pPr>
              <w:spacing w:after="0"/>
              <w:rPr>
                <w:sz w:val="18"/>
                <w:szCs w:val="18"/>
                <w:color w:val="auto"/>
              </w:rPr>
            </w:pPr>
          </w:p>
        </w:tc>
        <w:tc>
          <w:tcPr>
            <w:tcW w:w="7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or (b) the promulgation of or any change in the interpretation by any court, tribunal or</w:t>
            </w:r>
          </w:p>
        </w:tc>
      </w:tr>
      <w:tr>
        <w:trPr>
          <w:trHeight w:val="216"/>
        </w:trPr>
        <w:tc>
          <w:tcPr>
            <w:tcW w:w="3920" w:type="dxa"/>
            <w:vAlign w:val="bottom"/>
          </w:tcPr>
          <w:p>
            <w:pPr>
              <w:spacing w:after="0"/>
              <w:rPr>
                <w:sz w:val="18"/>
                <w:szCs w:val="18"/>
                <w:color w:val="auto"/>
              </w:rPr>
            </w:pPr>
          </w:p>
        </w:tc>
        <w:tc>
          <w:tcPr>
            <w:tcW w:w="7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regulatory  authority  with  competent  jurisdiction  of  any  applicable  law  or  regulation</w:t>
            </w:r>
          </w:p>
        </w:tc>
      </w:tr>
      <w:tr>
        <w:trPr>
          <w:trHeight w:val="216"/>
        </w:trPr>
        <w:tc>
          <w:tcPr>
            <w:tcW w:w="3920" w:type="dxa"/>
            <w:vAlign w:val="bottom"/>
          </w:tcPr>
          <w:p>
            <w:pPr>
              <w:spacing w:after="0"/>
              <w:rPr>
                <w:sz w:val="18"/>
                <w:szCs w:val="18"/>
                <w:color w:val="auto"/>
              </w:rPr>
            </w:pPr>
          </w:p>
        </w:tc>
        <w:tc>
          <w:tcPr>
            <w:tcW w:w="7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(including any action taken by a taxing authority), in each case, constitutes a “Change in</w:t>
            </w:r>
          </w:p>
        </w:tc>
      </w:tr>
      <w:tr>
        <w:trPr>
          <w:trHeight w:val="216"/>
        </w:trPr>
        <w:tc>
          <w:tcPr>
            <w:tcW w:w="3920" w:type="dxa"/>
            <w:vAlign w:val="bottom"/>
          </w:tcPr>
          <w:p>
            <w:pPr>
              <w:spacing w:after="0"/>
              <w:rPr>
                <w:sz w:val="18"/>
                <w:szCs w:val="18"/>
                <w:color w:val="auto"/>
              </w:rPr>
            </w:pPr>
          </w:p>
        </w:tc>
        <w:tc>
          <w:tcPr>
            <w:tcW w:w="7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Law” shall be made without regard to Section 739 of the Dodd-Frank Wall Street Reform</w:t>
            </w:r>
          </w:p>
        </w:tc>
      </w:tr>
      <w:tr>
        <w:trPr>
          <w:trHeight w:val="216"/>
        </w:trPr>
        <w:tc>
          <w:tcPr>
            <w:tcW w:w="3920" w:type="dxa"/>
            <w:vAlign w:val="bottom"/>
          </w:tcPr>
          <w:p>
            <w:pPr>
              <w:spacing w:after="0"/>
              <w:rPr>
                <w:sz w:val="18"/>
                <w:szCs w:val="18"/>
                <w:color w:val="auto"/>
              </w:rPr>
            </w:pPr>
          </w:p>
        </w:tc>
        <w:tc>
          <w:tcPr>
            <w:tcW w:w="7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and Consumer Protection Act of 2010 or any similar legal certainty provision in any</w:t>
            </w:r>
          </w:p>
        </w:tc>
      </w:tr>
      <w:tr>
        <w:trPr>
          <w:trHeight w:val="216"/>
        </w:trPr>
        <w:tc>
          <w:tcPr>
            <w:tcW w:w="3920" w:type="dxa"/>
            <w:vAlign w:val="bottom"/>
          </w:tcPr>
          <w:p>
            <w:pPr>
              <w:spacing w:after="0"/>
              <w:rPr>
                <w:sz w:val="18"/>
                <w:szCs w:val="18"/>
                <w:color w:val="auto"/>
              </w:rPr>
            </w:pPr>
          </w:p>
        </w:tc>
        <w:tc>
          <w:tcPr>
            <w:tcW w:w="7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legislation enacted, or rule or regulation promulgated, on or after the Trade Date, and (B)</w:t>
            </w:r>
          </w:p>
        </w:tc>
      </w:tr>
      <w:tr>
        <w:trPr>
          <w:trHeight w:val="216"/>
        </w:trPr>
        <w:tc>
          <w:tcPr>
            <w:tcW w:w="3920" w:type="dxa"/>
            <w:vAlign w:val="bottom"/>
          </w:tcPr>
          <w:p>
            <w:pPr>
              <w:spacing w:after="0"/>
              <w:rPr>
                <w:sz w:val="18"/>
                <w:szCs w:val="18"/>
                <w:color w:val="auto"/>
              </w:rPr>
            </w:pPr>
          </w:p>
        </w:tc>
        <w:tc>
          <w:tcPr>
            <w:tcW w:w="732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Section 12.9(a)(ii) of the Equity Definitions is hereby amended by replacing the parenthetical</w:t>
            </w:r>
          </w:p>
        </w:tc>
      </w:tr>
      <w:tr>
        <w:trPr>
          <w:trHeight w:val="216"/>
        </w:trPr>
        <w:tc>
          <w:tcPr>
            <w:tcW w:w="3920" w:type="dxa"/>
            <w:vAlign w:val="bottom"/>
          </w:tcPr>
          <w:p>
            <w:pPr>
              <w:spacing w:after="0"/>
              <w:rPr>
                <w:sz w:val="18"/>
                <w:szCs w:val="18"/>
                <w:color w:val="auto"/>
              </w:rPr>
            </w:pPr>
          </w:p>
        </w:tc>
        <w:tc>
          <w:tcPr>
            <w:tcW w:w="7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beginning after the word “regulation” in the second line thereof the words “(including, for</w:t>
            </w:r>
          </w:p>
        </w:tc>
      </w:tr>
      <w:tr>
        <w:trPr>
          <w:trHeight w:val="216"/>
        </w:trPr>
        <w:tc>
          <w:tcPr>
            <w:tcW w:w="3920" w:type="dxa"/>
            <w:vAlign w:val="bottom"/>
          </w:tcPr>
          <w:p>
            <w:pPr>
              <w:spacing w:after="0"/>
              <w:rPr>
                <w:sz w:val="18"/>
                <w:szCs w:val="18"/>
                <w:color w:val="auto"/>
              </w:rPr>
            </w:pPr>
          </w:p>
        </w:tc>
        <w:tc>
          <w:tcPr>
            <w:tcW w:w="7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avoidance of doubt and without limitation, (x) any tax law or (y) adoption or</w:t>
            </w:r>
          </w:p>
        </w:tc>
      </w:tr>
      <w:tr>
        <w:trPr>
          <w:trHeight w:val="234"/>
        </w:trPr>
        <w:tc>
          <w:tcPr>
            <w:tcW w:w="3920" w:type="dxa"/>
            <w:vAlign w:val="bottom"/>
          </w:tcPr>
          <w:p>
            <w:pPr>
              <w:spacing w:after="0"/>
              <w:rPr>
                <w:sz w:val="20"/>
                <w:szCs w:val="20"/>
                <w:color w:val="auto"/>
              </w:rPr>
            </w:pPr>
          </w:p>
        </w:tc>
        <w:tc>
          <w:tcPr>
            <w:tcW w:w="7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promulgation of new regulations authorized or mandated by existing statute)”.</w:t>
            </w:r>
          </w:p>
        </w:tc>
      </w:tr>
      <w:tr>
        <w:trPr>
          <w:trHeight w:val="432"/>
        </w:trPr>
        <w:tc>
          <w:tcPr>
            <w:tcW w:w="3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 Failure to Deliver:</w:t>
            </w:r>
          </w:p>
        </w:tc>
        <w:tc>
          <w:tcPr>
            <w:tcW w:w="7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Applicable</w:t>
            </w:r>
          </w:p>
        </w:tc>
      </w:tr>
      <w:tr>
        <w:trPr>
          <w:trHeight w:val="432"/>
        </w:trPr>
        <w:tc>
          <w:tcPr>
            <w:tcW w:w="3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 Insolvency Filing:</w:t>
            </w:r>
          </w:p>
        </w:tc>
        <w:tc>
          <w:tcPr>
            <w:tcW w:w="7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Applicable</w:t>
            </w:r>
          </w:p>
        </w:tc>
      </w:tr>
      <w:tr>
        <w:trPr>
          <w:trHeight w:val="432"/>
        </w:trPr>
        <w:tc>
          <w:tcPr>
            <w:tcW w:w="3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 Hedging Disruption:</w:t>
            </w:r>
          </w:p>
        </w:tc>
        <w:tc>
          <w:tcPr>
            <w:tcW w:w="7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3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 Increased Cost of Hedging:</w:t>
            </w:r>
          </w:p>
        </w:tc>
        <w:tc>
          <w:tcPr>
            <w:tcW w:w="7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3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 Loss of Stock Borrow</w:t>
            </w:r>
          </w:p>
        </w:tc>
        <w:tc>
          <w:tcPr>
            <w:tcW w:w="7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Applicable</w:t>
            </w:r>
          </w:p>
        </w:tc>
      </w:tr>
      <w:tr>
        <w:trPr>
          <w:trHeight w:val="432"/>
        </w:trPr>
        <w:tc>
          <w:tcPr>
            <w:tcW w:w="39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Maximum Stock Loan Rate:</w:t>
            </w:r>
          </w:p>
        </w:tc>
        <w:tc>
          <w:tcPr>
            <w:tcW w:w="7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200 basis points per annum</w:t>
            </w:r>
          </w:p>
        </w:tc>
      </w:tr>
      <w:tr>
        <w:trPr>
          <w:trHeight w:val="414"/>
        </w:trPr>
        <w:tc>
          <w:tcPr>
            <w:tcW w:w="3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 Increased Cost of Stock Borrow:</w:t>
            </w:r>
          </w:p>
        </w:tc>
        <w:tc>
          <w:tcPr>
            <w:tcW w:w="732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 xml:space="preserve">Applicable, </w:t>
            </w:r>
            <w:r>
              <w:rPr>
                <w:rFonts w:ascii="Times New Roman" w:cs="Times New Roman" w:eastAsia="Times New Roman" w:hAnsi="Times New Roman"/>
                <w:sz w:val="18"/>
                <w:szCs w:val="18"/>
                <w:i w:val="1"/>
                <w:iCs w:val="1"/>
                <w:color w:val="auto"/>
                <w:w w:val="99"/>
              </w:rPr>
              <w:t>provided that</w:t>
            </w:r>
            <w:r>
              <w:rPr>
                <w:rFonts w:ascii="Times New Roman" w:cs="Times New Roman" w:eastAsia="Times New Roman" w:hAnsi="Times New Roman"/>
                <w:sz w:val="18"/>
                <w:szCs w:val="18"/>
                <w:color w:val="auto"/>
                <w:w w:val="99"/>
              </w:rPr>
              <w:t xml:space="preserve"> Citibank shall provide notice of an Increased Cost of Stock Borrow</w:t>
            </w:r>
          </w:p>
        </w:tc>
      </w:tr>
      <w:tr>
        <w:trPr>
          <w:trHeight w:val="234"/>
        </w:trPr>
        <w:tc>
          <w:tcPr>
            <w:tcW w:w="3920" w:type="dxa"/>
            <w:vAlign w:val="bottom"/>
          </w:tcPr>
          <w:p>
            <w:pPr>
              <w:spacing w:after="0"/>
              <w:rPr>
                <w:sz w:val="20"/>
                <w:szCs w:val="20"/>
                <w:color w:val="auto"/>
              </w:rPr>
            </w:pPr>
          </w:p>
        </w:tc>
        <w:tc>
          <w:tcPr>
            <w:tcW w:w="7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in accordance with Section 12.9(b)(v) of the Equity Definitions.</w:t>
            </w:r>
          </w:p>
        </w:tc>
      </w:tr>
      <w:tr>
        <w:trPr>
          <w:trHeight w:val="432"/>
        </w:trPr>
        <w:tc>
          <w:tcPr>
            <w:tcW w:w="39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Initial Stock Loan Rate:</w:t>
            </w:r>
          </w:p>
        </w:tc>
        <w:tc>
          <w:tcPr>
            <w:tcW w:w="7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25 basis points per annum</w:t>
            </w:r>
          </w:p>
        </w:tc>
      </w:tr>
      <w:tr>
        <w:trPr>
          <w:trHeight w:val="648"/>
        </w:trPr>
        <w:tc>
          <w:tcPr>
            <w:tcW w:w="392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1240"/>
          </w:cols>
          <w:pgMar w:left="320" w:top="1440" w:right="339" w:bottom="1440" w:gutter="0" w:footer="0" w:header="0"/>
        </w:sectPr>
      </w:pPr>
    </w:p>
    <w:bookmarkStart w:id="11" w:name="page12"/>
    <w:bookmarkEnd w:id="11"/>
    <w:p>
      <w:pPr>
        <w:spacing w:after="0" w:line="3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6723380</wp:posOffset>
            </wp:positionH>
            <wp:positionV relativeFrom="page">
              <wp:posOffset>586105</wp:posOffset>
            </wp:positionV>
            <wp:extent cx="617220" cy="411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17220" cy="4114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8"/>
        </w:trPr>
        <w:tc>
          <w:tcPr>
            <w:tcW w:w="340" w:type="dxa"/>
            <w:vAlign w:val="bottom"/>
          </w:tcPr>
          <w:p>
            <w:pPr>
              <w:spacing w:after="0"/>
              <w:rPr>
                <w:sz w:val="18"/>
                <w:szCs w:val="18"/>
                <w:color w:val="auto"/>
              </w:rPr>
            </w:pPr>
          </w:p>
        </w:tc>
        <w:tc>
          <w:tcPr>
            <w:tcW w:w="32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Hedging Party:</w:t>
            </w:r>
          </w:p>
        </w:tc>
        <w:tc>
          <w:tcPr>
            <w:tcW w:w="76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 xml:space="preserve">For all applicable Additional Disruption Events, Citibank,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whenever the</w:t>
            </w: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6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Hedging Party is required to act or to exercise judgment in any way with respect to any</w:t>
            </w:r>
          </w:p>
        </w:tc>
      </w:tr>
      <w:tr>
        <w:trPr>
          <w:trHeight w:val="234"/>
        </w:trPr>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6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Transaction hereunder, it will do so in good faith and in a commercially reasonable manner.</w:t>
            </w:r>
          </w:p>
        </w:tc>
      </w:tr>
      <w:tr>
        <w:trPr>
          <w:trHeight w:val="412"/>
        </w:trPr>
        <w:tc>
          <w:tcPr>
            <w:tcW w:w="340" w:type="dxa"/>
            <w:vAlign w:val="bottom"/>
          </w:tcPr>
          <w:p>
            <w:pPr>
              <w:spacing w:after="0"/>
              <w:rPr>
                <w:sz w:val="24"/>
                <w:szCs w:val="24"/>
                <w:color w:val="auto"/>
              </w:rPr>
            </w:pPr>
          </w:p>
        </w:tc>
        <w:tc>
          <w:tcPr>
            <w:tcW w:w="32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Determining Party:</w:t>
            </w:r>
          </w:p>
        </w:tc>
        <w:tc>
          <w:tcPr>
            <w:tcW w:w="76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For all applicable Extraordinary Events and/or Additional Disruption Events, Citibank,</w:t>
            </w:r>
          </w:p>
        </w:tc>
      </w:tr>
      <w:tr>
        <w:trPr>
          <w:trHeight w:val="218"/>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660" w:type="dxa"/>
            <w:vAlign w:val="bottom"/>
          </w:tcPr>
          <w:p>
            <w:pPr>
              <w:ind w:left="920"/>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whenever the Determining Party is required to act or to exercise judgment in</w:t>
            </w: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6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any way with respect to any Transaction hereunder, it will do so in good faith and in a</w:t>
            </w:r>
          </w:p>
        </w:tc>
      </w:tr>
      <w:tr>
        <w:trPr>
          <w:trHeight w:val="234"/>
        </w:trPr>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6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commercially reasonable manner.</w:t>
            </w:r>
          </w:p>
        </w:tc>
      </w:tr>
      <w:tr>
        <w:trPr>
          <w:trHeight w:val="414"/>
        </w:trPr>
        <w:tc>
          <w:tcPr>
            <w:tcW w:w="340" w:type="dxa"/>
            <w:vAlign w:val="bottom"/>
          </w:tcPr>
          <w:p>
            <w:pPr>
              <w:spacing w:after="0"/>
              <w:rPr>
                <w:sz w:val="24"/>
                <w:szCs w:val="24"/>
                <w:color w:val="auto"/>
              </w:rPr>
            </w:pPr>
          </w:p>
        </w:tc>
        <w:tc>
          <w:tcPr>
            <w:tcW w:w="32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Hedging Adjustments:</w:t>
            </w:r>
          </w:p>
        </w:tc>
        <w:tc>
          <w:tcPr>
            <w:tcW w:w="76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For the avoidance of doubt, whenever the Calculation Agent is called upon to make an</w:t>
            </w: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6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adjustment pursuant to the terms of this Master Confirmation or the Equity Definitions to</w:t>
            </w: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6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take into account the effect of an event, the Calculation Agent shall make such adjustment by</w:t>
            </w: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6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reference to the effect of such event on Citibank, assuming that Citibank maintains a</w:t>
            </w:r>
          </w:p>
        </w:tc>
      </w:tr>
      <w:tr>
        <w:trPr>
          <w:trHeight w:val="234"/>
        </w:trPr>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6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commercially reasonable Hedge Position.</w:t>
            </w:r>
          </w:p>
        </w:tc>
      </w:tr>
      <w:tr>
        <w:trPr>
          <w:trHeight w:val="414"/>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Additional Termination Event(s):</w:t>
            </w:r>
          </w:p>
        </w:tc>
        <w:tc>
          <w:tcPr>
            <w:tcW w:w="76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The declaration by the Issuer of any Extraordinary Dividend, the ex-dividend date for which</w:t>
            </w: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6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occurs or is scheduled to occur during the Relevant Dividend Period, will constitute an</w:t>
            </w: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6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Additional Termination Event, with Counterparty as the sole Affected Party and all</w:t>
            </w:r>
          </w:p>
        </w:tc>
      </w:tr>
      <w:tr>
        <w:trPr>
          <w:trHeight w:val="234"/>
        </w:trPr>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6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Transactions hereunder as the Affected Transactions.</w:t>
            </w:r>
          </w:p>
        </w:tc>
      </w:tr>
      <w:tr>
        <w:trPr>
          <w:trHeight w:val="414"/>
        </w:trPr>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6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Notwithstanding anything to the contrary in Section 6 of the Agreement, if a Termination</w:t>
            </w: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6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Price is specified in the Supplemental Confirmation for a Transaction, then an Additional</w:t>
            </w: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6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Termination Event with Counterparty as the sole Affected Party and such Transaction as the</w:t>
            </w: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6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sole Affected Transaction will automatically occur without any notice or action by Citibank</w:t>
            </w: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6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or Counterparty if the price of the Shares on the Exchange at any time falls below such</w:t>
            </w: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6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Termination Price, and the Exchange Business Day on which such event occurs will be the</w:t>
            </w:r>
          </w:p>
        </w:tc>
      </w:tr>
      <w:tr>
        <w:trPr>
          <w:trHeight w:val="234"/>
        </w:trPr>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6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“Early Termination Date” for purposes of the Agreement.</w:t>
            </w:r>
          </w:p>
        </w:tc>
      </w:tr>
      <w:tr>
        <w:trPr>
          <w:trHeight w:val="414"/>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Relevant Dividend Period:</w:t>
            </w:r>
          </w:p>
        </w:tc>
        <w:tc>
          <w:tcPr>
            <w:tcW w:w="76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The period from and including the first day of the Pricing Period to and including the</w:t>
            </w:r>
          </w:p>
        </w:tc>
      </w:tr>
      <w:tr>
        <w:trPr>
          <w:trHeight w:val="234"/>
        </w:trPr>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6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Relevant Dividend Period End Date.</w:t>
            </w:r>
          </w:p>
        </w:tc>
      </w:tr>
      <w:tr>
        <w:trPr>
          <w:trHeight w:val="414"/>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Relevant Dividend Period End Date:</w:t>
            </w:r>
          </w:p>
        </w:tc>
        <w:tc>
          <w:tcPr>
            <w:tcW w:w="76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If the Number of Shares to be Delivered is negative, the last day of the Settlement Period;</w:t>
            </w:r>
          </w:p>
        </w:tc>
      </w:tr>
      <w:tr>
        <w:trPr>
          <w:trHeight w:val="234"/>
        </w:trPr>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6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otherwise, the Pricing Period Termination Date.</w:t>
            </w:r>
          </w:p>
        </w:tc>
      </w:tr>
      <w:tr>
        <w:trPr>
          <w:trHeight w:val="414"/>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Non-Reliance/Agreements and</w:t>
            </w:r>
          </w:p>
        </w:tc>
        <w:tc>
          <w:tcPr>
            <w:tcW w:w="7660" w:type="dxa"/>
            <w:vAlign w:val="bottom"/>
          </w:tcPr>
          <w:p>
            <w:pPr>
              <w:spacing w:after="0"/>
              <w:rPr>
                <w:sz w:val="24"/>
                <w:szCs w:val="24"/>
                <w:color w:val="auto"/>
              </w:rPr>
            </w:pPr>
          </w:p>
        </w:tc>
      </w:tr>
      <w:tr>
        <w:trPr>
          <w:trHeight w:val="216"/>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Acknowledgments Regarding</w:t>
            </w:r>
          </w:p>
        </w:tc>
        <w:tc>
          <w:tcPr>
            <w:tcW w:w="7660" w:type="dxa"/>
            <w:vAlign w:val="bottom"/>
          </w:tcPr>
          <w:p>
            <w:pPr>
              <w:spacing w:after="0"/>
              <w:rPr>
                <w:sz w:val="18"/>
                <w:szCs w:val="18"/>
                <w:color w:val="auto"/>
              </w:rPr>
            </w:pPr>
          </w:p>
        </w:tc>
      </w:tr>
      <w:tr>
        <w:trPr>
          <w:trHeight w:val="216"/>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Hedging Activities/Additional</w:t>
            </w:r>
          </w:p>
        </w:tc>
        <w:tc>
          <w:tcPr>
            <w:tcW w:w="7660" w:type="dxa"/>
            <w:vAlign w:val="bottom"/>
          </w:tcPr>
          <w:p>
            <w:pPr>
              <w:spacing w:after="0"/>
              <w:rPr>
                <w:sz w:val="18"/>
                <w:szCs w:val="18"/>
                <w:color w:val="auto"/>
              </w:rPr>
            </w:pPr>
          </w:p>
        </w:tc>
      </w:tr>
      <w:tr>
        <w:trPr>
          <w:trHeight w:val="234"/>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Acknowledgments:</w:t>
            </w:r>
          </w:p>
        </w:tc>
        <w:tc>
          <w:tcPr>
            <w:tcW w:w="76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Applicable</w:t>
            </w:r>
          </w:p>
        </w:tc>
      </w:tr>
      <w:tr>
        <w:trPr>
          <w:trHeight w:val="391"/>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  Calculation Agent.</w:t>
            </w:r>
          </w:p>
        </w:tc>
        <w:tc>
          <w:tcPr>
            <w:tcW w:w="76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Citibank</w:t>
            </w:r>
          </w:p>
        </w:tc>
      </w:tr>
      <w:tr>
        <w:trPr>
          <w:trHeight w:val="20"/>
        </w:trPr>
        <w:tc>
          <w:tcPr>
            <w:tcW w:w="3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 Details, Offices and Notices.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 Details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6723380</wp:posOffset>
            </wp:positionH>
            <wp:positionV relativeFrom="page">
              <wp:posOffset>586105</wp:posOffset>
            </wp:positionV>
            <wp:extent cx="617220" cy="411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17220" cy="411480"/>
                    </a:xfrm>
                    <a:prstGeom prst="rect">
                      <a:avLst/>
                    </a:prstGeom>
                    <a:noFill/>
                  </pic:spPr>
                </pic:pic>
              </a:graphicData>
            </a:graphic>
          </wp:anchor>
        </w:drawing>
      </w:r>
    </w:p>
    <w:p>
      <w:pPr>
        <w:ind w:left="1960" w:right="6460" w:hanging="656"/>
        <w:spacing w:after="0" w:line="500" w:lineRule="auto"/>
        <w:tabs>
          <w:tab w:leader="none" w:pos="1960" w:val="left"/>
        </w:tabs>
        <w:numPr>
          <w:ilvl w:val="3"/>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for payments to Counterparty: To Be Provided.</w:t>
      </w:r>
    </w:p>
    <w:p>
      <w:pPr>
        <w:spacing w:after="0" w:line="1" w:lineRule="exact"/>
        <w:rPr>
          <w:rFonts w:ascii="Times New Roman" w:cs="Times New Roman" w:eastAsia="Times New Roman" w:hAnsi="Times New Roman"/>
          <w:sz w:val="18"/>
          <w:szCs w:val="18"/>
          <w:color w:val="auto"/>
        </w:rPr>
      </w:pPr>
    </w:p>
    <w:p>
      <w:pPr>
        <w:ind w:left="1960" w:right="6780" w:hanging="656"/>
        <w:spacing w:after="0" w:line="500" w:lineRule="auto"/>
        <w:tabs>
          <w:tab w:leader="none" w:pos="1960" w:val="left"/>
        </w:tabs>
        <w:numPr>
          <w:ilvl w:val="3"/>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for payments to Citibank: To Be Provided.</w:t>
      </w:r>
    </w:p>
    <w:p>
      <w:pPr>
        <w:spacing w:after="0" w:line="1" w:lineRule="exact"/>
        <w:rPr>
          <w:rFonts w:ascii="Times New Roman" w:cs="Times New Roman" w:eastAsia="Times New Roman" w:hAnsi="Times New Roman"/>
          <w:sz w:val="18"/>
          <w:szCs w:val="18"/>
          <w:color w:val="auto"/>
        </w:rPr>
      </w:pPr>
    </w:p>
    <w:p>
      <w:pPr>
        <w:ind w:firstLine="656"/>
        <w:spacing w:after="0" w:line="282" w:lineRule="auto"/>
        <w:tabs>
          <w:tab w:leader="none" w:pos="121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Unless otherwise specified, notices under this Master Confirmation may be made by telephone, to be confirmed in writing to the address below. Changes to the Notices must be made in writing.</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3"/>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Counterparty:</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ExlService Holdings, Inc.</w:t>
      </w:r>
    </w:p>
    <w:p>
      <w:pPr>
        <w:spacing w:after="0" w:line="27" w:lineRule="exact"/>
        <w:rPr>
          <w:rFonts w:ascii="Times New Roman" w:cs="Times New Roman" w:eastAsia="Times New Roman" w:hAnsi="Times New Roman"/>
          <w:sz w:val="18"/>
          <w:szCs w:val="18"/>
          <w:color w:val="auto"/>
        </w:rPr>
      </w:pPr>
    </w:p>
    <w:p>
      <w:pPr>
        <w:ind w:left="1960" w:right="800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320 Park Avenue, 29th Floor</w:t>
      </w: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NY 10022</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Maurizio Nicolelli, Chief Financial Officer</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Telephone: (212) 209-4611</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maurizio.nicolelli@exlservice.com</w:t>
      </w:r>
    </w:p>
    <w:p>
      <w:pPr>
        <w:spacing w:after="0" w:line="206"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3"/>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Citibank:</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Citibank, N.A.</w:t>
      </w:r>
    </w:p>
    <w:p>
      <w:pPr>
        <w:spacing w:after="0" w:line="27" w:lineRule="exact"/>
        <w:rPr>
          <w:rFonts w:ascii="Times New Roman" w:cs="Times New Roman" w:eastAsia="Times New Roman" w:hAnsi="Times New Roman"/>
          <w:sz w:val="18"/>
          <w:szCs w:val="18"/>
          <w:color w:val="auto"/>
        </w:rPr>
      </w:pPr>
    </w:p>
    <w:p>
      <w:pPr>
        <w:ind w:left="1960" w:right="69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390 Greenwich Street, 3rd Floor New York, NY 10013</w:t>
      </w: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Equity Derivatives</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Telephone: (415) 627-6206</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peter.barna@citi.com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eq.us.ses.notifications@citi.com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eq.us.corporates.middle.office@citi.com</w:t>
      </w:r>
    </w:p>
    <w:p>
      <w:pPr>
        <w:spacing w:after="0" w:line="206" w:lineRule="exact"/>
        <w:rPr>
          <w:rFonts w:ascii="Times New Roman" w:cs="Times New Roman" w:eastAsia="Times New Roman" w:hAnsi="Times New Roman"/>
          <w:sz w:val="18"/>
          <w:szCs w:val="18"/>
          <w:color w:val="auto"/>
        </w:rPr>
      </w:pPr>
    </w:p>
    <w:p>
      <w:pPr>
        <w:ind w:left="1180" w:hanging="524"/>
        <w:spacing w:after="0"/>
        <w:tabs>
          <w:tab w:leader="none" w:pos="11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680" w:hanging="646"/>
        <w:spacing w:after="0"/>
        <w:tabs>
          <w:tab w:leader="none" w:pos="168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Counterparty for each Transaction is: Not Applicable, Counterparty is not a Multi-branch Party.</w:t>
      </w:r>
    </w:p>
    <w:p>
      <w:pPr>
        <w:spacing w:after="0" w:line="225" w:lineRule="exact"/>
        <w:rPr>
          <w:rFonts w:ascii="Times New Roman" w:cs="Times New Roman" w:eastAsia="Times New Roman" w:hAnsi="Times New Roman"/>
          <w:sz w:val="18"/>
          <w:szCs w:val="18"/>
          <w:color w:val="auto"/>
        </w:rPr>
      </w:pPr>
    </w:p>
    <w:p>
      <w:pPr>
        <w:ind w:left="1680" w:hanging="646"/>
        <w:spacing w:after="0"/>
        <w:tabs>
          <w:tab w:leader="none" w:pos="168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Citibank for each Transaction is: New York.</w:t>
      </w:r>
    </w:p>
    <w:p>
      <w:pPr>
        <w:spacing w:after="0" w:line="225"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Representations of Counterparty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representations, warranties and covenants in the Agreement, Counterparty additionally hereby represents, warrants and covenants to Citibank that:</w:t>
      </w:r>
    </w:p>
    <w:p>
      <w:pPr>
        <w:spacing w:after="0" w:line="162" w:lineRule="exact"/>
        <w:rPr>
          <w:sz w:val="20"/>
          <w:szCs w:val="20"/>
          <w:color w:val="auto"/>
        </w:rPr>
      </w:pPr>
    </w:p>
    <w:p>
      <w:pPr>
        <w:jc w:val="both"/>
        <w:ind w:firstLine="656"/>
        <w:spacing w:after="0" w:line="253" w:lineRule="auto"/>
        <w:tabs>
          <w:tab w:leader="none" w:pos="188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Existence and Authorization; Required Company Approvals</w:t>
      </w:r>
      <w:r>
        <w:rPr>
          <w:rFonts w:ascii="Times New Roman" w:cs="Times New Roman" w:eastAsia="Times New Roman" w:hAnsi="Times New Roman"/>
          <w:sz w:val="18"/>
          <w:szCs w:val="18"/>
          <w:color w:val="auto"/>
        </w:rPr>
        <w:t>. Counterparty has all corporate power to enter into this Master Confirmation and any Supplemental Confirmation hereunder and to consummate the transactions contemplated hereby and thereby and to purchase the Shares and deliver any Settlement Shares in accordance with the terms hereof and thereof. Each Transaction contemplated by this Master Confirmation and any repurchase of Shares by Counterparty in connection with such Transaction are pursuant to a publicly announced share repurchase program that has been approved by its board of directors (or any committee thereof duly authorized to act on behalf of the board of directors) , and any such repurchase has been or will when so required be publicly disclosed in its periodic filings under the Exchange Act and its financial statements and notes thereto (or in any other filing or disclosure required to be made by it with the Securities and Exchange Commission, any securities exchange or any other regulatory body) and, at the time of making this representation, such Transaction is not subject to any internal policy or procedure of Counterparty, whether written or oral, which would prohibit Counterparty from effecting any aspect of such Transaction, including, without limitation, the purchases of the Shares made pursuant to such Transaction at such time;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6723380</wp:posOffset>
            </wp:positionH>
            <wp:positionV relativeFrom="page">
              <wp:posOffset>586105</wp:posOffset>
            </wp:positionV>
            <wp:extent cx="617220" cy="411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17220" cy="411480"/>
                    </a:xfrm>
                    <a:prstGeom prst="rect">
                      <a:avLst/>
                    </a:prstGeom>
                    <a:noFill/>
                  </pic:spPr>
                </pic:pic>
              </a:graphicData>
            </a:graphic>
          </wp:anchor>
        </w:drawing>
      </w:r>
    </w:p>
    <w:p>
      <w:pPr>
        <w:jc w:val="both"/>
        <w:ind w:firstLine="656"/>
        <w:spacing w:after="0" w:line="255" w:lineRule="auto"/>
        <w:tabs>
          <w:tab w:leader="none" w:pos="164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It acknowledges that the offer and sale of each Transaction to it is intended to be exempt from registration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by virtue of Section 4(a)(2) thereof. Accordingly, Counterparty represents and warrants to Citibank that (i) it is an “accredited investor” as that term is defined in Regulation D as promulgated under the Securities Act, (ii) it is entering into each Transaction for its own account and without a view to the distribution or resale thereof, and (iii) it understands that Citibank has no obligation or intention to register such Transaction under the Securities Act or any state securities law or other applicable federal securities law. It has the financial ability to bear the economic risk of its investment in each Transaction and is able to bear a total loss of its investment and it understands that the disposition of each Transaction is restricted under this Master Confirmation, the Securities Act and state securities laws;</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163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Non-Public Information and Manipulation</w:t>
      </w:r>
      <w:r>
        <w:rPr>
          <w:rFonts w:ascii="Times New Roman" w:cs="Times New Roman" w:eastAsia="Times New Roman" w:hAnsi="Times New Roman"/>
          <w:sz w:val="18"/>
          <w:szCs w:val="18"/>
          <w:color w:val="auto"/>
        </w:rPr>
        <w:t>. As of the Trade Date for each Transaction hereunder, it is not entering into such Transaction, and as of the date of any election with respect to any Transaction hereunder, it is not making such election, in each case, (i) on the basis of, and is not aware of, any material non-public information regarding Counterparty or the Shares; (ii) in anticipation of, in connection with, or to facilitate, a distribution of its securities, a self tender offer or a third-party tender offer; or (iii) to create actual or apparent trading activity in the Shares (or any security convertible into or exchangeable for the Shares) or to raise or depress or otherwise manipulate the price of the Shares (or any security convertible into or exchangeable for the Shares);</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67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Filing Requirements</w:t>
      </w:r>
      <w:r>
        <w:rPr>
          <w:rFonts w:ascii="Times New Roman" w:cs="Times New Roman" w:eastAsia="Times New Roman" w:hAnsi="Times New Roman"/>
          <w:sz w:val="18"/>
          <w:szCs w:val="18"/>
          <w:color w:val="auto"/>
        </w:rPr>
        <w:t>. As of the Trade Date for each Transaction hereunder and as of the date of any election with respect to any Transaction hereunder, Counterparty is in compliance in all material respects with its reporting obligations under the Exchange Act;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66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Issuer Tender Offer</w:t>
      </w:r>
      <w:r>
        <w:rPr>
          <w:rFonts w:ascii="Times New Roman" w:cs="Times New Roman" w:eastAsia="Times New Roman" w:hAnsi="Times New Roman"/>
          <w:sz w:val="18"/>
          <w:szCs w:val="18"/>
          <w:color w:val="auto"/>
        </w:rPr>
        <w:t>. As of the Trade Date for each Transaction hereunder, the purchase or writing of such Transaction contemplated hereby will not violate Rule 13e-1 or Rule 13e-4 under the Exchange Act;</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175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w:t>
      </w:r>
      <w:r>
        <w:rPr>
          <w:rFonts w:ascii="Times New Roman" w:cs="Times New Roman" w:eastAsia="Times New Roman" w:hAnsi="Times New Roman"/>
          <w:sz w:val="18"/>
          <w:szCs w:val="18"/>
          <w:color w:val="auto"/>
        </w:rPr>
        <w:t>. The Shares are not, and Counterparty will not cause the Shares to be, subject to a “restricted period” (as defined in Regulation M promulgated under the Exchange Act) at any time during any Regulation M Period (as defined below) for any Transaction. “</w:t>
      </w:r>
      <w:r>
        <w:rPr>
          <w:rFonts w:ascii="Times New Roman" w:cs="Times New Roman" w:eastAsia="Times New Roman" w:hAnsi="Times New Roman"/>
          <w:sz w:val="18"/>
          <w:szCs w:val="18"/>
          <w:u w:val="single" w:color="auto"/>
          <w:color w:val="auto"/>
        </w:rPr>
        <w:t>Regulation 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means, for any Transaction, (i) the Relevant Period (as defined below) for such Transaction, (ii) the Settlement Period, if any, for such Transaction and (iii) the Seller Termination Purchase Period (as defined below), if any, for such Transaction. “</w:t>
      </w:r>
      <w:r>
        <w:rPr>
          <w:rFonts w:ascii="Times New Roman" w:cs="Times New Roman" w:eastAsia="Times New Roman" w:hAnsi="Times New Roman"/>
          <w:sz w:val="18"/>
          <w:szCs w:val="18"/>
          <w:u w:val="single" w:color="auto"/>
          <w:color w:val="auto"/>
        </w:rPr>
        <w:t>Relevant Period</w:t>
      </w:r>
      <w:r>
        <w:rPr>
          <w:rFonts w:ascii="Times New Roman" w:cs="Times New Roman" w:eastAsia="Times New Roman" w:hAnsi="Times New Roman"/>
          <w:sz w:val="18"/>
          <w:szCs w:val="18"/>
          <w:color w:val="auto"/>
        </w:rPr>
        <w:t>” means, for any Transaction, the period commencing on the first day of the Pricing Period for such Transaction and ending on the later of (i) the earlier of (x) the Scheduled Termination Date and</w:t>
      </w:r>
    </w:p>
    <w:p>
      <w:pPr>
        <w:spacing w:after="0" w:line="3" w:lineRule="exact"/>
        <w:rPr>
          <w:rFonts w:ascii="Times New Roman" w:cs="Times New Roman" w:eastAsia="Times New Roman" w:hAnsi="Times New Roman"/>
          <w:sz w:val="18"/>
          <w:szCs w:val="18"/>
          <w:color w:val="auto"/>
        </w:rPr>
      </w:pPr>
    </w:p>
    <w:p>
      <w:pPr>
        <w:jc w:val="both"/>
        <w:ind w:firstLine="8"/>
        <w:spacing w:after="0" w:line="253" w:lineRule="auto"/>
        <w:tabs>
          <w:tab w:leader="none" w:pos="28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Additional Relevant Day (as specified in the related Supplemental Confirmation) for such Transaction, or such earlier day as elected by Citibank and communicated to Counterparty on such day (or, if later, the First Optional Termination Date without regard to any acceleration thereof pursuant to “Special Provisions for Acquisition Transaction Announcements” below) and (ii) if Section 9 is applicable to such Transaction, the date on which all deliveries owed pursuant to Section 9 have been made;</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161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10b-18 Purchases of Blocks</w:t>
      </w:r>
      <w:r>
        <w:rPr>
          <w:rFonts w:ascii="Times New Roman" w:cs="Times New Roman" w:eastAsia="Times New Roman" w:hAnsi="Times New Roman"/>
          <w:sz w:val="18"/>
          <w:szCs w:val="18"/>
          <w:color w:val="auto"/>
        </w:rPr>
        <w:t>. Counterparty shall, at least one day prior to the Trade Date for any Transaction, notify Citibank of the total number of Shares purchased in Rule 10b-18 purchases of blocks pursuant to the once-a-week block exception set forth in paragraph (b)(4) of Rule 10b-18 under the Exchange Act (“</w:t>
      </w:r>
      <w:r>
        <w:rPr>
          <w:rFonts w:ascii="Times New Roman" w:cs="Times New Roman" w:eastAsia="Times New Roman" w:hAnsi="Times New Roman"/>
          <w:sz w:val="18"/>
          <w:szCs w:val="18"/>
          <w:u w:val="single" w:color="auto"/>
          <w:color w:val="auto"/>
        </w:rPr>
        <w:t>Rule 10b-18</w:t>
      </w:r>
      <w:r>
        <w:rPr>
          <w:rFonts w:ascii="Times New Roman" w:cs="Times New Roman" w:eastAsia="Times New Roman" w:hAnsi="Times New Roman"/>
          <w:sz w:val="18"/>
          <w:szCs w:val="18"/>
          <w:color w:val="auto"/>
        </w:rPr>
        <w:t>”) by or for Counterparty or any of its “affiliated purchasers” (as defined in Rule 10b-18) during each of the four calendar weeks preceding such day and during the calendar week in which such day occurs (“Rule 10b-18 purchases” and “blocks” each being used as defined in Rule 10b-18);</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6723380</wp:posOffset>
            </wp:positionH>
            <wp:positionV relativeFrom="page">
              <wp:posOffset>586105</wp:posOffset>
            </wp:positionV>
            <wp:extent cx="617220" cy="411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17220" cy="411480"/>
                    </a:xfrm>
                    <a:prstGeom prst="rect">
                      <a:avLst/>
                    </a:prstGeom>
                    <a:noFill/>
                  </pic:spPr>
                </pic:pic>
              </a:graphicData>
            </a:graphic>
          </wp:anchor>
        </w:drawing>
      </w:r>
    </w:p>
    <w:p>
      <w:pPr>
        <w:jc w:val="both"/>
        <w:ind w:firstLine="656"/>
        <w:spacing w:after="0" w:line="266" w:lineRule="auto"/>
        <w:tabs>
          <w:tab w:leader="none" w:pos="171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Liquidity</w:t>
      </w:r>
      <w:r>
        <w:rPr>
          <w:rFonts w:ascii="Times New Roman" w:cs="Times New Roman" w:eastAsia="Times New Roman" w:hAnsi="Times New Roman"/>
          <w:sz w:val="18"/>
          <w:szCs w:val="18"/>
          <w:color w:val="auto"/>
        </w:rPr>
        <w:t>. As of the Trade Date for each Transaction hereunder its financial condition is such that it has no need for liquidity with respect to its investment in Transactions hereunder and no need to dispose of any portion thereof to satisfy any existing or contemplated undertaking or indebtedness;</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68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As of the Trade Date, the Prepayment Date, the Initial Share Delivery Date and the Settlement Date for each Transaction, Counterparty is not, and will not be, “insolvent” (as such term is defined under Section 101(32) of the Bankruptcy Code (as defined below)) and Counterparty would be able to purchase a number of the Shares with a value equal to the Prepayment Amount in compliance with the laws of the jurisdiction of Counterparty’s incorporation;</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73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Expertise and Total Assets</w:t>
      </w:r>
      <w:r>
        <w:rPr>
          <w:rFonts w:ascii="Times New Roman" w:cs="Times New Roman" w:eastAsia="Times New Roman" w:hAnsi="Times New Roman"/>
          <w:sz w:val="18"/>
          <w:szCs w:val="18"/>
          <w:color w:val="auto"/>
        </w:rPr>
        <w:t>. Counterparty (i) is capable of evaluating investment risks independently, both in general and with regard to all transactions and investment strategies involving a security or securities; (ii) will exercise independent judgment in evaluating the recommendations of any broker-dealer or its associated persons, unless it has otherwise notified the broker-dealer in writing; and (iii) has total assets of at least USD 50,000,000 as of the date hereof;</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60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 of 1940</w:t>
      </w:r>
      <w:r>
        <w:rPr>
          <w:rFonts w:ascii="Times New Roman" w:cs="Times New Roman" w:eastAsia="Times New Roman" w:hAnsi="Times New Roman"/>
          <w:sz w:val="18"/>
          <w:szCs w:val="18"/>
          <w:color w:val="auto"/>
        </w:rPr>
        <w:t>. Counterparty is not, and after giving effect to each Transaction, will not be, required to register as an “investment company” as such term is defined in the Investment Company Act of 1940, as amended;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64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CEA Status</w:t>
      </w:r>
      <w:r>
        <w:rPr>
          <w:rFonts w:ascii="Times New Roman" w:cs="Times New Roman" w:eastAsia="Times New Roman" w:hAnsi="Times New Roman"/>
          <w:sz w:val="18"/>
          <w:szCs w:val="18"/>
          <w:color w:val="auto"/>
        </w:rPr>
        <w:t>. Counterparty is an “eligible contract participant”, as defined in the U.S. Commodity Exchange Act (as amended), and is entering into each Transaction hereunder as principal (and not as agent or in any other capacity, fiduciary or otherwise) and not for the benefit of any third party;</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167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Non-Reliance</w:t>
      </w:r>
      <w:r>
        <w:rPr>
          <w:rFonts w:ascii="Times New Roman" w:cs="Times New Roman" w:eastAsia="Times New Roman" w:hAnsi="Times New Roman"/>
          <w:sz w:val="18"/>
          <w:szCs w:val="18"/>
          <w:color w:val="auto"/>
        </w:rPr>
        <w:t xml:space="preserve">. It is not relying, and has not relied upon, Citibank or any of its affiliates with respect to the legal, accounting, tax or other implications of this Master Confirmation and that it has conducted its own analyses of the legal, accounting, tax and other implications of this Master Confirmation. Further, it acknowledges and agrees that neither Citibank nor any affiliate of Citibank has acted as its advisor in any capacity in connection with this Master Confirmation or the transactions contemplated hereby. Without limiting the generality of the foregoing or Section 13.1 of the Equity Definitions, Counterparty acknowledges that neither Citibank nor any of its affiliates is making any representations or warranties or taking any position or expressing any view with respect to the treatment of any Transaction under any accounting standards including ASC Topic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or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and ASC 815-40, </w:t>
      </w:r>
      <w:r>
        <w:rPr>
          <w:rFonts w:ascii="Times New Roman" w:cs="Times New Roman" w:eastAsia="Times New Roman" w:hAnsi="Times New Roman"/>
          <w:sz w:val="18"/>
          <w:szCs w:val="18"/>
          <w:i w:val="1"/>
          <w:iCs w:val="1"/>
          <w:color w:val="auto"/>
        </w:rPr>
        <w:t>Derivatives and Hedging Contracts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Entity’s Own Equity</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163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Deposit Insurance</w:t>
      </w:r>
      <w:r>
        <w:rPr>
          <w:rFonts w:ascii="Times New Roman" w:cs="Times New Roman" w:eastAsia="Times New Roman" w:hAnsi="Times New Roman"/>
          <w:sz w:val="18"/>
          <w:szCs w:val="18"/>
          <w:color w:val="auto"/>
        </w:rPr>
        <w:t>. It understands, agrees and acknowledges that no obligations of Citibank to it hereunder will be entitled to the benefit of deposit insurance and that such obligations will not be guaranteed by any affiliate of Citibank or any governmental agency;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94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Ownership Limitations</w:t>
      </w:r>
      <w:r>
        <w:rPr>
          <w:rFonts w:ascii="Times New Roman" w:cs="Times New Roman" w:eastAsia="Times New Roman" w:hAnsi="Times New Roman"/>
          <w:sz w:val="18"/>
          <w:szCs w:val="18"/>
          <w:color w:val="auto"/>
        </w:rPr>
        <w:t>. To Counterparty’s knowledge, no state or local (including any non-U.S. jurisdiction’s) law, rule, regulation or regulatory order applicable to the Shares would give rise to any reporting, consent, registration or other requirement (including without limitation a requirement to obtain prior approval from any person or entity) as a result of Citibank or its affiliates owning or holding (however defined) Shares.</w:t>
      </w:r>
    </w:p>
    <w:p>
      <w:pPr>
        <w:spacing w:after="0" w:line="179" w:lineRule="exact"/>
        <w:rPr>
          <w:rFonts w:ascii="Times New Roman" w:cs="Times New Roman" w:eastAsia="Times New Roman" w:hAnsi="Times New Roman"/>
          <w:sz w:val="18"/>
          <w:szCs w:val="18"/>
          <w:color w:val="auto"/>
        </w:rPr>
      </w:pPr>
    </w:p>
    <w:p>
      <w:pPr>
        <w:ind w:left="780" w:hanging="772"/>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Acknowledgments and Agreements of Counterparty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53" w:lineRule="auto"/>
        <w:tabs>
          <w:tab w:leader="none" w:pos="170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xml:space="preserve">. Counterparty agrees that while this Master Confirmation is in effect, it shall cause (i) the number of authorized Shares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the number of outstanding Shares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(iii) the number of the Shares reserved for other purposes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(iv) without duplication of clause (iii), the aggregate maximum number of the Shares deliverable under warrants, options, swaps, forwards, convertible or exchangeable securities or other similar transactions, agreements or instruments issued by Counterparty or to which Counterparty is a party that provide for physical or net share settlement or otherwise may require the issuance of the Shares by Counterparty, to exceed the then applicable Share Cap. “</w:t>
      </w:r>
      <w:r>
        <w:rPr>
          <w:rFonts w:ascii="Times New Roman" w:cs="Times New Roman" w:eastAsia="Times New Roman" w:hAnsi="Times New Roman"/>
          <w:sz w:val="18"/>
          <w:szCs w:val="18"/>
          <w:u w:val="single" w:color="auto"/>
          <w:color w:val="auto"/>
        </w:rPr>
        <w:t>Share Cap</w:t>
      </w:r>
      <w:r>
        <w:rPr>
          <w:rFonts w:ascii="Times New Roman" w:cs="Times New Roman" w:eastAsia="Times New Roman" w:hAnsi="Times New Roman"/>
          <w:sz w:val="18"/>
          <w:szCs w:val="18"/>
          <w:color w:val="auto"/>
        </w:rPr>
        <w:t xml:space="preserve">” means, as of any date of determination, ten times (x) the Initial Share Number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(y) the number of Shares delivered by Counterparty to Citibank on or prior to such date hereunder subject to “Extraordinary Events” and “Loss of Stock Borrow” above. At the conclusion of the Pricing Period with respect to any Transaction, Counterparty will have a sufficient number of treasury shares or duly authorized but unissued Shares available to satisfy its obligations with respect to such Transaction, such Shares to be fully paid and nonassessable and free of preemptive and other rights. Counterparty agrees that a failure by Counterparty to comply with the preceding sentence shall be an Additional Termination Event with Counterparty as the sole Affected Party and all Transactions hereunder as the Affected Transactions.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3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6723380</wp:posOffset>
            </wp:positionH>
            <wp:positionV relativeFrom="page">
              <wp:posOffset>586105</wp:posOffset>
            </wp:positionV>
            <wp:extent cx="617220" cy="411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17220" cy="411480"/>
                    </a:xfrm>
                    <a:prstGeom prst="rect">
                      <a:avLst/>
                    </a:prstGeom>
                    <a:noFill/>
                  </pic:spPr>
                </pic:pic>
              </a:graphicData>
            </a:graphic>
          </wp:anchor>
        </w:drawing>
      </w:r>
    </w:p>
    <w:p>
      <w:pPr>
        <w:jc w:val="both"/>
        <w:ind w:firstLine="656"/>
        <w:spacing w:after="0" w:line="256" w:lineRule="auto"/>
        <w:tabs>
          <w:tab w:leader="none" w:pos="167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Rights</w:t>
      </w:r>
      <w:r>
        <w:rPr>
          <w:rFonts w:ascii="Times New Roman" w:cs="Times New Roman" w:eastAsia="Times New Roman" w:hAnsi="Times New Roman"/>
          <w:sz w:val="18"/>
          <w:szCs w:val="18"/>
          <w:color w:val="auto"/>
        </w:rPr>
        <w:t xml:space="preserve">. Counterparty acknowledges and agrees that this Master Confirmation is not intended to convey to Citibank rights against Counterparty hereunder that are senior to the claims of common stockholders in any U.S. bankruptcy proceedings of Counterparty;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nothing herein shall limit or shall be deemed to limit Citibank’s right to pursue remedies in the event of a breach by Counterparty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obligations and agreements with respect to this Master Confirmation;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in pursuing a claim against Counterparty in the event of a bankruptcy, insolvency or dissolution with respect to Counterparty, Citibank’s rights hereunder shall rank on a parity with the rights of a holder of the Shares enforcing similar rights under a contract involving the Shares.</w:t>
      </w:r>
    </w:p>
    <w:p>
      <w:pPr>
        <w:spacing w:after="0" w:line="187" w:lineRule="exact"/>
        <w:rPr>
          <w:rFonts w:ascii="Times New Roman" w:cs="Times New Roman" w:eastAsia="Times New Roman" w:hAnsi="Times New Roman"/>
          <w:sz w:val="18"/>
          <w:szCs w:val="18"/>
          <w:color w:val="auto"/>
        </w:rPr>
      </w:pPr>
    </w:p>
    <w:p>
      <w:pPr>
        <w:jc w:val="both"/>
        <w:ind w:firstLine="656"/>
        <w:spacing w:after="0" w:line="253" w:lineRule="auto"/>
        <w:tabs>
          <w:tab w:leader="none" w:pos="19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The parties hereto intend for (i) each Transaction hereunder to be a “securities contract” as defined in the Bankruptcy Code (Title 11 of the United States Code) (the “</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and the parties hereto are entitled to the protections afforded by, among other Sections, Sections 362(b)(6), 362(o), 546, 555 and 561 of the Bankruptcy Code; (ii) a party’s right to liquidate, terminate or accelerate such Transaction and to exercise any other remedies upon the occurrence of any Event of Default or Termination Event under this Master Confirmation with respect to the other party to constitute a “contractual right” within the meaning of the Bankruptcy Code; (iii) all transfers of cash, securities or other property under or in connection with such Transaction are “transfers” made “by or to (or for the benefit of)” a “master netting agreement participant”, a “financial institution”, a “financial participant” or a “forward contract merchant” (each as defined in the Bankruptcy Code) within the meaning of Sections 546(e), 546(f) and 546(j) of the Bankruptcy Code; (iv) all obligations under or in connection with such Transaction represent obligations in respect of “termination values”, “payment amounts” or “other transfer obligations” within the meaning of Section 362 and 561 of the Bankruptcy Code; and (v) each of the parties hereto to be a “financial participant” within the meaning of Section 101(22A) of the Bankruptcy Code.</w:t>
      </w:r>
    </w:p>
    <w:p>
      <w:pPr>
        <w:spacing w:after="0" w:line="194" w:lineRule="exact"/>
        <w:rPr>
          <w:rFonts w:ascii="Times New Roman" w:cs="Times New Roman" w:eastAsia="Times New Roman" w:hAnsi="Times New Roman"/>
          <w:sz w:val="18"/>
          <w:szCs w:val="18"/>
          <w:color w:val="auto"/>
        </w:rPr>
      </w:pPr>
    </w:p>
    <w:p>
      <w:pPr>
        <w:jc w:val="both"/>
        <w:ind w:firstLine="656"/>
        <w:spacing w:after="0" w:line="266" w:lineRule="auto"/>
        <w:tabs>
          <w:tab w:leader="none" w:pos="118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Citibank’s Activities</w:t>
      </w:r>
      <w:r>
        <w:rPr>
          <w:rFonts w:ascii="Times New Roman" w:cs="Times New Roman" w:eastAsia="Times New Roman" w:hAnsi="Times New Roman"/>
          <w:sz w:val="18"/>
          <w:szCs w:val="18"/>
          <w:color w:val="auto"/>
        </w:rPr>
        <w:t>. Counterparty understands and acknowledges that Citibank and its affiliates may from time to time effect transactions for their own account or the account of customers and hold positions in securities or options on securities of Counterparty and that Citibank and its affiliates may continue to conduct such transactions during the Pricing Period, the Settlement Period and/or the Seller Termination Purchase Period.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 of Hedge Position</w:t>
      </w:r>
      <w:r>
        <w:rPr>
          <w:rFonts w:ascii="Times New Roman" w:cs="Times New Roman" w:eastAsia="Times New Roman" w:hAnsi="Times New Roman"/>
          <w:sz w:val="18"/>
          <w:szCs w:val="18"/>
          <w:color w:val="auto"/>
        </w:rPr>
        <w:t>. Counterparty acknowledges that during the term of any Transaction, Citibank and its affiliates may buy or sell Shares or other securities or buy or sell options or futures contracts or enter into swaps or other derivative securities in order to establish, adjust or unwind Citibank’s hedge position with respect to such Transaction.</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3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Market Activities</w:t>
      </w:r>
      <w:r>
        <w:rPr>
          <w:rFonts w:ascii="Times New Roman" w:cs="Times New Roman" w:eastAsia="Times New Roman" w:hAnsi="Times New Roman"/>
          <w:sz w:val="18"/>
          <w:szCs w:val="18"/>
          <w:color w:val="auto"/>
        </w:rPr>
        <w:t>. Counterparty acknowledges that Citibank and its affiliates may also be active in the market for Shares and transactions linked to the Shares other than in connection with hedging activities in relation to any Transaction.</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Hedging or Market Activities</w:t>
      </w:r>
      <w:r>
        <w:rPr>
          <w:rFonts w:ascii="Times New Roman" w:cs="Times New Roman" w:eastAsia="Times New Roman" w:hAnsi="Times New Roman"/>
          <w:sz w:val="18"/>
          <w:szCs w:val="18"/>
          <w:color w:val="auto"/>
        </w:rPr>
        <w:t>. Counterparty acknowledges that Citibank shall make its own determination as to whether, when or in what manner any hedging or market activities in Counterparty’s securities shall be conducted and shall do so in a manner that it deems appropriate to hedge its price and market risk with respect to the Reference Price and the Rule 10b-18 VWAP.</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2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Market Activities</w:t>
      </w:r>
      <w:r>
        <w:rPr>
          <w:rFonts w:ascii="Times New Roman" w:cs="Times New Roman" w:eastAsia="Times New Roman" w:hAnsi="Times New Roman"/>
          <w:sz w:val="18"/>
          <w:szCs w:val="18"/>
          <w:color w:val="auto"/>
        </w:rPr>
        <w:t>. Counterparty acknowledges that any market activities of Citibank and its affiliates with respect to the Shares may affect the market price and volatility of the Shares, as well as the Reference Price and Rule 10b-18 VWAP, each in a manner that may be adverse to Counterparty.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6723380</wp:posOffset>
            </wp:positionH>
            <wp:positionV relativeFrom="page">
              <wp:posOffset>586105</wp:posOffset>
            </wp:positionV>
            <wp:extent cx="617220" cy="411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17220" cy="411480"/>
                    </a:xfrm>
                    <a:prstGeom prst="rect">
                      <a:avLst/>
                    </a:prstGeom>
                    <a:noFill/>
                  </pic:spPr>
                </pic:pic>
              </a:graphicData>
            </a:graphic>
          </wp:anchor>
        </w:drawing>
      </w:r>
    </w:p>
    <w:p>
      <w:pPr>
        <w:jc w:val="both"/>
        <w:ind w:firstLine="656"/>
        <w:spacing w:after="0" w:line="266" w:lineRule="auto"/>
        <w:tabs>
          <w:tab w:leader="none" w:pos="122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Counterparty acknowledges that each Transaction is a derivative transaction in which it has granted Citibank an option; Citibank may purchase shares for its own account at an average price that may be greater than, or less than, the price paid by Counterparty under the terms of such Transaction.</w:t>
      </w:r>
    </w:p>
    <w:p>
      <w:pPr>
        <w:spacing w:after="0" w:line="17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Calculations and Payment Date upon Early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80"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parties acknowledge and agree that in calculating (a) the Close-Out Amount pursuant to Section 6 of the Agreement and (b) the amount due upon cancellation or termination of any Transaction (whether in whole or in part) pursuant to Article 12 of the Equity Definitions as a result of an Extraordinary Event, Citibank may (but need not) determine such amount based on (i) expected losses assuming a commercially reasonable (including, without limitation, with regard to reasonable legal and regulatory guidelines) risk bid were used to determine loss or (ii) the price at which one or more market participants would offer to sell to Citibank a block of Shares (assuming such price is determined in a commercially reasonable manner and reflects a prevailing market price) equal in number to Citibank’s commercially reasonable hedge position in relation to such Transaction. Notwithstanding anything to the contrary in Section 6(d)(ii) of the Agreement or Article 12 of the Equity Definitions, all amounts calculated as being due in respect of an Early Termination Date under Section 6(e) of the Agreement or upon cancellation or termination of such Transaction under Article 12 of the Equity Definitions will be payable on the day that notice of the amount payable is effective;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Counterparty elects to receive or deliver Shares or Alternative Delivery Units in accordance with Section 9, such Shares or Alternative Delivery Units shall be delivered on a date selected by Citibank as promptly as practicable.</w:t>
      </w:r>
    </w:p>
    <w:p>
      <w:pPr>
        <w:spacing w:after="0" w:line="192" w:lineRule="exact"/>
        <w:rPr>
          <w:sz w:val="20"/>
          <w:szCs w:val="20"/>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10b5-1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3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intent of Counterparty and Citibank that each Transaction comply with the requirements of Rule 10b5-1(c) of the Exchange Act and that this Master Confirmation shall be interpreted to comply with the requirements of Rule 10b5-1(c)(1)(i)(B) and Citibank shall take no action that results in the transaction not so complying with such requirements.</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119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entering into this Master Confirmation and each Transaction hereunder in good faith and not as part of a plan or scheme to evade the prohibitions of Rule 10b5-1 under the Exchange Act (“</w:t>
      </w:r>
      <w:r>
        <w:rPr>
          <w:rFonts w:ascii="Times New Roman" w:cs="Times New Roman" w:eastAsia="Times New Roman" w:hAnsi="Times New Roman"/>
          <w:sz w:val="18"/>
          <w:szCs w:val="18"/>
          <w:u w:val="single" w:color="auto"/>
          <w:color w:val="auto"/>
        </w:rPr>
        <w:t>Rule 10b5-1</w:t>
      </w:r>
      <w:r>
        <w:rPr>
          <w:rFonts w:ascii="Times New Roman" w:cs="Times New Roman" w:eastAsia="Times New Roman" w:hAnsi="Times New Roman"/>
          <w:sz w:val="18"/>
          <w:szCs w:val="18"/>
          <w:color w:val="auto"/>
        </w:rPr>
        <w:t>”) or any other antifraud or anti-manipulation provisions of the federal or applicable state securities laws and that it has not entered into or altered and will not enter into or alter any corresponding or hedging transaction or position with respect to the Shares. Counterparty acknowledges that it is the intent of the parties that each Transaction entered into under this Master Confirmation comply with the requirements of paragraphs (c)(1)(i)(A) and (B) of Rule 10b5-1 and each Transaction entered into under this Master Confirmation shall be interpreted to comply with the requirements of Rule 10b5-1(c).</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117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any Transaction and in connection with the delivery of any Alternative Delivery Units for any Transaction, Citibank (or its agent or affiliate) may effect transactions in Shares in connection with such Transaction. The timing of such transactions by Citibank, the price paid or received per Share pursuant to such transactions and the manner in which such transactions are made, including, without limitation, whether such transactions are made on any securities exchange or privately, shall be within the sole judgment of Citibank. Counterparty acknowledges and agrees that all such transactions shall be made in Citibank’s sole judgment and for Citibank’s own account.</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118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does not have, and shall not attempt to exercise, any control or influence over how, when or whether Citibank (or its agent or affiliate) makes any “purchases or sales” (within the meaning of Rule 10b5-1(c)(1)(i)(B)(3)) in connection with any Transaction, including, without limitation, the price paid per Share pursuant to such purchases, whether such purchases are made on any securities exchange or privately and how, when or whether Citibank (or its agent or affiliate) enters into any hedging transactions. Counterparty represents and warrants that it has consulted with its own advisors as to the legal aspects of its adoption and implementation of this Master Confirmation and each Supplemental Confirmation under Rule 10b5-1.</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6723380</wp:posOffset>
            </wp:positionH>
            <wp:positionV relativeFrom="page">
              <wp:posOffset>586105</wp:posOffset>
            </wp:positionV>
            <wp:extent cx="617220" cy="411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617220" cy="411480"/>
                    </a:xfrm>
                    <a:prstGeom prst="rect">
                      <a:avLst/>
                    </a:prstGeom>
                    <a:noFill/>
                  </pic:spPr>
                </pic:pic>
              </a:graphicData>
            </a:graphic>
          </wp:anchor>
        </w:drawing>
      </w:r>
    </w:p>
    <w:p>
      <w:pPr>
        <w:jc w:val="both"/>
        <w:ind w:firstLine="656"/>
        <w:spacing w:after="0" w:line="256" w:lineRule="auto"/>
        <w:tabs>
          <w:tab w:leader="none" w:pos="131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acknowledges and agrees that any amendment, modification, waiver or termination of this Master Confirmation or any Supplemental Confirmation must be effected in accordance with the requirements for the amendment or termination of a “plan” as defined in Rule 10b5-1(c). Without limiting the generality of the foregoing, any such amendment, modification, waiver or termination shall be made in good faith and not as part of a plan or scheme to evade the prohibitions of Rule 10b-5, and no such amendment, modification or waiver shall be made at any time at which Counterparty or any officer, director, manager or similar person of Counterparty is aware of any material non-public information regarding Counterparty or the Shares.</w:t>
      </w:r>
    </w:p>
    <w:p>
      <w:pPr>
        <w:spacing w:after="0" w:line="18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Counterparty Purchases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Counterparty (including its “affiliated purchasers”, as defined in Rule 10b-18) shall not, without a prior written consent of Citibank, directly or indirectly (including, without limitation, by means of any cash-settled or other derivative instrument) other than (i) pursuant to an existing share repurchase program that has been approved by its board of directors, (ii) utilizing Citibank (or an affiliate thereof) as the broker, and (iii) not in excess of 5% of ADTV (as defined in Rule 10b-18(a)(1)) for the Shares on any day,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for such Shares and including, without limitation, by means of a derivative instrument) on the open market, or enter into any accelerated share repurchase program, or any derivative share repurchase transaction, or other similar transaction, during the Relevant Period, Settlement Period or Seller Termination Purchase Period and thereafter until all payments or deliveries of Shares under this Master Confirmation have been made. During such time, any purchases of Shares by Counterparty shall be made through Citibank or its affiliates, subject to such reasonable conditions as Citibank or such affiliate shall impose, and in compliance with Rule 10b-18 or otherwise in a manner that Counterparty and Citibank believe is in compliance with applicable requirements. Notwithstanding the foregoing, this Section 8 shall not prohibit limit or otherwise restrict</w:t>
      </w:r>
    </w:p>
    <w:p>
      <w:pPr>
        <w:spacing w:after="0" w:line="4" w:lineRule="exact"/>
        <w:rPr>
          <w:sz w:val="20"/>
          <w:szCs w:val="20"/>
          <w:color w:val="auto"/>
        </w:rPr>
      </w:pPr>
    </w:p>
    <w:p>
      <w:pPr>
        <w:jc w:val="both"/>
        <w:ind w:firstLine="8"/>
        <w:spacing w:after="0" w:line="251" w:lineRule="auto"/>
        <w:tabs>
          <w:tab w:leader="none" w:pos="25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Counterparty’s ability to purchase Shares in connection with any company employee, officer or director equity plan or any dividend reinvestment plan, in each case, that are not expected to result in market transactions, (b) Counterparty’s ability to withhold Shares to cover tax liabilities associated with any such plan, (c) any purchases effected by or for an issuer “plan” by an “agent independent of the issuer” (each as defined in Rule 10b-18), (d) Counterparty’s or any of its affiliates’ ability to repurchase Shares under privately negotiated, off exchange transactions with any of its employees, officers, directors, affiliates or any third party that are not expected to result in market transactions, (e) Counterparty’s ability to grant stock and options to “affiliated purchasers” (as defined in Rule 10b-18) or the ability of such affiliated purchasers to acquire such stock or options in connection with Counterparty’s compensation policies for directors, officers and employees or any agreements with respect to the compensation of directors, officers or employees of any entities that are acquisition targets of Counterparty or (f) purchases of Shares forfeited or surrendered to Counterparty by holders of compensatory restricted Shares.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6723380</wp:posOffset>
            </wp:positionH>
            <wp:positionV relativeFrom="page">
              <wp:posOffset>586105</wp:posOffset>
            </wp:positionV>
            <wp:extent cx="617220" cy="411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617220" cy="411480"/>
                    </a:xfrm>
                    <a:prstGeom prst="rect">
                      <a:avLst/>
                    </a:prstGeom>
                    <a:noFill/>
                  </pic:spPr>
                </pic:pic>
              </a:graphicData>
            </a:graphic>
          </wp:anchor>
        </w:drawing>
      </w:r>
    </w:p>
    <w:p>
      <w:pPr>
        <w:ind w:left="420" w:hanging="412"/>
        <w:spacing w:after="0"/>
        <w:tabs>
          <w:tab w:leader="none" w:pos="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Loss Settlement Election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In the event that (a) an Early Termination Date (whether as a result of an Event of Default or a Termination Event) occurs or is designated with respect to any Transaction or (b) any Transaction is cancelled or terminated upon the occurrence of an Extraordinary Event (except as a result of (i) a Nationalization, Insolvency or Merger Event in which the consideration to be paid to holders of Shares consists solely of cash, (ii) a Merger Event or Tender Offer that is within Counterparty’s control, or (iii) an Event of Default in which Counterparty is the Defaulting Party or a Termination Event in which Counterparty is the Affected Party other than an Event of Default of the type described in Section 5(a)(iii), (v), (vi), (vii) or (viii) of the Agreement or a Termination Event of the type described in Section 5(b) of the Agreement, in each case that resulted from an event or events outside Counterparty’s control), if either party would owe any amount to the other party pursuant to Section 6(d)(ii) of the Agreement or any Cancellation Amount pursuant to Article 12 of the Equity Definitions (any such amount, a “</w:t>
      </w:r>
      <w:r>
        <w:rPr>
          <w:rFonts w:ascii="Times New Roman" w:cs="Times New Roman" w:eastAsia="Times New Roman" w:hAnsi="Times New Roman"/>
          <w:sz w:val="18"/>
          <w:szCs w:val="18"/>
          <w:u w:val="single" w:color="auto"/>
          <w:color w:val="auto"/>
        </w:rPr>
        <w:t>Payment Amount</w:t>
      </w:r>
      <w:r>
        <w:rPr>
          <w:rFonts w:ascii="Times New Roman" w:cs="Times New Roman" w:eastAsia="Times New Roman" w:hAnsi="Times New Roman"/>
          <w:sz w:val="18"/>
          <w:szCs w:val="18"/>
          <w:color w:val="auto"/>
        </w:rPr>
        <w:t>”), then, in lieu of any payment of such Payment Amount, unless Counterparty makes an election to the contrary no later than the Early Termination Date or the date on which such Transaction is terminated or cancelled, Counterparty or Citibank, as the case may be, shall deliver to the other party a number of Shares (or, in the case of a Nationalization, Insolvency or Merger Event, a number of units, each comprising the number or amount of the securities or property that a hypothetical holder of one Share would receive in such Nationalization, Insolvency or Merger Event, as the case may be (each such unit, an “</w:t>
      </w:r>
      <w:r>
        <w:rPr>
          <w:rFonts w:ascii="Times New Roman" w:cs="Times New Roman" w:eastAsia="Times New Roman" w:hAnsi="Times New Roman"/>
          <w:sz w:val="18"/>
          <w:szCs w:val="18"/>
          <w:u w:val="single" w:color="auto"/>
          <w:color w:val="auto"/>
        </w:rPr>
        <w:t>Alternative Delivery Unit</w:t>
      </w:r>
      <w:r>
        <w:rPr>
          <w:rFonts w:ascii="Times New Roman" w:cs="Times New Roman" w:eastAsia="Times New Roman" w:hAnsi="Times New Roman"/>
          <w:sz w:val="18"/>
          <w:szCs w:val="18"/>
          <w:color w:val="auto"/>
        </w:rPr>
        <w:t xml:space="preserve">”)) with a value equal to the Payment Amount, as determined by the Calculation Agent over a commercially reasonable period of time (and the parties agree that, in making such determination of value, the Calculation Agent may take into account a number of factors, including volatility, liquidity and the market price of the Shares or Alternative Delivery Unit on the Early Termination Date or the date of early cancellation or termination, as the case may be, and if such delivery is made by Citibank, the prices at which Citibank purchases Shares or Alternative Delivery Units, assuming such purchases are executed in a commercially reasonable manner and within a commercially reasonable period of time and reflect the prevailing market prices of Shares or Alternative Delivery Unit, to fulfill its delivery obligation under this Section 9);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determining the composition of any Alternative Delivery Unit, if the relevant Nationalization, Insolvency or Merger Event involves a choice of consideration to be received by holders, such holder shall be deemed to have elected to receive the maximum possible amount of cash; and provided further that Counterparty may elect that the provisions of this Section 9 above providing for the delivery of Shares or Alternative Delivery Units, as the case may be, shall not apply only if Counterparty represents and warrants to Citibank, in writing on the date it notifies Citibank of such election, that, as of such date, Counterparty is not aware of any material non-public information regarding Counterparty or the Shares and is making such election in good faith and not as part of a plan or scheme to evade compliance with the federal securities laws. If delivery of Shares or Alternative Delivery Units, as the case may be, pursuant to this Section 9 is to be made by Counterparty, paragraphs 2 through 7 of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hereto shall apply as if (A) such delivery were a settlement of such Transaction to which Net Share Settlement applied, (B) the Cash Settlement Payment Date were the Early Termination Date or the date of early cancellation or termination, as the case may be, and (C) the Forward Cash Settlement Amount were equal to (x) zero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(y) the Payment Amount owed by Counterparty. For the avoidance of doubt, if Counterparty validly elects for the provisions of this Section 9 relating to the delivery of Shares or Alternative Delivery Units, as the case may be, not to apply to any Payment Amount, the provisions of Article 12 of the Equity Definitions, or the provisions of Section 6(d)(ii) of the Agreement, as the case may be, shall apply. If delivery of Shares or Alternative Delivery Units, as the case may be, is to be made by Citibank pursuant to this Section 9, the period during which Citibank purchases Shares or Alternative Delivery Units to fulfill its delivery obligations under this Section 9 shall be referred to as the “</w:t>
      </w:r>
      <w:r>
        <w:rPr>
          <w:rFonts w:ascii="Times New Roman" w:cs="Times New Roman" w:eastAsia="Times New Roman" w:hAnsi="Times New Roman"/>
          <w:sz w:val="18"/>
          <w:szCs w:val="18"/>
          <w:u w:val="single" w:color="auto"/>
          <w:color w:val="auto"/>
        </w:rPr>
        <w:t>Seller Termination Purchase Period</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420" w:hanging="412"/>
        <w:spacing w:after="0"/>
        <w:tabs>
          <w:tab w:leader="none" w:pos="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Special Provisions for Merger Transaction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Notwithstanding anything to the contrary herein or in the Equity Definitions:</w:t>
      </w:r>
    </w:p>
    <w:p>
      <w:pPr>
        <w:spacing w:after="0" w:line="225" w:lineRule="exact"/>
        <w:rPr>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agrees that it:</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during the period commencing on the Trade Date for any Transaction and ending on the last day of the Relevant Period or the last day of the Settlement Period and the last day of the Seller Termination Purchase Period, for such Transaction make, or permit to be made (to the extent within Counterparty’s control), any public announcement (as defined in Rule 165(f) under the Securities Act) of any Merger Transaction or potential Merger Transaction (a “</w:t>
      </w:r>
      <w:r>
        <w:rPr>
          <w:rFonts w:ascii="Times New Roman" w:cs="Times New Roman" w:eastAsia="Times New Roman" w:hAnsi="Times New Roman"/>
          <w:sz w:val="18"/>
          <w:szCs w:val="18"/>
          <w:u w:val="single" w:color="auto"/>
          <w:color w:val="auto"/>
        </w:rPr>
        <w:t>Merger Announcement</w:t>
      </w:r>
      <w:r>
        <w:rPr>
          <w:rFonts w:ascii="Times New Roman" w:cs="Times New Roman" w:eastAsia="Times New Roman" w:hAnsi="Times New Roman"/>
          <w:sz w:val="18"/>
          <w:szCs w:val="18"/>
          <w:color w:val="auto"/>
        </w:rPr>
        <w:t>”) unless such Merger Announcement is made prior to the opening or after the close of the regular trading session on the Exchange for the Shares;</w:t>
      </w:r>
    </w:p>
    <w:p>
      <w:pPr>
        <w:spacing w:after="0" w:line="183"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promptly (but in any event prior to the next opening of the regular trading session on the Exchange) notify Citibank following any such Merger Announcement that such Merger Announcement has been made;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6723380</wp:posOffset>
            </wp:positionH>
            <wp:positionV relativeFrom="page">
              <wp:posOffset>586105</wp:posOffset>
            </wp:positionV>
            <wp:extent cx="617220" cy="411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617220" cy="411480"/>
                    </a:xfrm>
                    <a:prstGeom prst="rect">
                      <a:avLst/>
                    </a:prstGeom>
                    <a:noFill/>
                  </pic:spPr>
                </pic:pic>
              </a:graphicData>
            </a:graphic>
          </wp:anchor>
        </w:drawing>
      </w:r>
    </w:p>
    <w:p>
      <w:pPr>
        <w:jc w:val="both"/>
        <w:ind w:left="1960" w:hanging="656"/>
        <w:spacing w:after="0" w:line="254" w:lineRule="auto"/>
        <w:tabs>
          <w:tab w:leader="none" w:pos="196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promptly (but in any event prior to the next opening of the regular trading session on the Exchange) provide Citibank with written notice specifying (i) Counterparty’s average daily Rule 10b-18 Purchases (as defined in Rule 10b-18) during the three full calendar months immediately preceding the announcement date of any Merger Transaction or potential Merger Transaction that were not effected through Citibank or its affiliates and (ii) the number of Shares purchased pursuant to the proviso in Rule 10b-18(b)(4) under the Exchange Act for the three full calendar months preceding the announcement date of any Merger Transaction or potential Merger Transaction. Such written notice shall be deemed to be a certification by Counterparty to Citibank that such information is true and correct. In addition, Counterparty shall promptly notify Citibank of the earlier to occur of the completion of such transaction and the completion of the vote by target shareholders.</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3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acknowledges that any such Merger Announcement or delivery of a notice with respect thereto may cause the terms of any Transaction to be adjusted or such Transaction terminated pursuant to paragraph (c) of this Section 10; accordingly, Counterparty acknowledges that its delivery of such notice must comply with the standards set forth in Section 7 above.</w:t>
      </w:r>
    </w:p>
    <w:p>
      <w:pPr>
        <w:spacing w:after="0" w:line="175"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any Merger Announcement (whether made by Counterparty or a third party), Citibank in its sole discretion may</w:t>
      </w:r>
    </w:p>
    <w:p>
      <w:pPr>
        <w:spacing w:after="0" w:line="27" w:lineRule="exact"/>
        <w:rPr>
          <w:rFonts w:ascii="Times New Roman" w:cs="Times New Roman" w:eastAsia="Times New Roman" w:hAnsi="Times New Roman"/>
          <w:sz w:val="18"/>
          <w:szCs w:val="18"/>
          <w:color w:val="auto"/>
        </w:rPr>
      </w:pPr>
    </w:p>
    <w:p>
      <w:pPr>
        <w:jc w:val="both"/>
        <w:ind w:firstLine="8"/>
        <w:spacing w:after="0" w:line="253" w:lineRule="auto"/>
        <w:tabs>
          <w:tab w:leader="none" w:pos="23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adjustments to the terms of any Transaction, including, without limitation, the Scheduled Termination Date or the Reference Price Adjustment Amount, and/or suspend the Settlement Period or (ii) treat the occurrence of such Merger Announcement as an Additional Termination Event with Counterparty as the sole Affected Party and the Transactions hereunder as the Affected Transactions and with the amount under Section 6(e) of the Agreement determined taking into account the fact that the Pricing Period or Settlement Period, as the case may be, had fewer Scheduled Trading Days than originally anticipated.</w:t>
      </w:r>
    </w:p>
    <w:p>
      <w:pPr>
        <w:spacing w:after="0" w:line="18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Transaction</w:t>
      </w:r>
      <w:r>
        <w:rPr>
          <w:rFonts w:ascii="Times New Roman" w:cs="Times New Roman" w:eastAsia="Times New Roman" w:hAnsi="Times New Roman"/>
          <w:sz w:val="18"/>
          <w:szCs w:val="18"/>
          <w:color w:val="auto"/>
        </w:rPr>
        <w:t>” means any merger, acquisition or similar transaction involving a recapitalization as contemplated by Rule 10b-18(a)(13)(iv) under the Exchange Act.</w:t>
      </w:r>
    </w:p>
    <w:p>
      <w:pPr>
        <w:spacing w:after="0" w:line="162" w:lineRule="exact"/>
        <w:rPr>
          <w:sz w:val="20"/>
          <w:szCs w:val="20"/>
          <w:color w:val="auto"/>
        </w:rPr>
      </w:pPr>
    </w:p>
    <w:p>
      <w:pPr>
        <w:ind w:left="360" w:hanging="352"/>
        <w:spacing w:after="0"/>
        <w:tabs>
          <w:tab w:leader="none" w:pos="3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Special Provisions for Acquisition Transaction Announcements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137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Acquisition Transaction Announcement occurs on or prior to the Settlement Date for any Transaction, then the Calculation Agent shall make such adjustments (if any) to the exercise, settlement, payment or other terms of such Transaction as the Calculation Agent determines, in good faith and in a commercially reasonable manner, is appropriate to account for the economic effect on such Transaction of such Acquisition Transaction Announcement. If an Acquisition Transaction Announcement occurs after the Trade Date, but prior to the First Optional Termination Date of any Transaction, the First Optional Termination Date shall be the date of such Acquisition Transaction Announcement.</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114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Acquisition Transaction Announcement</w:t>
      </w:r>
      <w:r>
        <w:rPr>
          <w:rFonts w:ascii="Times New Roman" w:cs="Times New Roman" w:eastAsia="Times New Roman" w:hAnsi="Times New Roman"/>
          <w:sz w:val="18"/>
          <w:szCs w:val="18"/>
          <w:color w:val="auto"/>
        </w:rPr>
        <w:t>” means (i) the announcement of an Acquisition Transaction or an event that, if consummated, would result in an Acquisition Transaction, (ii) an announcement that Counterparty or any of its subsidiaries has entered into an agreement, a letter of intent or an understanding designed to result in an Acquisition Transaction, (iii) the announcement of the intention to solicit or enter into, or to explore strategic alternatives or other similar undertaking that may include, an Acquisition Transaction, (iv) any other announcement that in the reasonable judgment of the Calculation Agent may result in an Acquisition Transaction or (v) any announcement of any change or amendment to any previous Acquisition Transaction Announcement (including any announcement of the abandonment of any such previously announced Acquisition Transaction, agreement, letter of intent, understanding or intention). For the avoidance of doubt, announcements as used in the definition of Acquisition Transaction Announcement refer to any public announcement whether made by the Issuer or a third party.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6723380</wp:posOffset>
            </wp:positionH>
            <wp:positionV relativeFrom="page">
              <wp:posOffset>586105</wp:posOffset>
            </wp:positionV>
            <wp:extent cx="617220" cy="411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617220" cy="411480"/>
                    </a:xfrm>
                    <a:prstGeom prst="rect">
                      <a:avLst/>
                    </a:prstGeom>
                    <a:noFill/>
                  </pic:spPr>
                </pic:pic>
              </a:graphicData>
            </a:graphic>
          </wp:anchor>
        </w:drawing>
      </w:r>
    </w:p>
    <w:p>
      <w:pPr>
        <w:jc w:val="both"/>
        <w:ind w:firstLine="656"/>
        <w:spacing w:after="0" w:line="253" w:lineRule="auto"/>
        <w:tabs>
          <w:tab w:leader="none" w:pos="117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Transaction</w:t>
      </w:r>
      <w:r>
        <w:rPr>
          <w:rFonts w:ascii="Times New Roman" w:cs="Times New Roman" w:eastAsia="Times New Roman" w:hAnsi="Times New Roman"/>
          <w:sz w:val="18"/>
          <w:szCs w:val="18"/>
          <w:color w:val="auto"/>
        </w:rPr>
        <w:t>” means (i) any Merger Event (for purposes of this definition the definition of Merger Event shall be read with the references therein to “100%” being replaced by “25%” and references to “50%” being replaced by “65%” and without reference to the clause beginning immediately following the definition of Reverse Merger therein to the end of such definition), Tender Offer or Merger Transaction or any other transaction involving the merger of Counterparty with or into any third party, (ii) the sale or transfer of all or substantially all of the assets of Counterparty, (iii) a recapitalization, reclassification, binding share exchange or other similar transaction with respect to Counterparty, (iv) any acquisition by Counterparty or any of its subsidiaries where the aggregate consideration transferable by Counterparty or any of its subsidiaries exceeds 25% of the market capitalization of Counterparty, (v) any lease, exchange, transfer, disposition (including by way of spin-off or distribution) of assets (including, without limitation, any capital stock or other ownership interests in subsidiaries) or other similar event by Counterparty or any of its subsidiaries where the aggregate consideration transferable or receivable by or to Counterparty or its subsidiaries exceeds 15% of the market capitalization of Counterparty and (vi) any transaction in which Counterparty or its board of directors has a legal obligation to make a recommendation to its shareholders in respect of such transaction (whether pursuant to Rule 14e-2 under the Exchange Act or otherwise).</w:t>
      </w:r>
    </w:p>
    <w:p>
      <w:pPr>
        <w:spacing w:after="0" w:line="18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Procedures and Limitation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anything to the contrary in this Master Confirmation, Counterparty acknowledges and agrees that, on any day, Citibank (or its agent or affiliate) shall not be obligated to deliver or receive any Shares to or from Counterparty and Counterparty shall not be entitled to receive any Shares if such receipt or delivery would result in Citibank directly or indirectly beneficially owning (as such term is defined for purposes of Section 13(d) of the Exchange Act) at any time in excess of 4.9% of the outstanding Shares. Any purported receipt or delivery of the Shares shall be void and have no effect to the extent (but only to the extent) that such receipt or delivery of such Shares would result in Citibank directly or indirectly so beneficially owning in excess of 4.9% of the outstanding Shares. If, on any day, any delivery or receipt of the Shares by Citibank (or its agent or affiliate) is not effected, in whole or in part, as a result of this provision, Citibank’s and Counterparty’s respective obligations to make or accept such receipt or delivery shall not be extinguished and such receipt or delivery shall be effected over time as promptly as Citibank reasonably determines that such receipt or delivery would not result in Citibank directly or indirectly beneficially owning in excess of 4.9% of the outstanding Shares.</w:t>
      </w:r>
    </w:p>
    <w:p>
      <w:pPr>
        <w:spacing w:after="0" w:line="188" w:lineRule="exact"/>
        <w:rPr>
          <w:sz w:val="20"/>
          <w:szCs w:val="20"/>
          <w:color w:val="auto"/>
        </w:rPr>
      </w:pPr>
    </w:p>
    <w:p>
      <w:pPr>
        <w:ind w:left="540" w:hanging="532"/>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Amendments to the Equity Definitions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33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11.2(a) of the Equity Definitions is hereby amended by deleting the words “a diluting or concentrative” and replacing them with the words “an”; and adding the phrase “or such Transaction” at the end of the sentence.</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132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11.2(c) of the Equity Definitions is hereby amended by (i) replacing the words “a diluting or concentrative” with “an” in the fifth line thereof, (ii) adding the phrase “or such Transaction” after the word “Shares” in the sixth line thereof, (iii) deleting the words “diluting or concentrative” in the seventeenth line thereof, and (iv) replacing the parenthetical phrase in the eighteenth and nineteenth lines thereof with the following: “(and, for the avoidance of doubt, adjustments may be made to account solely for changes in volatility, expected dividends, stock loan rate or liquidity relative to the relevant Shares).”</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143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11.2(e)(vii) of the Equity Definitions is hereby amended by deleting the words “diluting or concentrative” and replacing them with the word “material” and by adding the phrase “or the relevant Transaction” at the end of the sentence.</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12.9(b)(iv) of the Equity Definitions is hereby amended by:</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deleting (1) subsection (A) in its entirety, (2) the phrase “or (B)” following subsection (A) and (3) the phrase “in each case” in subsection (B);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6723380</wp:posOffset>
            </wp:positionH>
            <wp:positionV relativeFrom="page">
              <wp:posOffset>586105</wp:posOffset>
            </wp:positionV>
            <wp:extent cx="617220" cy="411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617220" cy="411480"/>
                    </a:xfrm>
                    <a:prstGeom prst="rect">
                      <a:avLst/>
                    </a:prstGeom>
                    <a:noFill/>
                  </pic:spPr>
                </pic:pic>
              </a:graphicData>
            </a:graphic>
          </wp:anchor>
        </w:drawing>
      </w:r>
    </w:p>
    <w:p>
      <w:pPr>
        <w:ind w:left="1960" w:right="20" w:hanging="656"/>
        <w:spacing w:after="0" w:line="282" w:lineRule="auto"/>
        <w:tabs>
          <w:tab w:leader="none" w:pos="19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the phrase “neither the Non-Hedging Party nor the Lending Party lends Shares” with the phrase “such Lending Party does not lend Shares” in the penultimate sentence.</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12.9(b)(v) of the Equity Definitions is hereby amended by: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the word “or” immediately before subsection “(B)” and deleting the comma at the end of subsection (A); and</w:t>
      </w:r>
    </w:p>
    <w:p>
      <w:pPr>
        <w:spacing w:after="0" w:line="225" w:lineRule="exact"/>
        <w:rPr>
          <w:sz w:val="20"/>
          <w:szCs w:val="20"/>
          <w:color w:val="auto"/>
        </w:rPr>
      </w:pPr>
    </w:p>
    <w:p>
      <w:pPr>
        <w:jc w:val="both"/>
        <w:ind w:left="1960" w:hanging="656"/>
        <w:spacing w:after="0" w:line="266" w:lineRule="auto"/>
        <w:tabs>
          <w:tab w:leader="none" w:pos="19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deleting subsection (C) in its entirety, (2) deleting the word “or” immediately preceding subsection (C), (3) deleting the penultimate sentence in its entirety and replacing it with the sentence “The Hedging Party will determine the Cancellation Amount payable by one party to the other” and (4) deleting clause (X) in the final sentence.</w:t>
      </w:r>
    </w:p>
    <w:p>
      <w:pPr>
        <w:spacing w:after="0" w:line="17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Staggered Settlement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Citibank may, by notice to Counterparty on or prior to any Settlement Date (a “</w:t>
      </w:r>
      <w:r>
        <w:rPr>
          <w:rFonts w:ascii="Times New Roman" w:cs="Times New Roman" w:eastAsia="Times New Roman" w:hAnsi="Times New Roman"/>
          <w:sz w:val="18"/>
          <w:szCs w:val="18"/>
          <w:u w:val="single" w:color="auto"/>
          <w:color w:val="auto"/>
        </w:rPr>
        <w:t>Nominal Settlement Date</w:t>
      </w:r>
      <w:r>
        <w:rPr>
          <w:rFonts w:ascii="Times New Roman" w:cs="Times New Roman" w:eastAsia="Times New Roman" w:hAnsi="Times New Roman"/>
          <w:sz w:val="18"/>
          <w:szCs w:val="18"/>
          <w:color w:val="auto"/>
        </w:rPr>
        <w:t>”), elect to deliver any Shares deliverable on such Nominal Settlement Date on two or more dates (each, a “</w:t>
      </w:r>
      <w:r>
        <w:rPr>
          <w:rFonts w:ascii="Times New Roman" w:cs="Times New Roman" w:eastAsia="Times New Roman" w:hAnsi="Times New Roman"/>
          <w:sz w:val="18"/>
          <w:szCs w:val="18"/>
          <w:u w:val="single" w:color="auto"/>
          <w:color w:val="auto"/>
        </w:rPr>
        <w:t>Staggered Settlement Date</w:t>
      </w:r>
      <w:r>
        <w:rPr>
          <w:rFonts w:ascii="Times New Roman" w:cs="Times New Roman" w:eastAsia="Times New Roman" w:hAnsi="Times New Roman"/>
          <w:sz w:val="18"/>
          <w:szCs w:val="18"/>
          <w:color w:val="auto"/>
        </w:rPr>
        <w:t>”) or at two or more times on the Nominal Settlement Date as follows: (i) in such notice, Citibank will specify to Counterparty the related Staggered Settlement Dates (each of which will be on or prior to such Nominal Settlement Date) or delivery times and how it will allocate the Shares it is required to deliver under the applicable settlement method above among the Staggered Settlement Dates or delivery times; and (ii) the aggregate number of Shares that Citibank will deliver to Counterparty hereunder on all such Staggered Settlement Dates and delivery times will equal the number of Shares that Citibank would otherwise be required to deliver on such Nominal Settlement Date.</w:t>
      </w:r>
    </w:p>
    <w:p>
      <w:pPr>
        <w:spacing w:after="0" w:line="187" w:lineRule="exact"/>
        <w:rPr>
          <w:sz w:val="20"/>
          <w:szCs w:val="20"/>
          <w:color w:val="auto"/>
        </w:rPr>
      </w:pPr>
    </w:p>
    <w:p>
      <w:pPr>
        <w:ind w:left="540" w:hanging="532"/>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Matters Relating to Taxes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2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3(e) of the Agreement, Citibank and Counterparty each represent and warrant that it is not required by any applicable law, as modified by the practice of any relevant governmental revenue authority, of any relevant jurisdiction to make any deduction or withholding for or on account of any Tax from any payment to be made by it to the other party under this Master Confirmation and each Transaction evidenced hereby.</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120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Sections 4(a)(i) and (ii) of the Agreement, Citibank agrees to deliver to Counterparty one duly executed and completed United States Internal Revenue Service Form W-9 (or successor thereto) upon execution of this Master Confirmation and shall provide a new form promptly upon (A) reasonable request of Counterparty or (B) learning that any form previously provided has become obsolete or incorrect. For the purpose of Sections 4(a)(i) and (ii) of the Agreement, Counterparty agrees to deliver to Citibank one duly executed and completed United States Internal Revenue Service Form W-9 (or successor thereto) upon execution of this Master Confirmation and shall provide a new form promptly upon (A) reasonable request of Citibank or (B) learning that any form previously provided has become obsolete or incorrect.</w:t>
      </w:r>
    </w:p>
    <w:p>
      <w:pPr>
        <w:spacing w:after="0" w:line="187" w:lineRule="exact"/>
        <w:rPr>
          <w:rFonts w:ascii="Times New Roman" w:cs="Times New Roman" w:eastAsia="Times New Roman" w:hAnsi="Times New Roman"/>
          <w:sz w:val="18"/>
          <w:szCs w:val="18"/>
          <w:color w:val="auto"/>
        </w:rPr>
      </w:pPr>
    </w:p>
    <w:p>
      <w:pPr>
        <w:jc w:val="both"/>
        <w:ind w:firstLine="656"/>
        <w:spacing w:after="0" w:line="255" w:lineRule="auto"/>
        <w:tabs>
          <w:tab w:leader="none" w:pos="116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as used in subsection (a) immediately above and Section 5(b) of the Agreement, and “Indemnifiable Tax” as defined in Section 14 of the Agreement, shall not include any withholding tax imposed or collected pursuant to (A) Section 871(m) of the U.S.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or any current or future regulations or official interpretations thereof (a “</w:t>
      </w:r>
      <w:r>
        <w:rPr>
          <w:rFonts w:ascii="Times New Roman" w:cs="Times New Roman" w:eastAsia="Times New Roman" w:hAnsi="Times New Roman"/>
          <w:sz w:val="18"/>
          <w:szCs w:val="18"/>
          <w:u w:val="single" w:color="auto"/>
          <w:color w:val="auto"/>
        </w:rPr>
        <w:t>Section 871(m) Withholding Tax</w:t>
      </w:r>
      <w:r>
        <w:rPr>
          <w:rFonts w:ascii="Times New Roman" w:cs="Times New Roman" w:eastAsia="Times New Roman" w:hAnsi="Times New Roman"/>
          <w:sz w:val="18"/>
          <w:szCs w:val="18"/>
          <w:color w:val="auto"/>
        </w:rPr>
        <w:t>”) or (B)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Times New Roman" w:cs="Times New Roman" w:eastAsia="Times New Roman" w:hAnsi="Times New Roman"/>
          <w:sz w:val="18"/>
          <w:szCs w:val="18"/>
          <w:u w:val="single" w:color="auto"/>
          <w:color w:val="auto"/>
        </w:rPr>
        <w:t>FATCA Withholding Tax</w:t>
      </w:r>
      <w:r>
        <w:rPr>
          <w:rFonts w:ascii="Times New Roman" w:cs="Times New Roman" w:eastAsia="Times New Roman" w:hAnsi="Times New Roman"/>
          <w:sz w:val="18"/>
          <w:szCs w:val="18"/>
          <w:color w:val="auto"/>
        </w:rPr>
        <w:t>”). For the avoidance of doubt, each of a Section 871(m) Withholding Tax and a FATCA Withholding Tax is a Tax the deduction or withholding of which is required by applicable law for the purposes of Section 2(d) of the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6723380</wp:posOffset>
            </wp:positionH>
            <wp:positionV relativeFrom="page">
              <wp:posOffset>586105</wp:posOffset>
            </wp:positionV>
            <wp:extent cx="617220" cy="411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617220" cy="411480"/>
                    </a:xfrm>
                    <a:prstGeom prst="rect">
                      <a:avLst/>
                    </a:prstGeom>
                    <a:noFill/>
                  </pic:spPr>
                </pic:pic>
              </a:graphicData>
            </a:graphic>
          </wp:anchor>
        </w:drawing>
      </w:r>
    </w:p>
    <w:p>
      <w:pPr>
        <w:ind w:left="540" w:hanging="532"/>
        <w:spacing w:after="0"/>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QFC Provisions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0" w:firstLine="657"/>
        <w:spacing w:after="0" w:line="254" w:lineRule="auto"/>
        <w:tabs>
          <w:tab w:leader="none" w:pos="131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Recognition of U.S. Special Resolution Regimes</w:t>
      </w:r>
      <w:r>
        <w:rPr>
          <w:rFonts w:ascii="Times New Roman" w:cs="Times New Roman" w:eastAsia="Times New Roman" w:hAnsi="Times New Roman"/>
          <w:sz w:val="18"/>
          <w:szCs w:val="18"/>
          <w:color w:val="auto"/>
        </w:rPr>
        <w:t>. (i) In the event Citibank becomes subject to a proceeding under the FDI Act or OLA (together,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the transfer of the Agreement or this Master Confirmation, and any interest and obligation in or under, and any property securing, the Agreement or this Master Confirmation, from Citibank will be effective to the same extent as the transfer would be effective under the U.S. Special Resolution Regime if the Agreement, this Master Confirmation, and any interest and obligation in or under, and any property securing, the Agreement or this Master Confirmation were governed by the laws of the United States or a State of the United States; and (ii) in the event Citibank or any Citibank Affiliate becomes subject to a proceeding under a U.S. Special Resolution Regime, Default Rights with respect to the Agreement or this Master Confirmation that may be exercised against Citibank are permitted to be exercised to no greater extent than such Default Rights could be exercised under such U.S. Special Resolution Regime if the Agreement or this Master Confirmation, as the case may be, were governed by the laws of the United States or a State of the United States.</w:t>
      </w:r>
    </w:p>
    <w:p>
      <w:pPr>
        <w:spacing w:after="0" w:line="188" w:lineRule="exact"/>
        <w:rPr>
          <w:rFonts w:ascii="Times New Roman" w:cs="Times New Roman" w:eastAsia="Times New Roman" w:hAnsi="Times New Roman"/>
          <w:sz w:val="18"/>
          <w:szCs w:val="18"/>
          <w:color w:val="auto"/>
        </w:rPr>
      </w:pPr>
    </w:p>
    <w:p>
      <w:pPr>
        <w:jc w:val="both"/>
        <w:ind w:left="80" w:firstLine="657"/>
        <w:spacing w:after="0" w:line="261" w:lineRule="auto"/>
        <w:tabs>
          <w:tab w:leader="none" w:pos="138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Exercise of Certain Default Rights Related to Citibank Affiliate’s Entry into Insolvency Proceedings</w:t>
      </w:r>
      <w:r>
        <w:rPr>
          <w:rFonts w:ascii="Times New Roman" w:cs="Times New Roman" w:eastAsia="Times New Roman" w:hAnsi="Times New Roman"/>
          <w:sz w:val="18"/>
          <w:szCs w:val="18"/>
          <w:color w:val="auto"/>
        </w:rPr>
        <w:t>. Notwithstanding anything to the contrary in the Agreement, this Master Confirmation or any other agreement, the parties hereto expressly acknowledge and agree that subject to Section 18(c), Counterparty shall not be permitted to exercise any Default Right against Citibank with respect to the Agreement or this Master Confirmation that is related, directly or indirectly, to a Citibank Affiliate becoming subject to an Insolvency Proceeding.</w:t>
      </w:r>
    </w:p>
    <w:p>
      <w:pPr>
        <w:spacing w:after="0" w:line="179" w:lineRule="exact"/>
        <w:rPr>
          <w:rFonts w:ascii="Times New Roman" w:cs="Times New Roman" w:eastAsia="Times New Roman" w:hAnsi="Times New Roman"/>
          <w:sz w:val="18"/>
          <w:szCs w:val="18"/>
          <w:color w:val="auto"/>
        </w:rPr>
      </w:pPr>
    </w:p>
    <w:p>
      <w:pPr>
        <w:ind w:left="80" w:right="20" w:firstLine="657"/>
        <w:spacing w:after="0" w:line="282" w:lineRule="auto"/>
        <w:tabs>
          <w:tab w:leader="none" w:pos="129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Creditor Protections</w:t>
      </w:r>
      <w:r>
        <w:rPr>
          <w:rFonts w:ascii="Times New Roman" w:cs="Times New Roman" w:eastAsia="Times New Roman" w:hAnsi="Times New Roman"/>
          <w:sz w:val="18"/>
          <w:szCs w:val="18"/>
          <w:color w:val="auto"/>
        </w:rPr>
        <w:t>. Nothing in Section 18(b) shall restrict the exercise by Counterparty of any Default Right against Citibank with respect to the Agreement or this Master Confirmation that arises as a result of:</w:t>
      </w:r>
    </w:p>
    <w:p>
      <w:pPr>
        <w:spacing w:after="0" w:line="161" w:lineRule="exact"/>
        <w:rPr>
          <w:rFonts w:ascii="Times New Roman" w:cs="Times New Roman" w:eastAsia="Times New Roman" w:hAnsi="Times New Roman"/>
          <w:sz w:val="18"/>
          <w:szCs w:val="18"/>
          <w:color w:val="auto"/>
        </w:rPr>
      </w:pPr>
    </w:p>
    <w:p>
      <w:pPr>
        <w:ind w:left="1840" w:hanging="536"/>
        <w:spacing w:after="0"/>
        <w:tabs>
          <w:tab w:leader="none" w:pos="184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Citibank becoming subject to an Insolvency Proceeding; or</w:t>
      </w:r>
    </w:p>
    <w:p>
      <w:pPr>
        <w:spacing w:after="0" w:line="225" w:lineRule="exact"/>
        <w:rPr>
          <w:rFonts w:ascii="Times New Roman" w:cs="Times New Roman" w:eastAsia="Times New Roman" w:hAnsi="Times New Roman"/>
          <w:sz w:val="18"/>
          <w:szCs w:val="18"/>
          <w:color w:val="auto"/>
        </w:rPr>
      </w:pPr>
    </w:p>
    <w:p>
      <w:pPr>
        <w:ind w:left="1840" w:hanging="536"/>
        <w:spacing w:after="0"/>
        <w:tabs>
          <w:tab w:leader="none" w:pos="184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Citibank not satisfying a payment or delivery obligation pursuant to (A) the Agreement, or (B) this Master Confirmation.</w:t>
      </w:r>
    </w:p>
    <w:p>
      <w:pPr>
        <w:spacing w:after="0" w:line="225" w:lineRule="exact"/>
        <w:rPr>
          <w:rFonts w:ascii="Times New Roman" w:cs="Times New Roman" w:eastAsia="Times New Roman" w:hAnsi="Times New Roman"/>
          <w:sz w:val="18"/>
          <w:szCs w:val="18"/>
          <w:color w:val="auto"/>
        </w:rPr>
      </w:pPr>
    </w:p>
    <w:p>
      <w:pPr>
        <w:jc w:val="both"/>
        <w:ind w:left="80" w:firstLine="657"/>
        <w:spacing w:after="0" w:line="266" w:lineRule="auto"/>
        <w:tabs>
          <w:tab w:leader="none" w:pos="125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Burden of Proof</w:t>
      </w:r>
      <w:r>
        <w:rPr>
          <w:rFonts w:ascii="Times New Roman" w:cs="Times New Roman" w:eastAsia="Times New Roman" w:hAnsi="Times New Roman"/>
          <w:sz w:val="18"/>
          <w:szCs w:val="18"/>
          <w:color w:val="auto"/>
        </w:rPr>
        <w:t>. After a Citibank Affiliate has become subject to an Insolvency Proceeding, if Counterparty seeks to exercise any Default Right with respect to the Agreement or this Master Confirmation, Counterparty shall have the burden of proof, by clear and convincing evidence, that the exercise of such Default Right is permitted hereunder.</w:t>
      </w:r>
    </w:p>
    <w:p>
      <w:pPr>
        <w:spacing w:after="0" w:line="175" w:lineRule="exact"/>
        <w:rPr>
          <w:rFonts w:ascii="Times New Roman" w:cs="Times New Roman" w:eastAsia="Times New Roman" w:hAnsi="Times New Roman"/>
          <w:sz w:val="18"/>
          <w:szCs w:val="18"/>
          <w:color w:val="auto"/>
        </w:rPr>
      </w:pPr>
    </w:p>
    <w:p>
      <w:pPr>
        <w:ind w:left="1260" w:hanging="523"/>
        <w:spacing w:after="0"/>
        <w:tabs>
          <w:tab w:leader="none" w:pos="12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Applicability of Section 18(a)</w:t>
      </w:r>
      <w:r>
        <w:rPr>
          <w:rFonts w:ascii="Times New Roman" w:cs="Times New Roman" w:eastAsia="Times New Roman" w:hAnsi="Times New Roman"/>
          <w:sz w:val="18"/>
          <w:szCs w:val="18"/>
          <w:color w:val="auto"/>
        </w:rPr>
        <w:t>. The requirements of Section 18(a) apply notwithstanding Sections 18(b) and (c).</w:t>
      </w:r>
    </w:p>
    <w:p>
      <w:pPr>
        <w:spacing w:after="0" w:line="225" w:lineRule="exact"/>
        <w:rPr>
          <w:rFonts w:ascii="Times New Roman" w:cs="Times New Roman" w:eastAsia="Times New Roman" w:hAnsi="Times New Roman"/>
          <w:sz w:val="18"/>
          <w:szCs w:val="18"/>
          <w:color w:val="auto"/>
        </w:rPr>
      </w:pPr>
    </w:p>
    <w:p>
      <w:pPr>
        <w:ind w:left="1240" w:hanging="503"/>
        <w:spacing w:after="0"/>
        <w:tabs>
          <w:tab w:leader="none" w:pos="12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Conditions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837"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 provisions set forth in Section 18 will come into effect on the later of the Applicable Compliance Date and the date of this Master Confirmation.</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897"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 Adherence to the U.S. Protocol</w:t>
      </w:r>
      <w:r>
        <w:rPr>
          <w:rFonts w:ascii="Times New Roman" w:cs="Times New Roman" w:eastAsia="Times New Roman" w:hAnsi="Times New Roman"/>
          <w:sz w:val="18"/>
          <w:szCs w:val="18"/>
          <w:color w:val="auto"/>
        </w:rPr>
        <w:t>. If Citibank and Counterparty have adhered to the ISDA U.S. Protocol prior to the date of this Master Confirmation, the terms of the ISDA U.S. Protocol shall be incorporated into and form a part of this Master Confirmation and shall replace the terms of this Section 18. For purposes of incorporating the ISDA U.S. Protocol, Citibank shall be deemed to be a Regulated Entity, Counterparty shall be deemed to be an Adhering Party and each of the Agreement and this Master Confirmation shall be deemed to be a Protocol Covered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6723380</wp:posOffset>
            </wp:positionH>
            <wp:positionV relativeFrom="page">
              <wp:posOffset>586105</wp:posOffset>
            </wp:positionV>
            <wp:extent cx="617220" cy="4114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617220" cy="411480"/>
                    </a:xfrm>
                    <a:prstGeom prst="rect">
                      <a:avLst/>
                    </a:prstGeom>
                    <a:noFill/>
                  </pic:spPr>
                </pic:pic>
              </a:graphicData>
            </a:graphic>
          </wp:anchor>
        </w:drawing>
      </w:r>
    </w:p>
    <w:p>
      <w:pPr>
        <w:ind w:left="660" w:firstLine="644"/>
        <w:spacing w:after="0" w:line="282" w:lineRule="auto"/>
        <w:tabs>
          <w:tab w:leader="none" w:pos="193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Adherence to the U.S. Protocol</w:t>
      </w:r>
      <w:r>
        <w:rPr>
          <w:rFonts w:ascii="Times New Roman" w:cs="Times New Roman" w:eastAsia="Times New Roman" w:hAnsi="Times New Roman"/>
          <w:sz w:val="18"/>
          <w:szCs w:val="18"/>
          <w:color w:val="auto"/>
        </w:rPr>
        <w:t>. If, after the date of this Master Confirmation, both Citibank and Counterparty shall have become adhering parties to the ISDA U.S. Protocol, the terms of the ISDA U.S. Protocol will supersede and replace this Section 18.</w:t>
      </w:r>
    </w:p>
    <w:p>
      <w:pPr>
        <w:spacing w:after="0" w:line="161" w:lineRule="exact"/>
        <w:rPr>
          <w:rFonts w:ascii="Times New Roman" w:cs="Times New Roman" w:eastAsia="Times New Roman" w:hAnsi="Times New Roman"/>
          <w:sz w:val="18"/>
          <w:szCs w:val="18"/>
          <w:color w:val="auto"/>
        </w:rPr>
      </w:pPr>
    </w:p>
    <w:p>
      <w:pPr>
        <w:ind w:left="1260" w:hanging="523"/>
        <w:spacing w:after="0"/>
        <w:tabs>
          <w:tab w:leader="none" w:pos="1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the purposes of Section 18, the following definitions apply: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Compliance Date</w:t>
      </w:r>
      <w:r>
        <w:rPr>
          <w:rFonts w:ascii="Times New Roman" w:cs="Times New Roman" w:eastAsia="Times New Roman" w:hAnsi="Times New Roman"/>
          <w:sz w:val="18"/>
          <w:szCs w:val="18"/>
          <w:color w:val="auto"/>
        </w:rPr>
        <w:t>” with respect to the Agreement and this Master Confirmation shall be determined as follows: (a) if Counterparty is an entity subject to the requirements of the QFC Stay Rules, January 1, 2019, (b) if Counterparty is a Financial Counterparty (other than a Small Financial Institution) that is not an entity subject to the requirements of the QFC Stay Rules, July 1, 2019 and (c) if Counterparty is not described in clause (a) or (b), January 1, 2020.</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auto"/>
        </w:rPr>
        <w:t>BHC Affiliate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the same meaning as the term “affiliate” as defined in, and shall be interpreted in accordance with, 12 U.S.C. 1813(w) and 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U.S.C. 1841(k).</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Citibank Affiliate</w:t>
      </w:r>
      <w:r>
        <w:rPr>
          <w:rFonts w:ascii="Times New Roman" w:cs="Times New Roman" w:eastAsia="Times New Roman" w:hAnsi="Times New Roman"/>
          <w:sz w:val="18"/>
          <w:szCs w:val="18"/>
          <w:color w:val="auto"/>
        </w:rPr>
        <w:t>” means, with respect to Citibank, a BHC Affiliate of that party.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Affiliate</w:t>
      </w:r>
      <w:r>
        <w:rPr>
          <w:rFonts w:ascii="Times New Roman" w:cs="Times New Roman" w:eastAsia="Times New Roman" w:hAnsi="Times New Roman"/>
          <w:sz w:val="18"/>
          <w:szCs w:val="18"/>
          <w:color w:val="auto"/>
        </w:rPr>
        <w:t>” has the same meaning specified in, and shall be interpreted in accordance with, 12 C.F.R. 252.81, 12 C.F.R. 382.1 and 12 C.F.R. 47.2.</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Counterparty Affiliate</w:t>
      </w:r>
      <w:r>
        <w:rPr>
          <w:rFonts w:ascii="Times New Roman" w:cs="Times New Roman" w:eastAsia="Times New Roman" w:hAnsi="Times New Roman"/>
          <w:sz w:val="18"/>
          <w:szCs w:val="18"/>
          <w:color w:val="auto"/>
        </w:rPr>
        <w:t>” means a Consolidated Affiliate of Counterparty.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means, with respect to the Agreement or this Master Confirmation (including any Transaction or Confirmation hereunder), any:</w:t>
      </w:r>
    </w:p>
    <w:p>
      <w:pPr>
        <w:spacing w:after="0" w:line="225" w:lineRule="exact"/>
        <w:rPr>
          <w:sz w:val="20"/>
          <w:szCs w:val="20"/>
          <w:color w:val="auto"/>
        </w:rPr>
      </w:pPr>
    </w:p>
    <w:p>
      <w:pPr>
        <w:jc w:val="both"/>
        <w:ind w:left="660" w:firstLine="644"/>
        <w:spacing w:after="0" w:line="255" w:lineRule="auto"/>
        <w:tabs>
          <w:tab w:leader="none" w:pos="152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 of a party, whether contractual or otherwise (including, without limitation, rights incorporated by reference to any other contract, agreement, or document, and rights afforded by statute, civil code, regulation, and common law), to liquidate, terminate, cancel, rescind, or accelerate such agreement or transactions thereunder, set off or net amounts owing in respect thereto (except rights related to same-day payment netting), exercise remedies in respect of collateral or other credit support or property related thereto (including the purchase and sale of property), demand payment or delivery thereunder or in respect thereof (other than a right or operation of a contractual provision arising solely from a change in the value of collateral or margin or a change in the amount of an economic exposure), suspend, delay, or defer payment or performance thereunder, or modify the obligations of a party thereunder, or any similar rights; and</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60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 or contractual provision that alters the amount of collateral or margin that must be provided with respect to an exposure thereunder, including by altering any initial amount, threshold amount, variation margin, minimum transfer amount, the margin value of collateral, or any similar amount, that entitles a party to demand the return of any collateral or margin transferred by it to the other party or a custodian or that modifies a transferee’s right to reuse collateral or margin (if such right previously existed), or any similar rights, in each case, other than a right or operation of a contractual provision arising solely from a change in the value of collateral or margin or a change in the amount of an economic exposure; but</w:t>
      </w:r>
    </w:p>
    <w:p>
      <w:pPr>
        <w:spacing w:after="0" w:line="187" w:lineRule="exact"/>
        <w:rPr>
          <w:rFonts w:ascii="Times New Roman" w:cs="Times New Roman" w:eastAsia="Times New Roman" w:hAnsi="Times New Roman"/>
          <w:sz w:val="18"/>
          <w:szCs w:val="18"/>
          <w:color w:val="auto"/>
        </w:rPr>
      </w:pPr>
    </w:p>
    <w:p>
      <w:pPr>
        <w:ind w:left="660" w:firstLine="644"/>
        <w:spacing w:after="0" w:line="282" w:lineRule="auto"/>
        <w:tabs>
          <w:tab w:leader="none" w:pos="164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Section 18(b) does not include any right under a contract that allows a party to terminate the contract on demand or at its option at a specified time, or from time to time, without the need to show cause.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FDI Act</w:t>
      </w:r>
      <w:r>
        <w:rPr>
          <w:rFonts w:ascii="Times New Roman" w:cs="Times New Roman" w:eastAsia="Times New Roman" w:hAnsi="Times New Roman"/>
          <w:sz w:val="18"/>
          <w:szCs w:val="18"/>
          <w:color w:val="auto"/>
        </w:rPr>
        <w:t>” means the Federal Deposit Insurance Act and the regulations promulgated thereunder.</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Counterparty</w:t>
      </w:r>
      <w:r>
        <w:rPr>
          <w:rFonts w:ascii="Times New Roman" w:cs="Times New Roman" w:eastAsia="Times New Roman" w:hAnsi="Times New Roman"/>
          <w:sz w:val="18"/>
          <w:szCs w:val="18"/>
          <w:color w:val="auto"/>
        </w:rPr>
        <w:t>” has the meaning given to such term in, and shall be interpreted in accordance with, 12 C.F.R. 252.81, 12 C.F.R. 382.1 and 12 C.F.R. 47.2.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6723380</wp:posOffset>
            </wp:positionH>
            <wp:positionV relativeFrom="page">
              <wp:posOffset>586105</wp:posOffset>
            </wp:positionV>
            <wp:extent cx="617220" cy="411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617220" cy="41148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Insolvency Proceeding</w:t>
      </w:r>
      <w:r>
        <w:rPr>
          <w:rFonts w:ascii="Times New Roman" w:cs="Times New Roman" w:eastAsia="Times New Roman" w:hAnsi="Times New Roman"/>
          <w:sz w:val="18"/>
          <w:szCs w:val="18"/>
          <w:color w:val="auto"/>
        </w:rPr>
        <w:t>” means a receivership, insolvency, liquidation, resolution, or similar proceeding.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ISDA U.S. Protocol</w:t>
      </w:r>
      <w:r>
        <w:rPr>
          <w:rFonts w:ascii="Times New Roman" w:cs="Times New Roman" w:eastAsia="Times New Roman" w:hAnsi="Times New Roman"/>
          <w:sz w:val="18"/>
          <w:szCs w:val="18"/>
          <w:color w:val="auto"/>
        </w:rPr>
        <w:t>” means the ISDA 2018 U.S. Resolution Stay Protocol, as published by ISDA on July 31, 2018.</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OLA</w:t>
      </w:r>
      <w:r>
        <w:rPr>
          <w:rFonts w:ascii="Times New Roman" w:cs="Times New Roman" w:eastAsia="Times New Roman" w:hAnsi="Times New Roman"/>
          <w:sz w:val="18"/>
          <w:szCs w:val="18"/>
          <w:color w:val="auto"/>
        </w:rPr>
        <w:t>” means Title II of the Dodd-Frank Wall Street Reform and Consumer Protection Act and the regulations promulgated thereunder.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Stay Rules</w:t>
      </w:r>
      <w:r>
        <w:rPr>
          <w:rFonts w:ascii="Times New Roman" w:cs="Times New Roman" w:eastAsia="Times New Roman" w:hAnsi="Times New Roman"/>
          <w:sz w:val="18"/>
          <w:szCs w:val="18"/>
          <w:color w:val="auto"/>
        </w:rPr>
        <w:t>” means the regulations codified at 12 C.F.R. 252.81–8 (the “</w:t>
      </w:r>
      <w:r>
        <w:rPr>
          <w:rFonts w:ascii="Times New Roman" w:cs="Times New Roman" w:eastAsia="Times New Roman" w:hAnsi="Times New Roman"/>
          <w:sz w:val="18"/>
          <w:szCs w:val="18"/>
          <w:u w:val="single" w:color="auto"/>
          <w:color w:val="auto"/>
        </w:rPr>
        <w:t>Federal Reserve Rule</w:t>
      </w:r>
      <w:r>
        <w:rPr>
          <w:rFonts w:ascii="Times New Roman" w:cs="Times New Roman" w:eastAsia="Times New Roman" w:hAnsi="Times New Roman"/>
          <w:sz w:val="18"/>
          <w:szCs w:val="18"/>
          <w:color w:val="auto"/>
        </w:rPr>
        <w:t>”), 12 C.F.R. 382.1-7 (the “</w:t>
      </w:r>
      <w:r>
        <w:rPr>
          <w:rFonts w:ascii="Times New Roman" w:cs="Times New Roman" w:eastAsia="Times New Roman" w:hAnsi="Times New Roman"/>
          <w:sz w:val="18"/>
          <w:szCs w:val="18"/>
          <w:u w:val="single" w:color="auto"/>
          <w:color w:val="auto"/>
        </w:rPr>
        <w:t>FDIC Rule</w:t>
      </w:r>
      <w:r>
        <w:rPr>
          <w:rFonts w:ascii="Times New Roman" w:cs="Times New Roman" w:eastAsia="Times New Roman" w:hAnsi="Times New Roman"/>
          <w:sz w:val="18"/>
          <w:szCs w:val="18"/>
          <w:color w:val="auto"/>
        </w:rPr>
        <w:t>”) and 12 C.F.R. 47.1-8 (the “</w:t>
      </w:r>
      <w:r>
        <w:rPr>
          <w:rFonts w:ascii="Times New Roman" w:cs="Times New Roman" w:eastAsia="Times New Roman" w:hAnsi="Times New Roman"/>
          <w:sz w:val="18"/>
          <w:szCs w:val="18"/>
          <w:u w:val="single" w:color="auto"/>
          <w:color w:val="auto"/>
        </w:rPr>
        <w:t>OCC Rule</w:t>
      </w:r>
      <w:r>
        <w:rPr>
          <w:rFonts w:ascii="Times New Roman" w:cs="Times New Roman" w:eastAsia="Times New Roman" w:hAnsi="Times New Roman"/>
          <w:sz w:val="18"/>
          <w:szCs w:val="18"/>
          <w:color w:val="auto"/>
        </w:rPr>
        <w:t>”), respectively. All references herein to the specific provisions of the Federal Reserve Rule, the FDICs Rule and the OCC Rule shall be construed, with respect to Citibank, to the particular QFC Stay Rule(s) applicable to it.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Small Financial Institution</w:t>
      </w:r>
      <w:r>
        <w:rPr>
          <w:rFonts w:ascii="Times New Roman" w:cs="Times New Roman" w:eastAsia="Times New Roman" w:hAnsi="Times New Roman"/>
          <w:sz w:val="18"/>
          <w:szCs w:val="18"/>
          <w:color w:val="auto"/>
        </w:rPr>
        <w:t>” has the meaning given to such term in, and shall be interpreted in accordance with, 12 C.F.R. 252.81, 12 C.F.R. 382.1 and 12 C.F.R. 47.2.</w:t>
      </w:r>
    </w:p>
    <w:p>
      <w:pPr>
        <w:spacing w:after="0" w:line="162" w:lineRule="exact"/>
        <w:rPr>
          <w:sz w:val="20"/>
          <w:szCs w:val="20"/>
          <w:color w:val="auto"/>
        </w:rPr>
      </w:pPr>
    </w:p>
    <w:p>
      <w:pPr>
        <w:jc w:val="both"/>
        <w:ind w:firstLine="8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w:t>
      </w:r>
      <w:r>
        <w:rPr>
          <w:rFonts w:ascii="Times New Roman" w:cs="Times New Roman" w:eastAsia="Times New Roman" w:hAnsi="Times New Roman"/>
          <w:sz w:val="18"/>
          <w:szCs w:val="18"/>
          <w:color w:val="auto"/>
        </w:rPr>
        <w:t>” means any state, commonwealth, territory, or possession of the United States of America, the District of Columbia, the Commonwealth of Puerto Rico, the Commonwealth of the Northern Mariana Islands, American Samoa, Guam, or the United States Virgin Islands.</w:t>
      </w:r>
    </w:p>
    <w:p>
      <w:pPr>
        <w:spacing w:after="0" w:line="162" w:lineRule="exact"/>
        <w:rPr>
          <w:sz w:val="20"/>
          <w:szCs w:val="20"/>
          <w:color w:val="auto"/>
        </w:rPr>
      </w:pPr>
    </w:p>
    <w:p>
      <w:pPr>
        <w:ind w:left="540" w:hanging="532"/>
        <w:spacing w:after="0"/>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Cares Act.</w:t>
      </w:r>
    </w:p>
    <w:p>
      <w:pPr>
        <w:spacing w:after="0" w:line="2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Counterparty acknowledges that each Transaction may constitute a purchase of its equity securities. Counterparty further acknowledges that, pursuant to the provisions of the Coronavirus Aid, Relief and Economic Security Act (the “</w:t>
      </w:r>
      <w:r>
        <w:rPr>
          <w:rFonts w:ascii="Times New Roman" w:cs="Times New Roman" w:eastAsia="Times New Roman" w:hAnsi="Times New Roman"/>
          <w:sz w:val="18"/>
          <w:szCs w:val="18"/>
          <w:b w:val="1"/>
          <w:bCs w:val="1"/>
          <w:color w:val="auto"/>
        </w:rPr>
        <w:t>CARES Act</w:t>
      </w:r>
      <w:r>
        <w:rPr>
          <w:rFonts w:ascii="Times New Roman" w:cs="Times New Roman" w:eastAsia="Times New Roman" w:hAnsi="Times New Roman"/>
          <w:sz w:val="18"/>
          <w:szCs w:val="18"/>
          <w:color w:val="auto"/>
        </w:rPr>
        <w:t>”), it would be required to agree to certain time-bound restrictions on its ability to purchase its equity securities if it or any of its subsidiaries receives loans, loan guarantees or direct loans (as that term is defined in the CARES Act) under section 4003(b) of the CARES Act. Counterparty further acknowledges that it may be required to agree to certain time-bound restrictions on its ability to purchase its equity securities if it or any of its subsidiaries receives loans, loan guarantees or direct loans (as that term is defined in the CARES Act) under programs or facilities established by the Board of Governors of the Federal Reserve System for the purpose of providing liquidity to the financial system (together with loans, loan guarantees or direct loans under section 4003(b) of the CARES Act, “Governmental Financial Assistance”). Accordingly, Counterparty represents and warrants that neither it nor any of its subsidiaries has applied for, and prior to the termination or settlement of any Transaction neither it nor any of its subsidiaries has any intention to apply for, Governmental Financial Assistance under any governmental program or facility that (x) is established under the CARES Act or the Federal Reserve Act, as amended, and (y) requires, as a condition of such Governmental Financial Assistance, that Counterparty or any of its subsidiaries agree, attest, certify or warrant that it or such subsidiary, as applicable, has not, as of the date specified in such condition, repurchased, or will not repurchase, any equity security of Counterparty; provided, that Counterparty or any of its subsidiaries may apply for Governmental Financial Assistance if Counterparty either (X) determines based on the advice of outside counsel of national standing that the terms of any Transaction would not cause Counterparty or any of its subsidiaries to fail to satisfy any condition for application for or receipt or retention of such Governmental Financial Assistance based on the terms of the applicable program or facility as of the date of such advice or</w:t>
      </w:r>
    </w:p>
    <w:p>
      <w:pPr>
        <w:spacing w:after="0" w:line="11" w:lineRule="exact"/>
        <w:rPr>
          <w:sz w:val="20"/>
          <w:szCs w:val="20"/>
          <w:color w:val="auto"/>
        </w:rPr>
      </w:pPr>
    </w:p>
    <w:p>
      <w:pPr>
        <w:jc w:val="both"/>
        <w:ind w:firstLine="8"/>
        <w:spacing w:after="0" w:line="255" w:lineRule="auto"/>
        <w:tabs>
          <w:tab w:leader="none" w:pos="31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delivers to Dealer evidence or other guidance from a governmental authority with jurisdiction for such program or facility that any Transaction is permitted under such program or facility (either by specific reference to such Transaction or by general reference to transactions with the attributes of such Transaction in all relevant respects).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6723380</wp:posOffset>
            </wp:positionH>
            <wp:positionV relativeFrom="page">
              <wp:posOffset>586105</wp:posOffset>
            </wp:positionV>
            <wp:extent cx="617220" cy="4114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617220" cy="411480"/>
                    </a:xfrm>
                    <a:prstGeom prst="rect">
                      <a:avLst/>
                    </a:prstGeom>
                    <a:noFill/>
                  </pic:spPr>
                </pic:pic>
              </a:graphicData>
            </a:graphic>
          </wp:anchor>
        </w:drawing>
      </w:r>
    </w:p>
    <w:p>
      <w:pPr>
        <w:ind w:left="540" w:hanging="532"/>
        <w:spacing w:after="0"/>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17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Collateral</w:t>
      </w:r>
      <w:r>
        <w:rPr>
          <w:rFonts w:ascii="Times New Roman" w:cs="Times New Roman" w:eastAsia="Times New Roman" w:hAnsi="Times New Roman"/>
          <w:sz w:val="18"/>
          <w:szCs w:val="18"/>
          <w:color w:val="auto"/>
        </w:rPr>
        <w:t>. Notwithstanding any provision of this Master Confirmation, or any other agreement between the parties, to the contrary, the obligations of Counterparty under this Master Confirmation are not secured by any collateral.</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117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Trial by Jury</w:t>
      </w:r>
      <w:r>
        <w:rPr>
          <w:rFonts w:ascii="Times New Roman" w:cs="Times New Roman" w:eastAsia="Times New Roman" w:hAnsi="Times New Roman"/>
          <w:sz w:val="18"/>
          <w:szCs w:val="18"/>
          <w:color w:val="auto"/>
        </w:rPr>
        <w:t>. EACH OF COUNTERPARTY AND CITIBANK HEREBY IRREVOCABLY WAIVES (ON ITS OWN BEHALF AND, TO THE EXTENT PERMITTED BY APPLICABLE LAW, ON BEHALF OF ITS STOCKHOLDERS) ALL RIGHT TO TRIAL BY JURY IN ANY ACTION, PROCEEDING OR COUNTERCLAIM (WHETHER BASED ON CONTRACT, TORT OR OTHERWISE) ARISING OUT OF OR RELATING TO THIS MASTER CONFIRMATION OR THE ACTIONS OF CITIBANK OR ITS AFFILIATES IN THE NEGOTIATION, PERFORMANCE OR ENFORCEMENT HEREOF.</w:t>
      </w:r>
    </w:p>
    <w:p>
      <w:pPr>
        <w:spacing w:after="0" w:line="183" w:lineRule="exact"/>
        <w:rPr>
          <w:rFonts w:ascii="Times New Roman" w:cs="Times New Roman" w:eastAsia="Times New Roman" w:hAnsi="Times New Roman"/>
          <w:sz w:val="18"/>
          <w:szCs w:val="18"/>
          <w:color w:val="auto"/>
        </w:rPr>
      </w:pPr>
    </w:p>
    <w:p>
      <w:pPr>
        <w:jc w:val="both"/>
        <w:ind w:firstLine="656"/>
        <w:spacing w:after="0" w:line="255" w:lineRule="auto"/>
        <w:tabs>
          <w:tab w:leader="none" w:pos="125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Non-Confidentiality</w:t>
      </w:r>
      <w:r>
        <w:rPr>
          <w:rFonts w:ascii="Times New Roman" w:cs="Times New Roman" w:eastAsia="Times New Roman" w:hAnsi="Times New Roman"/>
          <w:sz w:val="18"/>
          <w:szCs w:val="18"/>
          <w:color w:val="auto"/>
        </w:rPr>
        <w:t>. Notwithstanding anything to the contrary herein, (i) Citibank acknowledges that this Master Confirmation may be intended to produce U.S. federal income tax benefits for Counterparty and (ii) Counterparty and Citibank hereby agree that (A) Counterparty is not obligated to Citibank to keep confidential from any and all persons or otherwise limit the use of any aspect of this Master Confirmation relating to the structure or tax aspects thereof, and (B) Citibank does not assert any claim of proprietary ownership in respect of any such aspect of this Master Confirmation. Citibank understands and agrees that Counterparty may describe this Master Confirmation and other related agreements in Counterparty’s Securities and Exchange Commission filings and that this Master Confirmation and other related agreements may be filed by Counterparty as an exhibit with Counterparty’s Securities and Exchange Commission filings.</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134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Wall Street Transparency and Accountability Act of 2010</w:t>
      </w:r>
      <w:r>
        <w:rPr>
          <w:rFonts w:ascii="Times New Roman" w:cs="Times New Roman" w:eastAsia="Times New Roman" w:hAnsi="Times New Roman"/>
          <w:sz w:val="18"/>
          <w:szCs w:val="18"/>
          <w:color w:val="auto"/>
        </w:rPr>
        <w:t>. The parties hereby agree that none of (i) Section 739 of the Wall Street Transparency and Accountability Act of 2010 (the “</w:t>
      </w:r>
      <w:r>
        <w:rPr>
          <w:rFonts w:ascii="Times New Roman" w:cs="Times New Roman" w:eastAsia="Times New Roman" w:hAnsi="Times New Roman"/>
          <w:sz w:val="18"/>
          <w:szCs w:val="18"/>
          <w:b w:val="1"/>
          <w:bCs w:val="1"/>
          <w:color w:val="auto"/>
        </w:rPr>
        <w:t>WSTAA</w:t>
      </w:r>
      <w:r>
        <w:rPr>
          <w:rFonts w:ascii="Times New Roman" w:cs="Times New Roman" w:eastAsia="Times New Roman" w:hAnsi="Times New Roman"/>
          <w:sz w:val="18"/>
          <w:szCs w:val="18"/>
          <w:color w:val="auto"/>
        </w:rPr>
        <w:t>”), (ii) any similar legal certainty provision included in any legislation enacted, or rule or regulation promulgated, on or after the Trade Date, (iii) the enactment of the WSTAA or any regulation under the WSTAA, (iv) any requirement under the WSTAA or (v) any amendment made by the WSTAA shall limit or otherwise impair either party’s right to terminate, renegotiate, modify, amend or supplement this Master Confirmation, any Supplemental Confirmation, any Transaction hereunder or thereunder, or the Agreement, as applicable, arising from a termination event, force majeure, illegality, increased cost, regulatory change or similar event under this Confirmation, the Equity Definitions or the Agreement (including, but not limited to, any right arising from any Change in Law, Insolvency Filing, Loss of Stock Borrow, Increased Cost of Stock Borrow, or Illegality (as defined in the Agreement)).</w:t>
      </w:r>
    </w:p>
    <w:p>
      <w:pPr>
        <w:spacing w:after="0" w:line="191" w:lineRule="exact"/>
        <w:rPr>
          <w:rFonts w:ascii="Times New Roman" w:cs="Times New Roman" w:eastAsia="Times New Roman" w:hAnsi="Times New Roman"/>
          <w:sz w:val="18"/>
          <w:szCs w:val="18"/>
          <w:color w:val="auto"/>
        </w:rPr>
      </w:pPr>
    </w:p>
    <w:p>
      <w:pPr>
        <w:jc w:val="both"/>
        <w:ind w:firstLine="656"/>
        <w:spacing w:after="0" w:line="256" w:lineRule="auto"/>
        <w:tabs>
          <w:tab w:leader="none" w:pos="125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Netting or Setoff</w:t>
      </w:r>
      <w:r>
        <w:rPr>
          <w:rFonts w:ascii="Times New Roman" w:cs="Times New Roman" w:eastAsia="Times New Roman" w:hAnsi="Times New Roman"/>
          <w:sz w:val="18"/>
          <w:szCs w:val="18"/>
          <w:color w:val="auto"/>
        </w:rPr>
        <w:t>. Obligations under any Transaction shall not be netted, recouped or set off (including pursuant to Section 6 of the Agreement) against any other obligations of the parties, whether arising under the Agreement, this Master Confirmation or any Supplemental Confirmation, or under any other agreement between the parties hereto, by operation of law or otherwise, and no other obligations of the parties shall be netted, recouped or set off (including pursuant to Section 6 of the Agreement) against obligations under any Transaction, whether arising under the Agreement, this Master Confirmation or any Supplemental Confirmation, or under any other agreement between the parties hereto, by operation of law or otherwise, and each party hereby waives any such right of setoff, netting or recoupment.</w:t>
      </w:r>
    </w:p>
    <w:p>
      <w:pPr>
        <w:spacing w:after="0" w:line="187" w:lineRule="exact"/>
        <w:rPr>
          <w:rFonts w:ascii="Times New Roman" w:cs="Times New Roman" w:eastAsia="Times New Roman" w:hAnsi="Times New Roman"/>
          <w:sz w:val="18"/>
          <w:szCs w:val="18"/>
          <w:color w:val="auto"/>
        </w:rPr>
      </w:pPr>
    </w:p>
    <w:p>
      <w:pPr>
        <w:jc w:val="both"/>
        <w:ind w:firstLine="656"/>
        <w:spacing w:after="0" w:line="253" w:lineRule="auto"/>
        <w:tabs>
          <w:tab w:leader="none" w:pos="119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Transfer; Designation</w:t>
      </w:r>
      <w:r>
        <w:rPr>
          <w:rFonts w:ascii="Times New Roman" w:cs="Times New Roman" w:eastAsia="Times New Roman" w:hAnsi="Times New Roman"/>
          <w:sz w:val="18"/>
          <w:szCs w:val="18"/>
          <w:color w:val="auto"/>
        </w:rPr>
        <w:t xml:space="preserve">. The rights and duties under this Master Confirmation may not be assigned or transferred by either party hereto without the prior written consent of the other party 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Citibank may designate any of its affiliates to purchase, sell, receive or deliver such shares or other securities and otherwise to perform Citibank’s obligations in respect of any Transaction hereunder and any such designee may assume such obligations without the written consent of Counterparty. Notwithstanding anything to the contrary herein or in the Agreement, Counterparty shall not be required to pay any additional amount under Section 2(d)(i)(4) of the Agreement in excess of any additional amount that would have been required to be paid to Dealer hereunder had there never been any transfer or assignment by Citibank of its rights and obligations hereunder. Notwithstanding anything to the contrary set forth herein or in the Agreement, any deduction or withholding for tax with respect to which no additional amount is payable solely by reason of the preceding sentence shall not give Citibank (including transferee or assignee) the right to terminate the Transaction under Section 6 of the Agreement. Citibank shall be discharged of its obligations to Counterparty solely to the extent of any such performance. For the avoidance of doubt, Citibank hereby acknowledges that notwithstanding any such designation hereunder, to the extent any of Citibank’s obligations in respect of any Transaction are not completed by its designee, Citibank shall be obligated to continue to perform or to cause any other of its designees to perform in respect of such obligations.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3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6723380</wp:posOffset>
            </wp:positionH>
            <wp:positionV relativeFrom="page">
              <wp:posOffset>586105</wp:posOffset>
            </wp:positionV>
            <wp:extent cx="617220" cy="411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617220" cy="411480"/>
                    </a:xfrm>
                    <a:prstGeom prst="rect">
                      <a:avLst/>
                    </a:prstGeom>
                    <a:noFill/>
                  </pic:spPr>
                </pic:pic>
              </a:graphicData>
            </a:graphic>
          </wp:anchor>
        </w:drawing>
      </w:r>
    </w:p>
    <w:p>
      <w:pPr>
        <w:jc w:val="both"/>
        <w:ind w:firstLine="656"/>
        <w:spacing w:after="0" w:line="258" w:lineRule="auto"/>
        <w:tabs>
          <w:tab w:leader="none" w:pos="118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Master Confirmation and any Supplemental Confirmation may be executed in any number of counterparts, all of which shall constitute one and the same instrument as to the related confirmation, and any party hereto or thereto may execute this Master Confirmation or such Supplemental Confirmation by signing and delivering one or more counterparts hereof or thereof. Delivery of an executed counterpart of a signature page of this Master Confirmation or any Supplemental Confirmation in Portable Document Format (PDF) or in another form of electronic facsimile shall be effective as delivery of a manually executed original counterpart hereof or thereof.</w:t>
      </w:r>
    </w:p>
    <w:p>
      <w:pPr>
        <w:spacing w:after="0" w:line="183" w:lineRule="exact"/>
        <w:rPr>
          <w:rFonts w:ascii="Times New Roman" w:cs="Times New Roman" w:eastAsia="Times New Roman" w:hAnsi="Times New Roman"/>
          <w:sz w:val="18"/>
          <w:szCs w:val="18"/>
          <w:color w:val="auto"/>
        </w:rPr>
      </w:pPr>
    </w:p>
    <w:p>
      <w:pPr>
        <w:jc w:val="both"/>
        <w:ind w:firstLine="656"/>
        <w:spacing w:after="0" w:line="255" w:lineRule="auto"/>
        <w:tabs>
          <w:tab w:leader="none" w:pos="129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10b-18</w:t>
      </w:r>
      <w:r>
        <w:rPr>
          <w:rFonts w:ascii="Times New Roman" w:cs="Times New Roman" w:eastAsia="Times New Roman" w:hAnsi="Times New Roman"/>
          <w:sz w:val="18"/>
          <w:szCs w:val="18"/>
          <w:color w:val="auto"/>
        </w:rPr>
        <w:t>. Notwithstanding anything to the contrary herein, but assuming compliance by Counterparty with the covenant set forth in Section 8 hereof, during the Settlement Period for any Transaction, Citibank agrees to (A) make all purchases of Shares in connection with such Transaction through only one broker or dealer and (B) use commercially reasonable efforts to make all purchases of Shares in connection with such Transaction in a manner that would comply with the limitations set forth in clauses (b)(2), (b)(3), (b)(4) and (c) of Rule 10b-18 as if such rule were applicable to such purchases and taking into account any applicable Securities and Exchange Commission no-action letters as appropriate, and subject to any delays between the execution and reporting of a trade of the Shares on the applicable securities exchange or quotation system and other circumstances beyond Citibank’s control.</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121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Section 13(b) of the Agreement is hereby amended by: (x) deleting in the second line of subparagraph (i)(2) thereof the word, “non-”; and (y) adding in the third line of subparagraph (i)(2) thereof before the semicolon, “and each party irrevocably agrees to designate any Proceedings brought in the courts of the State of New York as ‘commercial’ on the Request for Judicial Intervention seeking assignment to the Commercial Division of the Supreme Court”.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6723380</wp:posOffset>
            </wp:positionH>
            <wp:positionV relativeFrom="page">
              <wp:posOffset>586105</wp:posOffset>
            </wp:positionV>
            <wp:extent cx="617220" cy="4114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617220" cy="41148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7"/>
          <w:szCs w:val="17"/>
          <w:color w:val="auto"/>
        </w:rPr>
        <w:t>Please confirm your agreement to the foregoing by signing and returning to us the enclosed duplicate of this Master Confirmation.</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PETER BARNA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Peter Barna</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Authorized Representative –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agreed to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first above written,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Maurizio Nicolelli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CFO</w:t>
      </w: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6520180</wp:posOffset>
            </wp:positionH>
            <wp:positionV relativeFrom="paragraph">
              <wp:posOffset>154305</wp:posOffset>
            </wp:positionV>
            <wp:extent cx="617220" cy="4114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72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u w:val="single" w:color="auto"/>
          <w:color w:val="auto"/>
        </w:rPr>
        <w:t>ANNEX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itibank</w:t>
      </w:r>
      <w:r>
        <w:rPr>
          <w:rFonts w:ascii="Times New Roman" w:cs="Times New Roman" w:eastAsia="Times New Roman" w:hAnsi="Times New Roman"/>
          <w:sz w:val="18"/>
          <w:szCs w:val="18"/>
          <w:color w:val="auto"/>
        </w:rPr>
        <w:t>,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Equity Derivatives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390 Greenwich Street, 3rd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ExlService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320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Accelerated Share Repurchase: Supplemental Confirmation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Reference is made to the Master Confirmation between Citibank, N.A. (“</w:t>
      </w:r>
      <w:r>
        <w:rPr>
          <w:rFonts w:ascii="Times New Roman" w:cs="Times New Roman" w:eastAsia="Times New Roman" w:hAnsi="Times New Roman"/>
          <w:sz w:val="18"/>
          <w:szCs w:val="18"/>
          <w:u w:val="single" w:color="auto"/>
          <w:color w:val="auto"/>
        </w:rPr>
        <w:t>Citibank</w:t>
      </w:r>
      <w:r>
        <w:rPr>
          <w:rFonts w:ascii="Times New Roman" w:cs="Times New Roman" w:eastAsia="Times New Roman" w:hAnsi="Times New Roman"/>
          <w:sz w:val="18"/>
          <w:szCs w:val="18"/>
          <w:color w:val="auto"/>
        </w:rPr>
        <w:t>”) and ExlService Holdings, Inc. (“</w:t>
      </w:r>
      <w:r>
        <w:rPr>
          <w:rFonts w:ascii="Times New Roman" w:cs="Times New Roman" w:eastAsia="Times New Roman" w:hAnsi="Times New Roman"/>
          <w:sz w:val="18"/>
          <w:szCs w:val="18"/>
          <w:u w:val="single" w:color="auto"/>
          <w:color w:val="auto"/>
        </w:rPr>
        <w:t>Counterparty</w:t>
      </w:r>
      <w:r>
        <w:rPr>
          <w:rFonts w:ascii="Times New Roman" w:cs="Times New Roman" w:eastAsia="Times New Roman" w:hAnsi="Times New Roman"/>
          <w:sz w:val="18"/>
          <w:szCs w:val="18"/>
          <w:color w:val="auto"/>
        </w:rPr>
        <w:t>”) dated March 15, 2024 (as amended or modified from time to time, the “</w:t>
      </w:r>
      <w:r>
        <w:rPr>
          <w:rFonts w:ascii="Times New Roman" w:cs="Times New Roman" w:eastAsia="Times New Roman" w:hAnsi="Times New Roman"/>
          <w:sz w:val="18"/>
          <w:szCs w:val="18"/>
          <w:u w:val="single" w:color="auto"/>
          <w:color w:val="auto"/>
        </w:rPr>
        <w:t>Master Confirmation</w:t>
      </w:r>
      <w:r>
        <w:rPr>
          <w:rFonts w:ascii="Times New Roman" w:cs="Times New Roman" w:eastAsia="Times New Roman" w:hAnsi="Times New Roman"/>
          <w:sz w:val="18"/>
          <w:szCs w:val="18"/>
          <w:color w:val="auto"/>
        </w:rPr>
        <w:t>”). Capitalized terms used without definition in this Supplemental Confirmation have the definitions assigned to them in the Master Confirmation.</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Supplemental Confirmation confirms the terms and conditions of the Transaction entered into between Citibank and Counterparty on the Trade Date specified below. This Supplemental Confirmation is a binding contract between Citibank and Counterparty as of the relevant Trade Date for the Transaction referenced below. Citibank is acting as principal in this Transaction.</w:t>
      </w:r>
    </w:p>
    <w:p>
      <w:pPr>
        <w:spacing w:after="0" w:line="176" w:lineRule="exact"/>
        <w:rPr>
          <w:sz w:val="20"/>
          <w:szCs w:val="20"/>
          <w:color w:val="auto"/>
        </w:rPr>
      </w:pPr>
    </w:p>
    <w:p>
      <w:pPr>
        <w:ind w:right="20" w:firstLine="332"/>
        <w:spacing w:after="0" w:line="282" w:lineRule="auto"/>
        <w:tabs>
          <w:tab w:leader="none" w:pos="78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Supplemental Confirmation supplements, forms part of, and is subject to the Master Confirmation. All provisions contained in the Master Confirmation govern this Supplemental Confirmation except as expressly modified below.</w:t>
      </w:r>
    </w:p>
    <w:p>
      <w:pPr>
        <w:spacing w:after="0" w:line="161" w:lineRule="exact"/>
        <w:rPr>
          <w:rFonts w:ascii="Times New Roman" w:cs="Times New Roman" w:eastAsia="Times New Roman" w:hAnsi="Times New Roman"/>
          <w:sz w:val="18"/>
          <w:szCs w:val="18"/>
          <w:color w:val="auto"/>
        </w:rPr>
      </w:pPr>
    </w:p>
    <w:p>
      <w:pPr>
        <w:ind w:left="740" w:hanging="408"/>
        <w:spacing w:after="0"/>
        <w:tabs>
          <w:tab w:leader="none" w:pos="7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terms of the Transaction to which this Supplemental Confirmation relates are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16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508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Prepayment Amount:</w:t>
            </w:r>
          </w:p>
        </w:tc>
        <w:tc>
          <w:tcPr>
            <w:tcW w:w="16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USD [</w:t>
            </w:r>
          </w:p>
        </w:tc>
        <w:tc>
          <w:tcPr>
            <w:tcW w:w="5080" w:type="dxa"/>
            <w:vAlign w:val="bottom"/>
          </w:tcPr>
          <w:p>
            <w:pPr>
              <w:jc w:val="right"/>
              <w:ind w:right="487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Prepayment Date:</w:t>
            </w:r>
          </w:p>
        </w:tc>
        <w:tc>
          <w:tcPr>
            <w:tcW w:w="16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508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Reference Price Adjustment Amount:</w:t>
            </w:r>
          </w:p>
        </w:tc>
        <w:tc>
          <w:tcPr>
            <w:tcW w:w="16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USD [</w:t>
            </w:r>
          </w:p>
        </w:tc>
        <w:tc>
          <w:tcPr>
            <w:tcW w:w="508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First Optional Termination Date:</w:t>
            </w:r>
          </w:p>
        </w:tc>
        <w:tc>
          <w:tcPr>
            <w:tcW w:w="16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508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Scheduled Termination Date:</w:t>
            </w:r>
          </w:p>
        </w:tc>
        <w:tc>
          <w:tcPr>
            <w:tcW w:w="16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508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Initial Share Number:</w:t>
            </w:r>
          </w:p>
        </w:tc>
        <w:tc>
          <w:tcPr>
            <w:tcW w:w="16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5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Shares; provided that if, in connection with the Transaction,</w:t>
            </w:r>
          </w:p>
        </w:tc>
      </w:tr>
    </w:tbl>
    <w:p>
      <w:pPr>
        <w:ind w:left="5620"/>
        <w:spacing w:after="0"/>
        <w:rPr>
          <w:sz w:val="20"/>
          <w:szCs w:val="20"/>
          <w:color w:val="auto"/>
        </w:rPr>
      </w:pPr>
      <w:r>
        <w:rPr>
          <w:rFonts w:ascii="Times New Roman" w:cs="Times New Roman" w:eastAsia="Times New Roman" w:hAnsi="Times New Roman"/>
          <w:sz w:val="18"/>
          <w:szCs w:val="18"/>
          <w:color w:val="auto"/>
        </w:rPr>
        <w:t>Citibank is unable to borrow or otherwise acquire a number of Shares equal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to the Initial Share Number for delivery to Counterparty on the Initial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Settlement Date in connection with establishing a commercially reasonable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Hedge Position in a commercially reasonable manner, the Initial Share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Number shall be reduced to such number of Shares that Citibank is able to so</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borrow or otherwise acquire; provided, further, that if the Initial Shares are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reduced as provided in the preceding proviso, then Citibank shall use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commercially reasonable efforts to borrow or otherwise acquire an additional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number of Shares equal to the shortfall in the Initial Shares delivered on the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Initial Share Delivery Date and shall deliver such additional Shares as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promptly as practicable, and all Shares so delivered shall be considered Initial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Shares. All Shares delivered to Counterparty in respect of the Transaction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pursuant to this paragraph shall be the “Initial Shares” for purposes of</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“Number of Shares to be Delivered” in the Master Confirmation.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6723380</wp:posOffset>
            </wp:positionH>
            <wp:positionV relativeFrom="page">
              <wp:posOffset>586105</wp:posOffset>
            </wp:positionV>
            <wp:extent cx="617220" cy="4114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617220" cy="4114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Initial Settlement Date:</w:t>
            </w:r>
          </w:p>
        </w:tc>
        <w:tc>
          <w:tcPr>
            <w:tcW w:w="19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Ordinary Dividend:</w:t>
            </w:r>
          </w:p>
        </w:tc>
        <w:tc>
          <w:tcPr>
            <w:tcW w:w="216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USD [__]</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Scheduled Ex-Dividend Date:</w:t>
            </w:r>
          </w:p>
        </w:tc>
        <w:tc>
          <w:tcPr>
            <w:tcW w:w="19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Additional Relevant Days:</w:t>
            </w:r>
          </w:p>
        </w:tc>
        <w:tc>
          <w:tcPr>
            <w:tcW w:w="19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Termination Price:</w:t>
            </w:r>
          </w:p>
        </w:tc>
        <w:tc>
          <w:tcPr>
            <w:tcW w:w="19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USD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Reserved Shares:</w:t>
            </w:r>
          </w:p>
        </w:tc>
        <w:tc>
          <w:tcPr>
            <w:tcW w:w="19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1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Annex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1440" w:right="1440" w:bottom="1440" w:gutter="0" w:footer="0" w:header="0"/>
        </w:sectPr>
      </w:pPr>
    </w:p>
    <w:bookmarkStart w:id="30" w:name="page31"/>
    <w:bookmarkEnd w:id="30"/>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6723380</wp:posOffset>
            </wp:positionH>
            <wp:positionV relativeFrom="page">
              <wp:posOffset>586105</wp:posOffset>
            </wp:positionV>
            <wp:extent cx="617220" cy="4114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617220" cy="4114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Please indicate your acknowledgment of the above by signing and returning to us a copy of this Supplemental Confirmation.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2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2143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Annex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6520180</wp:posOffset>
            </wp:positionH>
            <wp:positionV relativeFrom="paragraph">
              <wp:posOffset>154305</wp:posOffset>
            </wp:positionV>
            <wp:extent cx="617220" cy="4114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72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u w:val="single" w:color="auto"/>
          <w:color w:val="auto"/>
        </w:rPr>
        <w:t>ANNEX B</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Counterparty Settlement Provisions</w:t>
      </w:r>
    </w:p>
    <w:p>
      <w:pPr>
        <w:spacing w:after="0" w:line="229" w:lineRule="exact"/>
        <w:rPr>
          <w:sz w:val="20"/>
          <w:szCs w:val="20"/>
          <w:color w:val="auto"/>
        </w:rPr>
      </w:pPr>
    </w:p>
    <w:p>
      <w:pPr>
        <w:ind w:left="1320" w:hanging="664"/>
        <w:spacing w:after="0"/>
        <w:tabs>
          <w:tab w:leader="none" w:pos="1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Counterparty Settlement Provisions shall apply to the extent indicated under the Master Confirmation:</w:t>
      </w:r>
    </w:p>
    <w:p>
      <w:pPr>
        <w:spacing w:after="0" w:line="225"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Settlement Currency:</w:t>
            </w:r>
          </w:p>
        </w:tc>
        <w:tc>
          <w:tcPr>
            <w:tcW w:w="760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USD</w:t>
            </w:r>
          </w:p>
        </w:tc>
      </w:tr>
      <w:tr>
        <w:trPr>
          <w:trHeight w:val="41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Settlement Method Election:</w:t>
            </w:r>
          </w:p>
        </w:tc>
        <w:tc>
          <w:tcPr>
            <w:tcW w:w="760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Section 7.1 of the Equity Definitions is hereby amended by deleting the</w:t>
            </w:r>
          </w:p>
        </w:tc>
      </w:tr>
      <w:tr>
        <w:trPr>
          <w:trHeight w:val="194"/>
        </w:trPr>
        <w:tc>
          <w:tcPr>
            <w:tcW w:w="2340" w:type="dxa"/>
            <w:vAlign w:val="bottom"/>
          </w:tcPr>
          <w:p>
            <w:pPr>
              <w:spacing w:after="0"/>
              <w:rPr>
                <w:sz w:val="16"/>
                <w:szCs w:val="16"/>
                <w:color w:val="auto"/>
              </w:rPr>
            </w:pPr>
          </w:p>
        </w:tc>
        <w:tc>
          <w:tcPr>
            <w:tcW w:w="7600" w:type="dxa"/>
            <w:vAlign w:val="bottom"/>
            <w:gridSpan w:val="5"/>
          </w:tcPr>
          <w:p>
            <w:pPr>
              <w:ind w:left="260"/>
              <w:spacing w:after="0" w:line="194" w:lineRule="exact"/>
              <w:rPr>
                <w:sz w:val="20"/>
                <w:szCs w:val="20"/>
                <w:color w:val="auto"/>
              </w:rPr>
            </w:pPr>
            <w:r>
              <w:rPr>
                <w:rFonts w:ascii="Times New Roman" w:cs="Times New Roman" w:eastAsia="Times New Roman" w:hAnsi="Times New Roman"/>
                <w:sz w:val="18"/>
                <w:szCs w:val="18"/>
                <w:color w:val="auto"/>
              </w:rPr>
              <w:t>word “Physical” in the sixth line thereof and replacing it with the words “Net Share” and (ii) the</w:t>
            </w:r>
          </w:p>
        </w:tc>
      </w:tr>
      <w:tr>
        <w:trPr>
          <w:trHeight w:val="20"/>
        </w:trPr>
        <w:tc>
          <w:tcPr>
            <w:tcW w:w="2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8"/>
        </w:trPr>
        <w:tc>
          <w:tcPr>
            <w:tcW w:w="2340" w:type="dxa"/>
            <w:vAlign w:val="bottom"/>
          </w:tcPr>
          <w:p>
            <w:pPr>
              <w:spacing w:after="0"/>
              <w:rPr>
                <w:sz w:val="18"/>
                <w:szCs w:val="18"/>
                <w:color w:val="auto"/>
              </w:rPr>
            </w:pPr>
          </w:p>
        </w:tc>
        <w:tc>
          <w:tcPr>
            <w:tcW w:w="760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Electing Party may make a settlement method election only if the Electing Party represents and</w:t>
            </w:r>
          </w:p>
        </w:tc>
      </w:tr>
      <w:tr>
        <w:trPr>
          <w:trHeight w:val="216"/>
        </w:trPr>
        <w:tc>
          <w:tcPr>
            <w:tcW w:w="2340" w:type="dxa"/>
            <w:vAlign w:val="bottom"/>
          </w:tcPr>
          <w:p>
            <w:pPr>
              <w:spacing w:after="0"/>
              <w:rPr>
                <w:sz w:val="18"/>
                <w:szCs w:val="18"/>
                <w:color w:val="auto"/>
              </w:rPr>
            </w:pPr>
          </w:p>
        </w:tc>
        <w:tc>
          <w:tcPr>
            <w:tcW w:w="760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warrants to Citibank in writing on the date it notifies Citibank of its election that, as of such date, the</w:t>
            </w:r>
          </w:p>
        </w:tc>
      </w:tr>
      <w:tr>
        <w:trPr>
          <w:trHeight w:val="216"/>
        </w:trPr>
        <w:tc>
          <w:tcPr>
            <w:tcW w:w="2340" w:type="dxa"/>
            <w:vAlign w:val="bottom"/>
          </w:tcPr>
          <w:p>
            <w:pPr>
              <w:spacing w:after="0"/>
              <w:rPr>
                <w:sz w:val="18"/>
                <w:szCs w:val="18"/>
                <w:color w:val="auto"/>
              </w:rPr>
            </w:pPr>
          </w:p>
        </w:tc>
        <w:tc>
          <w:tcPr>
            <w:tcW w:w="760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Electing Party is not aware of any material non-public information concerning Counterparty or the</w:t>
            </w:r>
          </w:p>
        </w:tc>
      </w:tr>
      <w:tr>
        <w:trPr>
          <w:trHeight w:val="216"/>
        </w:trPr>
        <w:tc>
          <w:tcPr>
            <w:tcW w:w="2340" w:type="dxa"/>
            <w:vAlign w:val="bottom"/>
          </w:tcPr>
          <w:p>
            <w:pPr>
              <w:spacing w:after="0"/>
              <w:rPr>
                <w:sz w:val="18"/>
                <w:szCs w:val="18"/>
                <w:color w:val="auto"/>
              </w:rPr>
            </w:pPr>
          </w:p>
        </w:tc>
        <w:tc>
          <w:tcPr>
            <w:tcW w:w="760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Shares and is electing the settlement method in good faith and not as part of a plan or scheme to</w:t>
            </w:r>
          </w:p>
        </w:tc>
      </w:tr>
      <w:tr>
        <w:trPr>
          <w:trHeight w:val="234"/>
        </w:trPr>
        <w:tc>
          <w:tcPr>
            <w:tcW w:w="2340" w:type="dxa"/>
            <w:vAlign w:val="bottom"/>
          </w:tcPr>
          <w:p>
            <w:pPr>
              <w:spacing w:after="0"/>
              <w:rPr>
                <w:sz w:val="20"/>
                <w:szCs w:val="20"/>
                <w:color w:val="auto"/>
              </w:rPr>
            </w:pPr>
          </w:p>
        </w:tc>
        <w:tc>
          <w:tcPr>
            <w:tcW w:w="760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evade compliance with the federal securities laws.</w:t>
            </w:r>
          </w:p>
        </w:tc>
      </w:tr>
      <w:tr>
        <w:trPr>
          <w:trHeight w:val="432"/>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Electing Party:</w:t>
            </w:r>
          </w:p>
        </w:tc>
        <w:tc>
          <w:tcPr>
            <w:tcW w:w="760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Counterparty</w:t>
            </w:r>
          </w:p>
        </w:tc>
      </w:tr>
    </w:tbl>
    <w:p>
      <w:pPr>
        <w:spacing w:after="0" w:line="198" w:lineRule="exact"/>
        <w:rPr>
          <w:sz w:val="20"/>
          <w:szCs w:val="20"/>
          <w:color w:val="auto"/>
        </w:rPr>
      </w:pPr>
    </w:p>
    <w:p>
      <w:pPr>
        <w:jc w:val="both"/>
        <w:ind w:left="3900" w:hanging="2591"/>
        <w:spacing w:after="0" w:line="261" w:lineRule="auto"/>
        <w:rPr>
          <w:sz w:val="20"/>
          <w:szCs w:val="20"/>
          <w:color w:val="auto"/>
        </w:rPr>
      </w:pPr>
      <w:r>
        <w:rPr>
          <w:rFonts w:ascii="Times New Roman" w:cs="Times New Roman" w:eastAsia="Times New Roman" w:hAnsi="Times New Roman"/>
          <w:sz w:val="18"/>
          <w:szCs w:val="18"/>
          <w:color w:val="auto"/>
        </w:rPr>
        <w:t>Settlement Method Election Date: The earlier of (i) the Scheduled Termination Date and (ii) the second Exchange Business Day immediately following the First Optional Termination Date (in which case the election under Section 7.1 of the Equity Definitions shall be made no later than 10 minutes prior to the open of trading on the Exchange on such second Exchange Business Day), as the case may be.</w:t>
      </w:r>
    </w:p>
    <w:p>
      <w:pPr>
        <w:spacing w:after="0" w:line="180" w:lineRule="exact"/>
        <w:rPr>
          <w:sz w:val="20"/>
          <w:szCs w:val="20"/>
          <w:color w:val="auto"/>
        </w:rPr>
      </w:pPr>
    </w:p>
    <w:p>
      <w:pPr>
        <w:ind w:left="1300"/>
        <w:spacing w:after="0"/>
        <w:tabs>
          <w:tab w:leader="none" w:pos="3880" w:val="left"/>
        </w:tabs>
        <w:rPr>
          <w:sz w:val="20"/>
          <w:szCs w:val="20"/>
          <w:color w:val="auto"/>
        </w:rPr>
      </w:pPr>
      <w:r>
        <w:rPr>
          <w:rFonts w:ascii="Times New Roman" w:cs="Times New Roman" w:eastAsia="Times New Roman" w:hAnsi="Times New Roman"/>
          <w:sz w:val="18"/>
          <w:szCs w:val="18"/>
          <w:color w:val="auto"/>
        </w:rPr>
        <w:t>Default Settlement Method:</w:t>
      </w:r>
      <w:r>
        <w:rPr>
          <w:sz w:val="20"/>
          <w:szCs w:val="20"/>
          <w:color w:val="auto"/>
        </w:rPr>
        <w:tab/>
      </w:r>
      <w:r>
        <w:rPr>
          <w:rFonts w:ascii="Times New Roman" w:cs="Times New Roman" w:eastAsia="Times New Roman" w:hAnsi="Times New Roman"/>
          <w:sz w:val="18"/>
          <w:szCs w:val="18"/>
          <w:color w:val="auto"/>
        </w:rPr>
        <w:t>Cash Settlement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Forward Cash Settlement Amount: The Number of Shares to be Delivered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the Settlement Price.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Settlement Price:</w:t>
            </w:r>
          </w:p>
        </w:tc>
        <w:tc>
          <w:tcPr>
            <w:tcW w:w="79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An amount equal to the average of the Rule 10b-18 VWAPs for the Exchange Business Days in the</w:t>
            </w:r>
          </w:p>
        </w:tc>
      </w:tr>
      <w:tr>
        <w:trPr>
          <w:trHeight w:val="194"/>
        </w:trPr>
        <w:tc>
          <w:tcPr>
            <w:tcW w:w="3260" w:type="dxa"/>
            <w:vAlign w:val="bottom"/>
          </w:tcPr>
          <w:p>
            <w:pPr>
              <w:spacing w:after="0"/>
              <w:rPr>
                <w:sz w:val="16"/>
                <w:szCs w:val="16"/>
                <w:color w:val="auto"/>
              </w:rPr>
            </w:pPr>
          </w:p>
        </w:tc>
        <w:tc>
          <w:tcPr>
            <w:tcW w:w="7980" w:type="dxa"/>
            <w:vAlign w:val="bottom"/>
            <w:gridSpan w:val="3"/>
          </w:tcPr>
          <w:p>
            <w:pPr>
              <w:ind w:left="640"/>
              <w:spacing w:after="0" w:line="194" w:lineRule="exact"/>
              <w:rPr>
                <w:sz w:val="20"/>
                <w:szCs w:val="20"/>
                <w:color w:val="auto"/>
              </w:rPr>
            </w:pPr>
            <w:r>
              <w:rPr>
                <w:rFonts w:ascii="Times New Roman" w:cs="Times New Roman" w:eastAsia="Times New Roman" w:hAnsi="Times New Roman"/>
                <w:sz w:val="18"/>
                <w:szCs w:val="18"/>
                <w:color w:val="auto"/>
              </w:rPr>
              <w:t>Settlement Period plus a commercially reasonable commission, subject to Pricing Disruption as</w:t>
            </w:r>
          </w:p>
        </w:tc>
      </w:tr>
      <w:tr>
        <w:trPr>
          <w:trHeight w:val="20"/>
        </w:trPr>
        <w:tc>
          <w:tcPr>
            <w:tcW w:w="3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r>
      <w:tr>
        <w:trPr>
          <w:trHeight w:val="237"/>
        </w:trPr>
        <w:tc>
          <w:tcPr>
            <w:tcW w:w="3260" w:type="dxa"/>
            <w:vAlign w:val="bottom"/>
          </w:tcPr>
          <w:p>
            <w:pPr>
              <w:spacing w:after="0"/>
              <w:rPr>
                <w:sz w:val="20"/>
                <w:szCs w:val="20"/>
                <w:color w:val="auto"/>
              </w:rPr>
            </w:pPr>
          </w:p>
        </w:tc>
        <w:tc>
          <w:tcPr>
            <w:tcW w:w="79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specified in the Master Confirmation.</w:t>
            </w:r>
          </w:p>
        </w:tc>
      </w:tr>
      <w:tr>
        <w:trPr>
          <w:trHeight w:val="414"/>
        </w:trPr>
        <w:tc>
          <w:tcPr>
            <w:tcW w:w="32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Settlement Period:</w:t>
            </w:r>
          </w:p>
        </w:tc>
        <w:tc>
          <w:tcPr>
            <w:tcW w:w="79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A  number  of  consecutive  Scheduled  Trading  Days  selected  by  Citibank  in  its  good  faith</w:t>
            </w:r>
          </w:p>
        </w:tc>
      </w:tr>
      <w:tr>
        <w:trPr>
          <w:trHeight w:val="216"/>
        </w:trPr>
        <w:tc>
          <w:tcPr>
            <w:tcW w:w="3260" w:type="dxa"/>
            <w:vAlign w:val="bottom"/>
          </w:tcPr>
          <w:p>
            <w:pPr>
              <w:spacing w:after="0"/>
              <w:rPr>
                <w:sz w:val="18"/>
                <w:szCs w:val="18"/>
                <w:color w:val="auto"/>
              </w:rPr>
            </w:pPr>
          </w:p>
        </w:tc>
        <w:tc>
          <w:tcPr>
            <w:tcW w:w="79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commercially  reasonable  discretion  to  close  out  a  commercially  reasonable  Hedge  Position,</w:t>
            </w:r>
          </w:p>
        </w:tc>
      </w:tr>
      <w:tr>
        <w:trPr>
          <w:trHeight w:val="216"/>
        </w:trPr>
        <w:tc>
          <w:tcPr>
            <w:tcW w:w="3260" w:type="dxa"/>
            <w:vAlign w:val="bottom"/>
          </w:tcPr>
          <w:p>
            <w:pPr>
              <w:spacing w:after="0"/>
              <w:rPr>
                <w:sz w:val="18"/>
                <w:szCs w:val="18"/>
                <w:color w:val="auto"/>
              </w:rPr>
            </w:pPr>
          </w:p>
        </w:tc>
        <w:tc>
          <w:tcPr>
            <w:tcW w:w="79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beginning on the Scheduled Trading Day immediately following the earlier of (i) the Scheduled</w:t>
            </w:r>
          </w:p>
        </w:tc>
      </w:tr>
      <w:tr>
        <w:trPr>
          <w:trHeight w:val="234"/>
        </w:trPr>
        <w:tc>
          <w:tcPr>
            <w:tcW w:w="3260" w:type="dxa"/>
            <w:vAlign w:val="bottom"/>
          </w:tcPr>
          <w:p>
            <w:pPr>
              <w:spacing w:after="0"/>
              <w:rPr>
                <w:sz w:val="20"/>
                <w:szCs w:val="20"/>
                <w:color w:val="auto"/>
              </w:rPr>
            </w:pPr>
          </w:p>
        </w:tc>
        <w:tc>
          <w:tcPr>
            <w:tcW w:w="79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Termination Date and (ii) the date Citibank delivers notice of the Pricing Period Termination Date.</w:t>
            </w:r>
          </w:p>
        </w:tc>
      </w:tr>
      <w:tr>
        <w:trPr>
          <w:trHeight w:val="648"/>
        </w:trPr>
        <w:tc>
          <w:tcPr>
            <w:tcW w:w="326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gridSpan w:val="3"/>
          </w:tcPr>
          <w:p>
            <w:pPr>
              <w:ind w:left="1960"/>
              <w:spacing w:after="0"/>
              <w:rPr>
                <w:sz w:val="20"/>
                <w:szCs w:val="20"/>
                <w:color w:val="auto"/>
              </w:rPr>
            </w:pPr>
            <w:r>
              <w:rPr>
                <w:rFonts w:ascii="Times New Roman" w:cs="Times New Roman" w:eastAsia="Times New Roman" w:hAnsi="Times New Roman"/>
                <w:sz w:val="18"/>
                <w:szCs w:val="18"/>
                <w:color w:val="auto"/>
              </w:rPr>
              <w:t>Annex B-1</w:t>
            </w:r>
          </w:p>
        </w:tc>
      </w:tr>
    </w:tbl>
    <w:p>
      <w:pPr>
        <w:sectPr>
          <w:pgSz w:w="11900" w:h="16838" w:orient="portrait"/>
          <w:cols w:equalWidth="0" w:num="1">
            <w:col w:w="11240"/>
          </w:cols>
          <w:pgMar w:left="320" w:top="904" w:right="339" w:bottom="1440" w:gutter="0" w:footer="0" w:header="0"/>
        </w:sectPr>
      </w:pPr>
    </w:p>
    <w:bookmarkStart w:id="32" w:name="page33"/>
    <w:bookmarkEnd w:id="32"/>
    <w:p>
      <w:pPr>
        <w:spacing w:after="0" w:line="32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7"/>
          <w:szCs w:val="17"/>
          <w:color w:val="auto"/>
        </w:rPr>
        <w:t>Cash Settlement:</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Cash Settlement is applicable, then Counterparty shall pay to Citibank the absolute value of the Forward Cash Settlement Amount on the Cash Settlement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4043680</wp:posOffset>
            </wp:positionH>
            <wp:positionV relativeFrom="paragraph">
              <wp:posOffset>-845185</wp:posOffset>
            </wp:positionV>
            <wp:extent cx="617220" cy="4114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7220" cy="411480"/>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3180" w:space="720"/>
            <w:col w:w="7340"/>
          </w:cols>
          <w:pgMar w:left="320" w:top="1440" w:right="339" w:bottom="1440" w:gutter="0" w:footer="0" w:header="0"/>
        </w:sectPr>
      </w:pPr>
    </w:p>
    <w:p>
      <w:pPr>
        <w:ind w:left="1300"/>
        <w:spacing w:after="0"/>
        <w:rPr>
          <w:sz w:val="20"/>
          <w:szCs w:val="20"/>
          <w:color w:val="auto"/>
        </w:rPr>
      </w:pPr>
      <w:r>
        <w:rPr>
          <w:rFonts w:ascii="Times New Roman" w:cs="Times New Roman" w:eastAsia="Times New Roman" w:hAnsi="Times New Roman"/>
          <w:sz w:val="17"/>
          <w:szCs w:val="17"/>
          <w:color w:val="auto"/>
        </w:rPr>
        <w:t>Cash Settlement Payment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date one Settlement Cycle following the last day of the Settlement Period.</w:t>
      </w:r>
    </w:p>
    <w:p>
      <w:pPr>
        <w:spacing w:after="0" w:line="200" w:lineRule="exact"/>
        <w:rPr>
          <w:sz w:val="20"/>
          <w:szCs w:val="20"/>
          <w:color w:val="auto"/>
        </w:rPr>
      </w:pPr>
    </w:p>
    <w:p>
      <w:pPr>
        <w:sectPr>
          <w:pgSz w:w="11900" w:h="16838" w:orient="portrait"/>
          <w:cols w:equalWidth="0" w:num="2">
            <w:col w:w="3580" w:space="320"/>
            <w:col w:w="7340"/>
          </w:cols>
          <w:pgMar w:left="320" w:top="1440" w:right="339" w:bottom="1440" w:gutter="0" w:footer="0" w:header="0"/>
          <w:type w:val="continuous"/>
        </w:sectPr>
      </w:pPr>
    </w:p>
    <w:p>
      <w:pPr>
        <w:spacing w:after="0" w:line="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Net Share Settlement Procedures: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If Net Share Settlement is applicable, Net Share Settlement shall be made in accordance with paragraphs 2 through 7 below.</w:t>
      </w:r>
    </w:p>
    <w:p>
      <w:pPr>
        <w:spacing w:after="0" w:line="162" w:lineRule="exact"/>
        <w:rPr>
          <w:sz w:val="20"/>
          <w:szCs w:val="20"/>
          <w:color w:val="auto"/>
        </w:rPr>
      </w:pPr>
    </w:p>
    <w:p>
      <w:pPr>
        <w:sectPr>
          <w:pgSz w:w="11900" w:h="16838" w:orient="portrait"/>
          <w:cols w:equalWidth="0" w:num="2">
            <w:col w:w="3720" w:space="180"/>
            <w:col w:w="7340"/>
          </w:cols>
          <w:pgMar w:left="320" w:top="1440" w:right="339" w:bottom="1440" w:gutter="0" w:footer="0" w:header="0"/>
          <w:type w:val="continuous"/>
        </w:sectPr>
      </w:pPr>
    </w:p>
    <w:p>
      <w:pPr>
        <w:jc w:val="both"/>
        <w:ind w:firstLine="656"/>
        <w:spacing w:after="0" w:line="256" w:lineRule="auto"/>
        <w:tabs>
          <w:tab w:leader="none" w:pos="133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Share Settlement shall be made by delivery on the Cash Settlement Payment Date of a number of Shares satisfying the conditions set forth in paragraph 3 below (the “</w:t>
      </w:r>
      <w:r>
        <w:rPr>
          <w:rFonts w:ascii="Times New Roman" w:cs="Times New Roman" w:eastAsia="Times New Roman" w:hAnsi="Times New Roman"/>
          <w:sz w:val="18"/>
          <w:szCs w:val="18"/>
          <w:u w:val="single" w:color="auto"/>
          <w:color w:val="auto"/>
        </w:rPr>
        <w:t>Registered Settlement Shares</w:t>
      </w:r>
      <w:r>
        <w:rPr>
          <w:rFonts w:ascii="Times New Roman" w:cs="Times New Roman" w:eastAsia="Times New Roman" w:hAnsi="Times New Roman"/>
          <w:sz w:val="18"/>
          <w:szCs w:val="18"/>
          <w:color w:val="auto"/>
        </w:rPr>
        <w:t>”), or a number of Shares not satisfying such conditions (the “</w:t>
      </w:r>
      <w:r>
        <w:rPr>
          <w:rFonts w:ascii="Times New Roman" w:cs="Times New Roman" w:eastAsia="Times New Roman" w:hAnsi="Times New Roman"/>
          <w:sz w:val="18"/>
          <w:szCs w:val="18"/>
          <w:u w:val="single" w:color="auto"/>
          <w:color w:val="auto"/>
        </w:rPr>
        <w:t>Unregistered Settlement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in either case with a value equal to 100% of the absolute value of the Forward Cash Settlement Amount (which value shall, in the case of Unregistered Settlement Shares, take into account a commercially reasonable illiquidity discount), in each case as determined by the Calculation Agent. Notwithstanding Counterparty’s election of Net Share Settlement, if all of the conditions for delivery of either Registered Settlement Shares or Unregistered Settlement Shares have not been met, Cash Settlement shall be applicable in accordance with paragraph 1 above.</w:t>
      </w:r>
    </w:p>
    <w:p>
      <w:pPr>
        <w:spacing w:after="0" w:line="187"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may only deliver Registered Settlement Shares pursuant to paragraph 2 above if:</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9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statement covering public resale of the Registered Settlement Shares by Citibank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shall have been filed with the Securities and Exchange Commission under the Securities Act and been declared or otherwise become effective on or prior to the date of delivery, and no stop order shall be in effect with respect to the Registration Statement; a printed prospectus relating to the Registered Settlement Shares (including, without limitation, any prospectus supplement thereto,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shall have been delivered to Citibank, in such quantities as Citibank shall reasonably have requested, on or prior to the date of delivery;</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213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and content of the Registration Statement and the Prospectus (including, without limitation, any sections describing the plan of distribution) shall be satisfactory to Citibank;</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5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or prior to the date of delivery, Citibank and its agents shall have been afforded a reasonable opportunity to conduct a due diligence investigation with respect to Counterparty customary in scope for underwritten offerings of equity securities and the results of such investigation shall be satisfactory to Citibank, in its discretion; and</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31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delivery, an agreement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shall have been entered into with Citibank in connection with the public resale of the Registered Settlement Shares by Citibank substantially similar to underwriting agreements customary for underwritten offerings of equity securities, in form and substance satisfactory to Citibank, which Underwriting Agreement shall include, without limitation, provisions substantially similar to those contained in such underwriting agreements relating, without limitation, to the indemnification of, and contribution in connection with the liability of, Citibank and its affiliates and the provision of customary opinions, accountants’ comfort letters and lawyers’ negative assurance letters.</w:t>
      </w:r>
    </w:p>
    <w:p>
      <w:pPr>
        <w:spacing w:after="0" w:line="187"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Counterparty delivers Unregistered Settlement Shares pursuant to paragraph 2 above:</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06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Unregistered Settlement Shares shall be delivered to Citibank (or any affiliate of Citibank designated by Citibank) pursuant to the exemption from the registration requirements of the Securities Act provided by Section 4(a)(2) thereof;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3" w:name="page34"/>
    <w:bookmarkEnd w:id="33"/>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6723380</wp:posOffset>
            </wp:positionH>
            <wp:positionV relativeFrom="page">
              <wp:posOffset>586105</wp:posOffset>
            </wp:positionV>
            <wp:extent cx="617220" cy="4114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617220" cy="411480"/>
                    </a:xfrm>
                    <a:prstGeom prst="rect">
                      <a:avLst/>
                    </a:prstGeom>
                    <a:noFill/>
                  </pic:spPr>
                </pic:pic>
              </a:graphicData>
            </a:graphic>
          </wp:anchor>
        </w:drawing>
      </w:r>
    </w:p>
    <w:p>
      <w:pPr>
        <w:jc w:val="both"/>
        <w:ind w:firstLine="1304"/>
        <w:spacing w:after="0" w:line="256" w:lineRule="auto"/>
        <w:tabs>
          <w:tab w:leader="none" w:pos="208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or prior to the date of delivery, Citibank and any potential purchaser of any such shares from Citibank (or any affiliate of Citibank designated by Citibank) identified by Citibank shall be afforded a commercially reasonable opportunity to conduct a due diligence investigation with respect to Counterparty customary in scope for private placements of equity securities for companies of similar size (including, without limitation, the right to have made available to them for inspection all financial and other records, pertinent corporate documents and other information reasonably requested by them) and the results of such investigation shall be satisfactory to Citibank or such potential purchaser, as the case may be, in its good faith commercially reasonable discretion;</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6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delivery, Counterparty shall enter into an agreement (a “</w:t>
      </w:r>
      <w:r>
        <w:rPr>
          <w:rFonts w:ascii="Times New Roman" w:cs="Times New Roman" w:eastAsia="Times New Roman" w:hAnsi="Times New Roman"/>
          <w:sz w:val="18"/>
          <w:szCs w:val="18"/>
          <w:u w:val="single" w:color="auto"/>
          <w:color w:val="auto"/>
        </w:rPr>
        <w:t>Private Placement Agreement</w:t>
      </w:r>
      <w:r>
        <w:rPr>
          <w:rFonts w:ascii="Times New Roman" w:cs="Times New Roman" w:eastAsia="Times New Roman" w:hAnsi="Times New Roman"/>
          <w:sz w:val="18"/>
          <w:szCs w:val="18"/>
          <w:color w:val="auto"/>
        </w:rPr>
        <w:t>”) with Citibank (or any affiliate of Citibank designated by Citibank) in connection with the private placement of such shares by Counterparty to Citibank (or any such affiliate) and the private resale of such shares by Citibank (or any such affiliate), substantially similar to private placement purchase agreements customary for private placements of equity securities for companies of similar size, in form and substance commercially reasonably satisfactory to Citibank, which Private Placement Agreement shall include, without limitation, provisions substantially similar to those contained in such private placement purchase agreements relating, without limitation, to the indemnification of, and contribution in connection with the liability of, Citibank and its affiliates and the provision of customary opinions, accountants’ comfort letters and lawyers’ negative assurance letters, and shall provide for the payment by Counterparty of all fees and expenses in connection with such resale, including, without limitation, all fees and expenses of counsel for Citibank, and shall contain representations, warranties, covenants and agreements of Counterparty reasonably necessary or advisable to establish and maintain the availability of an exemption from the registration requirements of the Securities Act for such resales; and</w:t>
      </w:r>
    </w:p>
    <w:p>
      <w:pPr>
        <w:spacing w:after="0" w:line="194" w:lineRule="exact"/>
        <w:rPr>
          <w:rFonts w:ascii="Times New Roman" w:cs="Times New Roman" w:eastAsia="Times New Roman" w:hAnsi="Times New Roman"/>
          <w:sz w:val="18"/>
          <w:szCs w:val="18"/>
          <w:color w:val="auto"/>
        </w:rPr>
      </w:pPr>
    </w:p>
    <w:p>
      <w:pPr>
        <w:jc w:val="both"/>
        <w:ind w:firstLine="1304"/>
        <w:spacing w:after="0" w:line="266" w:lineRule="auto"/>
        <w:tabs>
          <w:tab w:leader="none" w:pos="2202"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private placement of such shares by Counterparty to Citibank (or any such affiliate) and the private resale of such shares by Citibank (or any such affiliate), Counterparty shall, if so requested by Citibank, prepare, in cooperation with Citibank, a private placement memorandum in form and substance reasonably satisfactory to Citibank.</w:t>
      </w:r>
    </w:p>
    <w:p>
      <w:pPr>
        <w:spacing w:after="0" w:line="175" w:lineRule="exact"/>
        <w:rPr>
          <w:rFonts w:ascii="Times New Roman" w:cs="Times New Roman" w:eastAsia="Times New Roman" w:hAnsi="Times New Roman"/>
          <w:sz w:val="18"/>
          <w:szCs w:val="18"/>
          <w:color w:val="auto"/>
        </w:rPr>
      </w:pPr>
    </w:p>
    <w:p>
      <w:pPr>
        <w:jc w:val="both"/>
        <w:ind w:firstLine="656"/>
        <w:spacing w:after="0" w:line="253" w:lineRule="auto"/>
        <w:tabs>
          <w:tab w:leader="none" w:pos="136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Citibank, itself or through an affiliate (the “</w:t>
      </w:r>
      <w:r>
        <w:rPr>
          <w:rFonts w:ascii="Times New Roman" w:cs="Times New Roman" w:eastAsia="Times New Roman" w:hAnsi="Times New Roman"/>
          <w:sz w:val="18"/>
          <w:szCs w:val="18"/>
          <w:u w:val="single" w:color="auto"/>
          <w:color w:val="auto"/>
        </w:rPr>
        <w:t>Selling Agent</w:t>
      </w:r>
      <w:r>
        <w:rPr>
          <w:rFonts w:ascii="Times New Roman" w:cs="Times New Roman" w:eastAsia="Times New Roman" w:hAnsi="Times New Roman"/>
          <w:sz w:val="18"/>
          <w:szCs w:val="18"/>
          <w:color w:val="auto"/>
        </w:rPr>
        <w:t>”) or any underwriter(s), will sell all, or such lesser portion as may be required hereunder, of the Registered Settlement Shares or Unregistered Settlement Shares and any Makewhole Shares (as defined below) (together, the “</w:t>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delivered by Counterparty to Citibank pursuant to paragraph 6 below commencing on the Cash Settlement Payment Date and continuing until the date on which the aggregate Net Proceeds (as such term is defined below) of such sales, as determined by Citibank in a commercially reasonable manner, is equal to the absolute value of the Forward Cash Settlement Amount (such date, the “</w:t>
      </w:r>
      <w:r>
        <w:rPr>
          <w:rFonts w:ascii="Times New Roman" w:cs="Times New Roman" w:eastAsia="Times New Roman" w:hAnsi="Times New Roman"/>
          <w:sz w:val="18"/>
          <w:szCs w:val="18"/>
          <w:u w:val="single" w:color="auto"/>
          <w:color w:val="auto"/>
        </w:rPr>
        <w:t>Final Resale Date</w:t>
      </w:r>
      <w:r>
        <w:rPr>
          <w:rFonts w:ascii="Times New Roman" w:cs="Times New Roman" w:eastAsia="Times New Roman" w:hAnsi="Times New Roman"/>
          <w:sz w:val="18"/>
          <w:szCs w:val="18"/>
          <w:color w:val="auto"/>
        </w:rPr>
        <w:t>”). If the proceeds of any sale(s) made by Citibank, the Selling Agent or any underwriter(s), net of any commercially reasonable fees and commissions (including, without limitation, underwriting or placement fees) customary for similar transactions under the circumstances at the time of the offering, together with carrying charges and expenses incurred in connection with the offer and sale of the Shares (including, without limitation, the covering of any over-allotment or short position (syndicate or otherwise)) (the “</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 exceed the absolute value of the Forward Cash Settlement Amount, Citibank will refund, in USD or in Shares, at the election of the Counterparty, such excess to Counterparty on the date that is two (2) Currency Business Days following the Final Resale Date or the date such Shares are purchase, as the case may be, and, if any portion of the Settlement Shares remains unsold, Citibank shall return to Counterparty on that date such unsold Shares.</w:t>
      </w:r>
    </w:p>
    <w:p>
      <w:pPr>
        <w:spacing w:after="0" w:line="189" w:lineRule="exact"/>
        <w:rPr>
          <w:rFonts w:ascii="Times New Roman" w:cs="Times New Roman" w:eastAsia="Times New Roman" w:hAnsi="Times New Roman"/>
          <w:sz w:val="18"/>
          <w:szCs w:val="18"/>
          <w:color w:val="auto"/>
        </w:rPr>
      </w:pPr>
    </w:p>
    <w:p>
      <w:pPr>
        <w:jc w:val="both"/>
        <w:ind w:firstLine="656"/>
        <w:spacing w:after="0" w:line="253" w:lineRule="auto"/>
        <w:tabs>
          <w:tab w:leader="none" w:pos="144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Calculation Agent determines that the Net Proceeds received from the sale of the Registered Settlement Shares or Unregistered Settlement Shares or any Makewhole Shares, if any, pursuant to this paragraph 6 are less than the absolute value of the Forward Cash Settlement Amount (the amount in USD by which the Net Proceeds are less than the absolute value of the Forward Cash Settlement Amount being the “</w:t>
      </w:r>
      <w:r>
        <w:rPr>
          <w:rFonts w:ascii="Times New Roman" w:cs="Times New Roman" w:eastAsia="Times New Roman" w:hAnsi="Times New Roman"/>
          <w:sz w:val="18"/>
          <w:szCs w:val="18"/>
          <w:u w:val="single" w:color="auto"/>
          <w:color w:val="auto"/>
        </w:rPr>
        <w:t>Shortfall</w:t>
      </w:r>
      <w:r>
        <w:rPr>
          <w:rFonts w:ascii="Times New Roman" w:cs="Times New Roman" w:eastAsia="Times New Roman" w:hAnsi="Times New Roman"/>
          <w:sz w:val="18"/>
          <w:szCs w:val="18"/>
          <w:color w:val="auto"/>
        </w:rPr>
        <w:t>” and the date on which such determination is made, the “</w:t>
      </w:r>
      <w:r>
        <w:rPr>
          <w:rFonts w:ascii="Times New Roman" w:cs="Times New Roman" w:eastAsia="Times New Roman" w:hAnsi="Times New Roman"/>
          <w:sz w:val="18"/>
          <w:szCs w:val="18"/>
          <w:u w:val="single" w:color="auto"/>
          <w:color w:val="auto"/>
        </w:rPr>
        <w:t>Deficiency Determination Date</w:t>
      </w:r>
      <w:r>
        <w:rPr>
          <w:rFonts w:ascii="Times New Roman" w:cs="Times New Roman" w:eastAsia="Times New Roman" w:hAnsi="Times New Roman"/>
          <w:sz w:val="18"/>
          <w:szCs w:val="18"/>
          <w:color w:val="auto"/>
        </w:rPr>
        <w:t>”), Counterparty shall on the Exchange Business Day next succeeding the Deficiency Determination Date (the “</w:t>
      </w:r>
      <w:r>
        <w:rPr>
          <w:rFonts w:ascii="Times New Roman" w:cs="Times New Roman" w:eastAsia="Times New Roman" w:hAnsi="Times New Roman"/>
          <w:sz w:val="18"/>
          <w:szCs w:val="18"/>
          <w:u w:val="single" w:color="auto"/>
          <w:color w:val="auto"/>
        </w:rPr>
        <w:t>Makewhole Notice Date</w:t>
      </w:r>
      <w:r>
        <w:rPr>
          <w:rFonts w:ascii="Times New Roman" w:cs="Times New Roman" w:eastAsia="Times New Roman" w:hAnsi="Times New Roman"/>
          <w:sz w:val="18"/>
          <w:szCs w:val="18"/>
          <w:color w:val="auto"/>
        </w:rPr>
        <w:t>”) deliver to Citibank, through the Selling Agent, a notice of Counterparty’s election that Counterparty shall either (i) pay an amount in cash equal to the Shortfall on the day that is one (1) Currency Business Day after the Makewhole Notice Date, or (ii) deliver additional Shares. If Counterparty elects to deliver to Citibank additional Shares, then Counterparty shall deliver additional Shares in compliance with the terms and conditions of paragraph 3 or paragraph 4 above, as the case may be (the “</w:t>
      </w:r>
      <w:r>
        <w:rPr>
          <w:rFonts w:ascii="Times New Roman" w:cs="Times New Roman" w:eastAsia="Times New Roman" w:hAnsi="Times New Roman"/>
          <w:sz w:val="18"/>
          <w:szCs w:val="18"/>
          <w:u w:val="single" w:color="auto"/>
          <w:color w:val="auto"/>
        </w:rPr>
        <w:t>Makewhole Shares</w:t>
      </w:r>
      <w:r>
        <w:rPr>
          <w:rFonts w:ascii="Times New Roman" w:cs="Times New Roman" w:eastAsia="Times New Roman" w:hAnsi="Times New Roman"/>
          <w:sz w:val="18"/>
          <w:szCs w:val="18"/>
          <w:color w:val="auto"/>
        </w:rPr>
        <w:t xml:space="preserve">”), on the first Clearance System Business Day which is also an Exchange Business Day following the Makewhole Notice Date in such number as the Calculation Agent reasonably believes would have a market value on that Exchange Business Day equal to the Shortfall. Such Makewhole Shares shall be sold by Citibank in accordance with the provisions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sum of the Net Proceeds from the sale of the originally delivered Shares and the Net Proceeds from the sale of any Makewhole Shares is less than the absolute value of the Forward Cash Settlement Amount then Counterparty shall, at its election, either make such cash payment or deliver to Citibank further Makewhole Shares until such Shortfall has been reduced to zero.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6723380</wp:posOffset>
            </wp:positionH>
            <wp:positionV relativeFrom="page">
              <wp:posOffset>586105</wp:posOffset>
            </wp:positionV>
            <wp:extent cx="617220" cy="4114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617220" cy="411480"/>
                    </a:xfrm>
                    <a:prstGeom prst="rect">
                      <a:avLst/>
                    </a:prstGeom>
                    <a:noFill/>
                  </pic:spPr>
                </pic:pic>
              </a:graphicData>
            </a:graphic>
          </wp:anchor>
        </w:drawing>
      </w:r>
    </w:p>
    <w:p>
      <w:pPr>
        <w:jc w:val="both"/>
        <w:ind w:firstLine="656"/>
        <w:spacing w:after="0" w:line="261" w:lineRule="auto"/>
        <w:tabs>
          <w:tab w:leader="none" w:pos="139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in no event shall the aggregate number of Settlement Shares and Makewhole Shares be greater than the Reserved Shares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amount of any Shares actually delivered by Counterparty under any other Transaction(s) under this Master Confirmation (the result of such calculation, the “</w:t>
      </w:r>
      <w:r>
        <w:rPr>
          <w:rFonts w:ascii="Times New Roman" w:cs="Times New Roman" w:eastAsia="Times New Roman" w:hAnsi="Times New Roman"/>
          <w:sz w:val="18"/>
          <w:szCs w:val="18"/>
          <w:u w:val="single" w:color="auto"/>
          <w:color w:val="auto"/>
        </w:rPr>
        <w:t>Capped Number</w:t>
      </w:r>
      <w:r>
        <w:rPr>
          <w:rFonts w:ascii="Times New Roman" w:cs="Times New Roman" w:eastAsia="Times New Roman" w:hAnsi="Times New Roman"/>
          <w:sz w:val="18"/>
          <w:szCs w:val="18"/>
          <w:color w:val="auto"/>
        </w:rPr>
        <w:t>”). Counterparty represents and warrants (which shall be deemed to be repeated on each day that a Transaction is outstanding) that the Capped Number is equal to or less than the number of Shares determined according to the following formula: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B</w:t>
      </w:r>
    </w:p>
    <w:p>
      <w:pPr>
        <w:spacing w:after="0" w:line="225" w:lineRule="exact"/>
        <w:rPr>
          <w:sz w:val="20"/>
          <w:szCs w:val="20"/>
          <w:color w:val="auto"/>
        </w:rPr>
      </w:pPr>
    </w:p>
    <w:p>
      <w:pPr>
        <w:ind w:left="1960" w:hanging="659"/>
        <w:spacing w:after="0" w:line="282" w:lineRule="auto"/>
        <w:tabs>
          <w:tab w:leader="none" w:pos="1940" w:val="left"/>
        </w:tabs>
        <w:rPr>
          <w:sz w:val="20"/>
          <w:szCs w:val="20"/>
          <w:color w:val="auto"/>
        </w:rPr>
      </w:pPr>
      <w:r>
        <w:rPr>
          <w:rFonts w:ascii="Times New Roman" w:cs="Times New Roman" w:eastAsia="Times New Roman" w:hAnsi="Times New Roman"/>
          <w:sz w:val="18"/>
          <w:szCs w:val="18"/>
          <w:color w:val="auto"/>
        </w:rPr>
        <w:t>Where</w:t>
        <w:tab/>
        <w:t>A = the number of authorized but unissued shares of the Counterparty that are not reserved for future issuance on the date of the determination of the Capped Number; and</w:t>
      </w:r>
    </w:p>
    <w:p>
      <w:pPr>
        <w:spacing w:after="0" w:line="162" w:lineRule="exact"/>
        <w:rPr>
          <w:sz w:val="20"/>
          <w:szCs w:val="20"/>
          <w:color w:val="auto"/>
        </w:rPr>
      </w:pPr>
    </w:p>
    <w:p>
      <w:pPr>
        <w:jc w:val="both"/>
        <w:ind w:left="1960"/>
        <w:spacing w:after="0" w:line="266" w:lineRule="auto"/>
        <w:rPr>
          <w:sz w:val="20"/>
          <w:szCs w:val="20"/>
          <w:color w:val="auto"/>
        </w:rPr>
      </w:pPr>
      <w:r>
        <w:rPr>
          <w:rFonts w:ascii="Times New Roman" w:cs="Times New Roman" w:eastAsia="Times New Roman" w:hAnsi="Times New Roman"/>
          <w:sz w:val="18"/>
          <w:szCs w:val="18"/>
          <w:color w:val="auto"/>
        </w:rPr>
        <w:t>B = the maximum number of Shares required to be delivered to third parties if Counterparty elected Net Share Settlement of all transactions in the Shares (other than Transactions in the Shares under this Master Confirmation) with all third parties that are then currently outstanding and unexercised.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 Shares</w:t>
      </w:r>
      <w:r>
        <w:rPr>
          <w:rFonts w:ascii="Times New Roman" w:cs="Times New Roman" w:eastAsia="Times New Roman" w:hAnsi="Times New Roman"/>
          <w:sz w:val="18"/>
          <w:szCs w:val="18"/>
          <w:color w:val="auto"/>
        </w:rPr>
        <w:t>”, for each Transaction, shall be set forth in the related Supplemental Confirmation.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at any time, as a result of this paragraph 7, Counterparty fails to deliver to Citibank any Settlement Shares, Counterparty shall, to the extent that Counterparty has at such time authorized but unissued Shares not reserved for other purposes, promptly notify Citibank thereof and deliver to Citibank a number of Shares not previously delivered as a result of this paragraph 7. Counterparty agrees to use its commercially reasonable to cause the number of authorized but unissued Shares to be increased, if necessary, to an amount sufficient to permit Counterparty to fulfill its obligation to deliver any Settlement Shares.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lowerRoman"/>
      <w:start w:val="6"/>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1)"/>
      <w:numFmt w:val="lowerRoman"/>
      <w:start w:val="1"/>
    </w:lvl>
  </w:abstractNum>
  <w:abstractNum w:abstractNumId="5">
    <w:nsid w:val="2CA88611"/>
    <w:multiLevelType w:val="hybridMultilevel"/>
    <w:lvl w:ilvl="0">
      <w:lvlJc w:val="left"/>
      <w:lvlText w:val="%1."/>
      <w:numFmt w:val="decimal"/>
      <w:start w:val="3"/>
    </w:lvl>
    <w:lvl w:ilvl="1">
      <w:lvlJc w:val="left"/>
      <w:lvlText w:val="(%2)"/>
      <w:numFmt w:val="lowerLetter"/>
      <w:start w:val="1"/>
    </w:lvl>
  </w:abstractNum>
  <w:abstractNum w:abstractNumId="6">
    <w:nsid w:val="836C40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7">
    <w:nsid w:val="2901D8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lowerRoman"/>
      <w:start w:val="1"/>
    </w:lvl>
  </w:abstractNum>
  <w:abstractNum w:abstractNumId="8">
    <w:nsid w:val="3A95F87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9">
    <w:nsid w:val="8138641"/>
    <w:multiLevelType w:val="hybridMultilevel"/>
    <w:lvl w:ilvl="0">
      <w:lvlJc w:val="left"/>
      <w:lvlText w:val="(%1)"/>
      <w:numFmt w:val="lowerLetter"/>
      <w:start w:val="1"/>
    </w:lvl>
  </w:abstractNum>
  <w:abstractNum w:abstractNumId="10">
    <w:nsid w:val="1E7FF521"/>
    <w:multiLevelType w:val="hybridMultilevel"/>
    <w:lvl w:ilvl="0">
      <w:lvlJc w:val="left"/>
      <w:lvlText w:val="%1"/>
      <w:numFmt w:val="lowerLetter"/>
      <w:start w:val="1"/>
    </w:lvl>
    <w:lvl w:ilvl="1">
      <w:lvlJc w:val="left"/>
      <w:lvlText w:val="(%2)"/>
      <w:numFmt w:val="lowerLetter"/>
      <w:start w:val="2"/>
    </w:lvl>
  </w:abstractNum>
  <w:abstractNum w:abstractNumId="11">
    <w:nsid w:val="7C3DBD3D"/>
    <w:multiLevelType w:val="hybridMultilevel"/>
    <w:lvl w:ilvl="0">
      <w:lvlJc w:val="left"/>
      <w:lvlText w:val="(%1)"/>
      <w:numFmt w:val="lowerLetter"/>
      <w:start w:val="25"/>
    </w:lvl>
    <w:lvl w:ilvl="1">
      <w:lvlJc w:val="left"/>
      <w:lvlText w:val="(%2)"/>
      <w:numFmt w:val="lowerLetter"/>
      <w:start w:val="7"/>
    </w:lvl>
  </w:abstractNum>
  <w:abstractNum w:abstractNumId="12">
    <w:nsid w:val="737B8DDC"/>
    <w:multiLevelType w:val="hybridMultilevel"/>
    <w:lvl w:ilvl="0">
      <w:lvlJc w:val="left"/>
      <w:lvlText w:val="%1"/>
      <w:numFmt w:val="decimal"/>
      <w:start w:val="1"/>
    </w:lvl>
    <w:lvl w:ilvl="1">
      <w:lvlJc w:val="left"/>
      <w:lvlText w:val="(%2)"/>
      <w:numFmt w:val="lowerLetter"/>
      <w:start w:val="8"/>
    </w:lvl>
  </w:abstractNum>
  <w:abstractNum w:abstractNumId="13">
    <w:nsid w:val="6CEAF087"/>
    <w:multiLevelType w:val="hybridMultilevel"/>
    <w:lvl w:ilvl="0">
      <w:lvlJc w:val="left"/>
      <w:lvlText w:val="%1."/>
      <w:numFmt w:val="decimal"/>
      <w:start w:val="5"/>
    </w:lvl>
    <w:lvl w:ilvl="1">
      <w:lvlJc w:val="left"/>
      <w:lvlText w:val="(%2)"/>
      <w:numFmt w:val="lowerLetter"/>
      <w:start w:val="1"/>
    </w:lvl>
  </w:abstractNum>
  <w:abstractNum w:abstractNumId="14">
    <w:nsid w:val="22221A70"/>
    <w:multiLevelType w:val="hybridMultilevel"/>
    <w:lvl w:ilvl="0">
      <w:lvlJc w:val="left"/>
      <w:lvlText w:val="(%1)"/>
      <w:numFmt w:val="lowerLetter"/>
      <w:start w:val="2"/>
    </w:lvl>
  </w:abstractNum>
  <w:abstractNum w:abstractNumId="15">
    <w:nsid w:val="4516DDE9"/>
    <w:multiLevelType w:val="hybridMultilevel"/>
    <w:lvl w:ilvl="0">
      <w:lvlJc w:val="left"/>
      <w:lvlText w:val="%1"/>
      <w:numFmt w:val="decimal"/>
      <w:start w:val="1"/>
    </w:lvl>
    <w:lvl w:ilvl="1">
      <w:lvlJc w:val="left"/>
      <w:lvlText w:val="(%2)"/>
      <w:numFmt w:val="lowerRoman"/>
      <w:start w:val="1"/>
    </w:lvl>
  </w:abstractNum>
  <w:abstractNum w:abstractNumId="16">
    <w:nsid w:val="3006C83E"/>
    <w:multiLevelType w:val="hybridMultilevel"/>
    <w:lvl w:ilvl="0">
      <w:lvlJc w:val="left"/>
      <w:lvlText w:val="%1."/>
      <w:numFmt w:val="decimal"/>
      <w:start w:val="6"/>
    </w:lvl>
    <w:lvl w:ilvl="1">
      <w:lvlJc w:val="left"/>
      <w:lvlText w:val="%2"/>
      <w:numFmt w:val="lowerRoman"/>
      <w:start w:val="1"/>
    </w:lvl>
  </w:abstractNum>
  <w:abstractNum w:abstractNumId="17">
    <w:nsid w:val="614FD4A1"/>
    <w:multiLevelType w:val="hybridMultilevel"/>
    <w:lvl w:ilvl="0">
      <w:lvlJc w:val="left"/>
      <w:lvlText w:val="%1."/>
      <w:numFmt w:val="decimal"/>
      <w:start w:val="7"/>
    </w:lvl>
    <w:lvl w:ilvl="1">
      <w:lvlJc w:val="left"/>
      <w:lvlText w:val="(%2)"/>
      <w:numFmt w:val="lowerLetter"/>
      <w:start w:val="1"/>
    </w:lvl>
  </w:abstractNum>
  <w:abstractNum w:abstractNumId="18">
    <w:nsid w:val="419AC241"/>
    <w:multiLevelType w:val="hybridMultilevel"/>
    <w:lvl w:ilvl="0">
      <w:lvlJc w:val="left"/>
      <w:lvlText w:val="%1"/>
      <w:numFmt w:val="decimal"/>
      <w:start w:val="1"/>
    </w:lvl>
    <w:lvl w:ilvl="1">
      <w:lvlJc w:val="left"/>
      <w:lvlText w:val="(%2)"/>
      <w:numFmt w:val="lowerLetter"/>
      <w:start w:val="5"/>
    </w:lvl>
  </w:abstractNum>
  <w:abstractNum w:abstractNumId="19">
    <w:nsid w:val="5577F8E1"/>
    <w:multiLevelType w:val="hybridMultilevel"/>
    <w:lvl w:ilvl="0">
      <w:lvlJc w:val="left"/>
      <w:lvlText w:val="%1."/>
      <w:numFmt w:val="decimal"/>
      <w:start w:val="8"/>
    </w:lvl>
    <w:lvl w:ilvl="1">
      <w:lvlJc w:val="left"/>
      <w:lvlText w:val="%2"/>
      <w:numFmt w:val="lowerLetter"/>
      <w:start w:val="1"/>
    </w:lvl>
  </w:abstractNum>
  <w:abstractNum w:abstractNumId="20">
    <w:nsid w:val="440BADFC"/>
    <w:multiLevelType w:val="hybridMultilevel"/>
    <w:lvl w:ilvl="0">
      <w:lvlJc w:val="left"/>
      <w:lvlText w:val="(%1)"/>
      <w:numFmt w:val="lowerLetter"/>
      <w:start w:val="1"/>
    </w:lvl>
  </w:abstractNum>
  <w:abstractNum w:abstractNumId="21">
    <w:nsid w:val="5072367"/>
    <w:multiLevelType w:val="hybridMultilevel"/>
    <w:lvl w:ilvl="0">
      <w:lvlJc w:val="left"/>
      <w:lvlText w:val="%1."/>
      <w:numFmt w:val="decimal"/>
      <w:start w:val="9"/>
    </w:lvl>
  </w:abstractNum>
  <w:abstractNum w:abstractNumId="22">
    <w:nsid w:val="3804823E"/>
    <w:multiLevelType w:val="hybridMultilevel"/>
    <w:lvl w:ilvl="0">
      <w:lvlJc w:val="left"/>
      <w:lvlText w:val="%1."/>
      <w:numFmt w:val="decimal"/>
      <w:start w:val="10"/>
    </w:lvl>
  </w:abstractNum>
  <w:abstractNum w:abstractNumId="23">
    <w:nsid w:val="77465F01"/>
    <w:multiLevelType w:val="hybridMultilevel"/>
    <w:lvl w:ilvl="0">
      <w:lvlJc w:val="left"/>
      <w:lvlText w:val="(%1)"/>
      <w:numFmt w:val="lowerLetter"/>
      <w:start w:val="1"/>
    </w:lvl>
    <w:lvl w:ilvl="1">
      <w:lvlJc w:val="left"/>
      <w:lvlText w:val="(%2)"/>
      <w:numFmt w:val="lowerRoman"/>
      <w:start w:val="1"/>
    </w:lvl>
  </w:abstractNum>
  <w:abstractNum w:abstractNumId="24">
    <w:nsid w:val="7724C67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25">
    <w:nsid w:val="5C482A97"/>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26">
    <w:nsid w:val="2463B9EA"/>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27">
    <w:nsid w:val="5E884ADC"/>
    <w:multiLevelType w:val="hybridMultilevel"/>
    <w:lvl w:ilvl="0">
      <w:lvlJc w:val="left"/>
      <w:lvlText w:val="%1."/>
      <w:numFmt w:val="decimal"/>
      <w:start w:val="11"/>
    </w:lvl>
    <w:lvl w:ilvl="1">
      <w:lvlJc w:val="left"/>
      <w:lvlText w:val="(%2)"/>
      <w:numFmt w:val="lowerLetter"/>
      <w:start w:val="1"/>
    </w:lvl>
  </w:abstractNum>
  <w:abstractNum w:abstractNumId="28">
    <w:nsid w:val="51EAD36B"/>
    <w:multiLevelType w:val="hybridMultilevel"/>
    <w:lvl w:ilvl="0">
      <w:lvlJc w:val="left"/>
      <w:lvlText w:val="%1"/>
      <w:numFmt w:val="decimal"/>
      <w:start w:val="1"/>
    </w:lvl>
    <w:lvl w:ilvl="1">
      <w:lvlJc w:val="left"/>
      <w:lvlText w:val="(%2)"/>
      <w:numFmt w:val="lowerLetter"/>
      <w:start w:val="3"/>
    </w:lvl>
  </w:abstractNum>
  <w:abstractNum w:abstractNumId="29">
    <w:nsid w:val="2D517796"/>
    <w:multiLevelType w:val="hybridMultilevel"/>
    <w:lvl w:ilvl="0">
      <w:lvlJc w:val="left"/>
      <w:lvlText w:val="%1."/>
      <w:numFmt w:val="decimal"/>
      <w:start w:val="12"/>
    </w:lvl>
    <w:lvl w:ilvl="1">
      <w:lvlJc w:val="left"/>
      <w:lvlText w:val="%2"/>
      <w:numFmt w:val="lowerLetter"/>
      <w:start w:val="1"/>
    </w:lvl>
  </w:abstractNum>
  <w:abstractNum w:abstractNumId="30">
    <w:nsid w:val="580BD78F"/>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31">
    <w:nsid w:val="153EA438"/>
    <w:multiLevelType w:val="hybridMultilevel"/>
    <w:lvl w:ilvl="0">
      <w:lvlJc w:val="left"/>
      <w:lvlText w:val="%1"/>
      <w:numFmt w:val="lowerLetter"/>
      <w:start w:val="1"/>
    </w:lvl>
    <w:lvl w:ilvl="1">
      <w:lvlJc w:val="left"/>
      <w:lvlText w:val="(%2)"/>
      <w:numFmt w:val="lowerLetter"/>
      <w:start w:val="35"/>
    </w:lvl>
  </w:abstractNum>
  <w:abstractNum w:abstractNumId="32">
    <w:nsid w:val="3855585C"/>
    <w:multiLevelType w:val="hybridMultilevel"/>
    <w:lvl w:ilvl="0">
      <w:lvlJc w:val="left"/>
      <w:lvlText w:val="(%1)"/>
      <w:numFmt w:val="lowerLetter"/>
      <w:start w:val="5"/>
    </w:lvl>
    <w:lvl w:ilvl="1">
      <w:lvlJc w:val="left"/>
      <w:lvlText w:val="(%2)"/>
      <w:numFmt w:val="lowerLetter"/>
      <w:start w:val="9"/>
    </w:lvl>
  </w:abstractNum>
  <w:abstractNum w:abstractNumId="33">
    <w:nsid w:val="70A64E2A"/>
    <w:multiLevelType w:val="hybridMultilevel"/>
    <w:lvl w:ilvl="0">
      <w:lvlJc w:val="left"/>
      <w:lvlText w:val="%1"/>
      <w:numFmt w:val="decimal"/>
      <w:start w:val="1"/>
    </w:lvl>
    <w:lvl w:ilvl="1">
      <w:lvlJc w:val="left"/>
      <w:lvlText w:val="(%2)"/>
      <w:numFmt w:val="lowerRoman"/>
      <w:start w:val="2"/>
    </w:lvl>
  </w:abstractNum>
  <w:abstractNum w:abstractNumId="34">
    <w:nsid w:val="6A2342EC"/>
    <w:multiLevelType w:val="hybridMultilevel"/>
    <w:lvl w:ilvl="0">
      <w:lvlJc w:val="left"/>
      <w:lvlText w:val="%1."/>
      <w:numFmt w:val="decimal"/>
      <w:start w:val="15"/>
    </w:lvl>
    <w:lvl w:ilvl="1">
      <w:lvlJc w:val="left"/>
      <w:lvlText w:val="%2"/>
      <w:numFmt w:val="lowerRoman"/>
      <w:start w:val="1"/>
    </w:lvl>
  </w:abstractNum>
  <w:abstractNum w:abstractNumId="35">
    <w:nsid w:val="2A487CB0"/>
    <w:multiLevelType w:val="hybridMultilevel"/>
    <w:lvl w:ilvl="0">
      <w:lvlJc w:val="left"/>
      <w:lvlText w:val="%1."/>
      <w:numFmt w:val="decimal"/>
      <w:start w:val="16"/>
    </w:lvl>
    <w:lvl w:ilvl="1">
      <w:lvlJc w:val="left"/>
      <w:lvlText w:val="(%2)"/>
      <w:numFmt w:val="lowerLetter"/>
      <w:start w:val="1"/>
    </w:lvl>
  </w:abstractNum>
  <w:abstractNum w:abstractNumId="36">
    <w:nsid w:val="1D4ED43B"/>
    <w:multiLevelType w:val="hybridMultilevel"/>
    <w:lvl w:ilvl="0">
      <w:lvlJc w:val="left"/>
      <w:lvlText w:val="%1."/>
      <w:numFmt w:val="decimal"/>
      <w:start w:val="18"/>
    </w:lvl>
    <w:lvl w:ilvl="1">
      <w:lvlJc w:val="left"/>
      <w:lvlText w:val="(%2)"/>
      <w:numFmt w:val="lowerLetter"/>
      <w:start w:val="1"/>
    </w:lvl>
    <w:lvl w:ilvl="2">
      <w:lvlJc w:val="left"/>
      <w:lvlText w:val="(%3)"/>
      <w:numFmt w:val="lowerRoman"/>
      <w:start w:val="1"/>
    </w:lvl>
  </w:abstractNum>
  <w:abstractNum w:abstractNumId="37">
    <w:nsid w:val="725A06FB"/>
    <w:multiLevelType w:val="hybridMultilevel"/>
    <w:lvl w:ilvl="0">
      <w:lvlJc w:val="left"/>
      <w:lvlText w:val="%1"/>
      <w:numFmt w:val="lowerLetter"/>
      <w:start w:val="1"/>
    </w:lvl>
    <w:lvl w:ilvl="1">
      <w:lvlJc w:val="left"/>
      <w:lvlText w:val="(%2)"/>
      <w:numFmt w:val="lowerLetter"/>
      <w:start w:val="61"/>
    </w:lvl>
  </w:abstractNum>
  <w:abstractNum w:abstractNumId="38">
    <w:nsid w:val="2CD89A32"/>
    <w:multiLevelType w:val="hybridMultilevel"/>
    <w:lvl w:ilvl="0">
      <w:lvlJc w:val="left"/>
      <w:lvlText w:val="(%1)"/>
      <w:numFmt w:val="lowerLetter"/>
      <w:start w:val="7"/>
    </w:lvl>
    <w:lvl w:ilvl="1">
      <w:lvlJc w:val="left"/>
      <w:lvlText w:val="%2"/>
      <w:numFmt w:val="lowerLetter"/>
      <w:start w:val="1"/>
    </w:lvl>
  </w:abstractNum>
  <w:abstractNum w:abstractNumId="39">
    <w:nsid w:val="57E4CCAF"/>
    <w:multiLevelType w:val="hybridMultilevel"/>
    <w:lvl w:ilvl="0">
      <w:lvlJc w:val="left"/>
      <w:lvlText w:val="(%1)"/>
      <w:numFmt w:val="lowerRoman"/>
      <w:start w:val="1"/>
    </w:lvl>
  </w:abstractNum>
  <w:abstractNum w:abstractNumId="40">
    <w:nsid w:val="7A6D8D3C"/>
    <w:multiLevelType w:val="hybridMultilevel"/>
    <w:lvl w:ilvl="0">
      <w:lvlJc w:val="left"/>
      <w:lvlText w:val="%1."/>
      <w:numFmt w:val="decimal"/>
      <w:start w:val="19"/>
    </w:lvl>
  </w:abstractNum>
  <w:abstractNum w:abstractNumId="41">
    <w:nsid w:val="4B588F54"/>
    <w:multiLevelType w:val="hybridMultilevel"/>
    <w:lvl w:ilvl="0">
      <w:lvlJc w:val="left"/>
      <w:lvlText w:val="(%1)"/>
      <w:numFmt w:val="upperLetter"/>
      <w:start w:val="25"/>
    </w:lvl>
  </w:abstractNum>
  <w:abstractNum w:abstractNumId="42">
    <w:nsid w:val="542289EC"/>
    <w:multiLevelType w:val="hybridMultilevel"/>
    <w:lvl w:ilvl="0">
      <w:lvlJc w:val="left"/>
      <w:lvlText w:val="%1."/>
      <w:numFmt w:val="decimal"/>
      <w:start w:val="20"/>
    </w:lvl>
    <w:lvl w:ilvl="1">
      <w:lvlJc w:val="left"/>
      <w:lvlText w:val="(%2)"/>
      <w:numFmt w:val="lowerLetter"/>
      <w:start w:val="1"/>
    </w:lvl>
  </w:abstractNum>
  <w:abstractNum w:abstractNumId="43">
    <w:nsid w:val="6DE91B18"/>
    <w:multiLevelType w:val="hybridMultilevel"/>
    <w:lvl w:ilvl="0">
      <w:lvlJc w:val="left"/>
      <w:lvlText w:val="(%1)"/>
      <w:numFmt w:val="lowerLetter"/>
      <w:start w:val="7"/>
    </w:lvl>
  </w:abstractNum>
  <w:abstractNum w:abstractNumId="44">
    <w:nsid w:val="38437FDB"/>
    <w:multiLevelType w:val="hybridMultilevel"/>
    <w:lvl w:ilvl="0">
      <w:lvlJc w:val="left"/>
      <w:lvlText w:val="%1."/>
      <w:numFmt w:val="decimal"/>
      <w:start w:val="1"/>
    </w:lvl>
  </w:abstractNum>
  <w:abstractNum w:abstractNumId="45">
    <w:nsid w:val="7644A45C"/>
    <w:multiLevelType w:val="hybridMultilevel"/>
    <w:lvl w:ilvl="0">
      <w:lvlJc w:val="left"/>
      <w:lvlText w:val="%1."/>
      <w:numFmt w:val="decimal"/>
      <w:start w:val="1"/>
    </w:lvl>
  </w:abstractNum>
  <w:abstractNum w:abstractNumId="46">
    <w:nsid w:val="32FFF902"/>
    <w:multiLevelType w:val="hybridMultilevel"/>
    <w:lvl w:ilvl="0">
      <w:lvlJc w:val="left"/>
      <w:lvlText w:val="%1."/>
      <w:numFmt w:val="decimal"/>
      <w:start w:val="2"/>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2"/>
    </w:lvl>
  </w:abstractNum>
  <w:abstractNum w:abstractNumId="48">
    <w:nsid w:val="579478FE"/>
    <w:multiLevelType w:val="hybridMultilevel"/>
    <w:lvl w:ilvl="0">
      <w:lvlJc w:val="left"/>
      <w:lvlText w:val="%1."/>
      <w:numFmt w:val="decimal"/>
      <w:start w:val="5"/>
    </w:lvl>
    <w:lvl w:ilvl="1">
      <w:lvlJc w:val="left"/>
      <w:lvlText w:val="%2"/>
      <w:numFmt w:val="lowerLetter"/>
      <w:start w:val="1"/>
    </w:lvl>
  </w:abstractNum>
  <w:abstractNum w:abstractNumId="49">
    <w:nsid w:val="749ABB43"/>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2024-03-18T06:09:48Z</dcterms:created>
  <dcterms:modified xsi:type="dcterms:W3CDTF">2024-03-18T06:09:48Z</dcterms:modified>
</cp:coreProperties>
</file>