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November 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November 2, 2011, ExlService Holdings, Inc. (the “Company”) reported its results of operations for the three months and nine months ended September 30, 2011. A copy of the press release issued by the Company concerning the foregoing is furnished herewith as Exhibit 99.1 and is incorporated 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560" w:val="left"/>
          <w:tab w:leader="none" w:pos="7660" w:val="left"/>
          <w:tab w:leader="none" w:pos="8000" w:val="left"/>
        </w:tabs>
        <w:rPr>
          <w:sz w:val="20"/>
          <w:szCs w:val="20"/>
          <w:color w:val="auto"/>
        </w:rPr>
      </w:pPr>
      <w:r>
        <w:rPr>
          <w:rFonts w:ascii="Arial" w:cs="Arial" w:eastAsia="Arial" w:hAnsi="Arial"/>
          <w:sz w:val="18"/>
          <w:szCs w:val="18"/>
          <w:color w:val="auto"/>
        </w:rPr>
        <w:t>Date: November 2,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Vishal Chhibbar</w:t>
      </w:r>
    </w:p>
    <w:p>
      <w:pPr>
        <w:jc w:val="center"/>
        <w:ind w:left="5960"/>
        <w:spacing w:after="0" w:line="223"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240" w:top="274" w:right="859"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 2011</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8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EXL REPORTS 2011 THIRD QUARTER RESULTS</w:t>
      </w:r>
    </w:p>
    <w:p>
      <w:pPr>
        <w:spacing w:after="0" w:line="177" w:lineRule="exact"/>
        <w:rPr>
          <w:sz w:val="20"/>
          <w:szCs w:val="20"/>
          <w:color w:val="auto"/>
        </w:rPr>
      </w:pPr>
    </w:p>
    <w:p>
      <w:pPr>
        <w:ind w:left="2820"/>
        <w:spacing w:after="0"/>
        <w:rPr>
          <w:sz w:val="20"/>
          <w:szCs w:val="20"/>
          <w:color w:val="auto"/>
        </w:rPr>
      </w:pPr>
      <w:r>
        <w:rPr>
          <w:rFonts w:ascii="Arial" w:cs="Arial" w:eastAsia="Arial" w:hAnsi="Arial"/>
          <w:sz w:val="18"/>
          <w:szCs w:val="18"/>
          <w:b w:val="1"/>
          <w:bCs w:val="1"/>
          <w:i w:val="1"/>
          <w:iCs w:val="1"/>
          <w:color w:val="auto"/>
        </w:rPr>
        <w:t>Quarterly Revenues of $100.0 Million and Adjusted Operating Margin of 15.2%</w:t>
      </w:r>
    </w:p>
    <w:p>
      <w:pPr>
        <w:spacing w:after="0" w:line="171" w:lineRule="exact"/>
        <w:rPr>
          <w:sz w:val="20"/>
          <w:szCs w:val="20"/>
          <w:color w:val="auto"/>
        </w:rPr>
      </w:pPr>
    </w:p>
    <w:p>
      <w:pPr>
        <w:ind w:left="3880"/>
        <w:spacing w:after="0"/>
        <w:rPr>
          <w:sz w:val="20"/>
          <w:szCs w:val="20"/>
          <w:color w:val="auto"/>
        </w:rPr>
      </w:pPr>
      <w:r>
        <w:rPr>
          <w:rFonts w:ascii="Arial" w:cs="Arial" w:eastAsia="Arial" w:hAnsi="Arial"/>
          <w:sz w:val="18"/>
          <w:szCs w:val="18"/>
          <w:b w:val="1"/>
          <w:bCs w:val="1"/>
          <w:i w:val="1"/>
          <w:iCs w:val="1"/>
          <w:color w:val="auto"/>
        </w:rPr>
        <w:t>Increasing Calendar Year 2011 Revenue Guidance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 the Upper End of the $354.0 Million to $358.0 Million Range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Increasing Adjusted Operating Margin Guidance to Between 14.5% and 15.0%</w:t>
      </w:r>
    </w:p>
    <w:p>
      <w:pPr>
        <w:spacing w:after="0" w:line="1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New York, NY – November 2, 2011 – ExlService Holdings, Inc. (NASDAQ: EXLS), a leading provider of outsourcing and transformation services, today announced its financial results for the quarter ended September 30, 2011.</w:t>
      </w:r>
    </w:p>
    <w:p>
      <w:pPr>
        <w:spacing w:after="0" w:line="1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Rohit Kapoor, President and CEO, commented: “EXL’s third quarter results were marked by strong growth and profitability. Our intent is to stay ahead of the market by pursuing an engagement model that generates a positive business impact for our clients beyond the traditional measures of efficiency and productivity. For example, we recently won a new strategic client relationship with a leading insurance and retirement services provider to provide an end-to-end outsourced solution leveraging our LifePRO® platform. In providing both the technology platform and servicing, this engagement will substantially reduce operational and technology risk for our client, at an overall lower cost structure. Furthermore, our recent Trumbull Services acquisition brings us platform capabilities as well as proprietary technologies and methodologies in subrogation services. We believe the ability to consistently generate greater business impact for EXL’s clients will be a key determinant in our future success.”</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Vishal Chhibbar, CFO, commented: “EXL experienced record quarterly revenues driven by volume growth across business lines and the inclusion of a recent acquisition in our financial results. Revenues were $100.0 million, an increase of 48.0% year-over-year, of which 15% was organic growth. Our outsourcing and transformation businesses experienced sequential volume growth, and we have further reduced our client concentration. We are increasing our calendar year 2011 revenue guidance to the upper end of the $354.0 million to $358.0 million range, in spite of a foreign exchange headwind that will negatively impact our revenues in the fourth quarter by approximately $3.0 million. We are also increasing our adjusted operating margin guidance from 13.5% to 14.0% to 14.5% to 15.0%, based on strong year-to-date profitability and prevailing exchange rates.”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90" w:lineRule="exact"/>
        <w:rPr>
          <w:sz w:val="20"/>
          <w:szCs w:val="20"/>
          <w:color w:val="auto"/>
        </w:rPr>
      </w:pPr>
    </w:p>
    <w:p>
      <w:pPr>
        <w:ind w:left="90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September 30, 2011 were $100.0 million compared to $67.6 million for the quarter ended September 30, 2010 and $85.0 million for the quarter ended June 30, 2011. Outsourcing services revenues for the quarter ended September 30, 2011 were $83.2 million compared to $50.5 million in the quarter ended September 30, 2010 and $68.7 million in the quarter ended June 30, 2011. Transformation services revenues for the quarter ended September 30, 2011 were $16.9 million compared to $17.1 million in the quarter ended September 30, 2010 and $16.3 million in the quarter ended June 30, 2011.</w:t>
      </w:r>
    </w:p>
    <w:p>
      <w:pPr>
        <w:spacing w:after="0" w:line="61" w:lineRule="exact"/>
        <w:rPr>
          <w:rFonts w:ascii="Arial" w:cs="Arial" w:eastAsia="Arial" w:hAnsi="Arial"/>
          <w:sz w:val="18"/>
          <w:szCs w:val="18"/>
          <w:color w:val="auto"/>
        </w:rPr>
      </w:pPr>
    </w:p>
    <w:p>
      <w:pPr>
        <w:ind w:left="900" w:right="100" w:hanging="325"/>
        <w:spacing w:after="0" w:line="323"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Gross margin for the quarter ended September 30, 2011 was 38.3% compared to 40.0% for the quarter ended September 30, 2010 and 38.8% for the quarter ended June 30, 2011. Outsourcing services gross margin for the quarter ended September 30, 2011 was 38.7% compared to 41.3% for the quarter ended September 30, 2010 and 39.9% for the quarter ended June 30, 2011. Transformation services gross margin for the quarter ended September 30, 2011 was 35.9% compared to 35.9% for the quarter ended September 30, 2010 and 34.6% for the quarter ended June 30, 2011.</w:t>
      </w:r>
    </w:p>
    <w:p>
      <w:pPr>
        <w:spacing w:after="0" w:line="16" w:lineRule="exact"/>
        <w:rPr>
          <w:rFonts w:ascii="Arial" w:cs="Arial" w:eastAsia="Arial" w:hAnsi="Arial"/>
          <w:sz w:val="15"/>
          <w:szCs w:val="15"/>
          <w:color w:val="auto"/>
        </w:rPr>
      </w:pPr>
    </w:p>
    <w:p>
      <w:pPr>
        <w:ind w:left="900" w:right="8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September 30, 2011 was 11.7% compared to 10.3% for the quarter ended September 30, 2010 and 11.1% for the quarter ended June 30, 2011. Adjusted operating margin, excluding the impact of stock-based compensation expense and amortization of intangibles, for the quarter ended September 30, 2011 was 15.2% compared to 14.5% for the quarter ended September 30, 2010 and 15.5% for the quarter ended June 30, 2011.</w:t>
      </w:r>
    </w:p>
    <w:p>
      <w:pPr>
        <w:spacing w:after="0" w:line="62"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for the quarter ended September 30, 2011 was $8.4 million compared to $7.8 million for the quarter ended September 30, 2010 and $8.5 million for the quarter ended June 30, 2011. Adjusted EBITDA for the quarter ended September 30, 2011 was $20.3 million compared to $13.3 million for the quarter ended September 30, 2010 and $17.4 million for the quarter ended June 30, 2011.</w:t>
      </w:r>
    </w:p>
    <w:p>
      <w:pPr>
        <w:spacing w:after="0" w:line="25" w:lineRule="exact"/>
        <w:rPr>
          <w:rFonts w:ascii="Arial" w:cs="Arial" w:eastAsia="Arial" w:hAnsi="Arial"/>
          <w:sz w:val="16"/>
          <w:szCs w:val="16"/>
          <w:color w:val="auto"/>
        </w:rPr>
      </w:pPr>
    </w:p>
    <w:p>
      <w:pPr>
        <w:jc w:val="both"/>
        <w:ind w:left="900" w:right="32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Diluted earnings per share for the quarter ended September 30, 2011 was $0.27 compared to $0.26 for the quarter ended September 30, 2010 and $0.27 for the quarter ended June 30, 2011. Adjusted diluted earnings per share for the quarter ended September 30, 2011 was $0.35 compared to $0.32 in the quarter ended September 30, 2010 and $0.35 for the quarter ended June 30,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a ten-year strategic client contract with a leading insurance and retirement services provider to provide end-to-end servicing and administration for a block of variable annuity policies. EXL will service the policies on a price per policy basis by leveraging its LifePRO® platform and establishing a delivery center in Richmond, Virginia.</w:t>
      </w:r>
    </w:p>
    <w:p>
      <w:pPr>
        <w:spacing w:after="0" w:line="59" w:lineRule="exact"/>
        <w:rPr>
          <w:rFonts w:ascii="Arial" w:cs="Arial" w:eastAsia="Arial" w:hAnsi="Arial"/>
          <w:sz w:val="18"/>
          <w:szCs w:val="18"/>
          <w:color w:val="auto"/>
        </w:rPr>
      </w:pPr>
    </w:p>
    <w:p>
      <w:pPr>
        <w:jc w:val="both"/>
        <w:ind w:left="900" w:right="16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Acquired Trumbull Services, LLC, a market leader in subrogation services for property and casualty insurers from The Hartford Financial Services Group, Inc. With this acquisition, EXL strengthens its leadership in the insurance industry with a highly skilled and experienced employee base, an advanced software platform and a capability for providing complex insurance subrogation outsourcing services.</w:t>
      </w:r>
    </w:p>
    <w:p>
      <w:pPr>
        <w:spacing w:after="0" w:line="25"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an underwritten public equity offering of 4,000,000 shares of common stock of which 3,000,000 shares were sold by certain stockholders and 1,000,000 shares were sold by EXL.</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Repaid all outstanding borrowings under the revolving credit facility using internally generated cash and the net proceeds from the equity offering of approximately $21.6 million.</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with the migration of 59 new processes, including 25 new processes in the recently formed Finance and Accounting Center of Excellence.</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Experienced attrition in the third quarter of 30.0% for billable employees compared to 32.8% in the quarter ended September 30, 2010 and 32.9% in the quarter ended June 30, 2011. Headcount for the quarter ended September 30, 2011 was approximately 17,900.</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increasing its guidance for calendar year 2011 at prevailing exchange rates:</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at the upper end of the range of $354.0 million to $358.0 million.</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margin, excluding the impact of stock-based compensation expense and amortization of intangibles, of between 14.5% and 15.0%.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EXL will host a conference call at 8:00 a.m. (ET) on November 3, 2011 to discuss the company’s financial and operating performance. The conference call and event will be available live via the internet by accessing the investor relations section of EXL’s website at www.exlservice.com, where the accompanying presentation can also be accessed. Please go to the website at least fifteen minutes prior to the call to register, download and install any necessary audio software.</w:t>
      </w:r>
    </w:p>
    <w:p>
      <w:pPr>
        <w:spacing w:after="0" w:line="88"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To listen to the conference call via phone, please dial 1-877-303-6384 or 1-224-357-2191 and enter “99096795”. For those who cannot access the live broadcast, a replay will be available by dialing 1-855-859-2056 or 1-404-537-3406 and entering “99096795” from two hours after the end of the call until 11:59 p.m. (ET) on November 17, 2011. The replay will also be available on the EXL website www.exlservice.com.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ExlService Holdings, Inc. (NASDAQ: EXLS) is a leading provider of outsourcing and transformation services. EXL primarily serves the needs of Fortune 1000 companies from global delivery centers in the insurance,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risk and financial management and operations and process excellence services. Find additional information about EXL at www.exlservice.com.</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by ExlService Holdings, Inc. (the “Company”).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100,026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257,961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61,755</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157,971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6,915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5,331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18,894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26,611</w:t>
            </w: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71,414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provision</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Basic</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30,293,114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29,302,862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29,926,846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29,221,668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31,586,936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30,385,308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31,131,513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30,248,648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40" w:type="dxa"/>
            <w:vAlign w:val="bottom"/>
          </w:tcPr>
          <w:p>
            <w:pPr>
              <w:jc w:val="right"/>
              <w:ind w:right="35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9,647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w w:val="89"/>
              </w:rPr>
              <w:t>Accounts receivable, net of allowance for doubtful accounts of $131 at September 30, 2011 and $246 at December 31, 2010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58,235</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44,186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5,211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Advance income tax,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159,849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41,003</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15,666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96,238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373,582</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7,284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cost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28,790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capital lease obligations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70,428</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57,137</w:t>
            </w: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$0.001 par value; 100,000,000 shares authorized, 31,447,336 shares issued and 31,123,939 shares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outstanding as of September 30, 2011 and 29,690,463 shares issued and 29,437,961 shares outstanding as of</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170,401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137,493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Accumulated other comprehensive (loss)/income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(16,533)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291,392</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249,595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w w:val="93"/>
              </w:rPr>
              <w:t>Less: 323,397 shares as of September 30, 2011 and 252,502 shares as of December 31, 2010, held in treasury, at cost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(2,693)</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288,699</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288,721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248,546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373,582</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305,683</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stock-based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our ability to generate cash flow. The Company believes that providing the measure of adjusted EBITDA will help investors better understand the Company’s underlying financial performance and ability to generate cash flows from operations. Adjusted EBITDA does not represent cash flows from operations as defined by GAAP.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quarter ended September 30, 2011, September 30, 2010 and June 30, 2011:</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add: Income tax provision and Other income</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7"/>
              </w:rPr>
              <w:t>11,660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6,983</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add: Stock-based compensation expense (a)</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2,160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2,121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 (b)</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2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15,215</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9,792</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add: Depreciation</w:t>
            </w:r>
          </w:p>
        </w:tc>
        <w:tc>
          <w:tcPr>
            <w:tcW w:w="2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7"/>
              </w:rPr>
              <w:t>20,263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7"/>
              </w:rPr>
              <w:t>13,322</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17,397</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EBITDA margin %</w:t>
            </w:r>
          </w:p>
        </w:tc>
        <w:tc>
          <w:tcPr>
            <w:tcW w:w="2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20.3%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19.7%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20.5%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480" w:type="dxa"/>
            <w:vAlign w:val="bottom"/>
          </w:tcPr>
          <w:p>
            <w:pPr>
              <w:jc w:val="right"/>
              <w:ind w:right="1632"/>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3"/>
              </w:rPr>
              <w:t>Three Months Ended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7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left="156"/>
              <w:spacing w:after="0" w:line="142" w:lineRule="exact"/>
              <w:rPr>
                <w:sz w:val="20"/>
                <w:szCs w:val="20"/>
                <w:color w:val="auto"/>
              </w:rPr>
            </w:pPr>
            <w:r>
              <w:rPr>
                <w:rFonts w:ascii="Arial" w:cs="Arial" w:eastAsia="Arial" w:hAnsi="Arial"/>
                <w:sz w:val="14"/>
                <w:szCs w:val="14"/>
                <w:b w:val="1"/>
                <w:bCs w:val="1"/>
                <w:color w:val="auto"/>
                <w:w w:val="89"/>
              </w:rPr>
              <w:t>2010</w:t>
            </w:r>
          </w:p>
        </w:tc>
        <w:tc>
          <w:tcPr>
            <w:tcW w:w="5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$7,804</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2,160</w:t>
            </w:r>
          </w:p>
        </w:tc>
        <w:tc>
          <w:tcPr>
            <w:tcW w:w="28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2,121</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subtract: Tax impact on stock-based compensation expense</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rPr>
              <w:t>(639)</w:t>
            </w:r>
          </w:p>
        </w:tc>
        <w:tc>
          <w:tcPr>
            <w:tcW w:w="2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(1,125)</w:t>
            </w: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10,914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9,610</w:t>
            </w: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10,936</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0.32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0.35</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1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2019-12-11T00:58:34Z</dcterms:created>
  <dcterms:modified xsi:type="dcterms:W3CDTF">2019-12-11T00:58:34Z</dcterms:modified>
</cp:coreProperties>
</file>