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62"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6"/>
          <w:szCs w:val="16"/>
          <w:b w:val="1"/>
          <w:bCs w:val="1"/>
          <w:color w:val="auto"/>
        </w:rPr>
        <w:t>Pursuant to Sections 13 or 15(d) of the Securities Exchange Act of 1934</w:t>
      </w:r>
    </w:p>
    <w:p>
      <w:pPr>
        <w:spacing w:after="0" w:line="57"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7"/>
          <w:szCs w:val="17"/>
          <w:color w:val="auto"/>
        </w:rPr>
        <w:t>April 29, 2025</w:t>
      </w:r>
    </w:p>
    <w:p>
      <w:pPr>
        <w:spacing w:after="0" w:line="57"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EXLSERVICE HOLDINGS, INC.</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ectPr>
          <w:pgSz w:w="11900" w:h="16838" w:orient="portrait"/>
          <w:cols w:equalWidth="0" w:num="1">
            <w:col w:w="11240"/>
          </w:cols>
          <w:pgMar w:left="320" w:top="1168" w:right="339" w:bottom="1440" w:gutter="0" w:footer="0" w:header="0"/>
        </w:sectPr>
      </w:pPr>
    </w:p>
    <w:p>
      <w:pPr>
        <w:spacing w:after="0" w:line="121"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82-0572194</w:t>
      </w:r>
    </w:p>
    <w:p>
      <w:pPr>
        <w:spacing w:after="0" w:line="30" w:lineRule="exact"/>
        <w:rPr>
          <w:sz w:val="24"/>
          <w:szCs w:val="24"/>
          <w:color w:val="auto"/>
        </w:rPr>
      </w:pPr>
    </w:p>
    <w:p>
      <w:pPr>
        <w:sectPr>
          <w:pgSz w:w="11900" w:h="16838" w:orient="portrait"/>
          <w:cols w:equalWidth="0" w:num="3">
            <w:col w:w="4540" w:space="720"/>
            <w:col w:w="3000" w:space="720"/>
            <w:col w:w="2260"/>
          </w:cols>
          <w:pgMar w:left="320" w:top="1168" w:right="339" w:bottom="1440" w:gutter="0" w:footer="0" w:header="0"/>
          <w:type w:val="continuous"/>
        </w:sectPr>
      </w:pPr>
    </w:p>
    <w:p>
      <w:pPr>
        <w:jc w:val="center"/>
        <w:ind w:right="260"/>
        <w:spacing w:after="0"/>
        <w:rPr>
          <w:sz w:val="20"/>
          <w:szCs w:val="20"/>
          <w:color w:val="auto"/>
        </w:rPr>
      </w:pPr>
      <w:r>
        <w:rPr>
          <w:rFonts w:ascii="Times New Roman" w:cs="Times New Roman" w:eastAsia="Times New Roman" w:hAnsi="Times New Roman"/>
          <w:sz w:val="16"/>
          <w:szCs w:val="16"/>
          <w:color w:val="auto"/>
        </w:rPr>
        <w:t>(State or other jurisdiction</w:t>
      </w:r>
    </w:p>
    <w:p>
      <w:pPr>
        <w:jc w:val="center"/>
        <w:ind w:right="260"/>
        <w:spacing w:after="0"/>
        <w:rPr>
          <w:sz w:val="20"/>
          <w:szCs w:val="20"/>
          <w:color w:val="auto"/>
        </w:rPr>
      </w:pPr>
      <w:r>
        <w:rPr>
          <w:rFonts w:ascii="Times New Roman" w:cs="Times New Roman" w:eastAsia="Times New Roman" w:hAnsi="Times New Roman"/>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6"/>
          <w:szCs w:val="16"/>
          <w:color w:val="auto"/>
        </w:rPr>
        <w:t>(I.R.S. Employer</w:t>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000" w:space="720"/>
            <w:col w:w="3320" w:space="720"/>
            <w:col w:w="2480"/>
          </w:cols>
          <w:pgMar w:left="320" w:top="1168" w:right="339" w:bottom="1440" w:gutter="0" w:footer="0" w:header="0"/>
          <w:type w:val="continuous"/>
        </w:sectPr>
      </w:pPr>
    </w:p>
    <w:p>
      <w:pPr>
        <w:spacing w:after="0" w:line="17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5"/>
          <w:szCs w:val="15"/>
          <w:b w:val="1"/>
          <w:bCs w:val="1"/>
          <w:color w:val="auto"/>
        </w:rPr>
        <w:t>320 Park Avenue, 29</w:t>
      </w:r>
      <w:r>
        <w:rPr>
          <w:rFonts w:ascii="Times New Roman" w:cs="Times New Roman" w:eastAsia="Times New Roman" w:hAnsi="Times New Roman"/>
          <w:sz w:val="9"/>
          <w:szCs w:val="9"/>
          <w:b w:val="1"/>
          <w:bCs w:val="1"/>
          <w:color w:val="auto"/>
        </w:rPr>
        <w:t>th</w:t>
      </w:r>
      <w:r>
        <w:rPr>
          <w:rFonts w:ascii="Times New Roman" w:cs="Times New Roman" w:eastAsia="Times New Roman" w:hAnsi="Times New Roman"/>
          <w:sz w:val="15"/>
          <w:szCs w:val="15"/>
          <w:b w:val="1"/>
          <w:bCs w:val="1"/>
          <w:color w:val="auto"/>
        </w:rPr>
        <w:t xml:space="preserve"> Floor,</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10022</w:t>
      </w:r>
    </w:p>
    <w:p>
      <w:pPr>
        <w:spacing w:after="0" w:line="32" w:lineRule="exact"/>
        <w:rPr>
          <w:sz w:val="24"/>
          <w:szCs w:val="24"/>
          <w:color w:val="auto"/>
        </w:rPr>
      </w:pPr>
    </w:p>
    <w:p>
      <w:pPr>
        <w:sectPr>
          <w:pgSz w:w="11900" w:h="16838" w:orient="portrait"/>
          <w:cols w:equalWidth="0" w:num="2">
            <w:col w:w="7620" w:space="720"/>
            <w:col w:w="2900"/>
          </w:cols>
          <w:pgMar w:left="320" w:top="1168" w:right="339" w:bottom="1440" w:gutter="0" w:footer="0" w:header="0"/>
          <w:type w:val="continuous"/>
        </w:sectPr>
      </w:pPr>
    </w:p>
    <w:p>
      <w:pPr>
        <w:ind w:left="4960"/>
        <w:spacing w:after="0"/>
        <w:rPr>
          <w:sz w:val="20"/>
          <w:szCs w:val="20"/>
          <w:color w:val="auto"/>
        </w:rPr>
      </w:pPr>
      <w:r>
        <w:rPr>
          <w:rFonts w:ascii="Times New Roman" w:cs="Times New Roman" w:eastAsia="Times New Roman" w:hAnsi="Times New Roman"/>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32" w:lineRule="exact"/>
        <w:rPr>
          <w:sz w:val="24"/>
          <w:szCs w:val="24"/>
          <w:color w:val="auto"/>
        </w:rPr>
      </w:pPr>
    </w:p>
    <w:p>
      <w:pPr>
        <w:sectPr>
          <w:pgSz w:w="11900" w:h="16838" w:orient="portrait"/>
          <w:cols w:equalWidth="0" w:num="2">
            <w:col w:w="7480" w:space="720"/>
            <w:col w:w="3040"/>
          </w:cols>
          <w:pgMar w:left="320" w:top="1168" w:right="339" w:bottom="1440" w:gutter="0" w:footer="0" w:header="0"/>
          <w:type w:val="continuous"/>
        </w:sectPr>
      </w:pPr>
    </w:p>
    <w:p>
      <w:pPr>
        <w:ind w:left="458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6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(212) 277-7100</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or address, if changed since last report)</w:t>
      </w:r>
    </w:p>
    <w:p>
      <w:pPr>
        <w:spacing w:after="0" w:line="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w:t>
      </w:r>
    </w:p>
    <w:p>
      <w:pPr>
        <w:sectPr>
          <w:pgSz w:w="11900" w:h="16838" w:orient="portrait"/>
          <w:cols w:equalWidth="0" w:num="1">
            <w:col w:w="11240"/>
          </w:cols>
          <w:pgMar w:left="320" w:top="1168" w:right="339" w:bottom="1440" w:gutter="0" w:footer="0" w:header="0"/>
          <w:type w:val="continuous"/>
        </w:sectPr>
      </w:pP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27"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167"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4"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84"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8"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Emerging growth company</w:t>
      </w:r>
    </w:p>
    <w:p>
      <w:pPr>
        <w:spacing w:after="0" w:line="221" w:lineRule="exact"/>
        <w:rPr>
          <w:rFonts w:ascii="MS PGothic" w:cs="MS PGothic" w:eastAsia="MS PGothic" w:hAnsi="MS PGothic"/>
          <w:sz w:val="22"/>
          <w:szCs w:val="22"/>
          <w:color w:val="auto"/>
        </w:rPr>
      </w:pPr>
    </w:p>
    <w:p>
      <w:pPr>
        <w:ind w:left="620" w:right="480" w:hanging="594"/>
        <w:spacing w:after="0" w:line="219" w:lineRule="auto"/>
        <w:tabs>
          <w:tab w:leader="none" w:pos="6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81280</wp:posOffset>
            </wp:positionV>
            <wp:extent cx="712343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754380"/>
                    </a:xfrm>
                    <a:prstGeom prst="rect">
                      <a:avLst/>
                    </a:prstGeom>
                    <a:noFill/>
                  </pic:spPr>
                </pic:pic>
              </a:graphicData>
            </a:graphic>
          </wp:anchor>
        </w:drawing>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489"/>
        </w:trPr>
        <w:tc>
          <w:tcPr>
            <w:tcW w:w="20" w:type="dxa"/>
            <w:vAlign w:val="bottom"/>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EXLS</w:t>
            </w: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347"/>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972"/>
        </w:trPr>
        <w:tc>
          <w:tcPr>
            <w:tcW w:w="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April 29, 2025, ExlService Holdings, Inc. (the “Company”) reported its results of operations for the three months ended March 31, 2025. A copy of the press release issued by the Company concerning the foregoing is furnished herewith as Exhibit 99.1 and is incorporated herein by reference.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provided in Item 2.02 of this report, including Exhibit 99.1, shall not be deemed to be “filed” for purposes of Section 18 of the Securities Exchange Act of 1934, as amended.</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440" w:type="dxa"/>
            <w:vAlign w:val="bottom"/>
          </w:tcPr>
          <w:p>
            <w:pPr>
              <w:spacing w:after="0"/>
              <w:rPr>
                <w:sz w:val="18"/>
                <w:szCs w:val="18"/>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April 29, 2025 (furnished pursuant to Item 2.02).</w:t>
            </w:r>
          </w:p>
        </w:tc>
      </w:tr>
      <w:tr>
        <w:trPr>
          <w:trHeight w:val="205"/>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4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Cover Page Interactive Data File (the cover page XBRL tags are</w:t>
            </w:r>
          </w:p>
        </w:tc>
        <w:tc>
          <w:tcPr>
            <w:tcW w:w="3860" w:type="dxa"/>
            <w:vAlign w:val="bottom"/>
          </w:tcPr>
          <w:p>
            <w:pPr>
              <w:spacing w:after="0"/>
              <w:rPr>
                <w:sz w:val="17"/>
                <w:szCs w:val="17"/>
                <w:color w:val="auto"/>
              </w:rPr>
            </w:pPr>
          </w:p>
        </w:tc>
      </w:tr>
      <w:tr>
        <w:trPr>
          <w:trHeight w:val="234"/>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40" w:type="dxa"/>
            <w:vAlign w:val="bottom"/>
          </w:tcPr>
          <w:p>
            <w:pPr>
              <w:spacing w:after="0"/>
              <w:rPr>
                <w:sz w:val="20"/>
                <w:szCs w:val="20"/>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09"/>
        </w:trPr>
        <w:tc>
          <w:tcPr>
            <w:tcW w:w="2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4140" w:type="dxa"/>
            <w:vAlign w:val="bottom"/>
            <w:tcBorders>
              <w:bottom w:val="single" w:sz="8" w:color="9A9A9A"/>
            </w:tcBorders>
          </w:tcPr>
          <w:p>
            <w:pPr>
              <w:spacing w:after="0"/>
              <w:rPr>
                <w:sz w:val="18"/>
                <w:szCs w:val="18"/>
                <w:color w:val="auto"/>
              </w:rPr>
            </w:pPr>
          </w:p>
        </w:tc>
        <w:tc>
          <w:tcPr>
            <w:tcW w:w="386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820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020" w:type="dxa"/>
            <w:vAlign w:val="bottom"/>
          </w:tcPr>
          <w:p>
            <w:pPr>
              <w:spacing w:after="0"/>
              <w:rPr>
                <w:sz w:val="20"/>
                <w:szCs w:val="20"/>
                <w:color w:val="auto"/>
              </w:rPr>
            </w:pPr>
          </w:p>
        </w:tc>
        <w:tc>
          <w:tcPr>
            <w:tcW w:w="32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(Registrant)</w:t>
            </w:r>
          </w:p>
        </w:tc>
        <w:tc>
          <w:tcPr>
            <w:tcW w:w="4960" w:type="dxa"/>
            <w:vAlign w:val="bottom"/>
          </w:tcPr>
          <w:p>
            <w:pPr>
              <w:spacing w:after="0"/>
              <w:rPr>
                <w:sz w:val="20"/>
                <w:szCs w:val="20"/>
                <w:color w:val="auto"/>
              </w:rPr>
            </w:pPr>
          </w:p>
        </w:tc>
      </w:tr>
      <w:tr>
        <w:trPr>
          <w:trHeight w:val="75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April 29, 2025</w:t>
            </w:r>
          </w:p>
        </w:tc>
        <w:tc>
          <w:tcPr>
            <w:tcW w:w="32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Maurizio Nicolelli</w:t>
            </w:r>
          </w:p>
        </w:tc>
      </w:tr>
      <w:tr>
        <w:trPr>
          <w:trHeight w:val="27"/>
        </w:trPr>
        <w:tc>
          <w:tcPr>
            <w:tcW w:w="30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32"/>
        </w:trPr>
        <w:tc>
          <w:tcPr>
            <w:tcW w:w="3020" w:type="dxa"/>
            <w:vAlign w:val="bottom"/>
          </w:tcPr>
          <w:p>
            <w:pPr>
              <w:spacing w:after="0"/>
              <w:rPr>
                <w:sz w:val="20"/>
                <w:szCs w:val="20"/>
                <w:color w:val="auto"/>
              </w:rPr>
            </w:pPr>
          </w:p>
        </w:tc>
        <w:tc>
          <w:tcPr>
            <w:tcW w:w="32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Maurizio Nicolelli</w:t>
            </w:r>
          </w:p>
        </w:tc>
      </w:tr>
      <w:tr>
        <w:trPr>
          <w:trHeight w:val="234"/>
        </w:trPr>
        <w:tc>
          <w:tcPr>
            <w:tcW w:w="3020" w:type="dxa"/>
            <w:vAlign w:val="bottom"/>
          </w:tcPr>
          <w:p>
            <w:pPr>
              <w:spacing w:after="0"/>
              <w:rPr>
                <w:sz w:val="20"/>
                <w:szCs w:val="20"/>
                <w:color w:val="auto"/>
              </w:rPr>
            </w:pPr>
          </w:p>
        </w:tc>
        <w:tc>
          <w:tcPr>
            <w:tcW w:w="32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EXL REPORTS 2025 FIRST QUARTER RESULTS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2025 First Quarter Revenue of $501.0 Million, up 14.8% year-over-year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Q1 Diluted EPS (GAAP) </w:t>
      </w:r>
      <w:r>
        <w:rPr>
          <w:rFonts w:ascii="Times New Roman" w:cs="Times New Roman" w:eastAsia="Times New Roman" w:hAnsi="Times New Roman"/>
          <w:sz w:val="28"/>
          <w:szCs w:val="28"/>
          <w:b w:val="1"/>
          <w:bCs w:val="1"/>
          <w:i w:val="1"/>
          <w:iCs w:val="1"/>
          <w:color w:val="auto"/>
          <w:vertAlign w:val="superscript"/>
        </w:rPr>
        <w:t>(1)</w:t>
      </w:r>
      <w:r>
        <w:rPr>
          <w:rFonts w:ascii="Times New Roman" w:cs="Times New Roman" w:eastAsia="Times New Roman" w:hAnsi="Times New Roman"/>
          <w:sz w:val="22"/>
          <w:szCs w:val="22"/>
          <w:b w:val="1"/>
          <w:bCs w:val="1"/>
          <w:i w:val="1"/>
          <w:iCs w:val="1"/>
          <w:color w:val="auto"/>
        </w:rPr>
        <w:t xml:space="preserve"> of $0.40, up 38.3% from $0.29 in Q1 of 2024</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Q1 Adjusted Diluted EPS (Non-GAAP) </w:t>
      </w:r>
      <w:r>
        <w:rPr>
          <w:rFonts w:ascii="Times New Roman" w:cs="Times New Roman" w:eastAsia="Times New Roman" w:hAnsi="Times New Roman"/>
          <w:sz w:val="28"/>
          <w:szCs w:val="28"/>
          <w:b w:val="1"/>
          <w:bCs w:val="1"/>
          <w:i w:val="1"/>
          <w:iCs w:val="1"/>
          <w:color w:val="auto"/>
          <w:vertAlign w:val="superscript"/>
        </w:rPr>
        <w:t>(1)</w:t>
      </w:r>
      <w:r>
        <w:rPr>
          <w:rFonts w:ascii="Times New Roman" w:cs="Times New Roman" w:eastAsia="Times New Roman" w:hAnsi="Times New Roman"/>
          <w:sz w:val="22"/>
          <w:szCs w:val="22"/>
          <w:b w:val="1"/>
          <w:bCs w:val="1"/>
          <w:i w:val="1"/>
          <w:iCs w:val="1"/>
          <w:color w:val="auto"/>
        </w:rPr>
        <w:t xml:space="preserve"> of $0.48, up 26.9% from $0.38 in Q1 of 2024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New York - April 29, 2025 (GLOBE NEWSWIRE) - ExlService Holdings, Inc. (NASDAQ: EXLS), a global data and AI company, today announced its financial results for the quarter ended March 31, 2025.</w:t>
      </w:r>
    </w:p>
    <w:p>
      <w:pPr>
        <w:spacing w:after="0" w:line="20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Chairman and Chief Executive Officer Rohit Kapoor said, “We are pleased with our first quarter results and strong start to the year, as we delivered revenue and adjusted diluted EPS growth of 15% and 27% respectively. Our strong business momentum underscores the successful execution of our differentiated data and AI-led strategy and demonstrates the enduring resilience and adaptability of EXL’s business model.”</w:t>
      </w:r>
    </w:p>
    <w:p>
      <w:pPr>
        <w:spacing w:after="0" w:line="203"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Chief Financial Officer Maurizio Nicolelli said, “While we remain prudent in our outlook given the increasing level of macro-economic uncertainty, we are increasing our revenue guidance for the year, based on our business momentum and more favorable currency exchange rates. We now expect revenue to be in the range of $2.035 billion to $2.065 billion, up from our prior guidance of $2.025 billion to $2.060 billion. This represents 11% to 12% year-over-year growth on a reported basis, or 11% to 13% on a constant currency basis. We continue to expect our adjusted diluted earnings per share for 2025 to be in the range of $1.83 to $1.89, representing an 11% to 14% increase over 2024, as we continue to accelerate our data and AI investments to generate future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w:t>
      </w:r>
    </w:p>
    <w:p>
      <w:pPr>
        <w:spacing w:after="0" w:line="65" w:lineRule="exact"/>
        <w:rPr>
          <w:sz w:val="20"/>
          <w:szCs w:val="20"/>
          <w:color w:val="auto"/>
        </w:rPr>
      </w:pPr>
    </w:p>
    <w:p>
      <w:pPr>
        <w:jc w:val="both"/>
        <w:ind w:left="660" w:hanging="328"/>
        <w:spacing w:after="0" w:line="271" w:lineRule="auto"/>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Reconciliations of adjusted (non-GAAP) financial measures to the most directly comparable GAAP measures, where applicable, are included at the end of this release under “Reconciliation of Adjusted Financial Measures to GAAP Measures.” These non-GAAP measures, including adjusted diluted EPS and constant currency measures, are not measures of financial performance prepared in accordance with GAAP.</w:t>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Highlights: First Quarter 2025</w:t>
      </w:r>
    </w:p>
    <w:p>
      <w:pPr>
        <w:spacing w:after="0" w:line="200" w:lineRule="exact"/>
        <w:rPr>
          <w:sz w:val="20"/>
          <w:szCs w:val="20"/>
          <w:color w:val="auto"/>
        </w:rPr>
      </w:pPr>
    </w:p>
    <w:p>
      <w:pPr>
        <w:spacing w:after="0" w:line="205" w:lineRule="exact"/>
        <w:rPr>
          <w:sz w:val="20"/>
          <w:szCs w:val="20"/>
          <w:color w:val="auto"/>
        </w:rPr>
      </w:pPr>
    </w:p>
    <w:p>
      <w:pPr>
        <w:jc w:val="both"/>
        <w:ind w:left="660" w:hanging="328"/>
        <w:spacing w:after="0" w:line="31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quarter ended March 31, 2025, increased to $501.0 million compared to $436.5 million for the first quarter of 2024, an increase of 14.8% on a reported basis and 15.1% on a constant currency basis. Revenue increased by 4.1% sequentially on a reported basis and 4.3% on a constant currency basis, from the fourth quarter of 2024.</w:t>
      </w:r>
    </w:p>
    <w:p>
      <w:pPr>
        <w:spacing w:after="0" w:line="70"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3100" w:type="dxa"/>
            <w:vAlign w:val="bottom"/>
            <w:gridSpan w:val="4"/>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Gross Margin</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920" w:type="dxa"/>
            <w:vAlign w:val="bottom"/>
            <w:tcBorders>
              <w:top w:val="single" w:sz="8" w:color="auto"/>
              <w:bottom w:val="single" w:sz="8" w:color="auto"/>
            </w:tcBorders>
            <w:gridSpan w:val="4"/>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3100" w:type="dxa"/>
            <w:vAlign w:val="bottom"/>
            <w:tcBorders>
              <w:top w:val="single" w:sz="8" w:color="auto"/>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16"/>
                <w:szCs w:val="16"/>
                <w:b w:val="1"/>
                <w:bCs w:val="1"/>
                <w:color w:val="auto"/>
              </w:rPr>
              <w:t>Reportable Segments</w:t>
            </w:r>
            <w:r>
              <w:rPr>
                <w:rFonts w:ascii="Times New Roman" w:cs="Times New Roman" w:eastAsia="Times New Roman" w:hAnsi="Times New Roman"/>
                <w:sz w:val="21"/>
                <w:szCs w:val="21"/>
                <w:b w:val="1"/>
                <w:bCs w:val="1"/>
                <w:color w:val="auto"/>
                <w:vertAlign w:val="superscript"/>
              </w:rPr>
              <w:t>(1)</w:t>
            </w:r>
          </w:p>
        </w:tc>
        <w:tc>
          <w:tcPr>
            <w:tcW w:w="18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4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920" w:type="dxa"/>
            <w:vAlign w:val="bottom"/>
            <w:tcBorders>
              <w:top w:val="single" w:sz="8" w:color="auto"/>
              <w:bottom w:val="single" w:sz="8" w:color="auto"/>
            </w:tcBorders>
            <w:gridSpan w:val="4"/>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(dollars in millions)</w:t>
            </w:r>
          </w:p>
        </w:tc>
        <w:tc>
          <w:tcPr>
            <w:tcW w:w="10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Healthcare and Life Sciences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Banking, Capital Markets and</w:t>
            </w:r>
          </w:p>
        </w:tc>
        <w:tc>
          <w:tcPr>
            <w:tcW w:w="1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Diversified Industries</w:t>
            </w:r>
          </w:p>
        </w:tc>
        <w:tc>
          <w:tcPr>
            <w:tcW w:w="1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 Growth Markets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left="660"/>
        <w:spacing w:after="0" w:line="226"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In the first quarter of 2025, the Company implemented operational and structural changes to accelerate the execution of its data and AI-led strategy. Under the new structure, the Company reports its financial performance based on new segments presented in the table above, and as described in more detail in its Quarterly Report on Form 10-Q for the three months ended March 31, 2025, that is being filed with the SEC. In conjunction with the new reporting structure, the Company has recast prior period amounts, wherever applicable, to conform to the way the Company internally manages and monitors segment performance.</w:t>
      </w:r>
    </w:p>
    <w:p>
      <w:pPr>
        <w:spacing w:after="0" w:line="24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margin for the quarter ended March 31, 2025 was 15.7%, compared to 14.1% for the first quarter of 2024 and 14.8% for the</w:t>
      </w:r>
    </w:p>
    <w:p>
      <w:pPr>
        <w:spacing w:after="0" w:line="63" w:lineRule="exact"/>
        <w:rPr>
          <w:rFonts w:ascii="Times New Roman" w:cs="Times New Roman" w:eastAsia="Times New Roman" w:hAnsi="Times New Roman"/>
          <w:sz w:val="18"/>
          <w:szCs w:val="18"/>
          <w:color w:val="auto"/>
        </w:rPr>
      </w:pPr>
    </w:p>
    <w:p>
      <w:pPr>
        <w:ind w:left="660"/>
        <w:spacing w:after="0" w:line="3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quarter of 2024. Adjusted operating income margin for the quarter ended March 31, 2025 was 20.1%, compared to 18.9% for the first quarter of 2024 and 18.8% for the fourth quarter of 2024.</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31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for the quarter ended March 31, 2025 was $0.40, compared to $0.29 for the first quarter of 2024 and $0.31 for the fourth quarter of 2024. Adjusted diluted earnings per share for the quarter ended March 31, 2025 was $0.48, compared to $0.38 for the first quarter of 2024 and $0.44 for the fourth quarter of 2024.</w:t>
      </w:r>
    </w:p>
    <w:p>
      <w:pPr>
        <w:sectPr>
          <w:pgSz w:w="11900" w:h="16838" w:orient="portrait"/>
          <w:cols w:equalWidth="0" w:num="1">
            <w:col w:w="11240"/>
          </w:cols>
          <w:pgMar w:left="320" w:top="10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Business Highlights: First Quarter 2025</w:t>
      </w:r>
    </w:p>
    <w:p>
      <w:pPr>
        <w:spacing w:after="0" w:line="200" w:lineRule="exact"/>
        <w:rPr>
          <w:sz w:val="20"/>
          <w:szCs w:val="20"/>
          <w:color w:val="auto"/>
        </w:rPr>
      </w:pPr>
    </w:p>
    <w:p>
      <w:pPr>
        <w:spacing w:after="0" w:line="31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Won 10 new clients in the first quarter of 2025.</w:t>
      </w:r>
    </w:p>
    <w:p>
      <w:pPr>
        <w:spacing w:after="0" w:line="360" w:lineRule="exact"/>
        <w:rPr>
          <w:rFonts w:ascii="Times New Roman" w:cs="Times New Roman" w:eastAsia="Times New Roman" w:hAnsi="Times New Roman"/>
          <w:sz w:val="18"/>
          <w:szCs w:val="18"/>
          <w:color w:val="auto"/>
        </w:rPr>
      </w:pPr>
    </w:p>
    <w:p>
      <w:pPr>
        <w:ind w:left="660" w:hanging="328"/>
        <w:spacing w:after="0" w:line="40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a Leader in four categories in the ISG Provider Lens™ Insurance Services 2024 report. Earning top honors in the North American Life &amp; Retirement, Property &amp; Casualty, Life &amp; Retirement TPA Insurance Services, and Insurance IT Services.</w:t>
      </w:r>
    </w:p>
    <w:p>
      <w:pPr>
        <w:spacing w:after="0" w:line="121"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a Leader and a Star Performer in Everest Group’s Life and Annuities Insurance Business Process Services and Third-Party Administrator (TPA) PEAK Matrix® Assessment 2025.</w:t>
      </w:r>
    </w:p>
    <w:p>
      <w:pPr>
        <w:spacing w:after="0" w:line="189"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as part of Newsweek’s America’s Most Responsible Companies 2025, Forbes’ Most Trusted Companies in America 2025, USA Today's America’s Climate Leaders 2025, and The Financial Times’ Best Employers Asia-Pacific 2025.</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Guidance</w:t>
      </w:r>
    </w:p>
    <w:p>
      <w:pPr>
        <w:spacing w:after="0" w:line="54" w:lineRule="exact"/>
        <w:rPr>
          <w:sz w:val="20"/>
          <w:szCs w:val="20"/>
          <w:color w:val="auto"/>
        </w:rPr>
      </w:pPr>
    </w:p>
    <w:p>
      <w:pPr>
        <w:jc w:val="both"/>
        <w:ind w:right="20"/>
        <w:spacing w:after="0" w:line="344" w:lineRule="auto"/>
        <w:rPr>
          <w:sz w:val="20"/>
          <w:szCs w:val="20"/>
          <w:color w:val="auto"/>
        </w:rPr>
      </w:pPr>
      <w:r>
        <w:rPr>
          <w:rFonts w:ascii="Times New Roman" w:cs="Times New Roman" w:eastAsia="Times New Roman" w:hAnsi="Times New Roman"/>
          <w:sz w:val="18"/>
          <w:szCs w:val="18"/>
          <w:color w:val="auto"/>
        </w:rPr>
        <w:t>Based on current visibility, and a U.S. dollar to Indian rupee exchange rate of 85.5, U.K. pound sterling to U.S. dollar exchange rate of 1.30, U.S. dollar to the Philippine peso exchange rate of 57.0 and all other currencies at current exchange rates, we are providing the following guidance for the full year 2025:</w:t>
      </w:r>
    </w:p>
    <w:p>
      <w:pPr>
        <w:spacing w:after="0" w:line="190" w:lineRule="exact"/>
        <w:rPr>
          <w:sz w:val="20"/>
          <w:szCs w:val="20"/>
          <w:color w:val="auto"/>
        </w:rPr>
      </w:pPr>
    </w:p>
    <w:p>
      <w:pPr>
        <w:ind w:left="660" w:right="20" w:hanging="328"/>
        <w:spacing w:after="0" w:line="329"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$2.035 billion to $2.065 billion, representing an increase of 11% to 12% on a reported basis, and 11% to 13% on a constant currency basis from 2024;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earnings per share of $1.83 to $1.89, representing an increase of 11% to 14% from 2024.</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Conference Call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ExlService Holdings, Inc. will host a conference call on Wednesday, April 30, 2025 at 10:00 A.M. ET to discuss the Company’s quarterly operating and</w:t>
      </w:r>
    </w:p>
    <w:p>
      <w:pPr>
        <w:spacing w:after="0" w:line="117"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 xml:space="preserve">financial results. The conference call will be available live via the internet by accessing the investor relations section of EXL’s website at </w:t>
      </w:r>
      <w:r>
        <w:rPr>
          <w:rFonts w:ascii="Times New Roman" w:cs="Times New Roman" w:eastAsia="Times New Roman" w:hAnsi="Times New Roman"/>
          <w:sz w:val="18"/>
          <w:szCs w:val="18"/>
          <w:u w:val="single" w:color="auto"/>
          <w:color w:val="0000FF"/>
        </w:rPr>
        <w:t>ir.exlservice.com</w:t>
      </w:r>
      <w:r>
        <w:rPr>
          <w:rFonts w:ascii="Times New Roman" w:cs="Times New Roman" w:eastAsia="Times New Roman" w:hAnsi="Times New Roman"/>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42"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8"/>
          <w:szCs w:val="18"/>
          <w:color w:val="auto"/>
        </w:rPr>
        <w:t xml:space="preserve">Please note that there is a new system to access the live call-in order to ask questions. To join the live call, please register </w:t>
      </w:r>
      <w:r>
        <w:rPr>
          <w:rFonts w:ascii="Times New Roman" w:cs="Times New Roman" w:eastAsia="Times New Roman" w:hAnsi="Times New Roman"/>
          <w:sz w:val="18"/>
          <w:szCs w:val="18"/>
          <w:u w:val="single" w:color="auto"/>
          <w:color w:val="0000FF"/>
        </w:rPr>
        <w:t>here</w:t>
      </w:r>
      <w:r>
        <w:rPr>
          <w:rFonts w:ascii="Times New Roman" w:cs="Times New Roman" w:eastAsia="Times New Roman" w:hAnsi="Times New Roman"/>
          <w:sz w:val="18"/>
          <w:szCs w:val="18"/>
          <w:color w:val="auto"/>
        </w:rPr>
        <w:t xml:space="preserve">. A dial-in and unique PIN will be provided to join the call. For those who cannot access the live broadcast, a replay will be available on the EXL website </w:t>
      </w:r>
      <w:r>
        <w:rPr>
          <w:rFonts w:ascii="Times New Roman" w:cs="Times New Roman" w:eastAsia="Times New Roman" w:hAnsi="Times New Roman"/>
          <w:sz w:val="18"/>
          <w:szCs w:val="18"/>
          <w:u w:val="single" w:color="auto"/>
          <w:color w:val="0000FF"/>
        </w:rPr>
        <w:t>ir.exlservice.com</w:t>
      </w:r>
      <w:r>
        <w:rPr>
          <w:rFonts w:ascii="Times New Roman" w:cs="Times New Roman" w:eastAsia="Times New Roman" w:hAnsi="Times New Roman"/>
          <w:sz w:val="18"/>
          <w:szCs w:val="18"/>
          <w:color w:val="auto"/>
        </w:rPr>
        <w:t xml:space="preserve"> for a period of twelve months.</w:t>
      </w:r>
    </w:p>
    <w:p>
      <w:pPr>
        <w:sectPr>
          <w:pgSz w:w="11900" w:h="16838" w:orient="portrait"/>
          <w:cols w:equalWidth="0" w:num="1">
            <w:col w:w="11240"/>
          </w:cols>
          <w:pgMar w:left="320" w:top="110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ExlService Holdings, Inc.</w:t>
      </w:r>
    </w:p>
    <w:p>
      <w:pPr>
        <w:spacing w:after="0" w:line="81"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18"/>
          <w:szCs w:val="18"/>
          <w:color w:val="auto"/>
        </w:rPr>
        <w:t>EXL (NASDAQ: EXLS) is a global data and artificial intelligence ("AI") company that offers services and solutions to reinvent client business models, drive better outcomes and unlock growth with speed. EXL harnesses the power of data, AI, and deep industry knowledge to transform businesses,</w:t>
      </w:r>
    </w:p>
    <w:p>
      <w:pPr>
        <w:spacing w:after="0" w:line="1" w:lineRule="exact"/>
        <w:rPr>
          <w:sz w:val="20"/>
          <w:szCs w:val="20"/>
          <w:color w:val="auto"/>
        </w:rPr>
      </w:pPr>
    </w:p>
    <w:p>
      <w:pPr>
        <w:jc w:val="both"/>
        <w:ind w:right="20"/>
        <w:spacing w:after="0" w:line="375" w:lineRule="auto"/>
        <w:rPr>
          <w:sz w:val="20"/>
          <w:szCs w:val="20"/>
          <w:color w:val="auto"/>
        </w:rPr>
      </w:pPr>
      <w:r>
        <w:rPr>
          <w:rFonts w:ascii="Times New Roman" w:cs="Times New Roman" w:eastAsia="Times New Roman" w:hAnsi="Times New Roman"/>
          <w:sz w:val="18"/>
          <w:szCs w:val="18"/>
          <w:color w:val="auto"/>
        </w:rPr>
        <w:t xml:space="preserve">including the world’s leading corporations in industries including insurance, healthcare, banking and financial services, media and retail, among others. EXL was founded in 1999 with the core values of innovation, collaboration, excellence, integrity and respect. We are headquartered in New York and have more than 60,000 employees spanning six continents. For more information, visit </w:t>
      </w:r>
      <w:r>
        <w:rPr>
          <w:rFonts w:ascii="Times New Roman" w:cs="Times New Roman" w:eastAsia="Times New Roman" w:hAnsi="Times New Roman"/>
          <w:sz w:val="18"/>
          <w:szCs w:val="18"/>
          <w:u w:val="single" w:color="auto"/>
          <w:color w:val="0000FF"/>
        </w:rPr>
        <w:t>www.exlservice.com.</w:t>
      </w:r>
    </w:p>
    <w:p>
      <w:pPr>
        <w:spacing w:after="0" w:line="28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Cautionary Statement Regarding Forward-Looking Statements </w:t>
      </w:r>
      <w:r>
        <w:rPr>
          <w:rFonts w:ascii="Times New Roman" w:cs="Times New Roman" w:eastAsia="Times New Roman" w:hAnsi="Times New Roman"/>
          <w:sz w:val="18"/>
          <w:szCs w:val="18"/>
          <w:i w:val="1"/>
          <w:iCs w:val="1"/>
          <w:color w:val="auto"/>
        </w:rPr>
        <w:t>This press release contains forward-looking statements within the meaning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our ability to hire and retain sufficiently trained employees, and our ability to accurately estimate and/or manage costs, rising interest rates, rising inflation and recessionary economic trends,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applicable law.</w:t>
      </w:r>
    </w:p>
    <w:p>
      <w:pPr>
        <w:sectPr>
          <w:pgSz w:w="11900" w:h="16838" w:orient="portrait"/>
          <w:cols w:equalWidth="0" w:num="1">
            <w:col w:w="11240"/>
          </w:cols>
          <w:pgMar w:left="320" w:top="914" w:right="339" w:bottom="1440" w:gutter="0" w:footer="0" w:header="0"/>
        </w:sectPr>
      </w:pPr>
    </w:p>
    <w:bookmarkStart w:id="7" w:name="page8"/>
    <w:bookmarkEnd w:id="7"/>
    <w:p>
      <w:pPr>
        <w:ind w:left="4292"/>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04" w:lineRule="exact"/>
        <w:rPr>
          <w:sz w:val="20"/>
          <w:szCs w:val="20"/>
          <w:color w:val="auto"/>
        </w:rPr>
      </w:pPr>
    </w:p>
    <w:p>
      <w:pPr>
        <w:ind w:left="3092"/>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31"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5" w:lineRule="exact"/>
        <w:rPr>
          <w:sz w:val="20"/>
          <w:szCs w:val="20"/>
          <w:color w:val="auto"/>
        </w:rPr>
      </w:pPr>
    </w:p>
    <w:tbl>
      <w:tblPr>
        <w:tblLayout w:type="fixed"/>
        <w:tblInd w:w="112"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501,019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436,507</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307,705</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273,424</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23"/>
                <w:szCs w:val="23"/>
                <w:b w:val="1"/>
                <w:bCs w:val="1"/>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193,314</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163,083</w:t>
            </w:r>
          </w:p>
        </w:tc>
        <w:tc>
          <w:tcPr>
            <w:tcW w:w="0" w:type="dxa"/>
            <w:vAlign w:val="bottom"/>
          </w:tcPr>
          <w:p>
            <w:pPr>
              <w:spacing w:after="0"/>
              <w:rPr>
                <w:sz w:val="1"/>
                <w:szCs w:val="1"/>
                <w:color w:val="auto"/>
              </w:rPr>
            </w:pPr>
          </w:p>
        </w:tc>
      </w:tr>
      <w:tr>
        <w:trPr>
          <w:trHeight w:val="20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59,417</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53,243</w:t>
            </w:r>
          </w:p>
        </w:tc>
        <w:tc>
          <w:tcPr>
            <w:tcW w:w="0" w:type="dxa"/>
            <w:vAlign w:val="bottom"/>
          </w:tcPr>
          <w:p>
            <w:pPr>
              <w:spacing w:after="0"/>
              <w:rPr>
                <w:sz w:val="1"/>
                <w:szCs w:val="1"/>
                <w:color w:val="auto"/>
              </w:rPr>
            </w:pPr>
          </w:p>
        </w:tc>
      </w:tr>
      <w:tr>
        <w:trPr>
          <w:trHeight w:val="229"/>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114,899</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101,559</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78,415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61,524</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 and earnings from equity affiliates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80,166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62,544</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13,496</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66,670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48,791</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66,561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48,763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used in computing earnings per share: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162,490,179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165,082,387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164,557,333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166,726,853</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52" w:hanging="152"/>
        <w:spacing w:after="0"/>
        <w:tabs>
          <w:tab w:leader="none" w:pos="152"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Exclusive of depreciation and amortization expense.</w:t>
      </w:r>
    </w:p>
    <w:p>
      <w:pPr>
        <w:sectPr>
          <w:pgSz w:w="11900" w:h="16838" w:orient="portrait"/>
          <w:cols w:equalWidth="0" w:num="1">
            <w:col w:w="11112"/>
          </w:cols>
          <w:pgMar w:left="328" w:top="1103" w:right="4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140" w:type="dxa"/>
            <w:vAlign w:val="bottom"/>
          </w:tcPr>
          <w:p>
            <w:pPr>
              <w:spacing w:after="0"/>
              <w:rPr>
                <w:sz w:val="17"/>
                <w:szCs w:val="17"/>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0" w:type="dxa"/>
            <w:vAlign w:val="bottom"/>
          </w:tcPr>
          <w:p>
            <w:pPr>
              <w:spacing w:after="0"/>
              <w:rPr>
                <w:sz w:val="1"/>
                <w:szCs w:val="1"/>
                <w:color w:val="auto"/>
              </w:rPr>
            </w:pPr>
          </w:p>
        </w:tc>
      </w:tr>
      <w:tr>
        <w:trPr>
          <w:trHeight w:val="201"/>
        </w:trPr>
        <w:tc>
          <w:tcPr>
            <w:tcW w:w="70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153,355</w:t>
            </w: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Short-term investments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187,223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304,322</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150,203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140,317</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831,305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795,189</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101,837</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68,784</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104,747</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420,387</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49,331</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56,085</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1,676,411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1,618,403</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borrowings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19,264</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employee costs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129,994</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113,597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16,491</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243,653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290,116</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borrowings, less current portion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283,598</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less current portion</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59,851</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55,471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53,573</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664,534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688,541</w:t>
            </w:r>
          </w:p>
        </w:tc>
        <w:tc>
          <w:tcPr>
            <w:tcW w:w="0" w:type="dxa"/>
            <w:vAlign w:val="bottom"/>
          </w:tcPr>
          <w:p>
            <w:pPr>
              <w:spacing w:after="0"/>
              <w:rPr>
                <w:sz w:val="1"/>
                <w:szCs w:val="1"/>
                <w:color w:val="auto"/>
              </w:rPr>
            </w:pPr>
          </w:p>
        </w:tc>
      </w:tr>
      <w:tr>
        <w:trPr>
          <w:trHeight w:val="19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Preferred stock, $0.001 par value; 15,000,000 shares authorized, none issued</w:t>
            </w:r>
          </w:p>
        </w:tc>
        <w:tc>
          <w:tcPr>
            <w:tcW w:w="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5"/>
        </w:trPr>
        <w:tc>
          <w:tcPr>
            <w:tcW w:w="702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4"/>
                <w:szCs w:val="14"/>
                <w:color w:val="auto"/>
              </w:rPr>
              <w:t>Common stock, $0.001 par value; 400,000,000 shares authorized, 207,758,497 shares issued and 162,683,343</w:t>
            </w:r>
          </w:p>
        </w:tc>
        <w:tc>
          <w:tcPr>
            <w:tcW w:w="2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020" w:type="dxa"/>
            <w:vAlign w:val="bottom"/>
            <w:shd w:val="clear" w:color="auto" w:fill="CCEEFF"/>
          </w:tcPr>
          <w:p>
            <w:pPr>
              <w:ind w:left="340"/>
              <w:spacing w:after="0" w:line="139" w:lineRule="exact"/>
              <w:rPr>
                <w:sz w:val="20"/>
                <w:szCs w:val="20"/>
                <w:color w:val="auto"/>
              </w:rPr>
            </w:pPr>
            <w:r>
              <w:rPr>
                <w:rFonts w:ascii="Times New Roman" w:cs="Times New Roman" w:eastAsia="Times New Roman" w:hAnsi="Times New Roman"/>
                <w:sz w:val="14"/>
                <w:szCs w:val="14"/>
                <w:color w:val="auto"/>
              </w:rPr>
              <w:t>shares outstanding as of March 31, 2025 and 206,510,587 shares issued and 161,801,212 shares outstanding as of</w:t>
            </w:r>
          </w:p>
        </w:tc>
        <w:tc>
          <w:tcPr>
            <w:tcW w:w="2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2"/>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December 31, 2024</w:t>
            </w:r>
          </w:p>
        </w:tc>
        <w:tc>
          <w:tcPr>
            <w:tcW w:w="2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588,583</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1,348,521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1,281,960</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(142,787)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(154,722)</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including shares held in treasury</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1,815,533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1,716,027</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45,075,154 shares as of March 31, 2025 and 44,709,375 shares as of December 31, 2024, held in treasury, at cost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(803,656)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(786,165)</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1,011,877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929,862</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1,676,411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1,618,403</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360"/>
          </w:cols>
          <w:pgMar w:left="760" w:top="887" w:right="7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Financial Measures to GAAP Measures</w:t>
      </w:r>
    </w:p>
    <w:p>
      <w:pPr>
        <w:spacing w:after="0" w:line="283" w:lineRule="exact"/>
        <w:rPr>
          <w:sz w:val="20"/>
          <w:szCs w:val="20"/>
          <w:color w:val="auto"/>
        </w:rPr>
      </w:pPr>
    </w:p>
    <w:p>
      <w:pPr>
        <w:ind w:firstLine="405"/>
        <w:spacing w:after="0" w:line="329" w:lineRule="auto"/>
        <w:rPr>
          <w:sz w:val="20"/>
          <w:szCs w:val="20"/>
          <w:color w:val="auto"/>
        </w:rPr>
      </w:pPr>
      <w:r>
        <w:rPr>
          <w:rFonts w:ascii="Times New Roman" w:cs="Times New Roman" w:eastAsia="Times New Roman" w:hAnsi="Times New Roman"/>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81"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and adjusted operating income margin;</w:t>
      </w:r>
    </w:p>
    <w:p>
      <w:pPr>
        <w:spacing w:after="0" w:line="7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EBITDA margin;</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diluted earnings per share; and</w:t>
      </w:r>
    </w:p>
    <w:p>
      <w:pPr>
        <w:spacing w:after="0" w:line="4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on constant currency basis.</w:t>
      </w:r>
    </w:p>
    <w:p>
      <w:pPr>
        <w:spacing w:after="0" w:line="306" w:lineRule="exact"/>
        <w:rPr>
          <w:sz w:val="20"/>
          <w:szCs w:val="20"/>
          <w:color w:val="auto"/>
        </w:rPr>
      </w:pPr>
    </w:p>
    <w:p>
      <w:pPr>
        <w:jc w:val="both"/>
        <w:ind w:firstLine="405"/>
        <w:spacing w:after="0" w:line="303" w:lineRule="auto"/>
        <w:rPr>
          <w:sz w:val="20"/>
          <w:szCs w:val="20"/>
          <w:color w:val="auto"/>
        </w:rPr>
      </w:pPr>
      <w:r>
        <w:rPr>
          <w:rFonts w:ascii="Times New Roman" w:cs="Times New Roman" w:eastAsia="Times New Roman" w:hAnsi="Times New Roman"/>
          <w:sz w:val="18"/>
          <w:szCs w:val="18"/>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future acquisitions and the currency fluctuations and associated tax effects. As such, the Company presents guidance with respect to adjusted diluted earnings per share. The Company also incurs significant non-cash charges for depreciation that may not be indicative of the Company’s ability to generate cash flow.</w:t>
      </w:r>
    </w:p>
    <w:p>
      <w:pPr>
        <w:spacing w:after="0" w:line="212" w:lineRule="exact"/>
        <w:rPr>
          <w:sz w:val="20"/>
          <w:szCs w:val="20"/>
          <w:color w:val="auto"/>
        </w:rPr>
      </w:pPr>
    </w:p>
    <w:p>
      <w:pPr>
        <w:jc w:val="both"/>
        <w:ind w:firstLine="405"/>
        <w:spacing w:after="0" w:line="305" w:lineRule="auto"/>
        <w:rPr>
          <w:sz w:val="20"/>
          <w:szCs w:val="20"/>
          <w:color w:val="auto"/>
        </w:rPr>
      </w:pPr>
      <w:r>
        <w:rPr>
          <w:rFonts w:ascii="Times New Roman" w:cs="Times New Roman" w:eastAsia="Times New Roman" w:hAnsi="Times New Roman"/>
          <w:sz w:val="18"/>
          <w:szCs w:val="18"/>
          <w:color w:val="auto"/>
        </w:rPr>
        <w:t>EXL non-GAAP financial measures exclude, where applicable, stock-based compensation expense, amortization of acquisition-related intangible assets, provision for litigation matters, effects of termination of leases, certain defined social security contributions, allowance for certain material expected credit losses, other acquisition-related expenses or benefits and effect of any non-recurring tax adjustments. Acquisition-related expenses or benefits include, changes in the fair value of contingent consideration, external deal costs, integration expenses, direct and incremental travel costs and non-recurring benefits or losses. Our adjusted net income and adjusted diluted EPS also excludes the effects of income tax on the above pre-tax items, as applicable. The effects of income tax of each item is calculated by applying the statutory rate of the local tax regulations in the jurisdiction in which the item was incurred.</w:t>
      </w:r>
    </w:p>
    <w:p>
      <w:pPr>
        <w:spacing w:after="0" w:line="211" w:lineRule="exact"/>
        <w:rPr>
          <w:sz w:val="20"/>
          <w:szCs w:val="20"/>
          <w:color w:val="auto"/>
        </w:rPr>
      </w:pPr>
    </w:p>
    <w:p>
      <w:pPr>
        <w:jc w:val="both"/>
        <w:ind w:firstLine="405"/>
        <w:spacing w:after="0" w:line="309" w:lineRule="auto"/>
        <w:rPr>
          <w:sz w:val="20"/>
          <w:szCs w:val="20"/>
          <w:color w:val="auto"/>
        </w:rPr>
      </w:pPr>
      <w:r>
        <w:rPr>
          <w:rFonts w:ascii="Times New Roman" w:cs="Times New Roman" w:eastAsia="Times New Roman" w:hAnsi="Times New Roman"/>
          <w:sz w:val="18"/>
          <w:szCs w:val="18"/>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207" w:lineRule="exact"/>
        <w:rPr>
          <w:sz w:val="20"/>
          <w:szCs w:val="20"/>
          <w:color w:val="auto"/>
        </w:rPr>
      </w:pPr>
    </w:p>
    <w:p>
      <w:pPr>
        <w:jc w:val="both"/>
        <w:ind w:firstLine="405"/>
        <w:spacing w:after="0" w:line="306" w:lineRule="auto"/>
        <w:rPr>
          <w:sz w:val="20"/>
          <w:szCs w:val="20"/>
          <w:color w:val="auto"/>
        </w:rPr>
      </w:pPr>
      <w:r>
        <w:rPr>
          <w:rFonts w:ascii="Times New Roman" w:cs="Times New Roman" w:eastAsia="Times New Roman" w:hAnsi="Times New Roman"/>
          <w:sz w:val="18"/>
          <w:szCs w:val="18"/>
          <w:color w:val="auto"/>
        </w:rPr>
        <w:t>EXL’s primary exchange rate exposure is with the Indian rupee, the Philippine peso, the U.K. pound sterling and the South African rand. The average exchange rate of the U.S. dollar against the Indian rupee increased from 83.12 during the quarter ended March 31, 2024 to 86.52 during the quarter ended March 31, 2025, representing a depreciation of 4.1% against the U.S. dollar. The average exchange rate of the U.S. dollar against the Philippine peso increased from 56.24 during the quarter ended March 31, 2024 to 57.86 during the quarter ended March 31, 2025, representing a depreciation of 2.9% against the U.S. dollar. The average exchange rate of the U.K. pound sterling against the U.S. dollar decreased from 1.27 during the quarter ended March 31, 2024 to 1.26 during the quarter ended March 31, 2025, representing a depreciation of 0.1% against the U.S. dollar. The average exchange</w:t>
      </w:r>
    </w:p>
    <w:p>
      <w:pPr>
        <w:sectPr>
          <w:pgSz w:w="11900" w:h="16838" w:orient="portrait"/>
          <w:cols w:equalWidth="0" w:num="1">
            <w:col w:w="11240"/>
          </w:cols>
          <w:pgMar w:left="320" w:top="927" w:right="339" w:bottom="1440" w:gutter="0" w:footer="0" w:header="0"/>
        </w:sectPr>
      </w:pPr>
    </w:p>
    <w:bookmarkStart w:id="10" w:name="page11"/>
    <w:bookmarkEnd w:id="10"/>
    <w:p>
      <w:pPr>
        <w:ind w:right="20"/>
        <w:spacing w:after="0" w:line="329" w:lineRule="auto"/>
        <w:rPr>
          <w:sz w:val="20"/>
          <w:szCs w:val="20"/>
          <w:color w:val="auto"/>
        </w:rPr>
      </w:pPr>
      <w:r>
        <w:rPr>
          <w:rFonts w:ascii="Times New Roman" w:cs="Times New Roman" w:eastAsia="Times New Roman" w:hAnsi="Times New Roman"/>
          <w:sz w:val="18"/>
          <w:szCs w:val="18"/>
          <w:color w:val="auto"/>
        </w:rPr>
        <w:t>rate of the U.S. dollar against the South African rand decreased from 18.96 during the quarter ended March 31, 2024 to 18.49 during the quarter ended March 31, 2025, representing an appreciation of 2.5% against the U.S. dollar.</w:t>
      </w:r>
    </w:p>
    <w:p>
      <w:pPr>
        <w:spacing w:after="0" w:line="189" w:lineRule="exact"/>
        <w:rPr>
          <w:sz w:val="20"/>
          <w:szCs w:val="20"/>
          <w:color w:val="auto"/>
        </w:rPr>
      </w:pPr>
    </w:p>
    <w:p>
      <w:pPr>
        <w:ind w:firstLine="405"/>
        <w:spacing w:after="0" w:line="344" w:lineRule="auto"/>
        <w:rPr>
          <w:sz w:val="20"/>
          <w:szCs w:val="20"/>
          <w:color w:val="auto"/>
        </w:rPr>
      </w:pPr>
      <w:r>
        <w:rPr>
          <w:rFonts w:ascii="Times New Roman" w:cs="Times New Roman" w:eastAsia="Times New Roman" w:hAnsi="Times New Roman"/>
          <w:sz w:val="18"/>
          <w:szCs w:val="18"/>
          <w:color w:val="auto"/>
        </w:rPr>
        <w:t>The following table shows the reconciliation of these non-GAAP financial measures for the three months ended March 31, 2025 and March 31, 2024, and the three months ended December 31, 2024:</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Adjusted Operating Income and Adjusted EBITDA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115"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6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9"/>
        </w:trPr>
        <w:tc>
          <w:tcPr>
            <w:tcW w:w="6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(GAAP)</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66,561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48,763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50,672</w:t>
            </w:r>
          </w:p>
        </w:tc>
        <w:tc>
          <w:tcPr>
            <w:tcW w:w="0" w:type="dxa"/>
            <w:vAlign w:val="bottom"/>
          </w:tcPr>
          <w:p>
            <w:pPr>
              <w:spacing w:after="0"/>
              <w:rPr>
                <w:sz w:val="1"/>
                <w:szCs w:val="1"/>
                <w:color w:val="auto"/>
              </w:rPr>
            </w:pPr>
          </w:p>
        </w:tc>
      </w:tr>
      <w:tr>
        <w:trPr>
          <w:trHeight w:val="213"/>
        </w:trPr>
        <w:tc>
          <w:tcPr>
            <w:tcW w:w="6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 Income tax expense</w:t>
            </w:r>
          </w:p>
        </w:tc>
        <w:tc>
          <w:tcPr>
            <w:tcW w:w="3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13,496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13,753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19,850</w:t>
            </w:r>
          </w:p>
        </w:tc>
        <w:tc>
          <w:tcPr>
            <w:tcW w:w="0" w:type="dxa"/>
            <w:vAlign w:val="bottom"/>
          </w:tcPr>
          <w:p>
            <w:pPr>
              <w:spacing w:after="0"/>
              <w:rPr>
                <w:sz w:val="1"/>
                <w:szCs w:val="1"/>
                <w:color w:val="auto"/>
              </w:rPr>
            </w:pPr>
          </w:p>
        </w:tc>
      </w:tr>
      <w:tr>
        <w:trPr>
          <w:trHeight w:val="165"/>
        </w:trPr>
        <w:tc>
          <w:tcPr>
            <w:tcW w:w="618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add/(subtract): Foreign exchange gain, net, interest expense, gain/(loss) from equity-</w:t>
            </w: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720</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method investment and other income/(loss), net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 (GAAP)</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78,415</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61,524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71,242</w:t>
            </w:r>
          </w:p>
        </w:tc>
        <w:tc>
          <w:tcPr>
            <w:tcW w:w="0" w:type="dxa"/>
            <w:vAlign w:val="bottom"/>
          </w:tcPr>
          <w:p>
            <w:pPr>
              <w:spacing w:after="0"/>
              <w:rPr>
                <w:sz w:val="1"/>
                <w:szCs w:val="1"/>
                <w:color w:val="auto"/>
              </w:rPr>
            </w:pPr>
          </w:p>
        </w:tc>
      </w:tr>
      <w:tr>
        <w:trPr>
          <w:trHeight w:val="218"/>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 Stock-based compensation expense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19,187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17,852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15,479</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add: Amortization of acquisition-related intangibles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3,246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3,080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4,024</w:t>
            </w:r>
          </w:p>
        </w:tc>
        <w:tc>
          <w:tcPr>
            <w:tcW w:w="0" w:type="dxa"/>
            <w:vAlign w:val="bottom"/>
          </w:tcPr>
          <w:p>
            <w:pPr>
              <w:spacing w:after="0"/>
              <w:rPr>
                <w:sz w:val="1"/>
                <w:szCs w:val="1"/>
                <w:color w:val="auto"/>
              </w:rPr>
            </w:pPr>
          </w:p>
        </w:tc>
      </w:tr>
      <w:tr>
        <w:trPr>
          <w:trHeight w:val="235"/>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operating income (Non-GAAP)</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100,848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82,456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90,745</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operating income margin as a % of Revenue (Non-GAAP)</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20.1 %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18.9 %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18.8 %</w:t>
            </w:r>
          </w:p>
        </w:tc>
        <w:tc>
          <w:tcPr>
            <w:tcW w:w="0" w:type="dxa"/>
            <w:vAlign w:val="bottom"/>
          </w:tcPr>
          <w:p>
            <w:pPr>
              <w:spacing w:after="0"/>
              <w:rPr>
                <w:sz w:val="1"/>
                <w:szCs w:val="1"/>
                <w:color w:val="auto"/>
              </w:rPr>
            </w:pPr>
          </w:p>
        </w:tc>
      </w:tr>
      <w:tr>
        <w:trPr>
          <w:trHeight w:val="218"/>
        </w:trPr>
        <w:tc>
          <w:tcPr>
            <w:tcW w:w="6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 Depreciation on long-lived assets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10,311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9,266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12,140</w:t>
            </w:r>
          </w:p>
        </w:tc>
        <w:tc>
          <w:tcPr>
            <w:tcW w:w="0" w:type="dxa"/>
            <w:vAlign w:val="bottom"/>
          </w:tcPr>
          <w:p>
            <w:pPr>
              <w:spacing w:after="0"/>
              <w:rPr>
                <w:sz w:val="1"/>
                <w:szCs w:val="1"/>
                <w:color w:val="auto"/>
              </w:rPr>
            </w:pPr>
          </w:p>
        </w:tc>
      </w:tr>
      <w:tr>
        <w:trPr>
          <w:trHeight w:val="208"/>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111,159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91,722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102,885</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Adjusted EBITDA margin as a % of revenue (Non-GAAP)</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22.2 %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21.0 %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21.4 %</w:t>
            </w:r>
          </w:p>
        </w:tc>
        <w:tc>
          <w:tcPr>
            <w:tcW w:w="0" w:type="dxa"/>
            <w:vAlign w:val="bottom"/>
          </w:tcPr>
          <w:p>
            <w:pPr>
              <w:spacing w:after="0"/>
              <w:rPr>
                <w:sz w:val="1"/>
                <w:szCs w:val="1"/>
                <w:color w:val="auto"/>
              </w:rPr>
            </w:pPr>
          </w:p>
        </w:tc>
      </w:tr>
    </w:tbl>
    <w:p>
      <w:pPr>
        <w:sectPr>
          <w:pgSz w:w="11900" w:h="16838" w:orient="portrait"/>
          <w:cols w:equalWidth="0" w:num="1">
            <w:col w:w="11240"/>
          </w:cols>
          <w:pgMar w:left="320" w:top="91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 and Adjusted Diluted Earnings Per Share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128"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11"/>
        </w:trPr>
        <w:tc>
          <w:tcPr>
            <w:tcW w:w="59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0"/>
        </w:trPr>
        <w:tc>
          <w:tcPr>
            <w:tcW w:w="59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(GAAP)</w:t>
            </w:r>
          </w:p>
        </w:tc>
        <w:tc>
          <w:tcPr>
            <w:tcW w:w="8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66,561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48,763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50,672</w:t>
            </w:r>
          </w:p>
        </w:tc>
      </w:tr>
      <w:tr>
        <w:trPr>
          <w:trHeight w:val="21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add: Stock-based compensation expense</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19,187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15,479</w:t>
            </w:r>
          </w:p>
        </w:tc>
      </w:tr>
      <w:tr>
        <w:trPr>
          <w:trHeight w:val="21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Amortization of acquisition-related intangibles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w:t>
            </w:r>
          </w:p>
        </w:tc>
      </w:tr>
      <w:tr>
        <w:trPr>
          <w:trHeight w:val="21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add/(subtract): Changes in fair value of contingent consideration</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add/(subtract): Other tax expense/(benefits) (a)</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3,860</w:t>
            </w:r>
          </w:p>
        </w:tc>
      </w:tr>
      <w:tr>
        <w:trPr>
          <w:trHeight w:val="213"/>
        </w:trPr>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subtract: Tax impact on stock-based compensation expense (b)</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r>
      <w:tr>
        <w:trPr>
          <w:trHeight w:val="21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subtract: Tax impact on amortization of acquisition-related intangibles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w:t>
            </w:r>
          </w:p>
        </w:tc>
      </w:tr>
      <w:tr>
        <w:trPr>
          <w:trHeight w:val="208"/>
        </w:trPr>
        <w:tc>
          <w:tcPr>
            <w:tcW w:w="5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net income (Non-GAAP)</w:t>
            </w:r>
          </w:p>
        </w:tc>
        <w:tc>
          <w:tcPr>
            <w:tcW w:w="8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79,090</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63,133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71,345</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2"/>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diluted earnings per share (Non-GAAP)</w:t>
            </w:r>
          </w:p>
        </w:tc>
        <w:tc>
          <w:tcPr>
            <w:tcW w:w="8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0.44</w:t>
            </w:r>
          </w:p>
        </w:tc>
      </w:tr>
    </w:tbl>
    <w:p>
      <w:pPr>
        <w:spacing w:after="0" w:line="297" w:lineRule="exact"/>
        <w:rPr>
          <w:sz w:val="20"/>
          <w:szCs w:val="20"/>
          <w:color w:val="auto"/>
        </w:rPr>
      </w:pPr>
    </w:p>
    <w:p>
      <w:pPr>
        <w:ind w:left="720" w:hanging="226"/>
        <w:spacing w:after="0"/>
        <w:tabs>
          <w:tab w:leader="none" w:pos="7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exclude other tax expenses/(benefits), primarily related to certain deferred tax assets and liabilities.</w:t>
      </w:r>
    </w:p>
    <w:p>
      <w:pPr>
        <w:spacing w:after="0" w:line="248" w:lineRule="exact"/>
        <w:rPr>
          <w:rFonts w:ascii="Times New Roman" w:cs="Times New Roman" w:eastAsia="Times New Roman" w:hAnsi="Times New Roman"/>
          <w:sz w:val="16"/>
          <w:szCs w:val="16"/>
          <w:color w:val="auto"/>
        </w:rPr>
      </w:pPr>
    </w:p>
    <w:p>
      <w:pPr>
        <w:ind w:left="500" w:hanging="6"/>
        <w:spacing w:after="0" w:line="280" w:lineRule="auto"/>
        <w:tabs>
          <w:tab w:leader="none" w:pos="757"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impact includes $14,526 and $7,523 during the three months ended March 31, 2025 and 2024 respectively, and $500 during the three months ended December 31, 2024, related to discrete benefit recognized in income tax expense in accordance with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Contacts</w:t>
      </w:r>
      <w:r>
        <w:rPr>
          <w:rFonts w:ascii="Times New Roman" w:cs="Times New Roman" w:eastAsia="Times New Roman" w:hAnsi="Times New Roman"/>
          <w:sz w:val="17"/>
          <w:szCs w:val="17"/>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John Kristoff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Investor Relations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+1 212 209 4613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ir@exlservice.com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 - US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Keith Little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Assistant Vice President, Media Relations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+1 703 598 0980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0000FF"/>
        </w:rPr>
        <w:t>media.relations@exlservice.com</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2025-04-29T15:20:45Z</dcterms:created>
  <dcterms:modified xsi:type="dcterms:W3CDTF">2025-04-29T15:20:45Z</dcterms:modified>
</cp:coreProperties>
</file>