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195580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Sections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23,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186055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640" w:type="dxa"/>
        <w:tblCellMar>
          <w:top w:w="0" w:type="dxa"/>
          <w:left w:w="0" w:type="dxa"/>
          <w:bottom w:w="0" w:type="dxa"/>
          <w:right w:w="0" w:type="dxa"/>
        </w:tblCellMar>
      </w:tblPr>
      <w:tr>
        <w:trPr>
          <w:trHeight w:val="220"/>
        </w:trPr>
        <w:tc>
          <w:tcPr>
            <w:tcW w:w="244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34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001-33089</w:t>
            </w:r>
          </w:p>
        </w:tc>
        <w:tc>
          <w:tcPr>
            <w:tcW w:w="1680" w:type="dxa"/>
            <w:vAlign w:val="bottom"/>
          </w:tcPr>
          <w:p>
            <w:pPr>
              <w:jc w:val="right"/>
              <w:ind w:right="130"/>
              <w:spacing w:after="0"/>
              <w:rPr>
                <w:sz w:val="20"/>
                <w:szCs w:val="20"/>
                <w:color w:val="auto"/>
              </w:rPr>
            </w:pPr>
            <w:r>
              <w:rPr>
                <w:rFonts w:ascii="Arial" w:cs="Arial" w:eastAsia="Arial" w:hAnsi="Arial"/>
                <w:sz w:val="18"/>
                <w:szCs w:val="18"/>
                <w:b w:val="1"/>
                <w:bCs w:val="1"/>
                <w:color w:val="auto"/>
              </w:rPr>
              <w:t>82-0572194</w:t>
            </w:r>
          </w:p>
        </w:tc>
      </w:tr>
      <w:tr>
        <w:trPr>
          <w:trHeight w:val="216"/>
        </w:trPr>
        <w:tc>
          <w:tcPr>
            <w:tcW w:w="2440" w:type="dxa"/>
            <w:vAlign w:val="bottom"/>
          </w:tcPr>
          <w:p>
            <w:pPr>
              <w:jc w:val="center"/>
              <w:ind w:right="10"/>
              <w:spacing w:after="0"/>
              <w:rPr>
                <w:sz w:val="20"/>
                <w:szCs w:val="20"/>
                <w:color w:val="auto"/>
              </w:rPr>
            </w:pPr>
            <w:r>
              <w:rPr>
                <w:rFonts w:ascii="Arial" w:cs="Arial" w:eastAsia="Arial" w:hAnsi="Arial"/>
                <w:sz w:val="18"/>
                <w:szCs w:val="18"/>
                <w:color w:val="auto"/>
                <w:w w:val="92"/>
              </w:rPr>
              <w:t>(State or other jurisdiction</w:t>
            </w:r>
          </w:p>
        </w:tc>
        <w:tc>
          <w:tcPr>
            <w:tcW w:w="5340" w:type="dxa"/>
            <w:vAlign w:val="bottom"/>
          </w:tcPr>
          <w:p>
            <w:pPr>
              <w:jc w:val="center"/>
              <w:ind w:right="190"/>
              <w:spacing w:after="0"/>
              <w:rPr>
                <w:sz w:val="20"/>
                <w:szCs w:val="20"/>
                <w:color w:val="auto"/>
              </w:rPr>
            </w:pPr>
            <w:r>
              <w:rPr>
                <w:rFonts w:ascii="Arial" w:cs="Arial" w:eastAsia="Arial" w:hAnsi="Arial"/>
                <w:sz w:val="18"/>
                <w:szCs w:val="18"/>
                <w:color w:val="auto"/>
                <w:w w:val="92"/>
              </w:rPr>
              <w:t>(Commission File Number)</w:t>
            </w:r>
          </w:p>
        </w:tc>
        <w:tc>
          <w:tcPr>
            <w:tcW w:w="1680" w:type="dxa"/>
            <w:vAlign w:val="bottom"/>
          </w:tcPr>
          <w:p>
            <w:pPr>
              <w:jc w:val="center"/>
              <w:ind w:left="270"/>
              <w:spacing w:after="0"/>
              <w:rPr>
                <w:sz w:val="20"/>
                <w:szCs w:val="20"/>
                <w:color w:val="auto"/>
              </w:rPr>
            </w:pPr>
            <w:r>
              <w:rPr>
                <w:rFonts w:ascii="Arial" w:cs="Arial" w:eastAsia="Arial" w:hAnsi="Arial"/>
                <w:sz w:val="18"/>
                <w:szCs w:val="18"/>
                <w:color w:val="auto"/>
                <w:w w:val="93"/>
              </w:rPr>
              <w:t>(I.R.S. Employer</w:t>
            </w:r>
          </w:p>
        </w:tc>
      </w:tr>
      <w:tr>
        <w:trPr>
          <w:trHeight w:val="230"/>
        </w:trPr>
        <w:tc>
          <w:tcPr>
            <w:tcW w:w="2440" w:type="dxa"/>
            <w:vAlign w:val="bottom"/>
          </w:tcPr>
          <w:p>
            <w:pPr>
              <w:jc w:val="center"/>
              <w:spacing w:after="0"/>
              <w:rPr>
                <w:sz w:val="20"/>
                <w:szCs w:val="20"/>
                <w:color w:val="auto"/>
              </w:rPr>
            </w:pPr>
            <w:r>
              <w:rPr>
                <w:rFonts w:ascii="Arial" w:cs="Arial" w:eastAsia="Arial" w:hAnsi="Arial"/>
                <w:sz w:val="18"/>
                <w:szCs w:val="18"/>
                <w:color w:val="auto"/>
                <w:w w:val="92"/>
              </w:rPr>
              <w:t>of incorporation or organization)</w:t>
            </w:r>
          </w:p>
        </w:tc>
        <w:tc>
          <w:tcPr>
            <w:tcW w:w="5340" w:type="dxa"/>
            <w:vAlign w:val="bottom"/>
          </w:tcPr>
          <w:p>
            <w:pPr>
              <w:spacing w:after="0"/>
              <w:rPr>
                <w:sz w:val="20"/>
                <w:szCs w:val="20"/>
                <w:color w:val="auto"/>
              </w:rPr>
            </w:pPr>
          </w:p>
        </w:tc>
        <w:tc>
          <w:tcPr>
            <w:tcW w:w="1680" w:type="dxa"/>
            <w:vAlign w:val="bottom"/>
          </w:tcPr>
          <w:p>
            <w:pPr>
              <w:jc w:val="center"/>
              <w:ind w:left="25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2440" w:type="dxa"/>
            <w:vAlign w:val="bottom"/>
          </w:tcPr>
          <w:p>
            <w:pPr>
              <w:spacing w:after="0"/>
              <w:rPr>
                <w:sz w:val="24"/>
                <w:szCs w:val="24"/>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320 Park Avenue, 29th Floor</w:t>
            </w:r>
          </w:p>
        </w:tc>
        <w:tc>
          <w:tcPr>
            <w:tcW w:w="1680" w:type="dxa"/>
            <w:vAlign w:val="bottom"/>
          </w:tcPr>
          <w:p>
            <w:pPr>
              <w:spacing w:after="0"/>
              <w:rPr>
                <w:sz w:val="24"/>
                <w:szCs w:val="24"/>
                <w:color w:val="auto"/>
              </w:rPr>
            </w:pPr>
          </w:p>
        </w:tc>
      </w:tr>
      <w:tr>
        <w:trPr>
          <w:trHeight w:val="220"/>
        </w:trPr>
        <w:tc>
          <w:tcPr>
            <w:tcW w:w="2440" w:type="dxa"/>
            <w:vAlign w:val="bottom"/>
          </w:tcPr>
          <w:p>
            <w:pPr>
              <w:spacing w:after="0"/>
              <w:rPr>
                <w:sz w:val="19"/>
                <w:szCs w:val="19"/>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New York, New York</w:t>
            </w:r>
          </w:p>
        </w:tc>
        <w:tc>
          <w:tcPr>
            <w:tcW w:w="1680" w:type="dxa"/>
            <w:vAlign w:val="bottom"/>
          </w:tcPr>
          <w:p>
            <w:pPr>
              <w:jc w:val="right"/>
              <w:ind w:right="350"/>
              <w:spacing w:after="0"/>
              <w:rPr>
                <w:sz w:val="20"/>
                <w:szCs w:val="20"/>
                <w:color w:val="auto"/>
              </w:rPr>
            </w:pPr>
            <w:r>
              <w:rPr>
                <w:rFonts w:ascii="Arial" w:cs="Arial" w:eastAsia="Arial" w:hAnsi="Arial"/>
                <w:sz w:val="18"/>
                <w:szCs w:val="18"/>
                <w:b w:val="1"/>
                <w:bCs w:val="1"/>
                <w:color w:val="auto"/>
              </w:rPr>
              <w:t>10022</w:t>
            </w:r>
          </w:p>
        </w:tc>
      </w:tr>
      <w:tr>
        <w:trPr>
          <w:trHeight w:val="230"/>
        </w:trPr>
        <w:tc>
          <w:tcPr>
            <w:tcW w:w="2440" w:type="dxa"/>
            <w:vAlign w:val="bottom"/>
          </w:tcPr>
          <w:p>
            <w:pPr>
              <w:spacing w:after="0"/>
              <w:rPr>
                <w:sz w:val="20"/>
                <w:szCs w:val="20"/>
                <w:color w:val="auto"/>
              </w:rPr>
            </w:pPr>
          </w:p>
        </w:tc>
        <w:tc>
          <w:tcPr>
            <w:tcW w:w="5340" w:type="dxa"/>
            <w:vAlign w:val="bottom"/>
          </w:tcPr>
          <w:p>
            <w:pPr>
              <w:jc w:val="center"/>
              <w:ind w:right="130"/>
              <w:spacing w:after="0"/>
              <w:rPr>
                <w:sz w:val="20"/>
                <w:szCs w:val="20"/>
                <w:color w:val="auto"/>
              </w:rPr>
            </w:pPr>
            <w:r>
              <w:rPr>
                <w:rFonts w:ascii="Arial" w:cs="Arial" w:eastAsia="Arial" w:hAnsi="Arial"/>
                <w:sz w:val="18"/>
                <w:szCs w:val="18"/>
                <w:color w:val="auto"/>
                <w:w w:val="92"/>
              </w:rPr>
              <w:t>(Address of principal executive offices)</w:t>
            </w:r>
          </w:p>
        </w:tc>
        <w:tc>
          <w:tcPr>
            <w:tcW w:w="1680" w:type="dxa"/>
            <w:vAlign w:val="bottom"/>
          </w:tcPr>
          <w:p>
            <w:pPr>
              <w:jc w:val="center"/>
              <w:ind w:left="270"/>
              <w:spacing w:after="0"/>
              <w:rPr>
                <w:sz w:val="20"/>
                <w:szCs w:val="20"/>
                <w:color w:val="auto"/>
              </w:rPr>
            </w:pPr>
            <w:r>
              <w:rPr>
                <w:rFonts w:ascii="Arial" w:cs="Arial" w:eastAsia="Arial" w:hAnsi="Arial"/>
                <w:sz w:val="18"/>
                <w:szCs w:val="18"/>
                <w:color w:val="auto"/>
                <w:w w:val="93"/>
              </w:rPr>
              <w:t>(Zip code)</w:t>
            </w:r>
          </w:p>
        </w:tc>
      </w:tr>
      <w:tr>
        <w:trPr>
          <w:trHeight w:val="432"/>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(212) 277-7100</w:t>
            </w:r>
          </w:p>
        </w:tc>
        <w:tc>
          <w:tcPr>
            <w:tcW w:w="1680" w:type="dxa"/>
            <w:vAlign w:val="bottom"/>
          </w:tcPr>
          <w:p>
            <w:pPr>
              <w:spacing w:after="0"/>
              <w:rPr>
                <w:sz w:val="24"/>
                <w:szCs w:val="24"/>
                <w:color w:val="auto"/>
              </w:rPr>
            </w:pPr>
          </w:p>
        </w:tc>
      </w:tr>
      <w:tr>
        <w:trPr>
          <w:trHeight w:val="418"/>
        </w:trPr>
        <w:tc>
          <w:tcPr>
            <w:tcW w:w="2440" w:type="dxa"/>
            <w:vAlign w:val="bottom"/>
          </w:tcPr>
          <w:p>
            <w:pPr>
              <w:spacing w:after="0"/>
              <w:rPr>
                <w:sz w:val="24"/>
                <w:szCs w:val="24"/>
                <w:color w:val="auto"/>
              </w:rPr>
            </w:pPr>
          </w:p>
        </w:tc>
        <w:tc>
          <w:tcPr>
            <w:tcW w:w="5340" w:type="dxa"/>
            <w:vAlign w:val="bottom"/>
          </w:tcPr>
          <w:p>
            <w:pPr>
              <w:jc w:val="center"/>
              <w:ind w:right="170"/>
              <w:spacing w:after="0"/>
              <w:rPr>
                <w:sz w:val="20"/>
                <w:szCs w:val="20"/>
                <w:color w:val="auto"/>
              </w:rPr>
            </w:pPr>
            <w:r>
              <w:rPr>
                <w:rFonts w:ascii="Arial" w:cs="Arial" w:eastAsia="Arial" w:hAnsi="Arial"/>
                <w:sz w:val="18"/>
                <w:szCs w:val="18"/>
                <w:b w:val="1"/>
                <w:bCs w:val="1"/>
                <w:color w:val="auto"/>
              </w:rPr>
              <w:t>NOT APPLICABLE</w:t>
            </w:r>
          </w:p>
        </w:tc>
        <w:tc>
          <w:tcPr>
            <w:tcW w:w="1680" w:type="dxa"/>
            <w:vAlign w:val="bottom"/>
          </w:tcPr>
          <w:p>
            <w:pPr>
              <w:spacing w:after="0"/>
              <w:rPr>
                <w:sz w:val="24"/>
                <w:szCs w:val="24"/>
                <w:color w:val="auto"/>
              </w:rPr>
            </w:pPr>
          </w:p>
        </w:tc>
      </w:tr>
      <w:tr>
        <w:trPr>
          <w:trHeight w:val="230"/>
        </w:trPr>
        <w:tc>
          <w:tcPr>
            <w:tcW w:w="2440" w:type="dxa"/>
            <w:vAlign w:val="bottom"/>
          </w:tcPr>
          <w:p>
            <w:pPr>
              <w:spacing w:after="0"/>
              <w:rPr>
                <w:sz w:val="20"/>
                <w:szCs w:val="20"/>
                <w:color w:val="auto"/>
              </w:rPr>
            </w:pPr>
          </w:p>
        </w:tc>
        <w:tc>
          <w:tcPr>
            <w:tcW w:w="5340" w:type="dxa"/>
            <w:vAlign w:val="bottom"/>
          </w:tcPr>
          <w:p>
            <w:pPr>
              <w:jc w:val="center"/>
              <w:ind w:right="150"/>
              <w:spacing w:after="0"/>
              <w:rPr>
                <w:sz w:val="20"/>
                <w:szCs w:val="20"/>
                <w:color w:val="auto"/>
              </w:rPr>
            </w:pPr>
            <w:r>
              <w:rPr>
                <w:rFonts w:ascii="Arial" w:cs="Arial" w:eastAsia="Arial" w:hAnsi="Arial"/>
                <w:sz w:val="18"/>
                <w:szCs w:val="18"/>
                <w:color w:val="auto"/>
                <w:w w:val="89"/>
              </w:rPr>
              <w:t>(Former name or address, if changed since last report)</w:t>
            </w:r>
          </w:p>
        </w:tc>
        <w:tc>
          <w:tcPr>
            <w:tcW w:w="168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171450</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Emerging growth company</w:t>
      </w:r>
    </w:p>
    <w:p>
      <w:pPr>
        <w:spacing w:after="0" w:line="225" w:lineRule="exact"/>
        <w:rPr>
          <w:rFonts w:ascii="MS PGothic" w:cs="MS PGothic" w:eastAsia="MS PGothic" w:hAnsi="MS PGothic"/>
          <w:sz w:val="18"/>
          <w:szCs w:val="18"/>
          <w:color w:val="auto"/>
        </w:rPr>
      </w:pPr>
    </w:p>
    <w:p>
      <w:pPr>
        <w:ind w:left="660" w:right="160" w:hanging="652"/>
        <w:spacing w:after="0" w:line="277" w:lineRule="auto"/>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548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31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3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36"/>
        </w:trPr>
        <w:tc>
          <w:tcPr>
            <w:tcW w:w="3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$0.001 par value per share</w:t>
            </w:r>
          </w:p>
        </w:tc>
        <w:tc>
          <w:tcPr>
            <w:tcW w:w="31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EXLS</w:t>
            </w:r>
          </w:p>
        </w:tc>
        <w:tc>
          <w:tcPr>
            <w:tcW w:w="4360" w:type="dxa"/>
            <w:vAlign w:val="bottom"/>
          </w:tcPr>
          <w:p>
            <w:pPr>
              <w:jc w:val="center"/>
              <w:spacing w:after="0"/>
              <w:rPr>
                <w:sz w:val="20"/>
                <w:szCs w:val="20"/>
                <w:color w:val="auto"/>
              </w:rPr>
            </w:pPr>
            <w:r>
              <w:rPr>
                <w:rFonts w:ascii="Arial" w:cs="Arial" w:eastAsia="Arial" w:hAnsi="Arial"/>
                <w:sz w:val="18"/>
                <w:szCs w:val="18"/>
                <w:color w:val="auto"/>
                <w:w w:val="97"/>
              </w:rPr>
              <w:t>NASDAQ</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140" w:type="dxa"/>
            <w:vAlign w:val="bottom"/>
            <w:tcBorders>
              <w:bottom w:val="single" w:sz="8" w:color="auto"/>
              <w:right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264"/>
        </w:trPr>
        <w:tc>
          <w:tcPr>
            <w:tcW w:w="3740" w:type="dxa"/>
            <w:vAlign w:val="bottom"/>
            <w:tcBorders>
              <w:bottom w:val="single" w:sz="8" w:color="auto"/>
            </w:tcBorders>
          </w:tcPr>
          <w:p>
            <w:pPr>
              <w:spacing w:after="0"/>
              <w:rPr>
                <w:sz w:val="22"/>
                <w:szCs w:val="22"/>
                <w:color w:val="auto"/>
              </w:rPr>
            </w:pPr>
          </w:p>
        </w:tc>
        <w:tc>
          <w:tcPr>
            <w:tcW w:w="3140" w:type="dxa"/>
            <w:vAlign w:val="bottom"/>
            <w:tcBorders>
              <w:bottom w:val="single" w:sz="8" w:color="auto"/>
            </w:tcBorders>
          </w:tcPr>
          <w:p>
            <w:pPr>
              <w:spacing w:after="0"/>
              <w:rPr>
                <w:sz w:val="22"/>
                <w:szCs w:val="22"/>
                <w:color w:val="auto"/>
              </w:rPr>
            </w:pPr>
          </w:p>
        </w:tc>
        <w:tc>
          <w:tcPr>
            <w:tcW w:w="4360" w:type="dxa"/>
            <w:vAlign w:val="bottom"/>
            <w:tcBorders>
              <w:bottom w:val="single" w:sz="8" w:color="auto"/>
            </w:tcBorders>
          </w:tcPr>
          <w:p>
            <w:pPr>
              <w:spacing w:after="0"/>
              <w:rPr>
                <w:sz w:val="22"/>
                <w:szCs w:val="22"/>
                <w:color w:val="auto"/>
              </w:rPr>
            </w:pPr>
          </w:p>
        </w:tc>
      </w:tr>
      <w:tr>
        <w:trPr>
          <w:trHeight w:val="27"/>
        </w:trPr>
        <w:tc>
          <w:tcPr>
            <w:tcW w:w="37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r>
      <w:tr>
        <w:trPr>
          <w:trHeight w:val="459"/>
        </w:trPr>
        <w:tc>
          <w:tcPr>
            <w:tcW w:w="37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2"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On March 23, 2020, ExlService Holdings, Inc. (the “Company”) issued a press release to provide a business update related to the impact of the novel coronavirus (COVID-19). A copy of the press release is attached hereto as Exhibit 99.1 and is incorporated herein by reference.</w:t>
      </w:r>
    </w:p>
    <w:p>
      <w:pPr>
        <w:spacing w:after="0" w:line="14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48"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29" w:lineRule="exact"/>
        <w:rPr>
          <w:sz w:val="20"/>
          <w:szCs w:val="20"/>
          <w:color w:val="auto"/>
        </w:rPr>
      </w:pPr>
    </w:p>
    <w:p>
      <w:pPr>
        <w:spacing w:after="0"/>
        <w:tabs>
          <w:tab w:leader="none" w:pos="146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March 23,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40" w:firstLine="3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spacing w:after="0"/>
              <w:rPr>
                <w:sz w:val="19"/>
                <w:szCs w:val="19"/>
                <w:color w:val="auto"/>
              </w:rPr>
            </w:pPr>
          </w:p>
        </w:tc>
        <w:tc>
          <w:tcPr>
            <w:tcW w:w="7700" w:type="dxa"/>
            <w:vAlign w:val="bottom"/>
            <w:gridSpan w:val="2"/>
          </w:tcPr>
          <w:p>
            <w:pPr>
              <w:ind w:left="194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540" w:type="dxa"/>
            <w:vAlign w:val="bottom"/>
          </w:tcPr>
          <w:p>
            <w:pPr>
              <w:spacing w:after="0"/>
              <w:rPr>
                <w:sz w:val="20"/>
                <w:szCs w:val="20"/>
                <w:color w:val="auto"/>
              </w:rPr>
            </w:pPr>
          </w:p>
        </w:tc>
        <w:tc>
          <w:tcPr>
            <w:tcW w:w="7700" w:type="dxa"/>
            <w:vAlign w:val="bottom"/>
            <w:gridSpan w:val="2"/>
          </w:tcPr>
          <w:p>
            <w:pPr>
              <w:ind w:left="1940"/>
              <w:spacing w:after="0"/>
              <w:rPr>
                <w:sz w:val="20"/>
                <w:szCs w:val="20"/>
                <w:color w:val="auto"/>
              </w:rPr>
            </w:pPr>
            <w:r>
              <w:rPr>
                <w:rFonts w:ascii="Arial" w:cs="Arial" w:eastAsia="Arial" w:hAnsi="Arial"/>
                <w:sz w:val="18"/>
                <w:szCs w:val="18"/>
                <w:color w:val="auto"/>
              </w:rPr>
              <w:t>(Registrant)</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March 23, 2020</w:t>
            </w:r>
          </w:p>
        </w:tc>
        <w:tc>
          <w:tcPr>
            <w:tcW w:w="2520" w:type="dxa"/>
            <w:vAlign w:val="bottom"/>
          </w:tcPr>
          <w:p>
            <w:pPr>
              <w:ind w:left="1940"/>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Ajay Ayyappan</w:t>
            </w:r>
          </w:p>
        </w:tc>
      </w:tr>
      <w:tr>
        <w:trPr>
          <w:trHeight w:val="195"/>
        </w:trPr>
        <w:tc>
          <w:tcPr>
            <w:tcW w:w="3540" w:type="dxa"/>
            <w:vAlign w:val="bottom"/>
          </w:tcPr>
          <w:p>
            <w:pPr>
              <w:spacing w:after="0"/>
              <w:rPr>
                <w:sz w:val="16"/>
                <w:szCs w:val="16"/>
                <w:color w:val="auto"/>
              </w:rPr>
            </w:pPr>
          </w:p>
        </w:tc>
        <w:tc>
          <w:tcPr>
            <w:tcW w:w="2520" w:type="dxa"/>
            <w:vAlign w:val="bottom"/>
          </w:tcPr>
          <w:p>
            <w:pPr>
              <w:ind w:left="1940"/>
              <w:spacing w:after="0" w:line="195" w:lineRule="exact"/>
              <w:rPr>
                <w:sz w:val="20"/>
                <w:szCs w:val="20"/>
                <w:color w:val="auto"/>
              </w:rPr>
            </w:pPr>
            <w:r>
              <w:rPr>
                <w:rFonts w:ascii="Arial" w:cs="Arial" w:eastAsia="Arial" w:hAnsi="Arial"/>
                <w:sz w:val="18"/>
                <w:szCs w:val="18"/>
                <w:color w:val="auto"/>
              </w:rPr>
              <w:t>Name:</w:t>
            </w:r>
          </w:p>
        </w:tc>
        <w:tc>
          <w:tcPr>
            <w:tcW w:w="5180" w:type="dxa"/>
            <w:vAlign w:val="bottom"/>
          </w:tcPr>
          <w:p>
            <w:pPr>
              <w:spacing w:after="0" w:line="195" w:lineRule="exact"/>
              <w:rPr>
                <w:sz w:val="20"/>
                <w:szCs w:val="20"/>
                <w:color w:val="auto"/>
              </w:rPr>
            </w:pPr>
            <w:r>
              <w:rPr>
                <w:rFonts w:ascii="Arial" w:cs="Arial" w:eastAsia="Arial" w:hAnsi="Arial"/>
                <w:sz w:val="18"/>
                <w:szCs w:val="18"/>
                <w:color w:val="auto"/>
              </w:rPr>
              <w:t>Ajay Ayyappan</w:t>
            </w:r>
          </w:p>
        </w:tc>
      </w:tr>
      <w:tr>
        <w:trPr>
          <w:trHeight w:val="230"/>
        </w:trPr>
        <w:tc>
          <w:tcPr>
            <w:tcW w:w="3540" w:type="dxa"/>
            <w:vAlign w:val="bottom"/>
          </w:tcPr>
          <w:p>
            <w:pPr>
              <w:spacing w:after="0"/>
              <w:rPr>
                <w:sz w:val="20"/>
                <w:szCs w:val="20"/>
                <w:color w:val="auto"/>
              </w:rPr>
            </w:pPr>
          </w:p>
        </w:tc>
        <w:tc>
          <w:tcPr>
            <w:tcW w:w="2520" w:type="dxa"/>
            <w:vAlign w:val="bottom"/>
          </w:tcPr>
          <w:p>
            <w:pPr>
              <w:ind w:left="1940"/>
              <w:spacing w:after="0"/>
              <w:rPr>
                <w:sz w:val="20"/>
                <w:szCs w:val="20"/>
                <w:color w:val="auto"/>
              </w:rPr>
            </w:pPr>
            <w:r>
              <w:rPr>
                <w:rFonts w:ascii="Arial" w:cs="Arial" w:eastAsia="Arial" w:hAnsi="Arial"/>
                <w:sz w:val="18"/>
                <w:szCs w:val="18"/>
                <w:color w:val="auto"/>
              </w:rPr>
              <w:t>Title:</w:t>
            </w:r>
          </w:p>
        </w:tc>
        <w:tc>
          <w:tcPr>
            <w:tcW w:w="5180" w:type="dxa"/>
            <w:vAlign w:val="bottom"/>
          </w:tcPr>
          <w:p>
            <w:pPr>
              <w:spacing w:after="0"/>
              <w:rPr>
                <w:sz w:val="20"/>
                <w:szCs w:val="20"/>
                <w:color w:val="auto"/>
              </w:rPr>
            </w:pPr>
            <w:r>
              <w:rPr>
                <w:rFonts w:ascii="Arial" w:cs="Arial" w:eastAsia="Arial" w:hAnsi="Arial"/>
                <w:sz w:val="18"/>
                <w:szCs w:val="18"/>
                <w:color w:val="auto"/>
                <w:w w:val="99"/>
              </w:rPr>
              <w:t>Senior Vice President, General Counsel and Corporate Secretary</w:t>
            </w:r>
          </w:p>
        </w:tc>
      </w:tr>
      <w:tr>
        <w:trPr>
          <w:trHeight w:val="702"/>
        </w:trPr>
        <w:tc>
          <w:tcPr>
            <w:tcW w:w="354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EXL Releases Statement on COVID-19 Impact and Withdraws 2020 Guidance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New York, NY – March 23, 2020 - ExlService Holdings, Inc. (NASDAQ: EXLS), a leading operations management and analytics company, today announced that it is withdrawing the Company’s 2020 annual guidance. Several of the Company’s operation centers have been and may continue to be affected by local restrictions on facilities access. EXL has implemented business continuity measures, such as remote working, where applicable to continue operations and is partnering closely with clients to provide required support to their businesses.</w:t>
      </w:r>
    </w:p>
    <w:p>
      <w:pPr>
        <w:spacing w:after="0" w:line="187"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Until there is clarity on the duration and severity of the COVID-19 situation, EXL is withdrawing its 2020 annual guidance. At this time, the impact of COVID-19 on future revenues, profitability and our overall business cannot be accurately assessed. EXL intends to reassess its annual guidance in April and hopes to have better clarity for 2020 when the Company releases its first quarter results.</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Company continues to maintain a strong cash and liquidity position. As of the end of December 31, 2019, the Company had a net positive cash position of $71.5 million with cash and short term investments of $321.4 million and total borrowings of $249.9 million. Since December 31, 2019, there have been no significant changes to the Company’s net cash position.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EXL (NASDAQ: EXLS) is a leading operations management and analytics company that helps our clients build and grow sustainable businesses. By orchestrating our domain expertise, data, analytics and digital technology, we look deeper to design and manage agile, customer-centric operating models to improve global operations, drive profitability, enhance customer satisfaction, increase data-driven insights, and manage risk and compliance. Headquartered in New York, EXL has more than 31,700 professionals in locations throughout the United States, the UK, Europe, India, the Philippines, Colombia, Australia and South Africa. EXL serves multiple industries including insurance, healthcare, banking and financial services, utilities, travel, transportation and logistics, media and retail, among others. For more information, visit </w:t>
      </w:r>
      <w:r>
        <w:rPr>
          <w:rFonts w:ascii="Arial" w:cs="Arial" w:eastAsia="Arial" w:hAnsi="Arial"/>
          <w:sz w:val="17"/>
          <w:szCs w:val="17"/>
          <w:u w:val="single" w:color="auto"/>
          <w:color w:val="0000FF"/>
        </w:rPr>
        <w:t>www.exlservice.com.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spacing w:after="0" w:line="268" w:lineRule="auto"/>
        <w:rPr>
          <w:sz w:val="20"/>
          <w:szCs w:val="20"/>
          <w:color w:val="auto"/>
        </w:rPr>
      </w:pPr>
      <w:r>
        <w:rPr>
          <w:rFonts w:ascii="Arial" w:cs="Arial" w:eastAsia="Arial" w:hAnsi="Arial"/>
          <w:sz w:val="17"/>
          <w:szCs w:val="17"/>
          <w:b w:val="1"/>
          <w:bCs w:val="1"/>
          <w:color w:val="auto"/>
        </w:rPr>
        <w:t xml:space="preserve">Continuing Statement Regarding Forward-Looking Statements </w:t>
      </w:r>
      <w:r>
        <w:rPr>
          <w:rFonts w:ascii="Arial" w:cs="Arial" w:eastAsia="Arial" w:hAnsi="Arial"/>
          <w:sz w:val="17"/>
          <w:szCs w:val="17"/>
          <w:i w:val="1"/>
          <w:iCs w:val="1"/>
          <w:color w:val="auto"/>
        </w:rPr>
        <w:t>This press release contains forward-looking statements. You should not place undue</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which include our ability to successfully close and integrate strategic acquisitions, ability to respond to and manage emerging public health crises, including the outbreak of the novel coronavirus (COVID-19), are discussed in more detail in EXL’s filings with the Securities and Exchange Commission, including EXL’s Annual Report on Form 10-K.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9880" w:firstLine="8"/>
        <w:spacing w:after="0" w:line="323" w:lineRule="auto"/>
        <w:tabs>
          <w:tab w:leader="none" w:pos="43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0000FF"/>
        </w:rPr>
        <w:t>ir@exlservice.com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2020-03-23T07:58:08Z</dcterms:created>
  <dcterms:modified xsi:type="dcterms:W3CDTF">2020-03-23T07:58:08Z</dcterms:modified>
</cp:coreProperties>
</file>