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753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53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Kapoor Rohit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ExlService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EXLS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10/18/2012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Vice Chairman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  <w:vMerge w:val="restart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8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par value $0.001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10/18/2012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1,900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29.95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1,287,257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177,134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84,000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84,000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98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This sale was made pursuant to a 10b5-1 plan previously entered into by the reporting person.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Owned by Rohit Kapoor.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Owned by Rohit Kapoor 2005 Grantor Retained Annuity Trust.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Owned by Rohit Kapoor Spousal Lifetime Access Trust.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Owned by Shikha Kapoor 2005 Family Trust.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/s/ Lazbart Oseni, Attorney-in-  </w:t>
      </w:r>
      <w:r>
        <w:rPr>
          <w:rFonts w:ascii="Times New Roman" w:cs="Times New Roman" w:eastAsia="Times New Roman" w:hAnsi="Times New Roman"/>
          <w:sz w:val="35"/>
          <w:szCs w:val="35"/>
          <w:color w:val="0000FF"/>
          <w:vertAlign w:val="subscript"/>
        </w:rPr>
        <w:t>10/22/2012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2019-12-16T15:34:33Z</dcterms:created>
  <dcterms:modified xsi:type="dcterms:W3CDTF">2019-12-16T15:34:33Z</dcterms:modified>
</cp:coreProperties>
</file>