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Bhalla Vikas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14990</w:t>
            </w:r>
          </w:p>
        </w:tc>
        <w:tc>
          <w:tcPr>
            <w:tcW w:w="1377" w:type="dxa"/>
            <w:tcBorders/>
            <w:vAlign w:val="center"/>
          </w:tcPr>
          <w:p>
            <w:pPr>
              <w:pStyle w:val="TableContents"/>
              <w:bidi w:val="0"/>
              <w:spacing w:before="0" w:after="283"/>
              <w:jc w:val="left"/>
              <w:rPr/>
            </w:pPr>
            <w:r>
              <w:rPr/>
              <w:t>462294.28</w:t>
            </w:r>
          </w:p>
        </w:tc>
        <w:tc>
          <w:tcPr>
            <w:tcW w:w="1552" w:type="dxa"/>
            <w:tcBorders/>
            <w:vAlign w:val="center"/>
          </w:tcPr>
          <w:p>
            <w:pPr>
              <w:pStyle w:val="TableContents"/>
              <w:bidi w:val="0"/>
              <w:spacing w:before="0" w:after="283"/>
              <w:jc w:val="left"/>
              <w:rPr/>
            </w:pPr>
            <w:r>
              <w:rPr/>
              <w:t>162438150</w:t>
            </w:r>
          </w:p>
        </w:tc>
        <w:tc>
          <w:tcPr>
            <w:tcW w:w="1567" w:type="dxa"/>
            <w:tcBorders/>
            <w:vAlign w:val="center"/>
          </w:tcPr>
          <w:p>
            <w:pPr>
              <w:pStyle w:val="TableContents"/>
              <w:bidi w:val="0"/>
              <w:spacing w:before="0" w:after="283"/>
              <w:jc w:val="left"/>
              <w:rPr/>
            </w:pPr>
            <w:r>
              <w:rPr/>
              <w:t>05/24/2024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11880</w:t>
            </w:r>
          </w:p>
        </w:tc>
        <w:tc>
          <w:tcPr>
            <w:tcW w:w="1046" w:type="dxa"/>
            <w:tcBorders/>
            <w:vAlign w:val="center"/>
          </w:tcPr>
          <w:p>
            <w:pPr>
              <w:pStyle w:val="TableContents"/>
              <w:bidi w:val="0"/>
              <w:spacing w:before="0" w:after="283"/>
              <w:jc w:val="left"/>
              <w:rPr/>
            </w:pPr>
            <w:r>
              <w:rPr/>
              <w:t>01/30/2023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3110</w:t>
            </w:r>
          </w:p>
        </w:tc>
        <w:tc>
          <w:tcPr>
            <w:tcW w:w="1046" w:type="dxa"/>
            <w:tcBorders/>
            <w:vAlign w:val="center"/>
          </w:tcPr>
          <w:p>
            <w:pPr>
              <w:pStyle w:val="TableContents"/>
              <w:bidi w:val="0"/>
              <w:spacing w:before="0" w:after="283"/>
              <w:jc w:val="left"/>
              <w:rPr/>
            </w:pPr>
            <w:r>
              <w:rPr/>
              <w:t>02/16/2023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03/06/2024</w:t>
            </w:r>
          </w:p>
        </w:tc>
        <w:tc>
          <w:tcPr>
            <w:tcW w:w="1575" w:type="dxa"/>
            <w:tcBorders/>
            <w:vAlign w:val="center"/>
          </w:tcPr>
          <w:p>
            <w:pPr>
              <w:pStyle w:val="TableContents"/>
              <w:bidi w:val="0"/>
              <w:spacing w:before="0" w:after="283"/>
              <w:jc w:val="left"/>
              <w:rPr/>
            </w:pPr>
            <w:r>
              <w:rPr/>
              <w:t>23760</w:t>
            </w:r>
          </w:p>
        </w:tc>
        <w:tc>
          <w:tcPr>
            <w:tcW w:w="1777" w:type="dxa"/>
            <w:tcBorders/>
            <w:vAlign w:val="center"/>
          </w:tcPr>
          <w:p>
            <w:pPr>
              <w:pStyle w:val="TableContents"/>
              <w:bidi w:val="0"/>
              <w:spacing w:before="0" w:after="283"/>
              <w:jc w:val="left"/>
              <w:rPr/>
            </w:pPr>
            <w:r>
              <w:rPr/>
              <w:t>748685.53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9"/>
        <w:gridCol w:w="8416"/>
      </w:tblGrid>
      <w:tr>
        <w:trPr/>
        <w:tc>
          <w:tcPr>
            <w:tcW w:w="1789" w:type="dxa"/>
            <w:tcBorders/>
            <w:vAlign w:val="center"/>
          </w:tcPr>
          <w:p>
            <w:pPr>
              <w:pStyle w:val="TableContents"/>
              <w:bidi w:val="0"/>
              <w:spacing w:before="0" w:after="283"/>
              <w:jc w:val="left"/>
              <w:rPr/>
            </w:pPr>
            <w:r>
              <w:rPr/>
              <w:t>Remarks</w:t>
            </w:r>
          </w:p>
        </w:tc>
        <w:tc>
          <w:tcPr>
            <w:tcW w:w="8416" w:type="dxa"/>
            <w:tcBorders/>
            <w:vAlign w:val="center"/>
          </w:tcPr>
          <w:p>
            <w:pPr>
              <w:pStyle w:val="TableContents"/>
              <w:bidi w:val="0"/>
              <w:spacing w:before="0" w:after="283"/>
              <w:jc w:val="left"/>
              <w:rPr>
                <w:sz w:val="4"/>
                <w:szCs w:val="4"/>
              </w:rPr>
            </w:pPr>
            <w:r>
              <w:rPr>
                <w:sz w:val="4"/>
                <w:szCs w:val="4"/>
              </w:rPr>
            </w:r>
          </w:p>
        </w:tc>
      </w:tr>
      <w:tr>
        <w:trPr/>
        <w:tc>
          <w:tcPr>
            <w:tcW w:w="1789" w:type="dxa"/>
            <w:tcBorders/>
            <w:vAlign w:val="center"/>
          </w:tcPr>
          <w:p>
            <w:pPr>
              <w:pStyle w:val="TableContents"/>
              <w:bidi w:val="0"/>
              <w:spacing w:before="0" w:after="283"/>
              <w:jc w:val="left"/>
              <w:rPr/>
            </w:pPr>
            <w:r>
              <w:rPr/>
              <w:t>Date of Notice</w:t>
            </w:r>
          </w:p>
        </w:tc>
        <w:tc>
          <w:tcPr>
            <w:tcW w:w="8416" w:type="dxa"/>
            <w:tcBorders/>
            <w:vAlign w:val="center"/>
          </w:tcPr>
          <w:p>
            <w:pPr>
              <w:pStyle w:val="TableContents"/>
              <w:bidi w:val="0"/>
              <w:spacing w:before="0" w:after="0"/>
              <w:jc w:val="left"/>
              <w:rPr/>
            </w:pPr>
            <w:r>
              <w:rPr/>
              <w:t>05/24/2024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9" w:type="dxa"/>
            <w:tcBorders/>
            <w:vAlign w:val="center"/>
          </w:tcPr>
          <w:p>
            <w:pPr>
              <w:pStyle w:val="TableContents"/>
              <w:bidi w:val="0"/>
              <w:spacing w:before="0" w:after="283"/>
              <w:jc w:val="left"/>
              <w:rPr/>
            </w:pPr>
            <w:r>
              <w:rPr/>
              <w:t>Signature</w:t>
            </w:r>
          </w:p>
        </w:tc>
        <w:tc>
          <w:tcPr>
            <w:tcW w:w="8416" w:type="dxa"/>
            <w:tcBorders/>
            <w:vAlign w:val="center"/>
          </w:tcPr>
          <w:p>
            <w:pPr>
              <w:pStyle w:val="TableContents"/>
              <w:bidi w:val="0"/>
              <w:spacing w:before="0" w:after="0"/>
              <w:jc w:val="left"/>
              <w:rPr/>
            </w:pPr>
            <w:r>
              <w:rPr/>
              <w:t>/s/ Eric Janiak, as a duly authorized representative of Fidelity Brokerage Services LLC, as attorney-in-fact for Vikas Bhalla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3204</Characters>
  <CharactersWithSpaces>3765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