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34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344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9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6"/>
          <w:szCs w:val="16"/>
          <w:color w:val="0000FF"/>
        </w:rPr>
        <w:t>EVP, Head of Insurance &amp; CSO</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999"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999"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jc w:val="center"/>
              <w:ind w:left="6"/>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Pr>
          <w:p>
            <w:pPr>
              <w:jc w:val="center"/>
              <w:ind w:left="6"/>
              <w:spacing w:after="0"/>
              <w:rPr>
                <w:sz w:val="20"/>
                <w:szCs w:val="20"/>
                <w:color w:val="auto"/>
              </w:rPr>
            </w:pPr>
            <w:r>
              <w:rPr>
                <w:rFonts w:ascii="Arial" w:cs="Arial" w:eastAsia="Arial" w:hAnsi="Arial"/>
                <w:sz w:val="18"/>
                <w:szCs w:val="18"/>
                <w:color w:val="0000FF"/>
                <w:w w:val="88"/>
              </w:rPr>
              <w:t>02/08/2015</w:t>
            </w:r>
          </w:p>
        </w:tc>
        <w:tc>
          <w:tcPr>
            <w:tcW w:w="114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8"/>
              <w:spacing w:after="0"/>
              <w:rPr>
                <w:sz w:val="20"/>
                <w:szCs w:val="20"/>
                <w:color w:val="auto"/>
              </w:rPr>
            </w:pPr>
            <w:r>
              <w:rPr>
                <w:rFonts w:ascii="Arial" w:cs="Arial" w:eastAsia="Arial" w:hAnsi="Arial"/>
                <w:sz w:val="18"/>
                <w:szCs w:val="18"/>
                <w:color w:val="0000FF"/>
                <w:w w:val="88"/>
              </w:rPr>
              <w:t>1,800</w:t>
            </w:r>
          </w:p>
        </w:tc>
        <w:tc>
          <w:tcPr>
            <w:tcW w:w="560" w:type="dxa"/>
            <w:vAlign w:val="bottom"/>
          </w:tcPr>
          <w:p>
            <w:pPr>
              <w:ind w:left="26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3,942</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Pr>
          <w:p>
            <w:pPr>
              <w:jc w:val="center"/>
              <w:ind w:left="6"/>
              <w:spacing w:after="0"/>
              <w:rPr>
                <w:sz w:val="20"/>
                <w:szCs w:val="20"/>
                <w:color w:val="auto"/>
              </w:rPr>
            </w:pPr>
            <w:r>
              <w:rPr>
                <w:rFonts w:ascii="Arial" w:cs="Arial" w:eastAsia="Arial" w:hAnsi="Arial"/>
                <w:sz w:val="18"/>
                <w:szCs w:val="18"/>
                <w:color w:val="0000FF"/>
                <w:w w:val="88"/>
              </w:rPr>
              <w:t>02/08/2015</w:t>
            </w:r>
          </w:p>
        </w:tc>
        <w:tc>
          <w:tcPr>
            <w:tcW w:w="114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563</w:t>
            </w:r>
          </w:p>
        </w:tc>
        <w:tc>
          <w:tcPr>
            <w:tcW w:w="560" w:type="dxa"/>
            <w:vAlign w:val="bottom"/>
          </w:tcPr>
          <w:p>
            <w:pPr>
              <w:ind w:left="26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4,505</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88"/>
              </w:rPr>
              <w:t>02/08/2015</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7"/>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891</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31.3</w:t>
            </w:r>
            <w:r>
              <w:rPr>
                <w:rFonts w:ascii="Arial" w:cs="Arial" w:eastAsia="Arial" w:hAnsi="Arial"/>
                <w:sz w:val="22"/>
                <w:szCs w:val="22"/>
                <w:color w:val="008000"/>
                <w:w w:val="85"/>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3,614</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6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1,800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02/08/2015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18"/>
              <w:spacing w:after="0" w:line="149" w:lineRule="exact"/>
              <w:rPr>
                <w:sz w:val="20"/>
                <w:szCs w:val="20"/>
                <w:color w:val="auto"/>
              </w:rPr>
            </w:pPr>
            <w:r>
              <w:rPr>
                <w:rFonts w:ascii="Arial" w:cs="Arial" w:eastAsia="Arial" w:hAnsi="Arial"/>
                <w:sz w:val="14"/>
                <w:szCs w:val="14"/>
                <w:color w:val="0000FF"/>
              </w:rPr>
              <w:t>1,800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jc w:val="right"/>
              <w:ind w:right="278"/>
              <w:spacing w:after="0" w:line="149" w:lineRule="exact"/>
              <w:rPr>
                <w:sz w:val="20"/>
                <w:szCs w:val="20"/>
                <w:color w:val="auto"/>
              </w:rPr>
            </w:pPr>
            <w:r>
              <w:rPr>
                <w:rFonts w:ascii="Arial" w:cs="Arial" w:eastAsia="Arial" w:hAnsi="Arial"/>
                <w:sz w:val="14"/>
                <w:szCs w:val="14"/>
                <w:color w:val="0000FF"/>
              </w:rPr>
              <w:t>6,300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563</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02/08/2015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563</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jc w:val="right"/>
              <w:ind w:right="318"/>
              <w:spacing w:after="0" w:line="149" w:lineRule="exact"/>
              <w:rPr>
                <w:sz w:val="20"/>
                <w:szCs w:val="20"/>
                <w:color w:val="auto"/>
              </w:rPr>
            </w:pPr>
            <w:r>
              <w:rPr>
                <w:rFonts w:ascii="Arial" w:cs="Arial" w:eastAsia="Arial" w:hAnsi="Arial"/>
                <w:sz w:val="14"/>
                <w:szCs w:val="14"/>
                <w:color w:val="0000FF"/>
              </w:rPr>
              <w:t>564</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8, 2015. Pursuant to the Company's 2006 Omnibus Award Plan, pursuant to which such restricted stock units were granted, the average of the high and low sale prices of the Common Stock on the Nasdaq Global Select Market on the preceding day is used for tax reporting and withholding purposes.</w:t>
      </w: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1,800 shares of restricted stock units became vested on February 8, 2015; an additional 2,700 shares of the restricted stock units will vest on February 8, 2016; and the remaining balance i/n/o 3,600 shares of the restricted stock units will vest on February 8, 2017.</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563 shares of restricted stock units became vested on February 8, 2015, and the remaining balance i/n/o 564 shares of restricted stock units will vest on February 8, 2016.</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2019-12-08T12:31:50Z</dcterms:created>
  <dcterms:modified xsi:type="dcterms:W3CDTF">2019-12-08T12:31:50Z</dcterms:modified>
</cp:coreProperties>
</file>