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57873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78739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Jetley Vivek</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jc w:val="center"/>
        <w:ind w:right="246"/>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3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02/19/2022</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6" w:right="620" w:firstLine="6"/>
        <w:spacing w:after="0" w:line="239"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4"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654"/>
        <w:spacing w:after="0"/>
        <w:rPr>
          <w:sz w:val="20"/>
          <w:szCs w:val="20"/>
          <w:color w:val="auto"/>
        </w:rPr>
      </w:pPr>
      <w:r>
        <w:rPr>
          <w:rFonts w:ascii="Arial" w:cs="Arial" w:eastAsia="Arial" w:hAnsi="Arial"/>
          <w:sz w:val="17"/>
          <w:szCs w:val="17"/>
          <w:color w:val="0000FF"/>
        </w:rPr>
        <w:t>EVP and Head of Analytics</w:t>
      </w:r>
    </w:p>
    <w:p>
      <w:pPr>
        <w:spacing w:after="0" w:line="313" w:lineRule="exact"/>
        <w:rPr>
          <w:sz w:val="24"/>
          <w:szCs w:val="24"/>
          <w:color w:val="auto"/>
        </w:rPr>
      </w:pPr>
    </w:p>
    <w:p>
      <w:pPr>
        <w:sectPr>
          <w:pgSz w:w="11900" w:h="16838" w:orient="portrait"/>
          <w:cols w:equalWidth="0" w:num="3">
            <w:col w:w="3180" w:space="720"/>
            <w:col w:w="3106" w:space="720"/>
            <w:col w:w="3354"/>
          </w:cols>
          <w:pgMar w:left="460" w:top="222"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00" w:type="dxa"/>
            <w:vAlign w:val="bottom"/>
          </w:tcPr>
          <w:p>
            <w:pPr>
              <w:ind w:left="420"/>
              <w:spacing w:after="0"/>
              <w:rPr>
                <w:sz w:val="20"/>
                <w:szCs w:val="20"/>
                <w:color w:val="auto"/>
              </w:rPr>
            </w:pPr>
            <w:r>
              <w:rPr>
                <w:rFonts w:ascii="Arial" w:cs="Arial" w:eastAsia="Arial" w:hAnsi="Arial"/>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02" w:lineRule="exact"/>
        <w:rPr>
          <w:sz w:val="24"/>
          <w:szCs w:val="24"/>
          <w:color w:val="auto"/>
        </w:rPr>
      </w:pPr>
    </w:p>
    <w:p>
      <w:pPr>
        <w:sectPr>
          <w:pgSz w:w="11900" w:h="16838" w:orient="portrait"/>
          <w:cols w:equalWidth="0" w:num="2">
            <w:col w:w="3740" w:space="16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40" w:type="dxa"/>
            <w:vAlign w:val="bottom"/>
          </w:tcPr>
          <w:p>
            <w:pPr>
              <w:spacing w:after="0"/>
              <w:rPr>
                <w:sz w:val="13"/>
                <w:szCs w:val="13"/>
                <w:color w:val="auto"/>
              </w:rPr>
            </w:pPr>
          </w:p>
        </w:tc>
        <w:tc>
          <w:tcPr>
            <w:tcW w:w="1280" w:type="dxa"/>
            <w:vAlign w:val="bottom"/>
            <w:gridSpan w:val="2"/>
          </w:tcPr>
          <w:p>
            <w:pPr>
              <w:ind w:left="18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1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1280" w:type="dxa"/>
            <w:vAlign w:val="bottom"/>
            <w:tcBorders>
              <w:bottom w:val="single" w:sz="8" w:color="2C2C2C"/>
            </w:tcBorders>
            <w:gridSpan w:val="2"/>
          </w:tcPr>
          <w:p>
            <w:pPr>
              <w:jc w:val="right"/>
              <w:ind w:right="160"/>
              <w:spacing w:after="0"/>
              <w:rPr>
                <w:sz w:val="20"/>
                <w:szCs w:val="20"/>
                <w:color w:val="auto"/>
              </w:rPr>
            </w:pPr>
            <w:r>
              <w:rPr>
                <w:rFonts w:ascii="Arial" w:cs="Arial" w:eastAsia="Arial" w:hAnsi="Arial"/>
                <w:sz w:val="17"/>
                <w:szCs w:val="17"/>
                <w:color w:val="0000FF"/>
              </w:rPr>
              <w:t>02/19/2022</w:t>
            </w:r>
          </w:p>
        </w:tc>
        <w:tc>
          <w:tcPr>
            <w:tcW w:w="8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Arial" w:cs="Arial" w:eastAsia="Arial" w:hAnsi="Arial"/>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1,091</w:t>
            </w:r>
          </w:p>
        </w:tc>
        <w:tc>
          <w:tcPr>
            <w:tcW w:w="6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2"/>
          </w:tcPr>
          <w:p>
            <w:pPr>
              <w:ind w:left="240"/>
              <w:spacing w:after="0" w:line="312" w:lineRule="exact"/>
              <w:rPr>
                <w:sz w:val="20"/>
                <w:szCs w:val="20"/>
                <w:color w:val="auto"/>
              </w:rPr>
            </w:pPr>
            <w:r>
              <w:rPr>
                <w:rFonts w:ascii="Arial" w:cs="Arial" w:eastAsia="Arial" w:hAnsi="Arial"/>
                <w:sz w:val="33"/>
                <w:szCs w:val="33"/>
                <w:color w:val="000000"/>
                <w:w w:val="84"/>
                <w:vertAlign w:val="subscript"/>
              </w:rPr>
              <w:t>$</w:t>
            </w:r>
            <w:r>
              <w:rPr>
                <w:rFonts w:ascii="Arial" w:cs="Arial" w:eastAsia="Arial" w:hAnsi="Arial"/>
                <w:sz w:val="33"/>
                <w:szCs w:val="33"/>
                <w:color w:val="0000FF"/>
                <w:w w:val="84"/>
                <w:vertAlign w:val="subscript"/>
              </w:rPr>
              <w:t>0</w:t>
            </w:r>
            <w:r>
              <w:rPr>
                <w:rFonts w:ascii="Arial" w:cs="Arial" w:eastAsia="Arial" w:hAnsi="Arial"/>
                <w:sz w:val="11"/>
                <w:szCs w:val="11"/>
                <w:color w:val="008000"/>
                <w:w w:val="84"/>
              </w:rPr>
              <w:t>(1)</w:t>
            </w:r>
          </w:p>
        </w:tc>
        <w:tc>
          <w:tcPr>
            <w:tcW w:w="130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48,350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1280" w:type="dxa"/>
            <w:vAlign w:val="bottom"/>
            <w:tcBorders>
              <w:bottom w:val="single" w:sz="8" w:color="2C2C2C"/>
            </w:tcBorders>
            <w:gridSpan w:val="2"/>
          </w:tcPr>
          <w:p>
            <w:pPr>
              <w:jc w:val="right"/>
              <w:ind w:right="160"/>
              <w:spacing w:after="0"/>
              <w:rPr>
                <w:sz w:val="20"/>
                <w:szCs w:val="20"/>
                <w:color w:val="auto"/>
              </w:rPr>
            </w:pPr>
            <w:r>
              <w:rPr>
                <w:rFonts w:ascii="Arial" w:cs="Arial" w:eastAsia="Arial" w:hAnsi="Arial"/>
                <w:sz w:val="17"/>
                <w:szCs w:val="17"/>
                <w:color w:val="0000FF"/>
              </w:rPr>
              <w:t>02/20/2022</w:t>
            </w:r>
          </w:p>
        </w:tc>
        <w:tc>
          <w:tcPr>
            <w:tcW w:w="8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Arial" w:cs="Arial" w:eastAsia="Arial" w:hAnsi="Arial"/>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722</w:t>
            </w:r>
          </w:p>
        </w:tc>
        <w:tc>
          <w:tcPr>
            <w:tcW w:w="6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2"/>
          </w:tcPr>
          <w:p>
            <w:pPr>
              <w:ind w:left="240"/>
              <w:spacing w:after="0" w:line="312" w:lineRule="exact"/>
              <w:rPr>
                <w:sz w:val="20"/>
                <w:szCs w:val="20"/>
                <w:color w:val="auto"/>
              </w:rPr>
            </w:pPr>
            <w:r>
              <w:rPr>
                <w:rFonts w:ascii="Arial" w:cs="Arial" w:eastAsia="Arial" w:hAnsi="Arial"/>
                <w:sz w:val="33"/>
                <w:szCs w:val="33"/>
                <w:color w:val="000000"/>
                <w:w w:val="84"/>
                <w:vertAlign w:val="subscript"/>
              </w:rPr>
              <w:t>$</w:t>
            </w:r>
            <w:r>
              <w:rPr>
                <w:rFonts w:ascii="Arial" w:cs="Arial" w:eastAsia="Arial" w:hAnsi="Arial"/>
                <w:sz w:val="33"/>
                <w:szCs w:val="33"/>
                <w:color w:val="0000FF"/>
                <w:w w:val="84"/>
                <w:vertAlign w:val="subscript"/>
              </w:rPr>
              <w:t>0</w:t>
            </w:r>
            <w:r>
              <w:rPr>
                <w:rFonts w:ascii="Arial" w:cs="Arial" w:eastAsia="Arial" w:hAnsi="Arial"/>
                <w:sz w:val="11"/>
                <w:szCs w:val="11"/>
                <w:color w:val="008000"/>
                <w:w w:val="84"/>
              </w:rPr>
              <w:t>(1)</w:t>
            </w:r>
          </w:p>
        </w:tc>
        <w:tc>
          <w:tcPr>
            <w:tcW w:w="130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49,072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jc w:val="center"/>
              <w:ind w:left="81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80" w:type="dxa"/>
            <w:vAlign w:val="bottom"/>
            <w:gridSpan w:val="10"/>
          </w:tcPr>
          <w:p>
            <w:pPr>
              <w:jc w:val="center"/>
              <w:ind w:right="2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40" w:type="dxa"/>
            <w:vAlign w:val="bottom"/>
          </w:tcPr>
          <w:p>
            <w:pPr>
              <w:spacing w:after="0"/>
              <w:rPr>
                <w:sz w:val="4"/>
                <w:szCs w:val="4"/>
                <w:color w:val="auto"/>
              </w:rPr>
            </w:pPr>
          </w:p>
        </w:tc>
        <w:tc>
          <w:tcPr>
            <w:tcW w:w="56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gridSpan w:val="2"/>
            <w:vMerge w:val="restart"/>
          </w:tcPr>
          <w:p>
            <w:pPr>
              <w:jc w:val="center"/>
              <w:ind w:right="19"/>
              <w:spacing w:after="0"/>
              <w:rPr>
                <w:sz w:val="20"/>
                <w:szCs w:val="20"/>
                <w:color w:val="auto"/>
              </w:rPr>
            </w:pPr>
            <w:r>
              <w:rPr>
                <w:rFonts w:ascii="Arial" w:cs="Arial" w:eastAsia="Arial" w:hAnsi="Arial"/>
                <w:sz w:val="11"/>
                <w:szCs w:val="11"/>
                <w:color w:val="008000"/>
                <w:w w:val="88"/>
              </w:rPr>
              <w:t>(2)</w:t>
            </w:r>
          </w:p>
        </w:tc>
        <w:tc>
          <w:tcPr>
            <w:tcW w:w="220" w:type="dxa"/>
            <w:vAlign w:val="bottom"/>
          </w:tcPr>
          <w:p>
            <w:pPr>
              <w:spacing w:after="0"/>
              <w:rPr>
                <w:sz w:val="12"/>
                <w:szCs w:val="12"/>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620" w:type="dxa"/>
            <w:vAlign w:val="bottom"/>
          </w:tcPr>
          <w:p>
            <w:pPr>
              <w:ind w:left="80"/>
              <w:spacing w:after="0" w:line="143" w:lineRule="exact"/>
              <w:rPr>
                <w:sz w:val="20"/>
                <w:szCs w:val="20"/>
                <w:color w:val="auto"/>
              </w:rPr>
            </w:pPr>
            <w:r>
              <w:rPr>
                <w:rFonts w:ascii="Arial" w:cs="Arial" w:eastAsia="Arial" w:hAnsi="Arial"/>
                <w:sz w:val="13"/>
                <w:szCs w:val="13"/>
                <w:color w:val="0000FF"/>
              </w:rPr>
              <w:t>Stock,</w:t>
            </w:r>
          </w:p>
        </w:tc>
        <w:tc>
          <w:tcPr>
            <w:tcW w:w="520" w:type="dxa"/>
            <w:vAlign w:val="bottom"/>
            <w:vMerge w:val="restart"/>
          </w:tcPr>
          <w:p>
            <w:pPr>
              <w:jc w:val="right"/>
              <w:ind w:right="37"/>
              <w:spacing w:after="0"/>
              <w:rPr>
                <w:sz w:val="20"/>
                <w:szCs w:val="20"/>
                <w:color w:val="auto"/>
              </w:rPr>
            </w:pPr>
            <w:r>
              <w:rPr>
                <w:rFonts w:ascii="Arial" w:cs="Arial" w:eastAsia="Arial" w:hAnsi="Arial"/>
                <w:sz w:val="17"/>
                <w:szCs w:val="17"/>
                <w:color w:val="0000FF"/>
                <w:w w:val="93"/>
              </w:rPr>
              <w:t>1,091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5"/>
              <w:spacing w:after="0" w:line="143" w:lineRule="exact"/>
              <w:rPr>
                <w:sz w:val="20"/>
                <w:szCs w:val="20"/>
                <w:color w:val="auto"/>
              </w:rPr>
            </w:pPr>
            <w:r>
              <w:rPr>
                <w:rFonts w:ascii="Arial" w:cs="Arial" w:eastAsia="Arial" w:hAnsi="Arial"/>
                <w:sz w:val="13"/>
                <w:szCs w:val="13"/>
                <w:color w:val="0000FF"/>
              </w:rPr>
              <w:t>02/19/2022</w:t>
            </w: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ind w:left="160"/>
              <w:spacing w:after="0" w:line="143" w:lineRule="exact"/>
              <w:rPr>
                <w:sz w:val="20"/>
                <w:szCs w:val="20"/>
                <w:color w:val="auto"/>
              </w:rPr>
            </w:pPr>
            <w:r>
              <w:rPr>
                <w:rFonts w:ascii="Arial" w:cs="Arial" w:eastAsia="Arial" w:hAnsi="Arial"/>
                <w:sz w:val="13"/>
                <w:szCs w:val="13"/>
                <w:color w:val="0000FF"/>
              </w:rPr>
              <w:t>M</w:t>
            </w:r>
          </w:p>
        </w:tc>
        <w:tc>
          <w:tcPr>
            <w:tcW w:w="880" w:type="dxa"/>
            <w:vAlign w:val="bottom"/>
          </w:tcPr>
          <w:p>
            <w:pPr>
              <w:jc w:val="right"/>
              <w:ind w:right="61"/>
              <w:spacing w:after="0" w:line="143" w:lineRule="exact"/>
              <w:rPr>
                <w:sz w:val="20"/>
                <w:szCs w:val="20"/>
                <w:color w:val="auto"/>
              </w:rPr>
            </w:pPr>
            <w:r>
              <w:rPr>
                <w:rFonts w:ascii="Arial" w:cs="Arial" w:eastAsia="Arial" w:hAnsi="Arial"/>
                <w:sz w:val="13"/>
                <w:szCs w:val="13"/>
                <w:color w:val="0000FF"/>
              </w:rPr>
              <w:t>1,091</w:t>
            </w:r>
          </w:p>
        </w:tc>
        <w:tc>
          <w:tcPr>
            <w:tcW w:w="7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20" w:type="dxa"/>
            <w:vAlign w:val="bottom"/>
          </w:tcPr>
          <w:p>
            <w:pPr>
              <w:ind w:left="20"/>
              <w:spacing w:after="0" w:line="143" w:lineRule="exact"/>
              <w:rPr>
                <w:sz w:val="20"/>
                <w:szCs w:val="20"/>
                <w:color w:val="auto"/>
              </w:rPr>
            </w:pPr>
            <w:r>
              <w:rPr>
                <w:rFonts w:ascii="Arial" w:cs="Arial" w:eastAsia="Arial" w:hAnsi="Arial"/>
                <w:sz w:val="13"/>
                <w:szCs w:val="13"/>
                <w:color w:val="0000FF"/>
              </w:rPr>
              <w:t>par value</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jc w:val="right"/>
              <w:spacing w:after="0" w:line="143" w:lineRule="exact"/>
              <w:rPr>
                <w:sz w:val="20"/>
                <w:szCs w:val="20"/>
                <w:color w:val="auto"/>
              </w:rPr>
            </w:pPr>
            <w:r>
              <w:rPr>
                <w:rFonts w:ascii="Arial" w:cs="Arial" w:eastAsia="Arial" w:hAnsi="Arial"/>
                <w:sz w:val="13"/>
                <w:szCs w:val="13"/>
                <w:color w:val="0000FF"/>
              </w:rPr>
              <w:t>2,182</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ind w:left="80"/>
              <w:spacing w:after="0" w:line="143" w:lineRule="exact"/>
              <w:rPr>
                <w:sz w:val="20"/>
                <w:szCs w:val="20"/>
                <w:color w:val="auto"/>
              </w:rPr>
            </w:pPr>
            <w:r>
              <w:rPr>
                <w:rFonts w:ascii="Arial" w:cs="Arial" w:eastAsia="Arial" w:hAnsi="Arial"/>
                <w:sz w:val="13"/>
                <w:szCs w:val="13"/>
                <w:color w:val="0000FF"/>
              </w:rPr>
              <w:t>$0.001</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ind w:left="20"/>
              <w:spacing w:after="0"/>
              <w:rPr>
                <w:sz w:val="20"/>
                <w:szCs w:val="20"/>
                <w:color w:val="auto"/>
              </w:rPr>
            </w:pPr>
            <w:r>
              <w:rPr>
                <w:rFonts w:ascii="Arial" w:cs="Arial" w:eastAsia="Arial" w:hAnsi="Arial"/>
                <w:sz w:val="13"/>
                <w:szCs w:val="13"/>
                <w:color w:val="0000FF"/>
              </w:rPr>
              <w:t>per share</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gridSpan w:val="2"/>
            <w:vMerge w:val="restart"/>
          </w:tcPr>
          <w:p>
            <w:pPr>
              <w:jc w:val="center"/>
              <w:ind w:right="19"/>
              <w:spacing w:after="0"/>
              <w:rPr>
                <w:sz w:val="20"/>
                <w:szCs w:val="20"/>
                <w:color w:val="auto"/>
              </w:rPr>
            </w:pPr>
            <w:r>
              <w:rPr>
                <w:rFonts w:ascii="Arial" w:cs="Arial" w:eastAsia="Arial" w:hAnsi="Arial"/>
                <w:sz w:val="11"/>
                <w:szCs w:val="11"/>
                <w:color w:val="008000"/>
                <w:w w:val="88"/>
              </w:rPr>
              <w:t>(3)</w:t>
            </w:r>
          </w:p>
        </w:tc>
        <w:tc>
          <w:tcPr>
            <w:tcW w:w="220" w:type="dxa"/>
            <w:vAlign w:val="bottom"/>
          </w:tcPr>
          <w:p>
            <w:pPr>
              <w:spacing w:after="0"/>
              <w:rPr>
                <w:sz w:val="12"/>
                <w:szCs w:val="12"/>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20" w:type="dxa"/>
            <w:vAlign w:val="bottom"/>
          </w:tcPr>
          <w:p>
            <w:pPr>
              <w:ind w:left="80"/>
              <w:spacing w:after="0" w:line="143" w:lineRule="exact"/>
              <w:rPr>
                <w:sz w:val="20"/>
                <w:szCs w:val="20"/>
                <w:color w:val="auto"/>
              </w:rPr>
            </w:pPr>
            <w:r>
              <w:rPr>
                <w:rFonts w:ascii="Arial" w:cs="Arial" w:eastAsia="Arial" w:hAnsi="Arial"/>
                <w:sz w:val="13"/>
                <w:szCs w:val="13"/>
                <w:color w:val="0000FF"/>
              </w:rPr>
              <w:t>Stock,</w:t>
            </w:r>
          </w:p>
        </w:tc>
        <w:tc>
          <w:tcPr>
            <w:tcW w:w="520" w:type="dxa"/>
            <w:vAlign w:val="bottom"/>
            <w:vMerge w:val="restart"/>
          </w:tcPr>
          <w:p>
            <w:pPr>
              <w:jc w:val="right"/>
              <w:ind w:right="97"/>
              <w:spacing w:after="0"/>
              <w:rPr>
                <w:sz w:val="20"/>
                <w:szCs w:val="20"/>
                <w:color w:val="auto"/>
              </w:rPr>
            </w:pPr>
            <w:r>
              <w:rPr>
                <w:rFonts w:ascii="Arial" w:cs="Arial" w:eastAsia="Arial" w:hAnsi="Arial"/>
                <w:sz w:val="17"/>
                <w:szCs w:val="17"/>
                <w:color w:val="0000FF"/>
              </w:rPr>
              <w:t>722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5"/>
              <w:spacing w:after="0" w:line="143" w:lineRule="exact"/>
              <w:rPr>
                <w:sz w:val="20"/>
                <w:szCs w:val="20"/>
                <w:color w:val="auto"/>
              </w:rPr>
            </w:pPr>
            <w:r>
              <w:rPr>
                <w:rFonts w:ascii="Arial" w:cs="Arial" w:eastAsia="Arial" w:hAnsi="Arial"/>
                <w:sz w:val="13"/>
                <w:szCs w:val="13"/>
                <w:color w:val="0000FF"/>
              </w:rPr>
              <w:t>02/20/2022</w:t>
            </w: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ind w:left="160"/>
              <w:spacing w:after="0" w:line="143" w:lineRule="exact"/>
              <w:rPr>
                <w:sz w:val="20"/>
                <w:szCs w:val="20"/>
                <w:color w:val="auto"/>
              </w:rPr>
            </w:pPr>
            <w:r>
              <w:rPr>
                <w:rFonts w:ascii="Arial" w:cs="Arial" w:eastAsia="Arial" w:hAnsi="Arial"/>
                <w:sz w:val="13"/>
                <w:szCs w:val="13"/>
                <w:color w:val="0000FF"/>
              </w:rPr>
              <w:t>M</w:t>
            </w:r>
          </w:p>
        </w:tc>
        <w:tc>
          <w:tcPr>
            <w:tcW w:w="880" w:type="dxa"/>
            <w:vAlign w:val="bottom"/>
          </w:tcPr>
          <w:p>
            <w:pPr>
              <w:jc w:val="right"/>
              <w:ind w:right="101"/>
              <w:spacing w:after="0" w:line="143" w:lineRule="exact"/>
              <w:rPr>
                <w:sz w:val="20"/>
                <w:szCs w:val="20"/>
                <w:color w:val="auto"/>
              </w:rPr>
            </w:pPr>
            <w:r>
              <w:rPr>
                <w:rFonts w:ascii="Arial" w:cs="Arial" w:eastAsia="Arial" w:hAnsi="Arial"/>
                <w:sz w:val="13"/>
                <w:szCs w:val="13"/>
                <w:color w:val="0000FF"/>
              </w:rPr>
              <w:t>722</w:t>
            </w:r>
          </w:p>
        </w:tc>
        <w:tc>
          <w:tcPr>
            <w:tcW w:w="7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20" w:type="dxa"/>
            <w:vAlign w:val="bottom"/>
          </w:tcPr>
          <w:p>
            <w:pPr>
              <w:ind w:left="20"/>
              <w:spacing w:after="0" w:line="143" w:lineRule="exact"/>
              <w:rPr>
                <w:sz w:val="20"/>
                <w:szCs w:val="20"/>
                <w:color w:val="auto"/>
              </w:rPr>
            </w:pPr>
            <w:r>
              <w:rPr>
                <w:rFonts w:ascii="Arial" w:cs="Arial" w:eastAsia="Arial" w:hAnsi="Arial"/>
                <w:sz w:val="13"/>
                <w:szCs w:val="13"/>
                <w:color w:val="0000FF"/>
              </w:rPr>
              <w:t>par value</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jc w:val="right"/>
              <w:ind w:right="20"/>
              <w:spacing w:after="0" w:line="143" w:lineRule="exact"/>
              <w:rPr>
                <w:sz w:val="20"/>
                <w:szCs w:val="20"/>
                <w:color w:val="auto"/>
              </w:rPr>
            </w:pPr>
            <w:r>
              <w:rPr>
                <w:rFonts w:ascii="Arial" w:cs="Arial" w:eastAsia="Arial" w:hAnsi="Arial"/>
                <w:sz w:val="13"/>
                <w:szCs w:val="13"/>
                <w:color w:val="0000FF"/>
              </w:rPr>
              <w:t>723</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ind w:left="80"/>
              <w:spacing w:after="0" w:line="143" w:lineRule="exact"/>
              <w:rPr>
                <w:sz w:val="20"/>
                <w:szCs w:val="20"/>
                <w:color w:val="auto"/>
              </w:rPr>
            </w:pPr>
            <w:r>
              <w:rPr>
                <w:rFonts w:ascii="Arial" w:cs="Arial" w:eastAsia="Arial" w:hAnsi="Arial"/>
                <w:sz w:val="13"/>
                <w:szCs w:val="13"/>
                <w:color w:val="0000FF"/>
              </w:rPr>
              <w:t>$0.001</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ind w:left="20"/>
              <w:spacing w:after="0"/>
              <w:rPr>
                <w:sz w:val="20"/>
                <w:szCs w:val="20"/>
                <w:color w:val="auto"/>
              </w:rPr>
            </w:pPr>
            <w:r>
              <w:rPr>
                <w:rFonts w:ascii="Arial" w:cs="Arial" w:eastAsia="Arial" w:hAnsi="Arial"/>
                <w:sz w:val="13"/>
                <w:szCs w:val="13"/>
                <w:color w:val="0000FF"/>
              </w:rPr>
              <w:t>per share</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-2827020</wp:posOffset>
            </wp:positionV>
            <wp:extent cx="29210" cy="2832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83210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of ExlService Holdings, Inc. (the "Company") convert into common stock, par value $0.001 per share (the "Common Stock") on a one-for-one basis.</w:t>
      </w:r>
    </w:p>
    <w:p>
      <w:pPr>
        <w:spacing w:after="0" w:line="45" w:lineRule="exact"/>
        <w:rPr>
          <w:rFonts w:ascii="Arial" w:cs="Arial" w:eastAsia="Arial" w:hAnsi="Arial"/>
          <w:sz w:val="13"/>
          <w:szCs w:val="13"/>
          <w:color w:val="008000"/>
        </w:rPr>
      </w:pPr>
    </w:p>
    <w:p>
      <w:pPr>
        <w:ind w:left="40" w:right="20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19, 2020, the reporting person was granted 4,365 restricted stock units, vesting in four annual installments beginning on the first anniversary of the grant date. 25 percent of the restricted stock units became vested on February 19, 2021, an additional twenty-five percent of the restricted stock units became vested on February 19, 2022, an additional twenty-five percent of the restricted stock units will vest on February 19, 2023, and the remaining balance of twenty-five percent of the restricted stock units will vest on February 19, 2024.</w:t>
      </w:r>
    </w:p>
    <w:p>
      <w:pPr>
        <w:spacing w:after="0" w:line="30" w:lineRule="exact"/>
        <w:rPr>
          <w:rFonts w:ascii="Arial" w:cs="Arial" w:eastAsia="Arial" w:hAnsi="Arial"/>
          <w:sz w:val="13"/>
          <w:szCs w:val="13"/>
          <w:color w:val="008000"/>
        </w:rPr>
      </w:pPr>
    </w:p>
    <w:p>
      <w:pPr>
        <w:ind w:left="40" w:right="26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20, 2019, the reporting person was granted 2,890 restricted stock units, vesting in four equal annual installments beginning on the first anniversary of the grant date. 25 percent of the restricted stock units became vested on February 20, 2020, an additional 25 percent of the restricted stock units became vested on February 20, 2021, an additional 25 percent of the restricted stock units will became vested on February 20, 2022, and the remaining balance of 25 percent of the restricted stock units will vest on February 20, 2023.</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7"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3"/>
          <w:szCs w:val="33"/>
          <w:color w:val="0000FF"/>
          <w:vertAlign w:val="subscript"/>
        </w:rPr>
        <w:t>02/23/2022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23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3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9812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2022-02-23T17:04:59Z</dcterms:created>
  <dcterms:modified xsi:type="dcterms:W3CDTF">2022-02-23T17:04:59Z</dcterms:modified>
</cp:coreProperties>
</file>