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Pursuant to Sections 13 or 15(d) of the Securities Exchange Act of 1934</w:t>
      </w:r>
    </w:p>
    <w:p>
      <w:pPr>
        <w:spacing w:after="0" w:line="6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6"/>
          <w:szCs w:val="16"/>
          <w:color w:val="auto"/>
        </w:rPr>
        <w:t>Date of Report (Date of earliest event reported): October 29, 2020</w:t>
      </w:r>
    </w:p>
    <w:p>
      <w:pPr>
        <w:spacing w:after="0" w:line="5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ectPr>
          <w:pgSz w:w="11900" w:h="16838" w:orient="portrait"/>
          <w:cols w:equalWidth="0" w:num="1">
            <w:col w:w="11240"/>
          </w:cols>
          <w:pgMar w:left="320" w:top="1249" w:right="339" w:bottom="1440" w:gutter="0" w:footer="0" w:header="0"/>
        </w:sectPr>
      </w:pPr>
    </w:p>
    <w:p>
      <w:pPr>
        <w:spacing w:after="0" w:line="12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82-0572194</w:t>
      </w:r>
    </w:p>
    <w:p>
      <w:pPr>
        <w:spacing w:after="0" w:line="30" w:lineRule="exact"/>
        <w:rPr>
          <w:sz w:val="24"/>
          <w:szCs w:val="24"/>
          <w:color w:val="auto"/>
        </w:rPr>
      </w:pPr>
    </w:p>
    <w:p>
      <w:pPr>
        <w:sectPr>
          <w:pgSz w:w="11900" w:h="16838" w:orient="portrait"/>
          <w:cols w:equalWidth="0" w:num="3">
            <w:col w:w="4540" w:space="720"/>
            <w:col w:w="3000" w:space="720"/>
            <w:col w:w="2260"/>
          </w:cols>
          <w:pgMar w:left="320" w:top="1249" w:right="339" w:bottom="1440" w:gutter="0" w:footer="0" w:header="0"/>
          <w:type w:val="continuous"/>
        </w:sectPr>
      </w:pPr>
    </w:p>
    <w:p>
      <w:pPr>
        <w:jc w:val="center"/>
        <w:ind w:right="260"/>
        <w:spacing w:after="0"/>
        <w:rPr>
          <w:sz w:val="20"/>
          <w:szCs w:val="20"/>
          <w:color w:val="auto"/>
        </w:rPr>
      </w:pPr>
      <w:r>
        <w:rPr>
          <w:rFonts w:ascii="Times New Roman" w:cs="Times New Roman" w:eastAsia="Times New Roman" w:hAnsi="Times New Roman"/>
          <w:sz w:val="16"/>
          <w:szCs w:val="16"/>
          <w:color w:val="auto"/>
        </w:rPr>
        <w:t>(State or other jurisdiction</w:t>
      </w:r>
    </w:p>
    <w:p>
      <w:pPr>
        <w:jc w:val="center"/>
        <w:ind w:right="260"/>
        <w:spacing w:after="0"/>
        <w:rPr>
          <w:sz w:val="20"/>
          <w:szCs w:val="20"/>
          <w:color w:val="auto"/>
        </w:rPr>
      </w:pPr>
      <w:r>
        <w:rPr>
          <w:rFonts w:ascii="Times New Roman" w:cs="Times New Roman" w:eastAsia="Times New Roman" w:hAnsi="Times New Roman"/>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249" w:right="339" w:bottom="1440" w:gutter="0" w:footer="0" w:header="0"/>
          <w:type w:val="continuous"/>
        </w:sectPr>
      </w:pPr>
    </w:p>
    <w:p>
      <w:pPr>
        <w:spacing w:after="0" w:line="25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320 Park Avenue, 29</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5"/>
          <w:szCs w:val="15"/>
          <w:b w:val="1"/>
          <w:bCs w:val="1"/>
          <w:color w:val="auto"/>
        </w:rPr>
        <w:t xml:space="preserve"> Floor,</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10022</w:t>
      </w:r>
    </w:p>
    <w:p>
      <w:pPr>
        <w:spacing w:after="0" w:line="32" w:lineRule="exact"/>
        <w:rPr>
          <w:sz w:val="24"/>
          <w:szCs w:val="24"/>
          <w:color w:val="auto"/>
        </w:rPr>
      </w:pPr>
    </w:p>
    <w:p>
      <w:pPr>
        <w:sectPr>
          <w:pgSz w:w="11900" w:h="16838" w:orient="portrait"/>
          <w:cols w:equalWidth="0" w:num="2">
            <w:col w:w="7620" w:space="720"/>
            <w:col w:w="2900"/>
          </w:cols>
          <w:pgMar w:left="320" w:top="1249" w:right="339" w:bottom="1440" w:gutter="0" w:footer="0" w:header="0"/>
          <w:type w:val="continuous"/>
        </w:sectPr>
      </w:pPr>
    </w:p>
    <w:p>
      <w:pPr>
        <w:ind w:left="4960"/>
        <w:spacing w:after="0"/>
        <w:rPr>
          <w:sz w:val="20"/>
          <w:szCs w:val="20"/>
          <w:color w:val="auto"/>
        </w:rPr>
      </w:pPr>
      <w:r>
        <w:rPr>
          <w:rFonts w:ascii="Times New Roman" w:cs="Times New Roman" w:eastAsia="Times New Roman" w:hAnsi="Times New Roman"/>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480" w:space="720"/>
            <w:col w:w="3040"/>
          </w:cols>
          <w:pgMar w:left="320" w:top="1249"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6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277-7100</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address, if changed since last report)</w:t>
      </w:r>
    </w:p>
    <w:p>
      <w:pPr>
        <w:spacing w:after="0" w:line="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ectPr>
          <w:pgSz w:w="11900" w:h="16838" w:orient="portrait"/>
          <w:cols w:equalWidth="0" w:num="1">
            <w:col w:w="11240"/>
          </w:cols>
          <w:pgMar w:left="320" w:top="1249" w:right="339" w:bottom="1440" w:gutter="0" w:footer="0" w:header="0"/>
          <w:type w:val="continuous"/>
        </w:sect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27"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54"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70"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Emerging growth company</w:t>
      </w:r>
    </w:p>
    <w:p>
      <w:pPr>
        <w:spacing w:after="0" w:line="221" w:lineRule="exact"/>
        <w:rPr>
          <w:rFonts w:ascii="MS PGothic" w:cs="MS PGothic" w:eastAsia="MS PGothic" w:hAnsi="MS PGothic"/>
          <w:sz w:val="22"/>
          <w:szCs w:val="22"/>
          <w:color w:val="auto"/>
        </w:rPr>
      </w:pPr>
    </w:p>
    <w:p>
      <w:pPr>
        <w:ind w:left="620" w:right="480" w:hanging="594"/>
        <w:spacing w:after="0" w:line="219" w:lineRule="auto"/>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20" w:type="dxa"/>
            <w:vAlign w:val="bottom"/>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w:t>
            </w:r>
          </w:p>
        </w:tc>
      </w:tr>
      <w:tr>
        <w:trPr>
          <w:trHeight w:val="442"/>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29, 2020, ExlService Holdings, Inc. (the “Company”) reported its results of operations for the three months ended September 30, 2020.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 Exhibits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140" w:type="dxa"/>
            <w:vAlign w:val="bottom"/>
          </w:tcPr>
          <w:p>
            <w:pPr>
              <w:spacing w:after="0"/>
              <w:rPr>
                <w:sz w:val="21"/>
                <w:szCs w:val="21"/>
                <w:color w:val="auto"/>
              </w:rPr>
            </w:pPr>
          </w:p>
        </w:tc>
        <w:tc>
          <w:tcPr>
            <w:tcW w:w="9200" w:type="dxa"/>
            <w:vAlign w:val="bottom"/>
            <w:gridSpan w:val="3"/>
          </w:tcPr>
          <w:p>
            <w:pPr>
              <w:ind w:left="100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October 29, 2020 (furnished pursuant to Item 2.02).</w:t>
              </w:r>
            </w:hyperlink>
          </w:p>
        </w:tc>
        <w:tc>
          <w:tcPr>
            <w:tcW w:w="0" w:type="dxa"/>
            <w:vAlign w:val="bottom"/>
          </w:tcPr>
          <w:p>
            <w:pPr>
              <w:spacing w:after="0"/>
              <w:rPr>
                <w:sz w:val="1"/>
                <w:szCs w:val="1"/>
                <w:color w:val="auto"/>
              </w:rPr>
            </w:pPr>
          </w:p>
        </w:tc>
      </w:tr>
      <w:tr>
        <w:trPr>
          <w:trHeight w:val="180"/>
        </w:trPr>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spacing w:after="0"/>
              <w:rPr>
                <w:sz w:val="15"/>
                <w:szCs w:val="15"/>
                <w:color w:val="auto"/>
              </w:rPr>
            </w:pPr>
          </w:p>
        </w:tc>
        <w:tc>
          <w:tcPr>
            <w:tcW w:w="9200" w:type="dxa"/>
            <w:vAlign w:val="bottom"/>
            <w:gridSpan w:val="3"/>
          </w:tcPr>
          <w:p>
            <w:pPr>
              <w:ind w:left="100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w:t>
            </w:r>
          </w:p>
        </w:tc>
        <w:tc>
          <w:tcPr>
            <w:tcW w:w="0" w:type="dxa"/>
            <w:vAlign w:val="bottom"/>
          </w:tcPr>
          <w:p>
            <w:pPr>
              <w:spacing w:after="0"/>
              <w:rPr>
                <w:sz w:val="1"/>
                <w:szCs w:val="1"/>
                <w:color w:val="auto"/>
              </w:rPr>
            </w:pPr>
          </w:p>
        </w:tc>
      </w:tr>
      <w:tr>
        <w:trPr>
          <w:trHeight w:val="234"/>
        </w:trPr>
        <w:tc>
          <w:tcPr>
            <w:tcW w:w="90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p>
        </w:tc>
        <w:tc>
          <w:tcPr>
            <w:tcW w:w="92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461"/>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810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120" w:type="dxa"/>
            <w:vAlign w:val="bottom"/>
          </w:tcPr>
          <w:p>
            <w:pPr>
              <w:spacing w:after="0"/>
              <w:rPr>
                <w:sz w:val="20"/>
                <w:szCs w:val="20"/>
                <w:color w:val="auto"/>
              </w:rPr>
            </w:pPr>
          </w:p>
        </w:tc>
        <w:tc>
          <w:tcPr>
            <w:tcW w:w="31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(Registrant)</w:t>
            </w:r>
          </w:p>
        </w:tc>
        <w:tc>
          <w:tcPr>
            <w:tcW w:w="4960" w:type="dxa"/>
            <w:vAlign w:val="bottom"/>
          </w:tcPr>
          <w:p>
            <w:pPr>
              <w:spacing w:after="0"/>
              <w:rPr>
                <w:sz w:val="20"/>
                <w:szCs w:val="20"/>
                <w:color w:val="auto"/>
              </w:rPr>
            </w:pPr>
          </w:p>
        </w:tc>
      </w:tr>
      <w:tr>
        <w:trPr>
          <w:trHeight w:val="73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2020</w:t>
            </w:r>
          </w:p>
        </w:tc>
        <w:tc>
          <w:tcPr>
            <w:tcW w:w="31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27"/>
        </w:trPr>
        <w:tc>
          <w:tcPr>
            <w:tcW w:w="3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2"/>
        </w:trPr>
        <w:tc>
          <w:tcPr>
            <w:tcW w:w="3120" w:type="dxa"/>
            <w:vAlign w:val="bottom"/>
          </w:tcPr>
          <w:p>
            <w:pPr>
              <w:spacing w:after="0"/>
              <w:rPr>
                <w:sz w:val="20"/>
                <w:szCs w:val="20"/>
                <w:color w:val="auto"/>
              </w:rPr>
            </w:pPr>
          </w:p>
        </w:tc>
        <w:tc>
          <w:tcPr>
            <w:tcW w:w="31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3120" w:type="dxa"/>
            <w:vAlign w:val="bottom"/>
          </w:tcPr>
          <w:p>
            <w:pPr>
              <w:spacing w:after="0"/>
              <w:rPr>
                <w:sz w:val="20"/>
                <w:szCs w:val="20"/>
                <w:color w:val="auto"/>
              </w:rPr>
            </w:pPr>
          </w:p>
        </w:tc>
        <w:tc>
          <w:tcPr>
            <w:tcW w:w="31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REPORTS 2020 THIRD QUARTER RESULTS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2020 Third Quarter Revenues of $241.0 Million, down 4.1% year-over-year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Q3 Diluted EPS (GAAP) of $0.76, up from $0.55 in Q3 of 2019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Q3 Adjusted Diluted EPS (Non-GAAP) of $1.04, up from $0.84 in Q3 of 2019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New York, NY – October 29, 2020 - ExlService Holdings, Inc. (NASDAQ: EXLS), a leading operations management and analytics company, today announced its financial results for the quarter ended September 30, 2020.</w:t>
      </w:r>
    </w:p>
    <w:p>
      <w:pPr>
        <w:spacing w:after="0" w:line="18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auto"/>
        </w:rPr>
        <w:t>Rohit Kapoor, Vice Chairman and Chief Executive Officer, said, “EXL had a strong third quarter as our revenue increased to $241.0 million from $222.5 million in the second quarter of 2020. Our ‘work-from-anywhere’ delivery model has been very successful and helped us strengthen our relationships with our existing clients and win new business. Adjusted diluted EPS in the third quarter of 2020 was $1.04, improved from $0.53 in the second quarter of 2020, owing to higher revenues and the benefit of cost management measures taken earlier in the year. Our third quarter results demonstrate that clients are continuing to make decisions now to drive their strategic goals despite the challenges presented by the global pandemic. While the full business impact of the pandemic remains uncertain, we are confident in our resilient and agile business model and ability to deliver digital transformation agendas.”</w:t>
      </w:r>
    </w:p>
    <w:p>
      <w:pPr>
        <w:spacing w:after="0" w:line="212"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Maurizio Nicolelli, Chief Financial Officer, said, “EXL had a strong rebound in the third quarter compared to our second quarter. We exceeded our preliminary third quarter guidance and are raising our 2020 guidance. Our updated revenue guidance for 2020 is $950 million to $958 million, up from $945 million to $955 million. Our adjusted diluted EPS guidance for 2020 is increased to $3.40 to $3.48 from $3.35 to $3.45. Our balance sheet continues to remain very strong with cash and short-term investments of $362.6 million as of September 30, 2020.”</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 Third Quarter 2020</w:t>
      </w:r>
    </w:p>
    <w:p>
      <w:pPr>
        <w:spacing w:after="0" w:line="21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i w:val="1"/>
          <w:iCs w:val="1"/>
          <w:color w:val="auto"/>
        </w:rPr>
        <w:t>Effective January 1, 2020, we made certain operational and structural changes to manage and report financial information through our four reportable segments: Insurance, Healthcare, Emerging Business and Analytics. Financial information for historical periods are recast to conform to the current presentation. For details regarding the change in segments, refer to our quarterly report on Form 10-Q for the quarter ended September 30, 2020. Reconciliations of adjusted (non-GAAP) financial measures to GAAP measures are included at the end of this release.</w:t>
      </w:r>
    </w:p>
    <w:p>
      <w:pPr>
        <w:spacing w:after="0" w:line="288" w:lineRule="exact"/>
        <w:rPr>
          <w:sz w:val="20"/>
          <w:szCs w:val="20"/>
          <w:color w:val="auto"/>
        </w:rPr>
      </w:pPr>
    </w:p>
    <w:p>
      <w:pPr>
        <w:jc w:val="both"/>
        <w:ind w:left="660" w:hanging="328"/>
        <w:spacing w:after="0" w:line="31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quarter ended September 30, 2020 decreased to $241.0 million compared to $251.4 million for the third quarter of 2019, a decrease of 4.1% on a reported basis and 4.2% on a constant currency basis from the third quarter of 2019. Revenues increased by 8.3% sequentially on a reported basis and 7.7% on a constant currency basis, from the second quarter of 2020.</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center"/>
              <w:ind w:left="6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4"/>
                <w:szCs w:val="14"/>
                <w:color w:val="auto"/>
              </w:rPr>
            </w:pPr>
          </w:p>
        </w:tc>
        <w:tc>
          <w:tcPr>
            <w:tcW w:w="10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14"/>
                <w:szCs w:val="14"/>
                <w:color w:val="auto"/>
              </w:rPr>
            </w:pPr>
          </w:p>
        </w:tc>
        <w:tc>
          <w:tcPr>
            <w:tcW w:w="840" w:type="dxa"/>
            <w:vAlign w:val="bottom"/>
          </w:tcPr>
          <w:p>
            <w:pPr>
              <w:jc w:val="right"/>
              <w:ind w:right="71"/>
              <w:spacing w:after="0" w:line="17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4"/>
                <w:szCs w:val="14"/>
                <w:color w:val="auto"/>
              </w:rPr>
            </w:pPr>
          </w:p>
        </w:tc>
        <w:tc>
          <w:tcPr>
            <w:tcW w:w="12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4"/>
                <w:szCs w:val="14"/>
                <w:color w:val="auto"/>
              </w:rPr>
            </w:pPr>
          </w:p>
        </w:tc>
        <w:tc>
          <w:tcPr>
            <w:tcW w:w="1380" w:type="dxa"/>
            <w:vAlign w:val="bottom"/>
            <w:gridSpan w:val="3"/>
          </w:tcPr>
          <w:p>
            <w:pPr>
              <w:jc w:val="center"/>
              <w:ind w:right="80"/>
              <w:spacing w:after="0" w:line="17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June 30, 2020</w:t>
            </w:r>
          </w:p>
        </w:tc>
        <w:tc>
          <w:tcPr>
            <w:tcW w:w="0" w:type="dxa"/>
            <w:vAlign w:val="bottom"/>
          </w:tcPr>
          <w:p>
            <w:pPr>
              <w:spacing w:after="0"/>
              <w:rPr>
                <w:sz w:val="1"/>
                <w:szCs w:val="1"/>
                <w:color w:val="auto"/>
              </w:rPr>
            </w:pPr>
          </w:p>
        </w:tc>
      </w:tr>
      <w:tr>
        <w:trPr>
          <w:trHeight w:val="238"/>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tcPr>
          <w:p>
            <w:pPr>
              <w:spacing w:after="0"/>
              <w:rPr>
                <w:sz w:val="20"/>
                <w:szCs w:val="20"/>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30, 2020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30, 2019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1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26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5"/>
          </w:tcPr>
          <w:p>
            <w:pPr>
              <w:jc w:val="center"/>
              <w:ind w:left="753"/>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Emerging Business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Analytics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 net</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222.5</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36.9 %</w:t>
            </w:r>
          </w:p>
        </w:tc>
        <w:tc>
          <w:tcPr>
            <w:tcW w:w="80" w:type="dxa"/>
            <w:vAlign w:val="bottom"/>
          </w:tcPr>
          <w:p>
            <w:pPr>
              <w:spacing w:after="0"/>
              <w:rPr>
                <w:sz w:val="18"/>
                <w:szCs w:val="18"/>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33.4 %</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28.8 %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30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margin for the quarter ended September 30, 2020 was 14.3%, compared to an operating income margin of 8.9% for the third quarter of 2019 and operating income margin of 4.4% for the second quarter of 2020. During the quarter ended September 30, 2019 we recorded impairment and restructuring charges of $0.5 million related to the wind down of the Health Integrated business, which reduced our operating income margin by 20 basis points. Adjusted operating income margin for the quarter ended September 30, 2020 was 19.2% compared to 14.3% for the third quarter of 2019 and 9.4% for the second quarter of 2020.</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30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quarter ended September 30, 2020 was $0.76 compared to $0.55 for the third quarter of 2019 and $0.24 for the second quarter of 2020. During the quarter ended September 30, 2019 we recorded impairment and restructuring charges of $0.5 million ($0.4 million net of tax) related to the wind down of the Health Integrated business, which reduced our diluted earnings per share by $0.01. Adjusted diluted earnings per share for the quarter ended September 30, 2020 was $1.04 compared to $0.84 for the third quarter of 2019 and $0.53 for the second quarter of 2020.</w:t>
      </w:r>
    </w:p>
    <w:p>
      <w:pPr>
        <w:sectPr>
          <w:pgSz w:w="11900" w:h="16838" w:orient="portrait"/>
          <w:cols w:equalWidth="0" w:num="1">
            <w:col w:w="11240"/>
          </w:cols>
          <w:pgMar w:left="320" w:top="10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Highlights: Third Quarter 2020</w:t>
      </w:r>
    </w:p>
    <w:p>
      <w:pPr>
        <w:spacing w:after="0" w:line="216" w:lineRule="exact"/>
        <w:rPr>
          <w:sz w:val="20"/>
          <w:szCs w:val="20"/>
          <w:color w:val="auto"/>
        </w:rPr>
      </w:pPr>
    </w:p>
    <w:p>
      <w:pPr>
        <w:ind w:left="260" w:hanging="212"/>
        <w:spacing w:after="0" w:line="39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11 new clients in the third quarter of 2020, with five in our operations management businesses and six in Analytics. For the first nine months, we won 30 new clients, with thirteen in operations management businesses and seventeen in Analytics.</w:t>
      </w:r>
    </w:p>
    <w:p>
      <w:pPr>
        <w:spacing w:after="0" w:line="54" w:lineRule="exact"/>
        <w:rPr>
          <w:rFonts w:ascii="Times New Roman" w:cs="Times New Roman" w:eastAsia="Times New Roman" w:hAnsi="Times New Roman"/>
          <w:sz w:val="18"/>
          <w:szCs w:val="18"/>
          <w:color w:val="auto"/>
        </w:rPr>
      </w:pPr>
    </w:p>
    <w:p>
      <w:pPr>
        <w:ind w:left="240" w:hanging="19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the 2020 Gartner Peer Insights Customers’ Choice for Data and Analytics Service Providers.*</w:t>
      </w:r>
    </w:p>
    <w:p>
      <w:pPr>
        <w:spacing w:after="0" w:line="211" w:lineRule="exact"/>
        <w:rPr>
          <w:rFonts w:ascii="Times New Roman" w:cs="Times New Roman" w:eastAsia="Times New Roman" w:hAnsi="Times New Roman"/>
          <w:sz w:val="18"/>
          <w:szCs w:val="18"/>
          <w:color w:val="auto"/>
        </w:rPr>
      </w:pPr>
    </w:p>
    <w:p>
      <w:pPr>
        <w:ind w:left="240" w:hanging="19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Health Named 'One of the Strongest Performers in the Risk Adjustment &amp; Analytics Space’ in 2020 KLAS Performance Report.</w:t>
      </w:r>
    </w:p>
    <w:p>
      <w:pPr>
        <w:spacing w:after="0" w:line="211" w:lineRule="exact"/>
        <w:rPr>
          <w:rFonts w:ascii="Times New Roman" w:cs="Times New Roman" w:eastAsia="Times New Roman" w:hAnsi="Times New Roman"/>
          <w:sz w:val="18"/>
          <w:szCs w:val="18"/>
          <w:color w:val="auto"/>
        </w:rPr>
      </w:pPr>
    </w:p>
    <w:p>
      <w:pPr>
        <w:ind w:left="240" w:hanging="19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Six Leader Placements in the “2020 ISG Provider Lens™ Financial and Accounting Outsourcing for the US and UK”.</w:t>
      </w:r>
    </w:p>
    <w:p>
      <w:pPr>
        <w:spacing w:after="0" w:line="211" w:lineRule="exact"/>
        <w:rPr>
          <w:rFonts w:ascii="Times New Roman" w:cs="Times New Roman" w:eastAsia="Times New Roman" w:hAnsi="Times New Roman"/>
          <w:sz w:val="18"/>
          <w:szCs w:val="18"/>
          <w:color w:val="auto"/>
        </w:rPr>
      </w:pPr>
    </w:p>
    <w:p>
      <w:pPr>
        <w:ind w:left="240" w:hanging="19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a Leader and Star Performer in the Everest Group Life &amp; Pensions Insurance BPO PEAK Matrix® Assessment 2020.</w:t>
      </w:r>
    </w:p>
    <w:p>
      <w:pPr>
        <w:spacing w:after="0" w:line="211" w:lineRule="exact"/>
        <w:rPr>
          <w:rFonts w:ascii="Times New Roman" w:cs="Times New Roman" w:eastAsia="Times New Roman" w:hAnsi="Times New Roman"/>
          <w:sz w:val="18"/>
          <w:szCs w:val="18"/>
          <w:color w:val="auto"/>
        </w:rPr>
      </w:pPr>
    </w:p>
    <w:p>
      <w:pPr>
        <w:ind w:left="240" w:hanging="19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a new delivery center in Bogotá, Colombia.</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Guidance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current visibility, and a U.S. Dollar to Indian Rupee exchange rate of 73.50, British Pound to U.S. Dollar exchange rate of 1.28, U.S. Dollar to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 Peso exchange rate of 48.75 and all other currencies at current exchange rates, we are providing the following guidance:</w:t>
      </w:r>
    </w:p>
    <w:p>
      <w:pPr>
        <w:spacing w:after="0" w:line="2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Revenue of $950 million to $958 million, representing an annual revenue reduction of 3% to 4% on a constant currency basis from 2019.</w:t>
      </w:r>
    </w:p>
    <w:p>
      <w:pPr>
        <w:spacing w:after="0" w:line="27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of $3.40 to $3.48 compared to $3.09 in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9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 xml:space="preserve">ExlService Holdings, Inc. will host a conference call on Thursday, October 29, 2020 at 8:00 A.M. ET to discuss the Company’s quarterly operating and financial results. The conference call will be available live via the internet by accessing the investor relations section of EXL’s website at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xml:space="preserve"> for a period of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Source: Gartner Peer Insights ‘Voice of the Customer’: Data and Analytics Service Providers, Peer Contributors, 22 September 2020.</w:t>
      </w:r>
    </w:p>
    <w:p>
      <w:pPr>
        <w:spacing w:after="0" w:line="234" w:lineRule="auto"/>
        <w:rPr>
          <w:sz w:val="20"/>
          <w:szCs w:val="20"/>
          <w:color w:val="auto"/>
        </w:rPr>
      </w:pPr>
      <w:r>
        <w:rPr>
          <w:rFonts w:ascii="Times New Roman" w:cs="Times New Roman" w:eastAsia="Times New Roman" w:hAnsi="Times New Roman"/>
          <w:sz w:val="16"/>
          <w:szCs w:val="16"/>
          <w:color w:val="auto"/>
        </w:rPr>
        <w:t>Disclaimer</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Gartner Peer Insights Customers’ Choice constitute the subjective opinions of individual end-user reviews, ratings, and data applied against a documented methodology; they neither represent the views of, nor constitute an endorsement by, Gartner or its affiliates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1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21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8"/>
          <w:szCs w:val="18"/>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approximately 31,800 professionals in locations throughout the United States, the UK, Europe, India, the Philippines, Colombia, Australia and South Africa. EXL serves multiple industries including insurance, healthcare, banking and financial services, utilities, travel, transportation and logistics, media and retail, among others. For more information, visit </w:t>
      </w:r>
      <w:r>
        <w:rPr>
          <w:rFonts w:ascii="Times New Roman" w:cs="Times New Roman" w:eastAsia="Times New Roman" w:hAnsi="Times New Roman"/>
          <w:sz w:val="18"/>
          <w:szCs w:val="18"/>
          <w:u w:val="single" w:color="auto"/>
          <w:color w:val="0000FF"/>
        </w:rPr>
        <w:t>www.exlservice.com.</w:t>
      </w:r>
    </w:p>
    <w:p>
      <w:pPr>
        <w:spacing w:after="0" w:line="28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Cautionary Statement Regarding Forward-Looking Statements </w:t>
      </w:r>
      <w:r>
        <w:rPr>
          <w:rFonts w:ascii="Times New Roman" w:cs="Times New Roman" w:eastAsia="Times New Roman" w:hAnsi="Times New Roman"/>
          <w:sz w:val="18"/>
          <w:szCs w:val="18"/>
          <w:i w:val="1"/>
          <w:iCs w:val="1"/>
          <w:color w:val="auto"/>
        </w:rPr>
        <w:t>This press release contains forward-looking statements. You should not place undue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the coronavirus pandemic, are discussed in more detail in EXL’s filings with the Securities and Exchange Commission, including EXL’s Annual Report on Form 10-K and EXL’s Quarterly Report on Form 10-Q for the quarter ended September 30, 2020.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41" w:right="339" w:bottom="1440" w:gutter="0" w:footer="0" w:header="0"/>
        </w:sectPr>
      </w:pPr>
    </w:p>
    <w:bookmarkStart w:id="7" w:name="page8"/>
    <w:bookmarkEnd w:id="7"/>
    <w:p>
      <w:pPr>
        <w:ind w:left="418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51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241,018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734,474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152,087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487,228</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b w:val="1"/>
                <w:bCs w:val="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88,931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247,246</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93,349</w:t>
            </w:r>
          </w:p>
        </w:tc>
        <w:tc>
          <w:tcPr>
            <w:tcW w:w="0" w:type="dxa"/>
            <w:vAlign w:val="bottom"/>
          </w:tcPr>
          <w:p>
            <w:pPr>
              <w:spacing w:after="0"/>
              <w:rPr>
                <w:sz w:val="1"/>
                <w:szCs w:val="1"/>
                <w:color w:val="auto"/>
              </w:rPr>
            </w:pPr>
          </w:p>
        </w:tc>
      </w:tr>
      <w:tr>
        <w:trPr>
          <w:trHeight w:val="229"/>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39,466</w:t>
            </w:r>
          </w:p>
        </w:tc>
        <w:tc>
          <w:tcPr>
            <w:tcW w:w="0" w:type="dxa"/>
            <w:vAlign w:val="bottom"/>
          </w:tcPr>
          <w:p>
            <w:pPr>
              <w:spacing w:after="0"/>
              <w:rPr>
                <w:sz w:val="1"/>
                <w:szCs w:val="1"/>
                <w:color w:val="auto"/>
              </w:rPr>
            </w:pPr>
          </w:p>
        </w:tc>
      </w:tr>
      <w:tr>
        <w:trPr>
          <w:trHeight w:val="230"/>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2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34,406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53,139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0" w:type="dxa"/>
            <w:vAlign w:val="bottom"/>
          </w:tcPr>
          <w:p>
            <w:pPr>
              <w:spacing w:after="0"/>
              <w:rPr>
                <w:sz w:val="1"/>
                <w:szCs w:val="1"/>
                <w:color w:val="auto"/>
              </w:rPr>
            </w:pPr>
          </w:p>
        </w:tc>
      </w:tr>
      <w:tr>
        <w:trPr>
          <w:trHeight w:val="156"/>
        </w:trPr>
        <w:tc>
          <w:tcPr>
            <w:tcW w:w="5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w:t>
            </w:r>
          </w:p>
        </w:tc>
        <w:tc>
          <w:tcPr>
            <w:tcW w:w="2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34,979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24,814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75,867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59,072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2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26,489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46,501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26,418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46,303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Earnings per share attributable to ExlService Holdings, Inc.</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used in computing earnings per</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attributable to ExlService Holdings Inc. stockholders: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34,327,477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34,322,449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34,404,798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34,382,787</w:t>
            </w:r>
          </w:p>
        </w:tc>
        <w:tc>
          <w:tcPr>
            <w:tcW w:w="0" w:type="dxa"/>
            <w:vAlign w:val="bottom"/>
          </w:tcPr>
          <w:p>
            <w:pPr>
              <w:spacing w:after="0"/>
              <w:rPr>
                <w:sz w:val="1"/>
                <w:szCs w:val="1"/>
                <w:color w:val="auto"/>
              </w:rPr>
            </w:pPr>
          </w:p>
        </w:tc>
      </w:tr>
      <w:tr>
        <w:trPr>
          <w:trHeight w:val="234"/>
        </w:trPr>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34,536,049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34,699,497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34,617,830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34,744,968</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Exclusive of depreciation and amortization expense.</w:t>
      </w:r>
    </w:p>
    <w:p>
      <w:pPr>
        <w:sectPr>
          <w:pgSz w:w="11900" w:h="16838" w:orient="portrait"/>
          <w:cols w:equalWidth="0" w:num="1">
            <w:col w:w="11020"/>
          </w:cols>
          <w:pgMar w:left="440" w:top="1103" w:right="439" w:bottom="1440" w:gutter="0" w:footer="0" w:header="0"/>
        </w:sectPr>
      </w:pPr>
    </w:p>
    <w:bookmarkStart w:id="8" w:name="page9"/>
    <w:bookmarkEnd w:id="8"/>
    <w:p>
      <w:pPr>
        <w:ind w:left="36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tcPr>
          <w:p>
            <w:pPr>
              <w:ind w:left="148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60" w:type="dxa"/>
            <w:vAlign w:val="bottom"/>
          </w:tcPr>
          <w:p>
            <w:pPr>
              <w:spacing w:after="0"/>
              <w:rPr>
                <w:sz w:val="18"/>
                <w:szCs w:val="18"/>
                <w:color w:val="auto"/>
              </w:rPr>
            </w:pP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119,165</w:t>
            </w:r>
          </w:p>
        </w:tc>
        <w:tc>
          <w:tcPr>
            <w:tcW w:w="0" w:type="dxa"/>
            <w:vAlign w:val="bottom"/>
          </w:tcPr>
          <w:p>
            <w:pPr>
              <w:spacing w:after="0"/>
              <w:rPr>
                <w:sz w:val="1"/>
                <w:szCs w:val="1"/>
                <w:color w:val="auto"/>
              </w:rPr>
            </w:pPr>
          </w:p>
        </w:tc>
      </w:tr>
      <w:tr>
        <w:trPr>
          <w:trHeight w:val="21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202,238</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0" w:type="dxa"/>
            <w:vAlign w:val="bottom"/>
          </w:tcPr>
          <w:p>
            <w:pPr>
              <w:spacing w:after="0"/>
              <w:rPr>
                <w:sz w:val="1"/>
                <w:szCs w:val="1"/>
                <w:color w:val="auto"/>
              </w:rPr>
            </w:pPr>
          </w:p>
        </w:tc>
      </w:tr>
      <w:tr>
        <w:trPr>
          <w:trHeight w:val="21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171,864</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13,246</w:t>
            </w:r>
          </w:p>
        </w:tc>
        <w:tc>
          <w:tcPr>
            <w:tcW w:w="0" w:type="dxa"/>
            <w:vAlign w:val="bottom"/>
          </w:tcPr>
          <w:p>
            <w:pPr>
              <w:spacing w:after="0"/>
              <w:rPr>
                <w:sz w:val="1"/>
                <w:szCs w:val="1"/>
                <w:color w:val="auto"/>
              </w:rPr>
            </w:pPr>
          </w:p>
        </w:tc>
      </w:tr>
      <w:tr>
        <w:trPr>
          <w:trHeight w:val="21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Advance income tax, net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565,063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541,258</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79,142</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86,396</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73,982</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349,529</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36,016</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equity affiliate</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1,219,481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40,867</w:t>
            </w:r>
          </w:p>
        </w:tc>
        <w:tc>
          <w:tcPr>
            <w:tcW w:w="0" w:type="dxa"/>
            <w:vAlign w:val="bottom"/>
          </w:tcPr>
          <w:p>
            <w:pPr>
              <w:spacing w:after="0"/>
              <w:rPr>
                <w:sz w:val="1"/>
                <w:szCs w:val="1"/>
                <w:color w:val="auto"/>
              </w:rPr>
            </w:pPr>
          </w:p>
        </w:tc>
      </w:tr>
      <w:tr>
        <w:trPr>
          <w:trHeight w:val="21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13,436</w:t>
            </w: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employee costs</w:t>
            </w: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68,885</w:t>
            </w:r>
          </w:p>
        </w:tc>
        <w:tc>
          <w:tcPr>
            <w:tcW w:w="0" w:type="dxa"/>
            <w:vAlign w:val="bottom"/>
          </w:tcPr>
          <w:p>
            <w:pPr>
              <w:spacing w:after="0"/>
              <w:rPr>
                <w:sz w:val="1"/>
                <w:szCs w:val="1"/>
                <w:color w:val="auto"/>
              </w:rPr>
            </w:pPr>
          </w:p>
        </w:tc>
      </w:tr>
      <w:tr>
        <w:trPr>
          <w:trHeight w:val="229"/>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74,017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24,148</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Income taxes payable, net</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19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184,899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229,349</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less current portion</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194,131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74,709</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12,142</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509,553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513,087</w:t>
            </w: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ExlService Holdings, Inc. Stockholders’ equity:</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020" w:type="dxa"/>
            <w:vAlign w:val="bottom"/>
            <w:shd w:val="clear" w:color="auto" w:fill="CCEEFF"/>
          </w:tcPr>
          <w:p>
            <w:pPr>
              <w:ind w:left="320"/>
              <w:spacing w:after="0" w:line="164" w:lineRule="exact"/>
              <w:rPr>
                <w:sz w:val="20"/>
                <w:szCs w:val="20"/>
                <w:color w:val="auto"/>
              </w:rPr>
            </w:pPr>
            <w:r>
              <w:rPr>
                <w:rFonts w:ascii="Times New Roman" w:cs="Times New Roman" w:eastAsia="Times New Roman" w:hAnsi="Times New Roman"/>
                <w:sz w:val="16"/>
                <w:szCs w:val="16"/>
                <w:color w:val="auto"/>
              </w:rPr>
              <w:t>Common stock, $0.001 par value; 100,000,000 shares authorized, 38,840,890 shares issued and</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320"/>
              <w:spacing w:after="0" w:line="162" w:lineRule="exact"/>
              <w:rPr>
                <w:sz w:val="20"/>
                <w:szCs w:val="20"/>
                <w:color w:val="auto"/>
              </w:rPr>
            </w:pPr>
            <w:r>
              <w:rPr>
                <w:rFonts w:ascii="Times New Roman" w:cs="Times New Roman" w:eastAsia="Times New Roman" w:hAnsi="Times New Roman"/>
                <w:sz w:val="16"/>
                <w:szCs w:val="16"/>
                <w:color w:val="auto"/>
              </w:rPr>
              <w:t>33,953,536 shares outstanding as of September 30, 2020 and 38,480,654 shares issued and</w:t>
            </w:r>
          </w:p>
        </w:tc>
        <w:tc>
          <w:tcPr>
            <w:tcW w:w="1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34,185,241 shares outstanding as of December 31, 2019</w:t>
            </w:r>
          </w:p>
        </w:tc>
        <w:tc>
          <w:tcPr>
            <w:tcW w:w="14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391,240</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551,903</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(84,892)</w:t>
            </w:r>
          </w:p>
        </w:tc>
        <w:tc>
          <w:tcPr>
            <w:tcW w:w="0" w:type="dxa"/>
            <w:vAlign w:val="bottom"/>
          </w:tcPr>
          <w:p>
            <w:pPr>
              <w:spacing w:after="0"/>
              <w:rPr>
                <w:sz w:val="1"/>
                <w:szCs w:val="1"/>
                <w:color w:val="auto"/>
              </w:rPr>
            </w:pPr>
          </w:p>
        </w:tc>
      </w:tr>
      <w:tr>
        <w:trPr>
          <w:trHeight w:val="19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937,118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858,290</w:t>
            </w:r>
          </w:p>
        </w:tc>
        <w:tc>
          <w:tcPr>
            <w:tcW w:w="0" w:type="dxa"/>
            <w:vAlign w:val="bottom"/>
          </w:tcPr>
          <w:p>
            <w:pPr>
              <w:spacing w:after="0"/>
              <w:rPr>
                <w:sz w:val="1"/>
                <w:szCs w:val="1"/>
                <w:color w:val="auto"/>
              </w:rPr>
            </w:pPr>
          </w:p>
        </w:tc>
      </w:tr>
      <w:tr>
        <w:trPr>
          <w:trHeight w:val="162"/>
        </w:trPr>
        <w:tc>
          <w:tcPr>
            <w:tcW w:w="7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4,887,354 shares as of September 30, 2020 and 4,295,413 shares as of December 31, 2019, held in</w:t>
            </w:r>
          </w:p>
        </w:tc>
        <w:tc>
          <w:tcPr>
            <w:tcW w:w="14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(227,190)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(188,289)</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at cost</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709,928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670,001</w:t>
            </w:r>
          </w:p>
        </w:tc>
        <w:tc>
          <w:tcPr>
            <w:tcW w:w="0" w:type="dxa"/>
            <w:vAlign w:val="bottom"/>
          </w:tcPr>
          <w:p>
            <w:pPr>
              <w:spacing w:after="0"/>
              <w:rPr>
                <w:sz w:val="1"/>
                <w:szCs w:val="1"/>
                <w:color w:val="auto"/>
              </w:rPr>
            </w:pPr>
          </w:p>
        </w:tc>
      </w:tr>
      <w:tr>
        <w:trPr>
          <w:trHeight w:val="162"/>
        </w:trPr>
        <w:tc>
          <w:tcPr>
            <w:tcW w:w="7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709,928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670,001</w:t>
            </w:r>
          </w:p>
        </w:tc>
        <w:tc>
          <w:tcPr>
            <w:tcW w:w="0" w:type="dxa"/>
            <w:vAlign w:val="bottom"/>
          </w:tcPr>
          <w:p>
            <w:pPr>
              <w:spacing w:after="0"/>
              <w:rPr>
                <w:sz w:val="1"/>
                <w:szCs w:val="1"/>
                <w:color w:val="auto"/>
              </w:rPr>
            </w:pPr>
          </w:p>
        </w:tc>
      </w:tr>
      <w:tr>
        <w:trPr>
          <w:trHeight w:val="183"/>
        </w:trPr>
        <w:tc>
          <w:tcPr>
            <w:tcW w:w="70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1,219,481</w:t>
            </w:r>
          </w:p>
        </w:tc>
        <w:tc>
          <w:tcPr>
            <w:tcW w:w="12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980" w:top="88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1"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and adjusted operating income margin;</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diluted earnings per share;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on a constant currency basis.</w:t>
      </w:r>
    </w:p>
    <w:p>
      <w:pPr>
        <w:spacing w:after="0" w:line="293" w:lineRule="exact"/>
        <w:rPr>
          <w:sz w:val="20"/>
          <w:szCs w:val="20"/>
          <w:color w:val="auto"/>
        </w:rPr>
      </w:pPr>
    </w:p>
    <w:p>
      <w:pPr>
        <w:jc w:val="both"/>
        <w:ind w:firstLine="405"/>
        <w:spacing w:after="0" w:line="300" w:lineRule="auto"/>
        <w:rPr>
          <w:sz w:val="20"/>
          <w:szCs w:val="20"/>
          <w:color w:val="auto"/>
        </w:rPr>
      </w:pPr>
      <w:r>
        <w:rPr>
          <w:rFonts w:ascii="Times New Roman" w:cs="Times New Roman" w:eastAsia="Times New Roman" w:hAnsi="Times New Roman"/>
          <w:sz w:val="18"/>
          <w:szCs w:val="18"/>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216" w:lineRule="exact"/>
        <w:rPr>
          <w:sz w:val="20"/>
          <w:szCs w:val="20"/>
          <w:color w:val="auto"/>
        </w:rPr>
      </w:pPr>
    </w:p>
    <w:p>
      <w:pPr>
        <w:jc w:val="both"/>
        <w:ind w:firstLine="405"/>
        <w:spacing w:after="0" w:line="301" w:lineRule="auto"/>
        <w:rPr>
          <w:sz w:val="20"/>
          <w:szCs w:val="20"/>
          <w:color w:val="auto"/>
        </w:rPr>
      </w:pPr>
      <w:r>
        <w:rPr>
          <w:rFonts w:ascii="Times New Roman" w:cs="Times New Roman" w:eastAsia="Times New Roman" w:hAnsi="Times New Roman"/>
          <w:sz w:val="18"/>
          <w:szCs w:val="18"/>
          <w:color w:val="auto"/>
        </w:rPr>
        <w:t>EXL non-GAAP financial measures exclude, where applicable, stock-based compensation expense, amortization of acquisition-related intangible assets, impairment charges of acquired long-lived and intangible assets including goodwill, provision for litigation settlement, non-cash interest expense on convertible senior notes, restructuring charges and other acquisition-related expenses or benefits. Acquisition-related expenses or benefits include, changes in the fair value of earn-out consideration liabilities, external deal costs, integration expenses, direct and incremental travel costs and non-recurring benefits. In addition to excluding the above items, our adjusted net income and adjusted diluted EPS also excludes the effect of incremental income tax expense related to the U.S. Tax Cuts and Jobs Act of 2017 (the “Tax Reform Act”),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218" w:lineRule="exact"/>
        <w:rPr>
          <w:sz w:val="20"/>
          <w:szCs w:val="20"/>
          <w:color w:val="auto"/>
        </w:rPr>
      </w:pPr>
    </w:p>
    <w:p>
      <w:pPr>
        <w:jc w:val="both"/>
        <w:ind w:firstLine="405"/>
        <w:spacing w:after="0" w:line="305" w:lineRule="auto"/>
        <w:rPr>
          <w:sz w:val="20"/>
          <w:szCs w:val="20"/>
          <w:color w:val="auto"/>
        </w:rPr>
      </w:pPr>
      <w:r>
        <w:rPr>
          <w:rFonts w:ascii="Times New Roman" w:cs="Times New Roman" w:eastAsia="Times New Roman" w:hAnsi="Times New Roman"/>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0" w:lineRule="exact"/>
        <w:rPr>
          <w:sz w:val="20"/>
          <w:szCs w:val="20"/>
          <w:color w:val="auto"/>
        </w:rPr>
      </w:pPr>
    </w:p>
    <w:p>
      <w:pPr>
        <w:jc w:val="both"/>
        <w:ind w:firstLine="405"/>
        <w:spacing w:after="0" w:line="303" w:lineRule="auto"/>
        <w:rPr>
          <w:sz w:val="20"/>
          <w:szCs w:val="20"/>
          <w:color w:val="auto"/>
        </w:rPr>
      </w:pPr>
      <w:r>
        <w:rPr>
          <w:rFonts w:ascii="Times New Roman" w:cs="Times New Roman" w:eastAsia="Times New Roman" w:hAnsi="Times New Roman"/>
          <w:sz w:val="18"/>
          <w:szCs w:val="18"/>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70.35 during the quarter ended September 30, 2019 to 74.06 during the quarter ended September 30, 2020, representing an appreciation of 5.3%. The average exchange rate of the U.S. Dollar against the Philippine Peso decreased from 51.59 during the quarter ended September 30, 2019 to 48.71 during the quarter ended September 30, 2020, representing a</w:t>
      </w:r>
    </w:p>
    <w:p>
      <w:pPr>
        <w:sectPr>
          <w:pgSz w:w="11900" w:h="16838" w:orient="portrait"/>
          <w:cols w:equalWidth="0" w:num="1">
            <w:col w:w="11240"/>
          </w:cols>
          <w:pgMar w:left="320" w:top="1022" w:right="339" w:bottom="1440" w:gutter="0" w:footer="0" w:header="0"/>
        </w:sectPr>
      </w:pPr>
    </w:p>
    <w:bookmarkStart w:id="10" w:name="page11"/>
    <w:bookmarkEnd w:id="10"/>
    <w:p>
      <w:pPr>
        <w:spacing w:after="0" w:line="329" w:lineRule="auto"/>
        <w:rPr>
          <w:sz w:val="20"/>
          <w:szCs w:val="20"/>
          <w:color w:val="auto"/>
        </w:rPr>
      </w:pPr>
      <w:r>
        <w:rPr>
          <w:rFonts w:ascii="Times New Roman" w:cs="Times New Roman" w:eastAsia="Times New Roman" w:hAnsi="Times New Roman"/>
          <w:sz w:val="18"/>
          <w:szCs w:val="18"/>
          <w:color w:val="auto"/>
        </w:rPr>
        <w:t>depreciation of 5.6%. The average exchange rate of the British Pound against the U.S. Dollar increased from 1.22 during the quarter ended September 30, 2019 to 1.31 during the quarter ended September 30, 2020, representing a depreciation of 7.2%.</w:t>
      </w:r>
    </w:p>
    <w:p>
      <w:pPr>
        <w:spacing w:after="0" w:line="189"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The following table shows the reconciliation of these non-GAAP financial measures for the three months ended September 30, 2020 and September 30, 2019, and the three months ended June 30, 2020: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and Adjusted EBITDA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128"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26,418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19,044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8,429</w:t>
            </w:r>
          </w:p>
        </w:tc>
        <w:tc>
          <w:tcPr>
            <w:tcW w:w="0" w:type="dxa"/>
            <w:vAlign w:val="bottom"/>
          </w:tcPr>
          <w:p>
            <w:pPr>
              <w:spacing w:after="0"/>
              <w:rPr>
                <w:sz w:val="1"/>
                <w:szCs w:val="1"/>
                <w:color w:val="auto"/>
              </w:rPr>
            </w:pPr>
          </w:p>
        </w:tc>
      </w:tr>
      <w:tr>
        <w:trPr>
          <w:trHeight w:val="213"/>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 Income tax expense</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8,490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4,072</w:t>
            </w:r>
          </w:p>
        </w:tc>
        <w:tc>
          <w:tcPr>
            <w:tcW w:w="0" w:type="dxa"/>
            <w:vAlign w:val="bottom"/>
          </w:tcPr>
          <w:p>
            <w:pPr>
              <w:spacing w:after="0"/>
              <w:rPr>
                <w:sz w:val="1"/>
                <w:szCs w:val="1"/>
                <w:color w:val="auto"/>
              </w:rPr>
            </w:pPr>
          </w:p>
        </w:tc>
      </w:tr>
      <w:tr>
        <w:trPr>
          <w:trHeight w:val="165"/>
        </w:trPr>
        <w:tc>
          <w:tcPr>
            <w:tcW w:w="6180" w:type="dxa"/>
            <w:vAlign w:val="bottom"/>
            <w:shd w:val="clear" w:color="auto" w:fill="CCEEFF"/>
          </w:tcPr>
          <w:p>
            <w:pPr>
              <w:ind w:left="320"/>
              <w:spacing w:after="0" w:line="165" w:lineRule="exact"/>
              <w:rPr>
                <w:sz w:val="20"/>
                <w:szCs w:val="20"/>
                <w:color w:val="auto"/>
              </w:rPr>
            </w:pPr>
            <w:r>
              <w:rPr>
                <w:rFonts w:ascii="Times New Roman" w:cs="Times New Roman" w:eastAsia="Times New Roman" w:hAnsi="Times New Roman"/>
                <w:sz w:val="16"/>
                <w:szCs w:val="16"/>
                <w:color w:val="auto"/>
              </w:rPr>
              <w:t>subtract: Interest expense, foreign exchange gain, net, loss from equity-method</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(2,635)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investment and 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(GAAP)</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34,406</w:t>
            </w:r>
          </w:p>
        </w:tc>
        <w:tc>
          <w:tcPr>
            <w:tcW w:w="10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22,422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9,866</w:t>
            </w: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7,427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7,726</w:t>
            </w:r>
          </w:p>
        </w:tc>
        <w:tc>
          <w:tcPr>
            <w:tcW w:w="0" w:type="dxa"/>
            <w:vAlign w:val="bottom"/>
          </w:tcPr>
          <w:p>
            <w:pPr>
              <w:spacing w:after="0"/>
              <w:rPr>
                <w:sz w:val="1"/>
                <w:szCs w:val="1"/>
                <w:color w:val="auto"/>
              </w:rPr>
            </w:pPr>
          </w:p>
        </w:tc>
      </w:tr>
      <w:tr>
        <w:trPr>
          <w:trHeight w:val="213"/>
        </w:trPr>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5,502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 Impairment and restructuring charges (a)</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46,165</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35,840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21,022</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 margin as a % of Revenues (Non-GAAP)</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19.2 %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9.4 %</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add: Depreciation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9,012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7,545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8,975</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55,177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43,385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29,997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EBITDA margin as a % of revenue (Non-GAAP)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22.9 %</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i w:val="1"/>
          <w:iCs w:val="1"/>
          <w:color w:val="auto"/>
        </w:rPr>
        <w:t>(a) To exclude impairment and restructuring charges related to wind down of the Health Integrated business.</w:t>
      </w:r>
    </w:p>
    <w:p>
      <w:pPr>
        <w:sectPr>
          <w:pgSz w:w="11900" w:h="16838" w:orient="portrait"/>
          <w:cols w:equalWidth="0" w:num="1">
            <w:col w:w="11240"/>
          </w:cols>
          <w:pgMar w:left="320" w:top="918"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Diluted Earnings Per Share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128"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26,418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8,429</w:t>
            </w:r>
          </w:p>
        </w:tc>
        <w:tc>
          <w:tcPr>
            <w:tcW w:w="0" w:type="dxa"/>
            <w:vAlign w:val="bottom"/>
          </w:tcPr>
          <w:p>
            <w:pPr>
              <w:spacing w:after="0"/>
              <w:rPr>
                <w:sz w:val="1"/>
                <w:szCs w:val="1"/>
                <w:color w:val="auto"/>
              </w:rPr>
            </w:pPr>
          </w:p>
        </w:tc>
      </w:tr>
      <w:tr>
        <w:trPr>
          <w:trHeight w:val="213"/>
        </w:trPr>
        <w:tc>
          <w:tcPr>
            <w:tcW w:w="6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213"/>
        </w:trPr>
        <w:tc>
          <w:tcPr>
            <w:tcW w:w="6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 Impairment and restructuring charges (a)</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 Non-cash interest expense related to convertible senior notes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13"/>
        </w:trPr>
        <w:tc>
          <w:tcPr>
            <w:tcW w:w="6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 Non-recurring tax expense (b)</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subtract: Other non-recurring benefits (c)</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3"/>
        </w:trPr>
        <w:tc>
          <w:tcPr>
            <w:tcW w:w="6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subtract: Tax impact on stock-based compensation expense (d)</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subtract: Tax impact on amortization of acquisition-related intangibles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29"/>
        </w:trPr>
        <w:tc>
          <w:tcPr>
            <w:tcW w:w="6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subtract: Tax impact on impairment and restructuring charges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subtract: Tax impact on non-cash interest expense related to convertible senior notes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add: Tax impact on other non-recurring benefits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36,035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18,436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(Non-GAAP)</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0.84</w:t>
            </w:r>
          </w:p>
        </w:tc>
        <w:tc>
          <w:tcPr>
            <w:tcW w:w="12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480" w:hanging="229"/>
        <w:spacing w:after="0"/>
        <w:tabs>
          <w:tab w:leader="none" w:pos="48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impairment and restructuring charges related to wind down of the Health Integrated business.</w:t>
      </w:r>
    </w:p>
    <w:p>
      <w:pPr>
        <w:spacing w:after="0" w:line="153" w:lineRule="exact"/>
        <w:rPr>
          <w:rFonts w:ascii="Times New Roman" w:cs="Times New Roman" w:eastAsia="Times New Roman" w:hAnsi="Times New Roman"/>
          <w:sz w:val="16"/>
          <w:szCs w:val="16"/>
          <w:i w:val="1"/>
          <w:iCs w:val="1"/>
          <w:color w:val="auto"/>
        </w:rPr>
      </w:pPr>
    </w:p>
    <w:p>
      <w:pPr>
        <w:ind w:left="480" w:hanging="229"/>
        <w:spacing w:after="0"/>
        <w:tabs>
          <w:tab w:leader="none" w:pos="48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non-recurring tax expense related to certain deferred tax assets and liabilities.</w:t>
      </w:r>
    </w:p>
    <w:p>
      <w:pPr>
        <w:spacing w:after="0" w:line="59" w:lineRule="exact"/>
        <w:rPr>
          <w:rFonts w:ascii="Times New Roman" w:cs="Times New Roman" w:eastAsia="Times New Roman" w:hAnsi="Times New Roman"/>
          <w:sz w:val="16"/>
          <w:szCs w:val="16"/>
          <w:i w:val="1"/>
          <w:iCs w:val="1"/>
          <w:color w:val="auto"/>
        </w:rPr>
      </w:pPr>
    </w:p>
    <w:p>
      <w:pPr>
        <w:ind w:left="480" w:hanging="229"/>
        <w:spacing w:after="0"/>
        <w:tabs>
          <w:tab w:leader="none" w:pos="48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non-recurring benefits related to wind down of the Health Integrated business and acquisition-related income.</w:t>
      </w:r>
    </w:p>
    <w:p>
      <w:pPr>
        <w:spacing w:after="0" w:line="113" w:lineRule="exact"/>
        <w:rPr>
          <w:rFonts w:ascii="Times New Roman" w:cs="Times New Roman" w:eastAsia="Times New Roman" w:hAnsi="Times New Roman"/>
          <w:sz w:val="16"/>
          <w:szCs w:val="16"/>
          <w:i w:val="1"/>
          <w:iCs w:val="1"/>
          <w:color w:val="auto"/>
        </w:rPr>
      </w:pPr>
    </w:p>
    <w:p>
      <w:pPr>
        <w:ind w:left="500" w:hanging="249"/>
        <w:spacing w:after="0" w:line="283" w:lineRule="auto"/>
        <w:tabs>
          <w:tab w:leader="none" w:pos="494"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Tax impact includes $52 and $21 during the three months ended September 30, 2020 and 2019 respectively, and $23 during the three months ended June 30, 2020, related to discrete benefits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Steven N. Barlow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880" w:firstLine="8"/>
        <w:spacing w:after="0" w:line="290" w:lineRule="auto"/>
        <w:tabs>
          <w:tab w:leader="none" w:pos="4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596-7684 </w:t>
      </w:r>
      <w:r>
        <w:rPr>
          <w:rFonts w:ascii="Times New Roman" w:cs="Times New Roman" w:eastAsia="Times New Roman" w:hAnsi="Times New Roman"/>
          <w:sz w:val="17"/>
          <w:szCs w:val="17"/>
          <w:u w:val="single" w:color="auto"/>
          <w:color w:val="0000FF"/>
        </w:rPr>
        <w:t>ir@exlservice.com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2020-10-29T05:21:48Z</dcterms:created>
  <dcterms:modified xsi:type="dcterms:W3CDTF">2020-10-29T05:21:48Z</dcterms:modified>
</cp:coreProperties>
</file>