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 Villa Rembert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54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040" w:type="dxa"/>
            <w:vAlign w:val="bottom"/>
          </w:tcPr>
          <w:p>
            <w:pPr>
              <w:ind w:left="20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54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040" w:type="dxa"/>
            <w:vAlign w:val="bottom"/>
          </w:tcPr>
          <w:p>
            <w:pPr>
              <w:ind w:left="20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5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040" w:type="dxa"/>
            <w:vAlign w:val="bottom"/>
            <w:vMerge w:val="restart"/>
          </w:tcPr>
          <w:p>
            <w:pPr>
              <w:ind w:left="2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54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240" w:type="dxa"/>
            <w:vAlign w:val="bottom"/>
          </w:tcPr>
          <w:p>
            <w:pPr>
              <w:spacing w:after="0"/>
              <w:rPr>
                <w:sz w:val="22"/>
                <w:szCs w:val="22"/>
                <w:color w:val="auto"/>
              </w:rPr>
            </w:pPr>
          </w:p>
        </w:tc>
        <w:tc>
          <w:tcPr>
            <w:tcW w:w="1540" w:type="dxa"/>
            <w:vAlign w:val="bottom"/>
          </w:tcPr>
          <w:p>
            <w:pPr>
              <w:ind w:left="1040"/>
              <w:spacing w:after="0"/>
              <w:rPr>
                <w:sz w:val="20"/>
                <w:szCs w:val="20"/>
                <w:color w:val="auto"/>
              </w:rPr>
            </w:pPr>
            <w:r>
              <w:rPr>
                <w:rFonts w:ascii="Arial" w:cs="Arial" w:eastAsia="Arial" w:hAnsi="Arial"/>
                <w:sz w:val="18"/>
                <w:szCs w:val="18"/>
                <w:color w:val="0000FF"/>
              </w:rPr>
              <w:t>EVP</w:t>
            </w: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99"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40" w:type="dxa"/>
            <w:vAlign w:val="bottom"/>
          </w:tcPr>
          <w:p>
            <w:pPr>
              <w:spacing w:after="0"/>
              <w:rPr>
                <w:sz w:val="14"/>
                <w:szCs w:val="14"/>
                <w:color w:val="auto"/>
              </w:rPr>
            </w:pPr>
          </w:p>
        </w:tc>
        <w:tc>
          <w:tcPr>
            <w:tcW w:w="1200" w:type="dxa"/>
            <w:vAlign w:val="bottom"/>
            <w:gridSpan w:val="2"/>
          </w:tcPr>
          <w:p>
            <w:pPr>
              <w:ind w:left="10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jc w:val="center"/>
              <w:ind w:right="257"/>
              <w:spacing w:after="0"/>
              <w:rPr>
                <w:sz w:val="20"/>
                <w:szCs w:val="20"/>
                <w:color w:val="auto"/>
              </w:rPr>
            </w:pPr>
            <w:r>
              <w:rPr>
                <w:rFonts w:ascii="Arial" w:cs="Arial" w:eastAsia="Arial" w:hAnsi="Arial"/>
                <w:sz w:val="14"/>
                <w:szCs w:val="14"/>
                <w:color w:val="0000FF"/>
              </w:rPr>
              <w:t>M</w:t>
            </w:r>
          </w:p>
        </w:tc>
        <w:tc>
          <w:tcPr>
            <w:tcW w:w="720" w:type="dxa"/>
            <w:vAlign w:val="bottom"/>
          </w:tcPr>
          <w:p>
            <w:pPr>
              <w:ind w:left="260"/>
              <w:spacing w:after="0"/>
              <w:rPr>
                <w:sz w:val="20"/>
                <w:szCs w:val="20"/>
                <w:color w:val="auto"/>
              </w:rPr>
            </w:pPr>
            <w:r>
              <w:rPr>
                <w:rFonts w:ascii="Arial" w:cs="Arial" w:eastAsia="Arial" w:hAnsi="Arial"/>
                <w:sz w:val="18"/>
                <w:szCs w:val="18"/>
                <w:color w:val="0000FF"/>
                <w:w w:val="97"/>
              </w:rPr>
              <w:t>1,800</w:t>
            </w:r>
          </w:p>
        </w:tc>
        <w:tc>
          <w:tcPr>
            <w:tcW w:w="700" w:type="dxa"/>
            <w:vAlign w:val="bottom"/>
          </w:tcPr>
          <w:p>
            <w:pPr>
              <w:jc w:val="right"/>
              <w:ind w:right="154"/>
              <w:spacing w:after="0"/>
              <w:rPr>
                <w:sz w:val="20"/>
                <w:szCs w:val="20"/>
                <w:color w:val="auto"/>
              </w:rPr>
            </w:pPr>
            <w:r>
              <w:rPr>
                <w:rFonts w:ascii="Arial" w:cs="Arial" w:eastAsia="Arial" w:hAnsi="Arial"/>
                <w:sz w:val="18"/>
                <w:szCs w:val="18"/>
                <w:color w:val="0000FF"/>
              </w:rPr>
              <w:t>A</w:t>
            </w:r>
          </w:p>
        </w:tc>
        <w:tc>
          <w:tcPr>
            <w:tcW w:w="540" w:type="dxa"/>
            <w:vAlign w:val="bottom"/>
          </w:tcPr>
          <w:p>
            <w:pPr>
              <w:jc w:val="right"/>
              <w:ind w:right="54"/>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60"/>
              <w:spacing w:after="0"/>
              <w:rPr>
                <w:sz w:val="20"/>
                <w:szCs w:val="20"/>
                <w:color w:val="auto"/>
              </w:rPr>
            </w:pPr>
            <w:r>
              <w:rPr>
                <w:rFonts w:ascii="Arial" w:cs="Arial" w:eastAsia="Arial" w:hAnsi="Arial"/>
                <w:sz w:val="18"/>
                <w:szCs w:val="18"/>
                <w:color w:val="0000FF"/>
              </w:rPr>
              <w:t>13,037</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gridSpan w:val="4"/>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gridSpan w:val="2"/>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2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02/26/2018</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57"/>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688</w:t>
            </w:r>
          </w:p>
        </w:tc>
        <w:tc>
          <w:tcPr>
            <w:tcW w:w="700" w:type="dxa"/>
            <w:vAlign w:val="bottom"/>
            <w:tcBorders>
              <w:bottom w:val="single" w:sz="8" w:color="2C2C2C"/>
            </w:tcBorders>
          </w:tcPr>
          <w:p>
            <w:pPr>
              <w:jc w:val="right"/>
              <w:ind w:right="154"/>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61.67</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60"/>
              <w:spacing w:after="0"/>
              <w:rPr>
                <w:sz w:val="20"/>
                <w:szCs w:val="20"/>
                <w:color w:val="auto"/>
              </w:rPr>
            </w:pPr>
            <w:r>
              <w:rPr>
                <w:rFonts w:ascii="Arial" w:cs="Arial" w:eastAsia="Arial" w:hAnsi="Arial"/>
                <w:sz w:val="18"/>
                <w:szCs w:val="18"/>
                <w:color w:val="0000FF"/>
              </w:rPr>
              <w:t>12,349</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5080" w:type="dxa"/>
            <w:vAlign w:val="bottom"/>
            <w:gridSpan w:val="10"/>
          </w:tcPr>
          <w:p>
            <w:pPr>
              <w:ind w:left="1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720" w:type="dxa"/>
            <w:vAlign w:val="bottom"/>
            <w:vMerge w:val="restart"/>
          </w:tcPr>
          <w:p>
            <w:pPr>
              <w:ind w:left="260"/>
              <w:spacing w:after="0"/>
              <w:rPr>
                <w:sz w:val="20"/>
                <w:szCs w:val="20"/>
                <w:color w:val="auto"/>
              </w:rPr>
            </w:pPr>
            <w:r>
              <w:rPr>
                <w:rFonts w:ascii="Arial" w:cs="Arial" w:eastAsia="Arial" w:hAnsi="Arial"/>
                <w:sz w:val="11"/>
                <w:szCs w:val="11"/>
                <w:color w:val="008000"/>
              </w:rPr>
              <w:t>(3)</w:t>
            </w:r>
          </w:p>
        </w:tc>
        <w:tc>
          <w:tcPr>
            <w:tcW w:w="700" w:type="dxa"/>
            <w:vAlign w:val="bottom"/>
          </w:tcPr>
          <w:p>
            <w:pPr>
              <w:jc w:val="right"/>
              <w:ind w:right="154"/>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1,800</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0000FF"/>
              </w:rPr>
              <w:t>02/26/2018</w:t>
            </w: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220" w:type="dxa"/>
            <w:vAlign w:val="bottom"/>
          </w:tcPr>
          <w:p>
            <w:pPr>
              <w:spacing w:after="0"/>
              <w:rPr>
                <w:sz w:val="12"/>
                <w:szCs w:val="12"/>
                <w:color w:val="auto"/>
              </w:rPr>
            </w:pPr>
          </w:p>
        </w:tc>
        <w:tc>
          <w:tcPr>
            <w:tcW w:w="820" w:type="dxa"/>
            <w:vAlign w:val="bottom"/>
          </w:tcPr>
          <w:p>
            <w:pPr>
              <w:ind w:left="400"/>
              <w:spacing w:after="0" w:line="149" w:lineRule="exact"/>
              <w:rPr>
                <w:sz w:val="20"/>
                <w:szCs w:val="20"/>
                <w:color w:val="auto"/>
              </w:rPr>
            </w:pPr>
            <w:r>
              <w:rPr>
                <w:rFonts w:ascii="Arial" w:cs="Arial" w:eastAsia="Arial" w:hAnsi="Arial"/>
                <w:sz w:val="14"/>
                <w:szCs w:val="14"/>
                <w:color w:val="0000FF"/>
              </w:rPr>
              <w:t>1,800</w:t>
            </w:r>
          </w:p>
        </w:tc>
        <w:tc>
          <w:tcPr>
            <w:tcW w:w="82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00" w:type="dxa"/>
            <w:vAlign w:val="bottom"/>
          </w:tcPr>
          <w:p>
            <w:pPr>
              <w:ind w:left="6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w w:val="96"/>
              </w:rPr>
              <w:t>2,400</w:t>
            </w:r>
          </w:p>
        </w:tc>
        <w:tc>
          <w:tcPr>
            <w:tcW w:w="280" w:type="dxa"/>
            <w:vAlign w:val="bottom"/>
          </w:tcPr>
          <w:p>
            <w:pPr>
              <w:spacing w:after="0"/>
              <w:rPr>
                <w:sz w:val="12"/>
                <w:szCs w:val="12"/>
                <w:color w:val="auto"/>
              </w:rPr>
            </w:pPr>
          </w:p>
        </w:tc>
        <w:tc>
          <w:tcPr>
            <w:tcW w:w="70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jc w:val="right"/>
              <w:ind w:right="134"/>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42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units reported in this report vested on February 26, 2018. Pursuant to the Company's 2006 Omnibus Award Plan, pursuant to which such restricted stock units were granted, the average of the high and low sale prices of the Common Stock on the Nasdaq Global Select Market on the preceding day is used for purposes of computing tax reporting and withholding.</w:t>
      </w:r>
    </w:p>
    <w:p>
      <w:pPr>
        <w:ind w:left="40" w:right="1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26, 2015, the reporting person was granted 6,000 restricted stock units, ten percent of the restricted stock units became vested on February 26, 2016, an additional twenty percent of the restricted stock units became vested on February 26, 2017, an additional thirty percent of the restricted stock units became vested on February 26, 2018, and the remaining balance of forty percent of the restricted stock units will vest on February 26, 2019.</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02/28/2018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430882"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2019-12-04T01:51:37Z</dcterms:created>
  <dcterms:modified xsi:type="dcterms:W3CDTF">2019-12-04T01:51:37Z</dcterms:modified>
</cp:coreProperties>
</file>