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Date of Report (Date of earliest event reported): July 30, 2019</w:t>
      </w:r>
    </w:p>
    <w:p>
      <w:pPr>
        <w:spacing w:after="0" w:line="78"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40"/>
          </w:cols>
          <w:pgMar w:left="240" w:top="999" w:right="21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99" w:lineRule="exact"/>
        <w:rPr>
          <w:sz w:val="24"/>
          <w:szCs w:val="24"/>
          <w:color w:val="auto"/>
        </w:rPr>
      </w:pPr>
    </w:p>
    <w:p>
      <w:pPr>
        <w:sectPr>
          <w:pgSz w:w="11900" w:h="16838" w:orient="portrait"/>
          <w:cols w:equalWidth="0" w:num="3">
            <w:col w:w="4720" w:space="720"/>
            <w:col w:w="3000" w:space="720"/>
            <w:col w:w="2280"/>
          </w:cols>
          <w:pgMar w:left="240" w:top="999" w:right="219" w:bottom="1440" w:gutter="0" w:footer="0" w:header="0"/>
          <w:type w:val="continuous"/>
        </w:sectPr>
      </w:pPr>
    </w:p>
    <w:p>
      <w:pPr>
        <w:jc w:val="center"/>
        <w:ind w:right="240"/>
        <w:spacing w:after="0"/>
        <w:rPr>
          <w:sz w:val="20"/>
          <w:szCs w:val="20"/>
          <w:color w:val="auto"/>
        </w:rPr>
      </w:pPr>
      <w:r>
        <w:rPr>
          <w:rFonts w:ascii="Arial" w:cs="Arial" w:eastAsia="Arial" w:hAnsi="Arial"/>
          <w:sz w:val="16"/>
          <w:szCs w:val="16"/>
          <w:color w:val="auto"/>
        </w:rPr>
        <w:t>(State or other jurisdiction</w:t>
      </w:r>
    </w:p>
    <w:p>
      <w:pPr>
        <w:spacing w:after="0" w:line="22" w:lineRule="exact"/>
        <w:rPr>
          <w:sz w:val="24"/>
          <w:szCs w:val="24"/>
          <w:color w:val="auto"/>
        </w:rPr>
      </w:pP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160" w:space="720"/>
            <w:col w:w="3340" w:space="720"/>
            <w:col w:w="2500"/>
          </w:cols>
          <w:pgMar w:left="240" w:top="999" w:right="219" w:bottom="1440" w:gutter="0" w:footer="0" w:header="0"/>
          <w:type w:val="continuous"/>
        </w:sectPr>
      </w:pPr>
    </w:p>
    <w:p>
      <w:pPr>
        <w:spacing w:after="0" w:line="227"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98" w:lineRule="exact"/>
        <w:rPr>
          <w:sz w:val="24"/>
          <w:szCs w:val="24"/>
          <w:color w:val="auto"/>
        </w:rPr>
      </w:pPr>
    </w:p>
    <w:p>
      <w:pPr>
        <w:sectPr>
          <w:pgSz w:w="11900" w:h="16838" w:orient="portrait"/>
          <w:cols w:equalWidth="0" w:num="2">
            <w:col w:w="7740" w:space="720"/>
            <w:col w:w="2980"/>
          </w:cols>
          <w:pgMar w:left="240" w:top="999" w:right="219" w:bottom="1440" w:gutter="0" w:footer="0" w:header="0"/>
          <w:type w:val="continuous"/>
        </w:sectPr>
      </w:pPr>
    </w:p>
    <w:p>
      <w:pPr>
        <w:ind w:left="504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98" w:lineRule="exact"/>
        <w:rPr>
          <w:sz w:val="24"/>
          <w:szCs w:val="24"/>
          <w:color w:val="auto"/>
        </w:rPr>
      </w:pPr>
    </w:p>
    <w:p>
      <w:pPr>
        <w:sectPr>
          <w:pgSz w:w="11900" w:h="16838" w:orient="portrait"/>
          <w:cols w:equalWidth="0" w:num="2">
            <w:col w:w="7620" w:space="720"/>
            <w:col w:w="3100"/>
          </w:cols>
          <w:pgMar w:left="240" w:top="999" w:right="21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(Address of principal executive offices)</w:t>
      </w:r>
    </w:p>
    <w:p>
      <w:pPr>
        <w:spacing w:after="0" w:line="109" w:lineRule="exact"/>
        <w:rPr>
          <w:sz w:val="24"/>
          <w:szCs w:val="24"/>
          <w:color w:val="auto"/>
        </w:rPr>
      </w:pPr>
    </w:p>
    <w:p>
      <w:pPr>
        <w:ind w:left="350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440"/>
          </w:cols>
          <w:pgMar w:left="240" w:top="999" w:right="219" w:bottom="1440" w:gutter="0" w:footer="0" w:header="0"/>
          <w:type w:val="continuous"/>
        </w:sect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ind w:left="620" w:hanging="585"/>
        <w:spacing w:after="0" w:line="214"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Written communication pursuant to Rule 425 under the Securities Act (17 CFR 230.425)</w:t>
      </w:r>
    </w:p>
    <w:p>
      <w:pPr>
        <w:spacing w:after="0" w:line="95" w:lineRule="exact"/>
        <w:rPr>
          <w:rFonts w:ascii="MS PGothic" w:cs="MS PGothic" w:eastAsia="MS PGothic" w:hAnsi="MS PGothic"/>
          <w:sz w:val="43"/>
          <w:szCs w:val="43"/>
          <w:color w:val="auto"/>
          <w:vertAlign w:val="subscript"/>
        </w:rPr>
      </w:pPr>
    </w:p>
    <w:p>
      <w:pPr>
        <w:ind w:left="620" w:hanging="585"/>
        <w:spacing w:after="0" w:line="196"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Soliciting material pursuant to Rule 14a-12 under the Exchange Act (17 CFR 240.14a-12)</w:t>
      </w:r>
    </w:p>
    <w:p>
      <w:pPr>
        <w:spacing w:after="0" w:line="94" w:lineRule="exact"/>
        <w:rPr>
          <w:rFonts w:ascii="MS PGothic" w:cs="MS PGothic" w:eastAsia="MS PGothic" w:hAnsi="MS PGothic"/>
          <w:sz w:val="43"/>
          <w:szCs w:val="43"/>
          <w:color w:val="auto"/>
          <w:vertAlign w:val="subscript"/>
        </w:rPr>
      </w:pPr>
    </w:p>
    <w:p>
      <w:pPr>
        <w:ind w:left="620" w:hanging="585"/>
        <w:spacing w:after="0" w:line="196"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Pre-commencement communications pursuant to Rule 14d-2(b) under the Exchange Act (17 CFR 240.14d-2(b))</w:t>
      </w:r>
    </w:p>
    <w:p>
      <w:pPr>
        <w:spacing w:after="0" w:line="94" w:lineRule="exact"/>
        <w:rPr>
          <w:rFonts w:ascii="MS PGothic" w:cs="MS PGothic" w:eastAsia="MS PGothic" w:hAnsi="MS PGothic"/>
          <w:sz w:val="43"/>
          <w:szCs w:val="43"/>
          <w:color w:val="auto"/>
          <w:vertAlign w:val="subscript"/>
        </w:rPr>
      </w:pPr>
    </w:p>
    <w:p>
      <w:pPr>
        <w:ind w:left="620" w:hanging="585"/>
        <w:spacing w:after="0" w:line="196"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67" w:lineRule="exact"/>
        <w:rPr>
          <w:sz w:val="24"/>
          <w:szCs w:val="24"/>
          <w:color w:val="auto"/>
        </w:rPr>
      </w:pPr>
    </w:p>
    <w:p>
      <w:pPr>
        <w:ind w:right="20"/>
        <w:spacing w:after="0" w:line="25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1"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color w:val="auto"/>
        </w:rPr>
        <w:t>Emerging growth company</w:t>
      </w:r>
    </w:p>
    <w:p>
      <w:pPr>
        <w:spacing w:after="0" w:line="320" w:lineRule="exact"/>
        <w:rPr>
          <w:rFonts w:ascii="MS PGothic" w:cs="MS PGothic" w:eastAsia="MS PGothic" w:hAnsi="MS PGothic"/>
          <w:sz w:val="43"/>
          <w:szCs w:val="43"/>
          <w:color w:val="auto"/>
          <w:vertAlign w:val="subscript"/>
        </w:rPr>
      </w:pPr>
    </w:p>
    <w:p>
      <w:pPr>
        <w:ind w:left="620" w:right="180" w:hanging="585"/>
        <w:spacing w:after="0" w:line="180" w:lineRule="auto"/>
        <w:tabs>
          <w:tab w:leader="none" w:pos="62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5487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651510"/>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3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6"/>
        </w:trPr>
        <w:tc>
          <w:tcPr>
            <w:tcW w:w="380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p>
        </w:tc>
      </w:tr>
      <w:tr>
        <w:trPr>
          <w:trHeight w:val="217"/>
        </w:trPr>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EXLS</w:t>
            </w:r>
          </w:p>
        </w:tc>
        <w:tc>
          <w:tcPr>
            <w:tcW w:w="4340" w:type="dxa"/>
            <w:vAlign w:val="bottom"/>
          </w:tcPr>
          <w:p>
            <w:pPr>
              <w:jc w:val="center"/>
              <w:spacing w:after="0"/>
              <w:rPr>
                <w:sz w:val="20"/>
                <w:szCs w:val="20"/>
                <w:color w:val="auto"/>
              </w:rPr>
            </w:pPr>
            <w:r>
              <w:rPr>
                <w:rFonts w:ascii="Arial" w:cs="Arial" w:eastAsia="Arial" w:hAnsi="Arial"/>
                <w:sz w:val="16"/>
                <w:szCs w:val="16"/>
                <w:color w:val="auto"/>
              </w:rPr>
              <w:t>NASDAQ</w:t>
            </w:r>
          </w:p>
        </w:tc>
      </w:tr>
      <w:tr>
        <w:trPr>
          <w:trHeight w:val="33"/>
        </w:trPr>
        <w:tc>
          <w:tcPr>
            <w:tcW w:w="380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ectPr>
          <w:pgSz w:w="11900" w:h="16838" w:orient="portrait"/>
          <w:cols w:equalWidth="0" w:num="1">
            <w:col w:w="11440"/>
          </w:cols>
          <w:pgMar w:left="240" w:top="999"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577850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2019, ExlService Holdings, Inc. (the “Company”) reported its results of operations for the three months ended June 30, 2019.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80" w:type="dxa"/>
            <w:vAlign w:val="bottom"/>
            <w:gridSpan w:val="4"/>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12"/>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tcBorders>
              <w:bottom w:val="single" w:sz="8" w:color="0000FF"/>
            </w:tcBorders>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dated July 30, 2019 (furnished pursuant to Item 2.02).</w:t>
              </w:r>
            </w:hyperlink>
          </w:p>
        </w:tc>
      </w:tr>
    </w:tbl>
    <w:p>
      <w:pPr>
        <w:sectPr>
          <w:pgSz w:w="11900" w:h="16838" w:orient="portrait"/>
          <w:cols w:equalWidth="0" w:num="1">
            <w:col w:w="11420"/>
          </w:cols>
          <w:pgMar w:left="240" w:top="11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20" w:type="dxa"/>
            <w:vAlign w:val="bottom"/>
          </w:tcPr>
          <w:p>
            <w:pPr>
              <w:spacing w:after="0"/>
              <w:rPr>
                <w:sz w:val="19"/>
                <w:szCs w:val="19"/>
                <w:color w:val="auto"/>
              </w:rPr>
            </w:pPr>
          </w:p>
        </w:tc>
        <w:tc>
          <w:tcPr>
            <w:tcW w:w="8160" w:type="dxa"/>
            <w:vAlign w:val="bottom"/>
            <w:gridSpan w:val="2"/>
          </w:tcPr>
          <w:p>
            <w:pPr>
              <w:ind w:left="180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220" w:type="dxa"/>
            <w:vAlign w:val="bottom"/>
          </w:tcPr>
          <w:p>
            <w:pPr>
              <w:spacing w:after="0"/>
              <w:rPr>
                <w:sz w:val="20"/>
                <w:szCs w:val="20"/>
                <w:color w:val="auto"/>
              </w:rPr>
            </w:pPr>
          </w:p>
        </w:tc>
        <w:tc>
          <w:tcPr>
            <w:tcW w:w="3140" w:type="dxa"/>
            <w:vAlign w:val="bottom"/>
          </w:tcPr>
          <w:p>
            <w:pPr>
              <w:ind w:left="180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220" w:type="dxa"/>
            <w:vAlign w:val="bottom"/>
          </w:tcPr>
          <w:p>
            <w:pPr>
              <w:spacing w:after="0"/>
              <w:rPr>
                <w:sz w:val="20"/>
                <w:szCs w:val="20"/>
                <w:color w:val="auto"/>
              </w:rPr>
            </w:pPr>
            <w:r>
              <w:rPr>
                <w:rFonts w:ascii="Arial" w:cs="Arial" w:eastAsia="Arial" w:hAnsi="Arial"/>
                <w:sz w:val="18"/>
                <w:szCs w:val="18"/>
                <w:color w:val="auto"/>
              </w:rPr>
              <w:t>Date: July 30, 2019</w:t>
            </w:r>
          </w:p>
        </w:tc>
        <w:tc>
          <w:tcPr>
            <w:tcW w:w="3140" w:type="dxa"/>
            <w:vAlign w:val="bottom"/>
          </w:tcPr>
          <w:p>
            <w:pPr>
              <w:ind w:left="180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Ajay Ayyappan</w:t>
            </w:r>
          </w:p>
        </w:tc>
      </w:tr>
      <w:tr>
        <w:trPr>
          <w:trHeight w:val="41"/>
        </w:trPr>
        <w:tc>
          <w:tcPr>
            <w:tcW w:w="32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220" w:type="dxa"/>
            <w:vAlign w:val="bottom"/>
          </w:tcPr>
          <w:p>
            <w:pPr>
              <w:spacing w:after="0"/>
              <w:rPr>
                <w:sz w:val="21"/>
                <w:szCs w:val="21"/>
                <w:color w:val="auto"/>
              </w:rPr>
            </w:pPr>
          </w:p>
        </w:tc>
        <w:tc>
          <w:tcPr>
            <w:tcW w:w="3140" w:type="dxa"/>
            <w:vAlign w:val="bottom"/>
          </w:tcPr>
          <w:p>
            <w:pPr>
              <w:ind w:left="180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Ajay Ayyappan</w:t>
            </w:r>
          </w:p>
        </w:tc>
      </w:tr>
      <w:tr>
        <w:trPr>
          <w:trHeight w:val="270"/>
        </w:trPr>
        <w:tc>
          <w:tcPr>
            <w:tcW w:w="3220" w:type="dxa"/>
            <w:vAlign w:val="bottom"/>
          </w:tcPr>
          <w:p>
            <w:pPr>
              <w:spacing w:after="0"/>
              <w:rPr>
                <w:sz w:val="23"/>
                <w:szCs w:val="23"/>
                <w:color w:val="auto"/>
              </w:rPr>
            </w:pPr>
          </w:p>
        </w:tc>
        <w:tc>
          <w:tcPr>
            <w:tcW w:w="3140" w:type="dxa"/>
            <w:vAlign w:val="bottom"/>
          </w:tcPr>
          <w:p>
            <w:pPr>
              <w:ind w:left="180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420"/>
          </w:cols>
          <w:pgMar w:left="240" w:top="6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2019 SECOND QUARTER RESULTS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2019 Second Quarter Revenues of $243.5 Million, up 15.9% year-over-year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Q2 Diluted EPS (GAAP) of $0.36, down from $0.41 in Q2 of 2018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Q2 Adjusted Diluted EPS (Non-GAAP) of $0.74, up from $0.67 in Q2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July 30, 2019 - ExlService Holdings, Inc. (NASDAQ: EXLS), a leading operations management and analytics company, today announced its financial results for the quarter ended June 30, 2019.</w:t>
      </w:r>
    </w:p>
    <w:p>
      <w:pPr>
        <w:spacing w:after="0" w:line="21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Rohit Kapoor, Vice Chairman and Chief Executive Officer, said, “EXL generated revenues of $243.5 million during the second quarter of 2019, up 15.9% year-over-year, and adjusted diluted EPS of $0.74, up 10.4%. EXL’s 47.4% increase in Analytics revenues was driven by a 15.9% increase in organic revenues and the acquisition of SCIOinspire Holdings, Inc. Operations management revenues growth was led by double-digit increases in Insurance and Finance &amp; Accounting revenues.</w:t>
      </w:r>
    </w:p>
    <w:p>
      <w:pPr>
        <w:spacing w:after="0" w:line="227"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“We had strong revenue growth in the first half of the year which was driven by our success in delivering innovative integrated operations management and analytics solutions.”</w:t>
      </w:r>
    </w:p>
    <w:p>
      <w:pPr>
        <w:spacing w:after="0" w:line="211"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“The wind down of the Health Integrated business is progressing as per plan and, as announced on Form 8-K/A of July 16, we expect to substantially exit the business in a responsible manner by year end.”</w:t>
      </w:r>
    </w:p>
    <w:p>
      <w:pPr>
        <w:spacing w:after="0" w:line="211"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Vishal Chhibbar, Chief Financial Officer, said, “We are increasing our revenue guidance for 2019 to $976 million - $996 million from $969 million - $996 million to reflect better performance in the second quarter and our outlook for the remainder of the year. Our guidance now represents annual revenue growth of 11% to 13% on a constant currency basis. Our adjusted diluted EPS guidance for 2019 is being increased to $2.86 - $2.98 from $2.83 - $2.98. Our balance sheet remains strong with cash and short-term investments of $253 million as of June 30, 2019.”</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Second Quarter 2019</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(consisting of our Banking &amp; Financial Services, Utilities and Consulting operating segments) and Analytics. Reconciliations of adjusted (non-GAAP) financial measures to GAAP measures are included at the end of this release.</w:t>
      </w:r>
    </w:p>
    <w:p>
      <w:pPr>
        <w:spacing w:after="0" w:line="358" w:lineRule="exact"/>
        <w:rPr>
          <w:sz w:val="20"/>
          <w:szCs w:val="20"/>
          <w:color w:val="auto"/>
        </w:rPr>
      </w:pPr>
    </w:p>
    <w:p>
      <w:pPr>
        <w:jc w:val="both"/>
        <w:ind w:left="660" w:hanging="328"/>
        <w:spacing w:after="0" w:line="3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June 30, 2019 increased to $243.5 million compared to $210.1 million for the second quarter of 2018, an increase of 15.9% on a reported basis and 16.8% on a constant currency basis from the second quarter of 2018, as well as an increase of 1.6% sequentially on a reported basis and 1.8% on a constant currency basis, from the first quarter of 2019.</w:t>
      </w:r>
    </w:p>
    <w:p>
      <w:pPr>
        <w:spacing w:after="0" w:line="37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Gross Margin</w:t>
            </w:r>
          </w:p>
        </w:tc>
        <w:tc>
          <w:tcPr>
            <w:tcW w:w="94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60" w:type="dxa"/>
            <w:vAlign w:val="bottom"/>
            <w:gridSpan w:val="8"/>
          </w:tcPr>
          <w:p>
            <w:pPr>
              <w:jc w:val="center"/>
              <w:ind w:right="900"/>
              <w:spacing w:after="0"/>
              <w:rPr>
                <w:sz w:val="20"/>
                <w:szCs w:val="20"/>
                <w:color w:val="auto"/>
              </w:rPr>
            </w:pPr>
            <w:r>
              <w:rPr>
                <w:rFonts w:ascii="Arial" w:cs="Arial" w:eastAsia="Arial" w:hAnsi="Arial"/>
                <w:sz w:val="16"/>
                <w:szCs w:val="16"/>
                <w:b w:val="1"/>
                <w:bCs w:val="1"/>
                <w:color w:val="auto"/>
                <w:w w:val="90"/>
              </w:rPr>
              <w:t>Three months ended</w:t>
            </w:r>
          </w:p>
        </w:tc>
        <w:tc>
          <w:tcPr>
            <w:tcW w:w="2460" w:type="dxa"/>
            <w:vAlign w:val="bottom"/>
            <w:gridSpan w:val="5"/>
          </w:tcPr>
          <w:p>
            <w:pPr>
              <w:jc w:val="center"/>
              <w:ind w:left="879"/>
              <w:spacing w:after="0"/>
              <w:rPr>
                <w:sz w:val="20"/>
                <w:szCs w:val="20"/>
                <w:color w:val="auto"/>
              </w:rPr>
            </w:pPr>
            <w:r>
              <w:rPr>
                <w:rFonts w:ascii="Arial" w:cs="Arial" w:eastAsia="Arial" w:hAnsi="Arial"/>
                <w:sz w:val="16"/>
                <w:szCs w:val="16"/>
                <w:b w:val="1"/>
                <w:bCs w:val="1"/>
                <w:color w:val="auto"/>
                <w:w w:val="90"/>
              </w:rPr>
              <w:t>Three months ended</w:t>
            </w:r>
          </w:p>
        </w:tc>
        <w:tc>
          <w:tcPr>
            <w:tcW w:w="94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w w:val="90"/>
              </w:rPr>
              <w:t>June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w:t>
            </w: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13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940" w:type="dxa"/>
            <w:vAlign w:val="bottom"/>
          </w:tcPr>
          <w:p>
            <w:pPr>
              <w:ind w:left="40"/>
              <w:spacing w:after="0"/>
              <w:rPr>
                <w:sz w:val="20"/>
                <w:szCs w:val="20"/>
                <w:color w:val="auto"/>
              </w:rPr>
            </w:pPr>
            <w:r>
              <w:rPr>
                <w:rFonts w:ascii="Arial" w:cs="Arial" w:eastAsia="Arial" w:hAnsi="Arial"/>
                <w:sz w:val="16"/>
                <w:szCs w:val="16"/>
                <w:b w:val="1"/>
                <w:bCs w:val="1"/>
                <w:color w:val="auto"/>
              </w:rPr>
              <w:t>March 31,</w:t>
            </w:r>
          </w:p>
        </w:tc>
      </w:tr>
      <w:tr>
        <w:trPr>
          <w:trHeight w:val="284"/>
        </w:trPr>
        <w:tc>
          <w:tcPr>
            <w:tcW w:w="342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40" w:type="dxa"/>
            <w:vAlign w:val="bottom"/>
          </w:tcPr>
          <w:p>
            <w:pPr>
              <w:spacing w:after="0"/>
              <w:rPr>
                <w:sz w:val="24"/>
                <w:szCs w:val="24"/>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1060" w:type="dxa"/>
            <w:vAlign w:val="bottom"/>
          </w:tcPr>
          <w:p>
            <w:pPr>
              <w:ind w:left="36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ind w:left="240"/>
              <w:spacing w:after="0"/>
              <w:rPr>
                <w:sz w:val="20"/>
                <w:szCs w:val="20"/>
                <w:color w:val="auto"/>
              </w:rPr>
            </w:pPr>
            <w:r>
              <w:rPr>
                <w:rFonts w:ascii="Arial" w:cs="Arial" w:eastAsia="Arial" w:hAnsi="Arial"/>
                <w:sz w:val="16"/>
                <w:szCs w:val="16"/>
                <w:b w:val="1"/>
                <w:bCs w:val="1"/>
                <w:color w:val="auto"/>
              </w:rPr>
              <w:t>2019</w:t>
            </w:r>
          </w:p>
        </w:tc>
      </w:tr>
      <w:tr>
        <w:trPr>
          <w:trHeight w:val="33"/>
        </w:trPr>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60" w:type="dxa"/>
            <w:vAlign w:val="bottom"/>
            <w:gridSpan w:val="8"/>
          </w:tcPr>
          <w:p>
            <w:pPr>
              <w:jc w:val="center"/>
              <w:ind w:right="900"/>
              <w:spacing w:after="0"/>
              <w:rPr>
                <w:sz w:val="20"/>
                <w:szCs w:val="20"/>
                <w:color w:val="auto"/>
              </w:rPr>
            </w:pPr>
            <w:r>
              <w:rPr>
                <w:rFonts w:ascii="Arial" w:cs="Arial" w:eastAsia="Arial" w:hAnsi="Arial"/>
                <w:sz w:val="16"/>
                <w:szCs w:val="16"/>
                <w:b w:val="1"/>
                <w:bCs w:val="1"/>
                <w:color w:val="auto"/>
                <w:w w:val="91"/>
              </w:rPr>
              <w:t>(dollars in millions)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32.4%</w:t>
            </w:r>
          </w:p>
        </w:tc>
      </w:tr>
      <w:tr>
        <w:trPr>
          <w:trHeight w:val="237"/>
        </w:trPr>
        <w:tc>
          <w:tcPr>
            <w:tcW w:w="342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ind w:left="460"/>
              <w:spacing w:after="0"/>
              <w:rPr>
                <w:sz w:val="20"/>
                <w:szCs w:val="20"/>
                <w:color w:val="auto"/>
              </w:rPr>
            </w:pPr>
            <w:r>
              <w:rPr>
                <w:rFonts w:ascii="Arial" w:cs="Arial" w:eastAsia="Arial" w:hAnsi="Arial"/>
                <w:sz w:val="16"/>
                <w:szCs w:val="16"/>
                <w:color w:val="auto"/>
              </w:rPr>
              <w:t>17.4%</w:t>
            </w: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Travel, Transportation &amp; Logistics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43.8%</w:t>
            </w:r>
          </w:p>
        </w:tc>
      </w:tr>
      <w:tr>
        <w:trPr>
          <w:trHeight w:val="237"/>
        </w:trPr>
        <w:tc>
          <w:tcPr>
            <w:tcW w:w="3420" w:type="dxa"/>
            <w:vAlign w:val="bottom"/>
            <w:gridSpan w:val="2"/>
          </w:tcPr>
          <w:p>
            <w:pPr>
              <w:ind w:left="20"/>
              <w:spacing w:after="0"/>
              <w:rPr>
                <w:sz w:val="20"/>
                <w:szCs w:val="20"/>
                <w:color w:val="auto"/>
              </w:rPr>
            </w:pPr>
            <w:r>
              <w:rPr>
                <w:rFonts w:ascii="Arial" w:cs="Arial" w:eastAsia="Arial" w:hAnsi="Arial"/>
                <w:sz w:val="16"/>
                <w:szCs w:val="16"/>
                <w:color w:val="auto"/>
              </w:rPr>
              <w:t>Finance &amp; Accounting</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ind w:left="460"/>
              <w:spacing w:after="0"/>
              <w:rPr>
                <w:sz w:val="20"/>
                <w:szCs w:val="20"/>
                <w:color w:val="auto"/>
              </w:rPr>
            </w:pPr>
            <w:r>
              <w:rPr>
                <w:rFonts w:ascii="Arial" w:cs="Arial" w:eastAsia="Arial" w:hAnsi="Arial"/>
                <w:sz w:val="16"/>
                <w:szCs w:val="16"/>
                <w:color w:val="auto"/>
              </w:rPr>
              <w:t>44.5%</w:t>
            </w: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36.7%</w:t>
            </w:r>
          </w:p>
        </w:tc>
      </w:tr>
      <w:tr>
        <w:trPr>
          <w:trHeight w:val="324"/>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34.6%</w:t>
            </w:r>
          </w:p>
        </w:tc>
      </w:tr>
      <w:tr>
        <w:trPr>
          <w:trHeight w:val="244"/>
        </w:trPr>
        <w:tc>
          <w:tcPr>
            <w:tcW w:w="34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243.5</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210.1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239.6</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b w:val="1"/>
                <w:bCs w:val="1"/>
                <w:color w:val="auto"/>
              </w:rPr>
              <w:t>33.3%</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b w:val="1"/>
                <w:bCs w:val="1"/>
                <w:color w:val="auto"/>
              </w:rPr>
              <w:t>33.5%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rPr>
              <w:t>34.4%</w:t>
            </w: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32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margin for the quarter ended June 30, 2019 was 5.7%, compared to an operating income margin of 8.1% for the second quarter of 2018 and operating margin of 7.0% for the first quarter of 2019. During the quarter ended June 30, 2019 and March 31, 2019 we recorded impairment and restructuring charges of $5.6 million and $1.2 million, respectively related to the wind down of the Health Integrated business, which reduced our operating income margin by 230bps and 50bps, respectively. Adjusted operating income margin for the quarter ended June 30, 2019 was 13.2% compared to 13.6% for the second quarter of 2018 and 12.8% for the first quarter of 2019.</w:t>
      </w:r>
    </w:p>
    <w:p>
      <w:pPr>
        <w:spacing w:after="0" w:line="216" w:lineRule="exact"/>
        <w:rPr>
          <w:rFonts w:ascii="Arial" w:cs="Arial" w:eastAsia="Arial" w:hAnsi="Arial"/>
          <w:sz w:val="17"/>
          <w:szCs w:val="17"/>
          <w:color w:val="auto"/>
        </w:rPr>
      </w:pPr>
    </w:p>
    <w:p>
      <w:pPr>
        <w:jc w:val="both"/>
        <w:ind w:left="660" w:hanging="328"/>
        <w:spacing w:after="0" w:line="30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for the quarter ended June 30, 2019 was $0.36 compared to $0.41 for the second quarter of 2018 and diluted earnings per share of $0.42 for the first quarter of 2019. During the quarter ended June 30, 2019 and March 31, 2019 we recorded impairment and restructuring charges of $5.6 million and $1.2 million, respectively related to the wind down of the Health Integrated business, which reduced our GAAP diluted EPS by $0.12 and $0.03, respectively. Adjusted diluted earnings per share for the quarter ended June 30, 2019 was $0.74 compared to $0.67 for the second quarter of 2018 and $0.71 for the first quarter of 2019.</w:t>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Second Quarter 2019</w:t>
      </w:r>
    </w:p>
    <w:p>
      <w:pPr>
        <w:spacing w:after="0" w:line="20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Won six new clients in Q2 including two in our operations management businesses and four in Analytics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Named among the fastest growing service providers by Everest Group in the 2019 Everest Group BPS Top 50</w:t>
      </w:r>
    </w:p>
    <w:p>
      <w:pPr>
        <w:spacing w:after="0" w:line="198" w:lineRule="exact"/>
        <w:rPr>
          <w:rFonts w:ascii="Arial" w:cs="Arial" w:eastAsia="Arial" w:hAnsi="Arial"/>
          <w:sz w:val="18"/>
          <w:szCs w:val="18"/>
          <w:color w:val="auto"/>
        </w:rPr>
      </w:pPr>
    </w:p>
    <w:p>
      <w:pPr>
        <w:ind w:left="260" w:hanging="252"/>
        <w:spacing w:after="0" w:line="469"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by the IAOP for being the “best of the best” for Customer References, Innovation and Corporate Social Responsibility in the IAOP Best of the Global Outsourcing 100</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leading service provider in the HFS Top 10 Finance &amp; Accounting Service Providers report</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Recognized as a Major Contender and Star Performer in the Everest Group Healthcare Payer Business Process Services PEAK Matrix™ Assessment 2019</w:t>
      </w:r>
    </w:p>
    <w:p>
      <w:pPr>
        <w:spacing w:after="0" w:line="221"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Appointed Samuel Meckey as Executive Vice President and Business Head, Healthcare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Guidance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69.0, British Pound to U.S. Dollar exchange rate of 1.22, U.S. Dollar to the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51.0 and all other currencies at current exchange rates, we are providing the following guidance:</w:t>
      </w:r>
    </w:p>
    <w:p>
      <w:pPr>
        <w:spacing w:after="0" w:line="104" w:lineRule="exact"/>
        <w:rPr>
          <w:sz w:val="20"/>
          <w:szCs w:val="20"/>
          <w:color w:val="auto"/>
        </w:rPr>
      </w:pPr>
    </w:p>
    <w:p>
      <w:pPr>
        <w:ind w:left="500" w:hanging="249"/>
        <w:spacing w:after="0" w:line="36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of $976 million to $996 million, representing an annual revenue growth rate of 11% to 13% on a constant currency basis and which includes $10 million to $14 million of revenues from the Health Integrated business for 2019.</w:t>
      </w:r>
    </w:p>
    <w:p>
      <w:pPr>
        <w:ind w:left="500" w:hanging="249"/>
        <w:spacing w:after="0" w:line="38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diluted earnings per share of $2.86 to $2.98, which includes adjusted EPS losses of $0.23 to $0.27 from the Health Integrated business and excludes one-time wind down costs of $8.5 million to $10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Tuesday, July 30, 2019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9"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381" w:lineRule="auto"/>
        <w:rPr>
          <w:sz w:val="20"/>
          <w:szCs w:val="20"/>
          <w:color w:val="auto"/>
        </w:rPr>
      </w:pPr>
      <w:r>
        <w:rPr>
          <w:rFonts w:ascii="Arial" w:cs="Arial" w:eastAsia="Arial" w:hAnsi="Arial"/>
          <w:sz w:val="16"/>
          <w:szCs w:val="16"/>
          <w:color w:val="auto"/>
        </w:rPr>
        <w:t>EXL (NASDAQ: EXLS) is a leading operations management and analytics company that designs and enables agile, customer-centric operating models to help businesses enhance revenue growth and profitability. Our delivery model provides market-leading business outcomes using EXL’s proprietary Digital EXLerator Framework</w:t>
      </w:r>
      <w:r>
        <w:rPr>
          <w:rFonts w:ascii="Arial" w:cs="Arial" w:eastAsia="Arial" w:hAnsi="Arial"/>
          <w:sz w:val="22"/>
          <w:szCs w:val="22"/>
          <w:color w:val="auto"/>
          <w:vertAlign w:val="superscript"/>
        </w:rPr>
        <w:t>TM</w:t>
      </w:r>
      <w:r>
        <w:rPr>
          <w:rFonts w:ascii="Arial" w:cs="Arial" w:eastAsia="Arial" w:hAnsi="Arial"/>
          <w:sz w:val="16"/>
          <w:szCs w:val="16"/>
          <w:color w:val="auto"/>
        </w:rPr>
        <w:t>,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30,000 professionals in locations throughout the United States, Europe, Asia (primarily India and Philippines), Latin America, Australia and South Africa. For more information, visit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www.exlservice.com.</w:t>
      </w:r>
    </w:p>
    <w:p>
      <w:pPr>
        <w:spacing w:after="0" w:line="397"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607" w:right="239" w:bottom="1440" w:gutter="0" w:footer="0" w:header="0"/>
        </w:sectPr>
      </w:pPr>
    </w:p>
    <w:bookmarkStart w:id="7" w:name="page8"/>
    <w:bookmarkEnd w:id="7"/>
    <w:p>
      <w:pPr>
        <w:ind w:left="4392"/>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172"/>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27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292"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30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243,509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417,085</w:t>
            </w:r>
          </w:p>
        </w:tc>
      </w:tr>
      <w:tr>
        <w:trPr>
          <w:trHeight w:val="270"/>
        </w:trPr>
        <w:tc>
          <w:tcPr>
            <w:tcW w:w="56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162,446</w:t>
            </w:r>
          </w:p>
        </w:tc>
        <w:tc>
          <w:tcPr>
            <w:tcW w:w="1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139,649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319,686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277,750</w:t>
            </w:r>
          </w:p>
        </w:tc>
      </w:tr>
      <w:tr>
        <w:trPr>
          <w:trHeight w:val="264"/>
        </w:trPr>
        <w:tc>
          <w:tcPr>
            <w:tcW w:w="56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81,063</w:t>
            </w:r>
          </w:p>
        </w:tc>
        <w:tc>
          <w:tcPr>
            <w:tcW w:w="1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70,463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163,396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139,335</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
        </w:trPr>
        <w:tc>
          <w:tcPr>
            <w:tcW w:w="5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5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31,228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56,906</w:t>
            </w:r>
          </w:p>
        </w:tc>
      </w:tr>
      <w:tr>
        <w:trPr>
          <w:trHeight w:val="243"/>
        </w:trPr>
        <w:tc>
          <w:tcPr>
            <w:tcW w:w="5640" w:type="dxa"/>
            <w:vAlign w:val="bottom"/>
          </w:tcPr>
          <w:p>
            <w:pPr>
              <w:ind w:left="460"/>
              <w:spacing w:after="0"/>
              <w:rPr>
                <w:sz w:val="20"/>
                <w:szCs w:val="20"/>
                <w:color w:val="auto"/>
              </w:rPr>
            </w:pPr>
            <w:r>
              <w:rPr>
                <w:rFonts w:ascii="Arial" w:cs="Arial" w:eastAsia="Arial" w:hAnsi="Arial"/>
                <w:sz w:val="18"/>
                <w:szCs w:val="18"/>
                <w:color w:val="auto"/>
              </w:rPr>
              <w:t>Selling and marketing expenses</w:t>
            </w:r>
          </w:p>
        </w:tc>
        <w:tc>
          <w:tcPr>
            <w:tcW w:w="2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17,647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29,103</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21,086</w:t>
            </w:r>
          </w:p>
        </w:tc>
      </w:tr>
      <w:tr>
        <w:trPr>
          <w:trHeight w:val="243"/>
        </w:trPr>
        <w:tc>
          <w:tcPr>
            <w:tcW w:w="5640" w:type="dxa"/>
            <w:vAlign w:val="bottom"/>
          </w:tcPr>
          <w:p>
            <w:pPr>
              <w:ind w:left="480"/>
              <w:spacing w:after="0"/>
              <w:rPr>
                <w:sz w:val="20"/>
                <w:szCs w:val="20"/>
                <w:color w:val="auto"/>
              </w:rPr>
            </w:pPr>
            <w:r>
              <w:rPr>
                <w:rFonts w:ascii="Arial" w:cs="Arial" w:eastAsia="Arial" w:hAnsi="Arial"/>
                <w:sz w:val="18"/>
                <w:szCs w:val="18"/>
                <w:color w:val="auto"/>
              </w:rPr>
              <w:t>Impairment and restructuring charges</w:t>
            </w:r>
          </w:p>
        </w:tc>
        <w:tc>
          <w:tcPr>
            <w:tcW w:w="2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5,580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67,207</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132,679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107,095</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13,856</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17,090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30,717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32,240</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4,102</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5,766</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w w:val="93"/>
              </w:rPr>
              <w:t>Income before income tax expense and earnings from equity affiliates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15,296</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20,030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34,258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38,791</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2,670</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12,626</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14,520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27,388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37,734</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12,564</w:t>
            </w:r>
          </w:p>
        </w:tc>
        <w:tc>
          <w:tcPr>
            <w:tcW w:w="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14,462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27,259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37,620</w:t>
            </w:r>
          </w:p>
        </w:tc>
      </w:tr>
      <w:tr>
        <w:trPr>
          <w:trHeight w:val="67"/>
        </w:trPr>
        <w:tc>
          <w:tcPr>
            <w:tcW w:w="56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56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Earnings per share attributable to ExlService Holdings, Inc. stockholders:</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0.36</w:t>
            </w: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w w:val="93"/>
              </w:rPr>
              <w:t>Weighted-average number of shares used in computing earnings per share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attributable to ExlService Holdings, Inc. stockholders: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34,451,671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34,511,777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34,413,455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34,479,202</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95"/>
              </w:rPr>
              <w:t>34,702,547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35,142,388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95"/>
              </w:rPr>
              <w:t>34,768,203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35,222,838</w:t>
            </w:r>
          </w:p>
        </w:tc>
      </w:tr>
    </w:tbl>
    <w:p>
      <w:pPr>
        <w:spacing w:after="0" w:line="206" w:lineRule="exact"/>
        <w:rPr>
          <w:sz w:val="20"/>
          <w:szCs w:val="20"/>
          <w:color w:val="auto"/>
        </w:rPr>
      </w:pPr>
    </w:p>
    <w:p>
      <w:pPr>
        <w:ind w:left="152" w:hanging="152"/>
        <w:spacing w:after="0"/>
        <w:tabs>
          <w:tab w:leader="none" w:pos="15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Exclusive of depreciation and amortization.</w:t>
      </w:r>
    </w:p>
    <w:p>
      <w:pPr>
        <w:sectPr>
          <w:pgSz w:w="11900" w:h="16838" w:orient="portrait"/>
          <w:cols w:equalWidth="0" w:num="1">
            <w:col w:w="11132"/>
          </w:cols>
          <w:pgMar w:left="248" w:top="796" w:right="5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5"/>
                <w:szCs w:val="15"/>
                <w:b w:val="1"/>
                <w:bCs w:val="1"/>
                <w:color w:val="auto"/>
              </w:rPr>
              <w:t>As of</w:t>
            </w: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26"/>
              <w:spacing w:after="0"/>
              <w:rPr>
                <w:sz w:val="20"/>
                <w:szCs w:val="20"/>
                <w:color w:val="auto"/>
              </w:rPr>
            </w:pPr>
            <w:r>
              <w:rPr>
                <w:rFonts w:ascii="Arial" w:cs="Arial" w:eastAsia="Arial" w:hAnsi="Arial"/>
                <w:sz w:val="15"/>
                <w:szCs w:val="15"/>
                <w:b w:val="1"/>
                <w:bCs w:val="1"/>
                <w:color w:val="auto"/>
                <w:w w:val="86"/>
              </w:rPr>
              <w:t>June 30, 2019</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91"/>
              </w:rPr>
              <w:t>December 31, 2018</w:t>
            </w:r>
          </w:p>
        </w:tc>
        <w:tc>
          <w:tcPr>
            <w:tcW w:w="0" w:type="dxa"/>
            <w:vAlign w:val="bottom"/>
          </w:tcPr>
          <w:p>
            <w:pPr>
              <w:spacing w:after="0"/>
              <w:rPr>
                <w:sz w:val="1"/>
                <w:szCs w:val="1"/>
                <w:color w:val="auto"/>
              </w:rPr>
            </w:pPr>
          </w:p>
        </w:tc>
      </w:tr>
      <w:tr>
        <w:trPr>
          <w:trHeight w:val="264"/>
        </w:trPr>
        <w:tc>
          <w:tcPr>
            <w:tcW w:w="7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1"/>
              </w:rPr>
              <w:t>(Unaudited)</w:t>
            </w: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30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84,842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95,881</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168,204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184,489</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4,098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5,608</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180,680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164,752</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11,616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11,326</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Advance income tax, net</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7,906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9,639</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current assets</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31,729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28,240</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300" w:type="dxa"/>
            <w:vAlign w:val="bottom"/>
          </w:tcPr>
          <w:p>
            <w:pPr>
              <w:spacing w:after="0"/>
              <w:rPr>
                <w:sz w:val="16"/>
                <w:szCs w:val="16"/>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489,075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499,935</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30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78,083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73,510</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93,162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2,507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2,642</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Deferred tax assets, net</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4,200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6,602</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84,402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95,495</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350,220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349,984</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33,194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31,015</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Investment in equity affiliate</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2,624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2,753</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1,137,467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1,061,936</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Accounts payable</w:t>
            </w:r>
          </w:p>
        </w:tc>
        <w:tc>
          <w:tcPr>
            <w:tcW w:w="300" w:type="dxa"/>
            <w:vAlign w:val="bottom"/>
            <w:vMerge w:val="restart"/>
          </w:tcPr>
          <w:p>
            <w:pPr>
              <w:jc w:val="right"/>
              <w:ind w:right="126"/>
              <w:spacing w:after="0"/>
              <w:rPr>
                <w:sz w:val="20"/>
                <w:szCs w:val="20"/>
                <w:color w:val="auto"/>
              </w:rPr>
            </w:pPr>
            <w:r>
              <w:rPr>
                <w:rFonts w:ascii="Arial" w:cs="Arial" w:eastAsia="Arial" w:hAnsi="Arial"/>
                <w:sz w:val="15"/>
                <w:szCs w:val="15"/>
                <w:color w:val="auto"/>
                <w:w w:val="95"/>
              </w:rPr>
              <w:t>$</w:t>
            </w: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3,269</w:t>
            </w:r>
          </w:p>
        </w:tc>
        <w:tc>
          <w:tcPr>
            <w:tcW w:w="120" w:type="dxa"/>
            <w:vAlign w:val="bottom"/>
          </w:tcPr>
          <w:p>
            <w:pPr>
              <w:spacing w:after="0"/>
              <w:rPr>
                <w:sz w:val="17"/>
                <w:szCs w:val="17"/>
                <w:color w:val="auto"/>
              </w:rPr>
            </w:pP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5,653</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portion of long-term borrowings</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20,885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21,423</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Deferred revenue</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11,790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7,722</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employee costs</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42,967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54,893</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Accrued expenses and other current liabilities</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65,007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64,169</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portion of operating lease liabilities</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23,439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Income taxes payable</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604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1,012</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portion of finance lease obligations</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300" w:type="dxa"/>
            <w:vAlign w:val="bottom"/>
          </w:tcPr>
          <w:p>
            <w:pPr>
              <w:spacing w:after="0"/>
              <w:rPr>
                <w:sz w:val="16"/>
                <w:szCs w:val="16"/>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168,240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155,095</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 term borrowings</w:t>
            </w:r>
          </w:p>
        </w:tc>
        <w:tc>
          <w:tcPr>
            <w:tcW w:w="30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231,409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263,241</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Finance lease obligations, less current portion</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474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 net</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6,366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8,445</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Operating lease liabilities, less current portion</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80,531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9,094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16,521</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300" w:type="dxa"/>
            <w:vAlign w:val="bottom"/>
          </w:tcPr>
          <w:p>
            <w:pPr>
              <w:spacing w:after="0"/>
              <w:rPr>
                <w:sz w:val="16"/>
                <w:szCs w:val="16"/>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496,114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443,617</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300" w:type="dxa"/>
            <w:vAlign w:val="bottom"/>
          </w:tcPr>
          <w:p>
            <w:pPr>
              <w:spacing w:after="0"/>
              <w:rPr>
                <w:sz w:val="17"/>
                <w:szCs w:val="17"/>
                <w:color w:val="auto"/>
              </w:rPr>
            </w:pPr>
          </w:p>
        </w:tc>
        <w:tc>
          <w:tcPr>
            <w:tcW w:w="16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ExlService Holdings, Inc. Stockholders’ equity:</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760" w:type="dxa"/>
            <w:vAlign w:val="bottom"/>
          </w:tcPr>
          <w:p>
            <w:pPr>
              <w:ind w:left="380"/>
              <w:spacing w:after="0"/>
              <w:rPr>
                <w:sz w:val="20"/>
                <w:szCs w:val="20"/>
                <w:color w:val="auto"/>
              </w:rPr>
            </w:pPr>
            <w:r>
              <w:rPr>
                <w:rFonts w:ascii="Arial" w:cs="Arial" w:eastAsia="Arial" w:hAnsi="Arial"/>
                <w:sz w:val="15"/>
                <w:szCs w:val="15"/>
                <w:color w:val="auto"/>
                <w:w w:val="95"/>
              </w:rPr>
              <w:t>Common stock, $0.001 par value; 100,000,000 shares authorized, 38,295,083 shares issued and 34,206,324 shares</w:t>
            </w: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760" w:type="dxa"/>
            <w:vAlign w:val="bottom"/>
          </w:tcPr>
          <w:p>
            <w:pPr>
              <w:ind w:left="380"/>
              <w:spacing w:after="0"/>
              <w:rPr>
                <w:sz w:val="20"/>
                <w:szCs w:val="20"/>
                <w:color w:val="auto"/>
              </w:rPr>
            </w:pPr>
            <w:r>
              <w:rPr>
                <w:rFonts w:ascii="Arial" w:cs="Arial" w:eastAsia="Arial" w:hAnsi="Arial"/>
                <w:sz w:val="15"/>
                <w:szCs w:val="15"/>
                <w:color w:val="auto"/>
                <w:w w:val="88"/>
              </w:rPr>
              <w:t>outstanding as of June 30, 2019 and 37,850,544 shares issued and 34,222,476 shares outstanding as of December 31, 2018</w:t>
            </w:r>
          </w:p>
        </w:tc>
        <w:tc>
          <w:tcPr>
            <w:tcW w:w="300" w:type="dxa"/>
            <w:vAlign w:val="bottom"/>
          </w:tcPr>
          <w:p>
            <w:pPr>
              <w:spacing w:after="0"/>
              <w:rPr>
                <w:sz w:val="16"/>
                <w:szCs w:val="16"/>
                <w:color w:val="auto"/>
              </w:rPr>
            </w:pPr>
          </w:p>
        </w:tc>
        <w:tc>
          <w:tcPr>
            <w:tcW w:w="1540" w:type="dxa"/>
            <w:vAlign w:val="bottom"/>
          </w:tcPr>
          <w:p>
            <w:pPr>
              <w:jc w:val="right"/>
              <w:ind w:right="46"/>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46"/>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Additional paid-in capital</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378,633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364,179</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Retained earnings</w:t>
            </w:r>
          </w:p>
        </w:tc>
        <w:tc>
          <w:tcPr>
            <w:tcW w:w="300" w:type="dxa"/>
            <w:vAlign w:val="bottom"/>
          </w:tcPr>
          <w:p>
            <w:pPr>
              <w:spacing w:after="0"/>
              <w:rPr>
                <w:sz w:val="17"/>
                <w:szCs w:val="17"/>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color w:val="auto"/>
              </w:rPr>
              <w:t>511,503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484,244</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(74,358)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(83,467)</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Total including shares held in treasury</w:t>
            </w:r>
          </w:p>
        </w:tc>
        <w:tc>
          <w:tcPr>
            <w:tcW w:w="300" w:type="dxa"/>
            <w:vAlign w:val="bottom"/>
          </w:tcPr>
          <w:p>
            <w:pPr>
              <w:spacing w:after="0"/>
              <w:rPr>
                <w:sz w:val="16"/>
                <w:szCs w:val="16"/>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815,816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764,994</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Less: 4,088,759 shares as of June 30, 2019 and 3,628,068 shares as of December 31, 2018, held in treasury, at cost</w:t>
            </w:r>
          </w:p>
        </w:tc>
        <w:tc>
          <w:tcPr>
            <w:tcW w:w="30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(174,463)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(146,925)</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300" w:type="dxa"/>
            <w:vAlign w:val="bottom"/>
          </w:tcPr>
          <w:p>
            <w:pPr>
              <w:spacing w:after="0"/>
              <w:rPr>
                <w:sz w:val="16"/>
                <w:szCs w:val="16"/>
                <w:color w:val="auto"/>
              </w:rPr>
            </w:pPr>
          </w:p>
        </w:tc>
        <w:tc>
          <w:tcPr>
            <w:tcW w:w="15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641,353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618,069</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30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equity</w:t>
            </w:r>
          </w:p>
        </w:tc>
        <w:tc>
          <w:tcPr>
            <w:tcW w:w="30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641,353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618,319</w:t>
            </w:r>
          </w:p>
        </w:tc>
        <w:tc>
          <w:tcPr>
            <w:tcW w:w="0" w:type="dxa"/>
            <w:vAlign w:val="bottom"/>
          </w:tcPr>
          <w:p>
            <w:pPr>
              <w:spacing w:after="0"/>
              <w:rPr>
                <w:sz w:val="1"/>
                <w:szCs w:val="1"/>
                <w:color w:val="auto"/>
              </w:rPr>
            </w:pPr>
          </w:p>
        </w:tc>
      </w:tr>
      <w:tr>
        <w:trPr>
          <w:trHeight w:val="242"/>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equity</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1,137,467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1,061,936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60" w:top="580" w:right="239" w:bottom="657"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56"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116" w:lineRule="exact"/>
        <w:rPr>
          <w:sz w:val="20"/>
          <w:szCs w:val="20"/>
          <w:color w:val="auto"/>
        </w:rPr>
      </w:pPr>
    </w:p>
    <w:p>
      <w:pPr>
        <w:ind w:left="1480" w:hanging="500"/>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130" w:lineRule="exact"/>
        <w:rPr>
          <w:rFonts w:ascii="Arial" w:cs="Arial" w:eastAsia="Arial" w:hAnsi="Arial"/>
          <w:sz w:val="18"/>
          <w:szCs w:val="18"/>
          <w:color w:val="auto"/>
        </w:rPr>
      </w:pPr>
    </w:p>
    <w:p>
      <w:pPr>
        <w:ind w:left="1520" w:hanging="540"/>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103" w:lineRule="exact"/>
        <w:rPr>
          <w:rFonts w:ascii="Arial" w:cs="Arial" w:eastAsia="Arial" w:hAnsi="Arial"/>
          <w:sz w:val="18"/>
          <w:szCs w:val="18"/>
          <w:color w:val="auto"/>
        </w:rPr>
      </w:pPr>
    </w:p>
    <w:p>
      <w:pPr>
        <w:ind w:left="1580" w:hanging="60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103" w:lineRule="exact"/>
        <w:rPr>
          <w:rFonts w:ascii="Arial" w:cs="Arial" w:eastAsia="Arial" w:hAnsi="Arial"/>
          <w:sz w:val="18"/>
          <w:szCs w:val="18"/>
          <w:color w:val="auto"/>
        </w:rPr>
      </w:pPr>
    </w:p>
    <w:p>
      <w:pPr>
        <w:ind w:left="1560" w:hanging="580"/>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333" w:lineRule="exact"/>
        <w:rPr>
          <w:sz w:val="20"/>
          <w:szCs w:val="20"/>
          <w:color w:val="auto"/>
        </w:rPr>
      </w:pPr>
    </w:p>
    <w:p>
      <w:pPr>
        <w:jc w:val="both"/>
        <w:ind w:firstLine="405"/>
        <w:spacing w:after="0" w:line="318" w:lineRule="auto"/>
        <w:rPr>
          <w:sz w:val="20"/>
          <w:szCs w:val="20"/>
          <w:color w:val="auto"/>
        </w:rPr>
      </w:pPr>
      <w:r>
        <w:rPr>
          <w:rFonts w:ascii="Arial" w:cs="Arial" w:eastAsia="Arial" w:hAnsi="Arial"/>
          <w:sz w:val="17"/>
          <w:szCs w:val="17"/>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22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8"/>
          <w:szCs w:val="18"/>
          <w:color w:val="auto"/>
        </w:rPr>
        <w:t>EXL non-GAAP financial measures exclude, where applicable, stock-based compensation expense, provision for litigation settlement, non-cash interest expense on convertible senior notes, restructuring charges and acquisition-related expenses. Acquisition-related expenses include, amortization of acquisition-related intangible assets, changes in the fair value of earn-out consideration liabilities, impairment charges of acquired long-lived and intangible assets including goodwill and other acquisition-related costs and benefits such as external deal costs, integration expenses, direct and incremental travel costs and non-recurring benefits. In addition to excluding the above items, our adjusted net income and adjusted diluted EPS also excludes the effect of incremental income tax expense related to the U.S. Tax Cuts and Jobs Act of 2017 (the “Tax Reform Act”),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233" w:lineRule="exact"/>
        <w:rPr>
          <w:sz w:val="20"/>
          <w:szCs w:val="20"/>
          <w:color w:val="auto"/>
        </w:rPr>
      </w:pPr>
    </w:p>
    <w:p>
      <w:pPr>
        <w:jc w:val="both"/>
        <w:ind w:firstLine="405"/>
        <w:spacing w:after="0" w:line="354" w:lineRule="auto"/>
        <w:rPr>
          <w:sz w:val="20"/>
          <w:szCs w:val="20"/>
          <w:color w:val="auto"/>
        </w:rPr>
      </w:pPr>
      <w:r>
        <w:rPr>
          <w:rFonts w:ascii="Arial" w:cs="Arial" w:eastAsia="Arial" w:hAnsi="Arial"/>
          <w:sz w:val="16"/>
          <w:szCs w:val="16"/>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197" w:lineRule="exact"/>
        <w:rPr>
          <w:sz w:val="20"/>
          <w:szCs w:val="20"/>
          <w:color w:val="auto"/>
        </w:rPr>
      </w:pPr>
    </w:p>
    <w:p>
      <w:pPr>
        <w:jc w:val="both"/>
        <w:ind w:firstLine="405"/>
        <w:spacing w:after="0" w:line="325" w:lineRule="auto"/>
        <w:rPr>
          <w:sz w:val="20"/>
          <w:szCs w:val="20"/>
          <w:color w:val="auto"/>
        </w:rPr>
      </w:pPr>
      <w:r>
        <w:rPr>
          <w:rFonts w:ascii="Arial" w:cs="Arial" w:eastAsia="Arial" w:hAnsi="Arial"/>
          <w:sz w:val="17"/>
          <w:szCs w:val="17"/>
          <w:color w:val="auto"/>
        </w:rPr>
        <w:t>Effective second quarter of 2018, EXL excludes other acquisition-related costs such as external deal costs, integration expenses and direct and incremental travel costs pertaining to successful acquisitions from its non-GAAP financial measures, wherever applicable. Considering EXL’s frequent acquisitions of varying scale and size, and the difficulty in predicting expenses relating to acquisitions, EXL’s management believes that providing non-GAAP financial measures that exclude such expenses allows investors to make additional comparisons from period-to-period and between EXL’s operating results and those of other companies. Other acquisition-related costs are excluded in the period in which an acquisition is consummated.</w:t>
      </w:r>
    </w:p>
    <w:p>
      <w:pPr>
        <w:sectPr>
          <w:pgSz w:w="11900" w:h="16838" w:orient="portrait"/>
          <w:cols w:equalWidth="0" w:num="1">
            <w:col w:w="11420"/>
          </w:cols>
          <w:pgMar w:left="240" w:top="702" w:right="239" w:bottom="1440" w:gutter="0" w:footer="0" w:header="0"/>
        </w:sectPr>
      </w:pPr>
    </w:p>
    <w:bookmarkStart w:id="10" w:name="page11"/>
    <w:bookmarkEnd w:id="10"/>
    <w:p>
      <w:pPr>
        <w:jc w:val="both"/>
        <w:ind w:firstLine="405"/>
        <w:spacing w:after="0" w:line="301" w:lineRule="auto"/>
        <w:rPr>
          <w:sz w:val="20"/>
          <w:szCs w:val="20"/>
          <w:color w:val="auto"/>
        </w:rPr>
      </w:pPr>
      <w:r>
        <w:rPr>
          <w:rFonts w:ascii="Arial" w:cs="Arial" w:eastAsia="Arial" w:hAnsi="Arial"/>
          <w:sz w:val="18"/>
          <w:szCs w:val="18"/>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67.51 during the quarter ended June 30, 2018 to 69.42 during the quarter ended June 30, 2019, representing a depreciation of 2.8%. The average exchange rate of the U.S. Dollar against the Philippine Peso decreased from 52.53 during the quarter ended June 30, 2018 to 51.84 during the quarter ended June 30, 2019, representing an appreciation of 1.3%. The average exchange rate of the British Pound against the U.S. Dollar decreased from 1.34 during the quarter ended June 30, 2018 to 1.28 during the quarter ended June 30, 2019, representing a depreciation of 4.8%.</w:t>
      </w:r>
    </w:p>
    <w:p>
      <w:pPr>
        <w:spacing w:after="0" w:line="233" w:lineRule="exact"/>
        <w:rPr>
          <w:sz w:val="20"/>
          <w:szCs w:val="20"/>
          <w:color w:val="auto"/>
        </w:rPr>
      </w:pPr>
    </w:p>
    <w:p>
      <w:pPr>
        <w:ind w:right="200"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June 30, 2019 and June 30, 2018, and the three months ended March 31, 2019: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Three months ended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84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47"/>
        </w:trPr>
        <w:tc>
          <w:tcPr>
            <w:tcW w:w="6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7"/>
        </w:trPr>
        <w:tc>
          <w:tcPr>
            <w:tcW w:w="65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12,564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14,462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14,695</w:t>
            </w:r>
          </w:p>
        </w:tc>
        <w:tc>
          <w:tcPr>
            <w:tcW w:w="0" w:type="dxa"/>
            <w:vAlign w:val="bottom"/>
          </w:tcPr>
          <w:p>
            <w:pPr>
              <w:spacing w:after="0"/>
              <w:rPr>
                <w:sz w:val="1"/>
                <w:szCs w:val="1"/>
                <w:color w:val="auto"/>
              </w:rPr>
            </w:pPr>
          </w:p>
        </w:tc>
      </w:tr>
      <w:tr>
        <w:trPr>
          <w:trHeight w:val="224"/>
        </w:trPr>
        <w:tc>
          <w:tcPr>
            <w:tcW w:w="6560" w:type="dxa"/>
            <w:vAlign w:val="bottom"/>
          </w:tcPr>
          <w:p>
            <w:pPr>
              <w:ind w:left="360"/>
              <w:spacing w:after="0"/>
              <w:rPr>
                <w:sz w:val="20"/>
                <w:szCs w:val="20"/>
                <w:color w:val="auto"/>
              </w:rPr>
            </w:pPr>
            <w:r>
              <w:rPr>
                <w:rFonts w:ascii="Arial" w:cs="Arial" w:eastAsia="Arial" w:hAnsi="Arial"/>
                <w:sz w:val="16"/>
                <w:szCs w:val="16"/>
                <w:color w:val="auto"/>
              </w:rPr>
              <w:t>add: Income tax expense</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2,670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5,510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r>
        <w:trPr>
          <w:trHeight w:val="47"/>
        </w:trPr>
        <w:tc>
          <w:tcPr>
            <w:tcW w:w="6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subtract: Interest expense, foreign exchange gain, net, loss from equity-method investment</w:t>
            </w: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98"/>
        </w:trPr>
        <w:tc>
          <w:tcPr>
            <w:tcW w:w="656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and other income, net</w:t>
            </w:r>
          </w:p>
        </w:tc>
        <w:tc>
          <w:tcPr>
            <w:tcW w:w="30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656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13,856</w:t>
            </w:r>
          </w:p>
        </w:tc>
        <w:tc>
          <w:tcPr>
            <w:tcW w:w="120" w:type="dxa"/>
            <w:vAlign w:val="bottom"/>
          </w:tcPr>
          <w:p>
            <w:pPr>
              <w:spacing w:after="0"/>
              <w:rPr>
                <w:sz w:val="18"/>
                <w:szCs w:val="18"/>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17,090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16,861</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6,956</w:t>
            </w:r>
          </w:p>
        </w:tc>
        <w:tc>
          <w:tcPr>
            <w:tcW w:w="0" w:type="dxa"/>
            <w:vAlign w:val="bottom"/>
          </w:tcPr>
          <w:p>
            <w:pPr>
              <w:spacing w:after="0"/>
              <w:rPr>
                <w:sz w:val="1"/>
                <w:szCs w:val="1"/>
                <w:color w:val="auto"/>
              </w:rPr>
            </w:pPr>
          </w:p>
        </w:tc>
      </w:tr>
      <w:tr>
        <w:trPr>
          <w:trHeight w:val="224"/>
        </w:trPr>
        <w:tc>
          <w:tcPr>
            <w:tcW w:w="6560" w:type="dxa"/>
            <w:vAlign w:val="bottom"/>
          </w:tcPr>
          <w:p>
            <w:pPr>
              <w:ind w:left="36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5,554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3,761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47"/>
        </w:trPr>
        <w:tc>
          <w:tcPr>
            <w:tcW w:w="6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Impairment and restructuring charges (a)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24"/>
        </w:trPr>
        <w:tc>
          <w:tcPr>
            <w:tcW w:w="6560" w:type="dxa"/>
            <w:vAlign w:val="bottom"/>
          </w:tcPr>
          <w:p>
            <w:pPr>
              <w:ind w:left="360"/>
              <w:spacing w:after="0"/>
              <w:rPr>
                <w:sz w:val="20"/>
                <w:szCs w:val="20"/>
                <w:color w:val="auto"/>
              </w:rPr>
            </w:pPr>
            <w:r>
              <w:rPr>
                <w:rFonts w:ascii="Arial" w:cs="Arial" w:eastAsia="Arial" w:hAnsi="Arial"/>
                <w:sz w:val="16"/>
                <w:szCs w:val="16"/>
                <w:color w:val="auto"/>
              </w:rPr>
              <w:t>add: Acquisition-related expenses (b)</w:t>
            </w:r>
          </w:p>
        </w:tc>
        <w:tc>
          <w:tcPr>
            <w:tcW w:w="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5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32,145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28,585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30,572</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13.2%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i w:val="1"/>
                <w:iCs w:val="1"/>
                <w:color w:val="auto"/>
              </w:rPr>
              <w:t>13.6%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12.8%</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7,198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6,821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8,139</w:t>
            </w:r>
          </w:p>
        </w:tc>
        <w:tc>
          <w:tcPr>
            <w:tcW w:w="0" w:type="dxa"/>
            <w:vAlign w:val="bottom"/>
          </w:tcPr>
          <w:p>
            <w:pPr>
              <w:spacing w:after="0"/>
              <w:rPr>
                <w:sz w:val="1"/>
                <w:szCs w:val="1"/>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39,343</w:t>
            </w:r>
          </w:p>
        </w:tc>
        <w:tc>
          <w:tcPr>
            <w:tcW w:w="120" w:type="dxa"/>
            <w:vAlign w:val="bottom"/>
          </w:tcPr>
          <w:p>
            <w:pPr>
              <w:spacing w:after="0"/>
              <w:rPr>
                <w:sz w:val="18"/>
                <w:szCs w:val="18"/>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35,406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38,711</w:t>
            </w:r>
          </w:p>
        </w:tc>
        <w:tc>
          <w:tcPr>
            <w:tcW w:w="0" w:type="dxa"/>
            <w:vAlign w:val="bottom"/>
          </w:tcPr>
          <w:p>
            <w:pPr>
              <w:spacing w:after="0"/>
              <w:rPr>
                <w:sz w:val="1"/>
                <w:szCs w:val="1"/>
                <w:color w:val="auto"/>
              </w:rPr>
            </w:pPr>
          </w:p>
        </w:tc>
      </w:tr>
      <w:tr>
        <w:trPr>
          <w:trHeight w:val="73"/>
        </w:trPr>
        <w:tc>
          <w:tcPr>
            <w:tcW w:w="65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16.2%</w:t>
            </w:r>
          </w:p>
        </w:tc>
        <w:tc>
          <w:tcPr>
            <w:tcW w:w="0" w:type="dxa"/>
            <w:vAlign w:val="bottom"/>
          </w:tcPr>
          <w:p>
            <w:pPr>
              <w:spacing w:after="0"/>
              <w:rPr>
                <w:sz w:val="1"/>
                <w:szCs w:val="1"/>
                <w:color w:val="auto"/>
              </w:rPr>
            </w:pPr>
          </w:p>
        </w:tc>
      </w:tr>
      <w:tr>
        <w:trPr>
          <w:trHeight w:val="33"/>
        </w:trPr>
        <w:tc>
          <w:tcPr>
            <w:tcW w:w="6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and restructuring charges related to wind down of the Health Integrated business.</w:t>
      </w:r>
    </w:p>
    <w:p>
      <w:pPr>
        <w:spacing w:after="0" w:line="234" w:lineRule="exact"/>
        <w:rPr>
          <w:rFonts w:ascii="Arial" w:cs="Arial" w:eastAsia="Arial" w:hAnsi="Arial"/>
          <w:sz w:val="16"/>
          <w:szCs w:val="16"/>
          <w:i w:val="1"/>
          <w:iCs w:val="1"/>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 See descriptions above for more information.</w:t>
      </w:r>
    </w:p>
    <w:p>
      <w:pPr>
        <w:sectPr>
          <w:pgSz w:w="11900" w:h="16838" w:orient="portrait"/>
          <w:cols w:equalWidth="0" w:num="1">
            <w:col w:w="11420"/>
          </w:cols>
          <w:pgMar w:left="240" w:top="61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Arial" w:cs="Arial" w:eastAsia="Arial" w:hAnsi="Arial"/>
                <w:sz w:val="16"/>
                <w:szCs w:val="16"/>
                <w:b w:val="1"/>
                <w:bCs w:val="1"/>
                <w:color w:val="auto"/>
                <w:w w:val="94"/>
              </w:rPr>
              <w:t>Three months ended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3"/>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7"/>
        </w:trPr>
        <w:tc>
          <w:tcPr>
            <w:tcW w:w="63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5"/>
              </w:rPr>
              <w:t>12,564</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14,462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14,695</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add: Stock-based compensation expense</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6,893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6,956</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 Amortization of acquisition-related intangibles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add: Impairment and restructuring charges (a)</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 Acquisition-related expenses (b)</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add: Non-cash interest expense related to convertible senior notes (c)</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subtract: Tax impact on stock-based compensation expense (d)</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subtract: Tax impact on impairment and restructuring charges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subtract: Tax impact on acquisition-related expenses</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subtract: Tax impact on non-cash interest expense related to convertible senior notes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subtract: Non-recurring tax benefit (e)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(1,471)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3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5"/>
              </w:rPr>
              <w:t>25,714</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24,884</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40" w:type="dxa"/>
            <w:vAlign w:val="bottom"/>
            <w:vMerge w:val="continue"/>
          </w:tcPr>
          <w:p>
            <w:pPr>
              <w:spacing w:after="0"/>
              <w:rPr>
                <w:sz w:val="17"/>
                <w:szCs w:val="17"/>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0.74</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0.67</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0.71</w:t>
            </w: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480" w:hanging="229"/>
        <w:spacing w:after="0"/>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and restructuring charges related to wind down of the Health Integrated business.</w:t>
      </w:r>
    </w:p>
    <w:p>
      <w:pPr>
        <w:spacing w:after="0" w:line="221" w:lineRule="exact"/>
        <w:rPr>
          <w:rFonts w:ascii="Arial" w:cs="Arial" w:eastAsia="Arial" w:hAnsi="Arial"/>
          <w:sz w:val="16"/>
          <w:szCs w:val="16"/>
          <w:i w:val="1"/>
          <w:iCs w:val="1"/>
          <w:color w:val="auto"/>
        </w:rPr>
      </w:pPr>
    </w:p>
    <w:p>
      <w:pPr>
        <w:ind w:left="480" w:hanging="229"/>
        <w:spacing w:after="0"/>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 See descriptions above for more information.</w:t>
      </w:r>
    </w:p>
    <w:p>
      <w:pPr>
        <w:spacing w:after="0" w:line="221" w:lineRule="exact"/>
        <w:rPr>
          <w:rFonts w:ascii="Arial" w:cs="Arial" w:eastAsia="Arial" w:hAnsi="Arial"/>
          <w:sz w:val="16"/>
          <w:szCs w:val="16"/>
          <w:i w:val="1"/>
          <w:iCs w:val="1"/>
          <w:color w:val="auto"/>
        </w:rPr>
      </w:pPr>
    </w:p>
    <w:p>
      <w:pPr>
        <w:ind w:left="480" w:hanging="229"/>
        <w:spacing w:after="0"/>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non-cash interest expense related to convertible senior notes.</w:t>
      </w:r>
    </w:p>
    <w:p>
      <w:pPr>
        <w:spacing w:after="0" w:line="221" w:lineRule="exact"/>
        <w:rPr>
          <w:rFonts w:ascii="Arial" w:cs="Arial" w:eastAsia="Arial" w:hAnsi="Arial"/>
          <w:sz w:val="16"/>
          <w:szCs w:val="16"/>
          <w:i w:val="1"/>
          <w:iCs w:val="1"/>
          <w:color w:val="auto"/>
        </w:rPr>
      </w:pPr>
    </w:p>
    <w:p>
      <w:pPr>
        <w:ind w:left="500" w:hanging="249"/>
        <w:spacing w:after="0" w:line="275" w:lineRule="auto"/>
        <w:tabs>
          <w:tab w:leader="none" w:pos="501"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$57 and $323 during the three months ended June 30, 2019 and 2018 respectively, and $1,015 during the three months ended March 31, 2019 related to discrete benefit recognized in income tax expense on adoption of ASU No. 2016-09, Compensation - Stock Compensation.</w:t>
      </w:r>
    </w:p>
    <w:p>
      <w:pPr>
        <w:spacing w:after="0" w:line="172" w:lineRule="exact"/>
        <w:rPr>
          <w:rFonts w:ascii="Arial" w:cs="Arial" w:eastAsia="Arial" w:hAnsi="Arial"/>
          <w:sz w:val="16"/>
          <w:szCs w:val="16"/>
          <w:i w:val="1"/>
          <w:iCs w:val="1"/>
          <w:color w:val="auto"/>
        </w:rPr>
      </w:pPr>
    </w:p>
    <w:p>
      <w:pPr>
        <w:ind w:left="480" w:hanging="229"/>
        <w:spacing w:after="0"/>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non-recurring tax benefit related to certain deferred tax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10060"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2019-12-28T09:52:33Z</dcterms:created>
  <dcterms:modified xsi:type="dcterms:W3CDTF">2019-12-28T09:52:33Z</dcterms:modified>
</cp:coreProperties>
</file>