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26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635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60"/>
        <w:spacing w:after="0" w:line="328"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77"/>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7"/>
          </w:tcPr>
          <w:p>
            <w:pPr>
              <w:jc w:val="center"/>
              <w:ind w:right="36"/>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3"/>
          </w:tcPr>
          <w:p>
            <w:pPr>
              <w:jc w:val="right"/>
              <w:ind w:right="124"/>
              <w:spacing w:after="0"/>
              <w:rPr>
                <w:sz w:val="20"/>
                <w:szCs w:val="20"/>
                <w:color w:val="auto"/>
              </w:rPr>
            </w:pPr>
            <w:r>
              <w:rPr>
                <w:rFonts w:ascii="Times New Roman" w:cs="Times New Roman" w:eastAsia="Times New Roman" w:hAnsi="Times New Roman"/>
                <w:sz w:val="17"/>
                <w:szCs w:val="17"/>
                <w:color w:val="0000FF"/>
              </w:rPr>
              <w:t>09/01/2024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27,075</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166,870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80" w:type="dxa"/>
            <w:vAlign w:val="bottom"/>
            <w:tcBorders>
              <w:bottom w:val="single" w:sz="8" w:color="2C2C2C"/>
            </w:tcBorders>
            <w:gridSpan w:val="6"/>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24"/>
              <w:spacing w:after="0"/>
              <w:rPr>
                <w:sz w:val="20"/>
                <w:szCs w:val="20"/>
                <w:color w:val="auto"/>
              </w:rPr>
            </w:pPr>
            <w:r>
              <w:rPr>
                <w:rFonts w:ascii="Times New Roman" w:cs="Times New Roman" w:eastAsia="Times New Roman" w:hAnsi="Times New Roman"/>
                <w:sz w:val="17"/>
                <w:szCs w:val="17"/>
                <w:color w:val="0000FF"/>
              </w:rPr>
              <w:t>09/03/2024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10,655</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36.54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156,215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224"/>
              <w:spacing w:after="0" w:line="284" w:lineRule="exact"/>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27,075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09/01/2024</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27,075</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September 1, 2024.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 2021, the reporting person was granted 40,605 restricted stock units, after adjustment for the 5-for-1 forward stock split, effective August 1, 2023, vesting in two installment installments beginning on the second anniversary of the grant date. 33% of the restricted stock units became vested on September 1, 2023 and the remaining balance of 67% of the restricted stock units became vested on September 1,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09/04/2024</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2024-09-04T20:42:56Z</dcterms:created>
  <dcterms:modified xsi:type="dcterms:W3CDTF">2024-09-04T20:42:56Z</dcterms:modified>
</cp:coreProperties>
</file>