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pPr>
      <w:hyperlink w:anchor="ic972c7b333c94ee3bad0bd2154cbac49_7">
        <w:r>
          <w:rPr>
            <w:rStyle w:val="InternetLink"/>
            <w:rFonts w:ascii="Times New Roman;sans-serif" w:hAnsi="Times New Roman;sans-serif"/>
            <w:b/>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_________________________________________________________</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FORM 10-Q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_________________________________________________________</w:t>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FOR THE QUARTERLY PERIOD ENDED JUNE 30, 2023 </w:t>
      </w:r>
    </w:p>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0" w:after="0"/>
        <w:jc w:val="center"/>
        <w:rPr/>
      </w:pPr>
      <w:r>
        <w:rPr>
          <w:rFonts w:ascii="Times New Roman;sans-serif" w:hAnsi="Times New Roman;sans-serif"/>
          <w:b/>
          <w:color w:val="000000"/>
          <w:sz w:val="18"/>
        </w:rPr>
        <w:t>FOR THE TRANSITION PERIOD FROM</w:t>
      </w:r>
      <w:r>
        <w:rPr>
          <w:color w:val="000000"/>
        </w:rPr>
        <w:t xml:space="preserve"> </w:t>
      </w:r>
      <w:r>
        <w:rPr>
          <w:color w:val="000000"/>
          <w:u w:val="single"/>
        </w:rPr>
        <w:t>                    </w:t>
      </w:r>
      <w:r>
        <w:rPr>
          <w:color w:val="000000"/>
        </w:rPr>
        <w:t xml:space="preserve"> </w:t>
      </w:r>
      <w:r>
        <w:rPr>
          <w:rFonts w:ascii="Times New Roman;sans-serif" w:hAnsi="Times New Roman;sans-serif"/>
          <w:b/>
          <w:color w:val="000000"/>
          <w:sz w:val="18"/>
        </w:rPr>
        <w:t>TO</w:t>
      </w:r>
      <w:r>
        <w:rPr>
          <w:color w:val="000000"/>
        </w:rPr>
        <w:t xml:space="preserve"> </w:t>
      </w:r>
      <w:r>
        <w:rPr>
          <w:color w:val="000000"/>
          <w:u w:val="single"/>
        </w:rPr>
        <w:t>                    </w:t>
      </w:r>
    </w:p>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 xml:space="preserve">COMMISSION FILE NUMBER 001-33089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_________________________________________________________</w:t>
      </w:r>
    </w:p>
    <w:p>
      <w:pPr>
        <w:pStyle w:val="TextBody"/>
        <w:bidi w:val="0"/>
        <w:spacing w:lineRule="auto" w:line="288" w:before="0" w:after="0"/>
        <w:jc w:val="center"/>
        <w:rPr>
          <w:rFonts w:ascii="Times New Roman;sans-serif" w:hAnsi="Times New Roman;sans-serif"/>
          <w:b/>
          <w:color w:val="000000"/>
          <w:sz w:val="40"/>
        </w:rPr>
      </w:pPr>
      <w:r>
        <w:rPr>
          <w:rFonts w:ascii="Times New Roman;sans-serif" w:hAnsi="Times New Roman;sans-serif"/>
          <w:b/>
          <w:color w:val="000000"/>
          <w:sz w:val="40"/>
        </w:rPr>
        <w:t xml:space="preserve">EXLSERVICE HOLDINGS, INC.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_________________________________________________________</w:t>
      </w:r>
    </w:p>
    <w:tbl>
      <w:tblPr>
        <w:tblW w:w="4733" w:type="dxa"/>
        <w:jc w:val="center"/>
        <w:tblInd w:w="0" w:type="dxa"/>
        <w:tblLayout w:type="fixed"/>
        <w:tblCellMar>
          <w:top w:w="28" w:type="dxa"/>
          <w:left w:w="28" w:type="dxa"/>
          <w:bottom w:w="28" w:type="dxa"/>
          <w:right w:w="28" w:type="dxa"/>
        </w:tblCellMar>
      </w:tblPr>
      <w:tblGrid>
        <w:gridCol w:w="592"/>
        <w:gridCol w:w="523"/>
        <w:gridCol w:w="523"/>
        <w:gridCol w:w="425"/>
        <w:gridCol w:w="425"/>
        <w:gridCol w:w="434"/>
        <w:gridCol w:w="109"/>
        <w:gridCol w:w="109"/>
        <w:gridCol w:w="109"/>
        <w:gridCol w:w="432"/>
        <w:gridCol w:w="432"/>
        <w:gridCol w:w="620"/>
      </w:tblGrid>
      <w:tr>
        <w:trPr/>
        <w:tc>
          <w:tcPr>
            <w:tcW w:w="592"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9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82-0572194</w:t>
            </w:r>
          </w:p>
        </w:tc>
      </w:tr>
      <w:tr>
        <w:trPr/>
        <w:tc>
          <w:tcPr>
            <w:tcW w:w="29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r>
        <w:trPr/>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320 Park Avenue,</w:t>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29th Floor,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New York,</w:t>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10022</w:t>
            </w:r>
          </w:p>
        </w:tc>
      </w:tr>
      <w:tr>
        <w:trPr/>
        <w:tc>
          <w:tcPr>
            <w:tcW w:w="29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(212) 277-7100 </w:t>
      </w:r>
    </w:p>
    <w:p>
      <w:pPr>
        <w:pStyle w:val="TextBody"/>
        <w:bidi w:val="0"/>
        <w:spacing w:lineRule="auto" w:line="288" w:before="60" w:after="283"/>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tbl>
      <w:tblPr>
        <w:tblW w:w="8249" w:type="dxa"/>
        <w:jc w:val="center"/>
        <w:tblInd w:w="0" w:type="dxa"/>
        <w:tblLayout w:type="fixed"/>
        <w:tblCellMar>
          <w:top w:w="28" w:type="dxa"/>
          <w:left w:w="28" w:type="dxa"/>
          <w:bottom w:w="28" w:type="dxa"/>
          <w:right w:w="28" w:type="dxa"/>
        </w:tblCellMar>
      </w:tblPr>
      <w:tblGrid>
        <w:gridCol w:w="1160"/>
        <w:gridCol w:w="1017"/>
        <w:gridCol w:w="1017"/>
        <w:gridCol w:w="510"/>
        <w:gridCol w:w="510"/>
        <w:gridCol w:w="510"/>
        <w:gridCol w:w="1033"/>
        <w:gridCol w:w="1033"/>
        <w:gridCol w:w="1459"/>
      </w:tblGrid>
      <w:tr>
        <w:trPr/>
        <w:tc>
          <w:tcPr>
            <w:tcW w:w="1160"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r>
      <w:tr>
        <w:trPr/>
        <w:tc>
          <w:tcPr>
            <w:tcW w:w="8249" w:type="dxa"/>
            <w:gridSpan w:val="9"/>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12(b) of the Act:</w:t>
            </w:r>
          </w:p>
        </w:tc>
      </w:tr>
      <w:tr>
        <w:trPr/>
        <w:tc>
          <w:tcPr>
            <w:tcW w:w="31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Title of Each Class:</w:t>
            </w:r>
          </w:p>
        </w:tc>
        <w:tc>
          <w:tcPr>
            <w:tcW w:w="15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Trading symbol(s)</w:t>
            </w:r>
          </w:p>
        </w:tc>
        <w:tc>
          <w:tcPr>
            <w:tcW w:w="35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Name of Each Exchange on Which Registered:</w:t>
            </w:r>
          </w:p>
        </w:tc>
      </w:tr>
      <w:tr>
        <w:trPr/>
        <w:tc>
          <w:tcPr>
            <w:tcW w:w="31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$0.001 per share</w:t>
            </w:r>
          </w:p>
        </w:tc>
        <w:tc>
          <w:tcPr>
            <w:tcW w:w="153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16"/>
              </w:rPr>
              <w:t>EXLS</w:t>
            </w:r>
          </w:p>
        </w:tc>
        <w:tc>
          <w:tcPr>
            <w:tcW w:w="35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NASDAQ</w:t>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12(g) of the Act:</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None</w:t>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________________________________________________________</w:t>
      </w:r>
    </w:p>
    <w:p>
      <w:pPr>
        <w:pStyle w:val="TextBody"/>
        <w:bidi w:val="0"/>
        <w:spacing w:before="0" w:after="0"/>
        <w:jc w:val="center"/>
        <w:rPr/>
      </w:pPr>
      <w:r>
        <w:rPr/>
      </w:r>
    </w:p>
    <w:p>
      <w:pPr>
        <w:pStyle w:val="TextBody"/>
        <w:bidi w:val="0"/>
        <w:spacing w:lineRule="auto" w:line="288" w:before="0" w:after="0"/>
        <w:ind w:left="0" w:right="0" w:firstLine="36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pStyle w:val="TextBody"/>
        <w:bidi w:val="0"/>
        <w:spacing w:lineRule="auto" w:line="288" w:before="0" w:after="0"/>
        <w:jc w:val="left"/>
        <w:rPr/>
      </w:pPr>
      <w:r>
        <w:rPr>
          <w:rFonts w:ascii="Times New Roman;sans-serif" w:hAnsi="Times New Roman;sans-serif"/>
          <w:b w:val="false"/>
          <w:color w:val="000000"/>
          <w:sz w:val="18"/>
        </w:rPr>
        <w:t>(2) has been subject to such filing requirements for the past 90 days.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760" w:type="dxa"/>
        <w:jc w:val="left"/>
        <w:tblInd w:w="0" w:type="dxa"/>
        <w:tblLayout w:type="fixed"/>
        <w:tblCellMar>
          <w:top w:w="28" w:type="dxa"/>
          <w:left w:w="28" w:type="dxa"/>
          <w:bottom w:w="28" w:type="dxa"/>
          <w:right w:w="28" w:type="dxa"/>
        </w:tblCellMar>
      </w:tblPr>
      <w:tblGrid>
        <w:gridCol w:w="743"/>
        <w:gridCol w:w="653"/>
        <w:gridCol w:w="658"/>
        <w:gridCol w:w="109"/>
        <w:gridCol w:w="109"/>
        <w:gridCol w:w="109"/>
        <w:gridCol w:w="109"/>
        <w:gridCol w:w="109"/>
        <w:gridCol w:w="109"/>
        <w:gridCol w:w="109"/>
        <w:gridCol w:w="109"/>
        <w:gridCol w:w="109"/>
        <w:gridCol w:w="674"/>
        <w:gridCol w:w="674"/>
        <w:gridCol w:w="678"/>
        <w:gridCol w:w="109"/>
        <w:gridCol w:w="109"/>
        <w:gridCol w:w="109"/>
        <w:gridCol w:w="109"/>
        <w:gridCol w:w="109"/>
        <w:gridCol w:w="154"/>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both"/>
        <w:rPr>
          <w:rFonts w:ascii="Times New Roman;sans-serif" w:hAnsi="Times New Roman;sans-serif"/>
          <w:b w:val="false"/>
          <w:color w:val="000000"/>
          <w:sz w:val="18"/>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shell company (as defined in Rule 12b-2 of the Exchange Act). Yes  ☐    No  ☒</w:t>
      </w:r>
    </w:p>
    <w:p>
      <w:pPr>
        <w:pStyle w:val="TextBody"/>
        <w:bidi w:val="0"/>
        <w:spacing w:before="60" w:after="283"/>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As of July 25, 2023, there were 33,144,409 shares of the registrant’s common stock outstanding, par value $0.001 per share.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972c7b333c94ee3bad0bd2154cbac49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217"/>
        <w:gridCol w:w="191"/>
        <w:gridCol w:w="193"/>
        <w:gridCol w:w="109"/>
        <w:gridCol w:w="109"/>
        <w:gridCol w:w="109"/>
        <w:gridCol w:w="2901"/>
        <w:gridCol w:w="2876"/>
        <w:gridCol w:w="2882"/>
        <w:gridCol w:w="180"/>
        <w:gridCol w:w="180"/>
        <w:gridCol w:w="258"/>
      </w:tblGrid>
      <w:tr>
        <w:trPr/>
        <w:tc>
          <w:tcPr>
            <w:tcW w:w="2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1" w:type="dxa"/>
            <w:tcBorders/>
            <w:vAlign w:val="center"/>
          </w:tcPr>
          <w:p>
            <w:pPr>
              <w:pStyle w:val="TableContents"/>
              <w:bidi w:val="0"/>
              <w:spacing w:before="0" w:after="283"/>
              <w:jc w:val="left"/>
              <w:rPr>
                <w:sz w:val="4"/>
                <w:szCs w:val="4"/>
              </w:rPr>
            </w:pPr>
            <w:r>
              <w:rPr>
                <w:sz w:val="4"/>
                <w:szCs w:val="4"/>
              </w:rPr>
            </w:r>
          </w:p>
        </w:tc>
        <w:tc>
          <w:tcPr>
            <w:tcW w:w="2876"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72c7b333c94ee3bad0bd2154cbac49_10">
              <w:r>
                <w:rPr>
                  <w:rStyle w:val="InternetLink"/>
                  <w:rFonts w:ascii="Times New Roman;sans-serif" w:hAnsi="Times New Roman;sans-serif"/>
                  <w:b w:val="false"/>
                  <w:color w:val="0000FF"/>
                  <w:sz w:val="20"/>
                  <w:u w:val="single"/>
                </w:rPr>
                <w:t>Part I. Financial Information</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72c7b333c94ee3bad0bd2154cbac49_10">
              <w:r>
                <w:rPr>
                  <w:rStyle w:val="InternetLink"/>
                  <w:rFonts w:ascii="Times New Roman;sans-serif" w:hAnsi="Times New Roman;sans-serif"/>
                  <w:b w:val="false"/>
                  <w:strike w:val="false"/>
                  <w:dstrike w:val="false"/>
                  <w:color w:val="0000FF"/>
                  <w:sz w:val="20"/>
                  <w:u w:val="none"/>
                  <w:effect w:val="none"/>
                </w:rPr>
                <w:t>3</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72c7b333c94ee3bad0bd2154cbac49_13">
              <w:r>
                <w:rPr>
                  <w:rStyle w:val="InternetLink"/>
                  <w:rFonts w:ascii="Times New Roman;sans-serif" w:hAnsi="Times New Roman;sans-serif"/>
                  <w:b w:val="false"/>
                  <w:color w:val="0000FF"/>
                  <w:sz w:val="20"/>
                  <w:u w:val="single"/>
                </w:rPr>
                <w:t>FINANCIAL STATEMENTS (UNAUDITED)</w:t>
              </w:r>
            </w:hyperlink>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c972c7b333c94ee3bad0bd2154cbac49_16">
              <w:r>
                <w:rPr>
                  <w:rStyle w:val="InternetLink"/>
                  <w:rFonts w:ascii="Times New Roman;sans-serif" w:hAnsi="Times New Roman;sans-serif"/>
                  <w:b w:val="false"/>
                  <w:color w:val="0000FF"/>
                  <w:sz w:val="20"/>
                  <w:u w:val="single"/>
                </w:rPr>
                <w:t>Consolidated Balance Sheets as of June 30, 2023 and December 31, 2022</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72c7b333c94ee3bad0bd2154cbac49_16">
              <w:r>
                <w:rPr>
                  <w:rStyle w:val="InternetLink"/>
                  <w:rFonts w:ascii="Times New Roman;sans-serif" w:hAnsi="Times New Roman;sans-serif"/>
                  <w:b w:val="false"/>
                  <w:strike w:val="false"/>
                  <w:dstrike w:val="false"/>
                  <w:color w:val="0000FF"/>
                  <w:sz w:val="20"/>
                  <w:u w:val="none"/>
                  <w:effect w:val="none"/>
                </w:rPr>
                <w:t>3</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c972c7b333c94ee3bad0bd2154cbac49_19">
              <w:r>
                <w:rPr>
                  <w:rStyle w:val="InternetLink"/>
                  <w:rFonts w:ascii="Times New Roman;sans-serif" w:hAnsi="Times New Roman;sans-serif"/>
                  <w:b w:val="false"/>
                  <w:color w:val="0000FF"/>
                  <w:sz w:val="20"/>
                  <w:u w:val="single"/>
                </w:rPr>
                <w:t>Consolidated Statements of Income for the Three and Six Months Ended June 30, 2023 and 2022</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72c7b333c94ee3bad0bd2154cbac49_19">
              <w:r>
                <w:rPr>
                  <w:rStyle w:val="InternetLink"/>
                  <w:rFonts w:ascii="Times New Roman;sans-serif" w:hAnsi="Times New Roman;sans-serif"/>
                  <w:b w:val="false"/>
                  <w:strike w:val="false"/>
                  <w:dstrike w:val="false"/>
                  <w:color w:val="0000FF"/>
                  <w:sz w:val="20"/>
                  <w:u w:val="none"/>
                  <w:effect w:val="none"/>
                </w:rPr>
                <w:t>5</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c972c7b333c94ee3bad0bd2154cbac49_22">
              <w:r>
                <w:rPr>
                  <w:rStyle w:val="InternetLink"/>
                  <w:rFonts w:ascii="Times New Roman;sans-serif" w:hAnsi="Times New Roman;sans-serif"/>
                  <w:b w:val="false"/>
                  <w:color w:val="0000FF"/>
                  <w:sz w:val="20"/>
                  <w:u w:val="single"/>
                </w:rPr>
                <w:t>Consolidated Statements of Comprehensive Income for the Three and Six Months Ended June 30, 2023 and 2022</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72c7b333c94ee3bad0bd2154cbac49_22">
              <w:r>
                <w:rPr>
                  <w:rStyle w:val="InternetLink"/>
                  <w:rFonts w:ascii="Times New Roman;sans-serif" w:hAnsi="Times New Roman;sans-serif"/>
                  <w:b w:val="false"/>
                  <w:strike w:val="false"/>
                  <w:dstrike w:val="false"/>
                  <w:color w:val="0000FF"/>
                  <w:sz w:val="20"/>
                  <w:u w:val="none"/>
                  <w:effect w:val="none"/>
                </w:rPr>
                <w:t>6</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c972c7b333c94ee3bad0bd2154cbac49_25">
              <w:r>
                <w:rPr>
                  <w:rStyle w:val="InternetLink"/>
                  <w:rFonts w:ascii="Times New Roman;sans-serif" w:hAnsi="Times New Roman;sans-serif"/>
                  <w:b w:val="false"/>
                  <w:color w:val="0000FF"/>
                  <w:sz w:val="20"/>
                  <w:u w:val="single"/>
                </w:rPr>
                <w:t>Consolidated Statements of Stockholders' Equity for the Three and Six Months Ended June 30, 2023 and 2022</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72c7b333c94ee3bad0bd2154cbac49_25">
              <w:r>
                <w:rPr>
                  <w:rStyle w:val="InternetLink"/>
                  <w:rFonts w:ascii="Times New Roman;sans-serif" w:hAnsi="Times New Roman;sans-serif"/>
                  <w:b w:val="false"/>
                  <w:strike w:val="false"/>
                  <w:dstrike w:val="false"/>
                  <w:color w:val="0000FF"/>
                  <w:sz w:val="20"/>
                  <w:u w:val="none"/>
                  <w:effect w:val="none"/>
                </w:rPr>
                <w:t>7</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c972c7b333c94ee3bad0bd2154cbac49_28">
              <w:r>
                <w:rPr>
                  <w:rStyle w:val="InternetLink"/>
                  <w:rFonts w:ascii="Times New Roman;sans-serif" w:hAnsi="Times New Roman;sans-serif"/>
                  <w:b w:val="false"/>
                  <w:color w:val="0000FF"/>
                  <w:sz w:val="20"/>
                  <w:u w:val="single"/>
                </w:rPr>
                <w:t>Consolidated Statements of Cash Flows for the Six Months Ended June 30, 2023 and 2022</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72c7b333c94ee3bad0bd2154cbac49_28">
              <w:r>
                <w:rPr>
                  <w:rStyle w:val="InternetLink"/>
                  <w:rFonts w:ascii="Times New Roman;sans-serif" w:hAnsi="Times New Roman;sans-serif"/>
                  <w:b w:val="false"/>
                  <w:strike w:val="false"/>
                  <w:dstrike w:val="false"/>
                  <w:color w:val="0000FF"/>
                  <w:sz w:val="20"/>
                  <w:u w:val="none"/>
                  <w:effect w:val="none"/>
                </w:rPr>
                <w:t>9</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72c7b333c94ee3bad0bd2154cbac49_31">
              <w:r>
                <w:rPr>
                  <w:rStyle w:val="InternetLink"/>
                  <w:rFonts w:ascii="Times New Roman;sans-serif" w:hAnsi="Times New Roman;sans-serif"/>
                  <w:b w:val="false"/>
                  <w:color w:val="0000FF"/>
                  <w:sz w:val="20"/>
                  <w:u w:val="single"/>
                </w:rPr>
                <w:t>Notes to Consolidated Financial Statements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72c7b333c94ee3bad0bd2154cbac49_31">
              <w:r>
                <w:rPr>
                  <w:rStyle w:val="InternetLink"/>
                  <w:rFonts w:ascii="Times New Roman;sans-serif" w:hAnsi="Times New Roman;sans-serif"/>
                  <w:b w:val="false"/>
                  <w:strike w:val="false"/>
                  <w:dstrike w:val="false"/>
                  <w:color w:val="0000FF"/>
                  <w:sz w:val="20"/>
                  <w:u w:val="none"/>
                  <w:effect w:val="none"/>
                </w:rPr>
                <w:t>10</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72c7b333c94ee3bad0bd2154cbac49_112">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72c7b333c94ee3bad0bd2154cbac49_112">
              <w:r>
                <w:rPr>
                  <w:rStyle w:val="InternetLink"/>
                  <w:rFonts w:ascii="Times New Roman;sans-serif" w:hAnsi="Times New Roman;sans-serif"/>
                  <w:b w:val="false"/>
                  <w:strike w:val="false"/>
                  <w:dstrike w:val="false"/>
                  <w:color w:val="0000FF"/>
                  <w:sz w:val="20"/>
                  <w:u w:val="none"/>
                  <w:effect w:val="none"/>
                </w:rPr>
                <w:t>41</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72c7b333c94ee3bad0bd2154cbac49_115">
              <w:r>
                <w:rPr>
                  <w:rStyle w:val="InternetLink"/>
                  <w:rFonts w:ascii="Times New Roman;sans-serif" w:hAnsi="Times New Roman;sans-serif"/>
                  <w:b w:val="false"/>
                  <w:color w:val="0000FF"/>
                  <w:sz w:val="20"/>
                  <w:u w:val="single"/>
                </w:rPr>
                <w:t>Quantitative and Qualitative Disclosures About Market Risk</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72c7b333c94ee3bad0bd2154cbac49_115">
              <w:r>
                <w:rPr>
                  <w:rStyle w:val="InternetLink"/>
                  <w:rFonts w:ascii="Times New Roman;sans-serif" w:hAnsi="Times New Roman;sans-serif"/>
                  <w:b w:val="false"/>
                  <w:strike w:val="false"/>
                  <w:dstrike w:val="false"/>
                  <w:color w:val="0000FF"/>
                  <w:sz w:val="20"/>
                  <w:u w:val="none"/>
                  <w:effect w:val="none"/>
                </w:rPr>
                <w:t>57</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72c7b333c94ee3bad0bd2154cbac49_118">
              <w:r>
                <w:rPr>
                  <w:rStyle w:val="InternetLink"/>
                  <w:rFonts w:ascii="Times New Roman;sans-serif" w:hAnsi="Times New Roman;sans-serif"/>
                  <w:b w:val="false"/>
                  <w:color w:val="0000FF"/>
                  <w:sz w:val="20"/>
                  <w:u w:val="single"/>
                </w:rPr>
                <w:t>Controls and Procedures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72c7b333c94ee3bad0bd2154cbac49_118">
              <w:r>
                <w:rPr>
                  <w:rStyle w:val="InternetLink"/>
                  <w:rFonts w:ascii="Times New Roman;sans-serif" w:hAnsi="Times New Roman;sans-serif"/>
                  <w:b w:val="false"/>
                  <w:strike w:val="false"/>
                  <w:dstrike w:val="false"/>
                  <w:color w:val="0000FF"/>
                  <w:sz w:val="20"/>
                  <w:u w:val="none"/>
                  <w:effect w:val="none"/>
                </w:rPr>
                <w:t>57</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72c7b333c94ee3bad0bd2154cbac49_121">
              <w:r>
                <w:rPr>
                  <w:rStyle w:val="InternetLink"/>
                  <w:rFonts w:ascii="Times New Roman;sans-serif" w:hAnsi="Times New Roman;sans-serif"/>
                  <w:b w:val="false"/>
                  <w:color w:val="0000FF"/>
                  <w:sz w:val="20"/>
                  <w:u w:val="single"/>
                </w:rPr>
                <w:t>Part II. Other Information</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72c7b333c94ee3bad0bd2154cbac49_121">
              <w:r>
                <w:rPr>
                  <w:rStyle w:val="InternetLink"/>
                  <w:rFonts w:ascii="Times New Roman;sans-serif" w:hAnsi="Times New Roman;sans-serif"/>
                  <w:b w:val="false"/>
                  <w:strike w:val="false"/>
                  <w:dstrike w:val="false"/>
                  <w:color w:val="0000FF"/>
                  <w:sz w:val="20"/>
                  <w:u w:val="none"/>
                  <w:effect w:val="none"/>
                </w:rPr>
                <w:t>57</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72c7b333c94ee3bad0bd2154cbac49_124">
              <w:r>
                <w:rPr>
                  <w:rStyle w:val="InternetLink"/>
                  <w:rFonts w:ascii="Times New Roman;sans-serif" w:hAnsi="Times New Roman;sans-serif"/>
                  <w:b w:val="false"/>
                  <w:color w:val="0000FF"/>
                  <w:sz w:val="20"/>
                  <w:u w:val="single"/>
                </w:rPr>
                <w:t>Legal Proceedings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72c7b333c94ee3bad0bd2154cbac49_124">
              <w:r>
                <w:rPr>
                  <w:rStyle w:val="InternetLink"/>
                  <w:rFonts w:ascii="Times New Roman;sans-serif" w:hAnsi="Times New Roman;sans-serif"/>
                  <w:b w:val="false"/>
                  <w:strike w:val="false"/>
                  <w:dstrike w:val="false"/>
                  <w:color w:val="0000FF"/>
                  <w:sz w:val="20"/>
                  <w:u w:val="none"/>
                  <w:effect w:val="none"/>
                </w:rPr>
                <w:t>57</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72c7b333c94ee3bad0bd2154cbac49_127">
              <w:r>
                <w:rPr>
                  <w:rStyle w:val="InternetLink"/>
                  <w:rFonts w:ascii="Times New Roman;sans-serif" w:hAnsi="Times New Roman;sans-serif"/>
                  <w:b w:val="false"/>
                  <w:color w:val="0000FF"/>
                  <w:sz w:val="20"/>
                  <w:u w:val="single"/>
                </w:rPr>
                <w:t>Risk Factors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72c7b333c94ee3bad0bd2154cbac49_127">
              <w:r>
                <w:rPr>
                  <w:rStyle w:val="InternetLink"/>
                  <w:rFonts w:ascii="Times New Roman;sans-serif" w:hAnsi="Times New Roman;sans-serif"/>
                  <w:b w:val="false"/>
                  <w:strike w:val="false"/>
                  <w:dstrike w:val="false"/>
                  <w:color w:val="0000FF"/>
                  <w:sz w:val="20"/>
                  <w:u w:val="none"/>
                  <w:effect w:val="none"/>
                </w:rPr>
                <w:t>57</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72c7b333c94ee3bad0bd2154cbac49_130">
              <w:r>
                <w:rPr>
                  <w:rStyle w:val="InternetLink"/>
                  <w:rFonts w:ascii="Times New Roman;sans-serif" w:hAnsi="Times New Roman;sans-serif"/>
                  <w:b w:val="false"/>
                  <w:color w:val="0000FF"/>
                  <w:sz w:val="20"/>
                  <w:u w:val="single"/>
                </w:rPr>
                <w:t>Unregistered Sales of Equity Securities and Use of Proceeds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72c7b333c94ee3bad0bd2154cbac49_130">
              <w:r>
                <w:rPr>
                  <w:rStyle w:val="InternetLink"/>
                  <w:rFonts w:ascii="Times New Roman;sans-serif" w:hAnsi="Times New Roman;sans-serif"/>
                  <w:b w:val="false"/>
                  <w:strike w:val="false"/>
                  <w:dstrike w:val="false"/>
                  <w:color w:val="0000FF"/>
                  <w:sz w:val="20"/>
                  <w:u w:val="none"/>
                  <w:effect w:val="none"/>
                </w:rPr>
                <w:t>57</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72c7b333c94ee3bad0bd2154cbac49_133">
              <w:r>
                <w:rPr>
                  <w:rStyle w:val="InternetLink"/>
                  <w:rFonts w:ascii="Times New Roman;sans-serif" w:hAnsi="Times New Roman;sans-serif"/>
                  <w:b w:val="false"/>
                  <w:color w:val="0000FF"/>
                  <w:sz w:val="20"/>
                  <w:u w:val="single"/>
                </w:rPr>
                <w:t>Defaults Upon Senior Securities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72c7b333c94ee3bad0bd2154cbac49_133">
              <w:r>
                <w:rPr>
                  <w:rStyle w:val="InternetLink"/>
                  <w:rFonts w:ascii="Times New Roman;sans-serif" w:hAnsi="Times New Roman;sans-serif"/>
                  <w:b w:val="false"/>
                  <w:strike w:val="false"/>
                  <w:dstrike w:val="false"/>
                  <w:color w:val="0000FF"/>
                  <w:sz w:val="20"/>
                  <w:u w:val="none"/>
                  <w:effect w:val="none"/>
                </w:rPr>
                <w:t>58</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72c7b333c94ee3bad0bd2154cbac49_136">
              <w:r>
                <w:rPr>
                  <w:rStyle w:val="InternetLink"/>
                  <w:rFonts w:ascii="Times New Roman;sans-serif" w:hAnsi="Times New Roman;sans-serif"/>
                  <w:b w:val="false"/>
                  <w:color w:val="0000FF"/>
                  <w:sz w:val="20"/>
                  <w:u w:val="single"/>
                </w:rPr>
                <w:t>Mine Safety Disclosures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72c7b333c94ee3bad0bd2154cbac49_136">
              <w:r>
                <w:rPr>
                  <w:rStyle w:val="InternetLink"/>
                  <w:rFonts w:ascii="Times New Roman;sans-serif" w:hAnsi="Times New Roman;sans-serif"/>
                  <w:b w:val="false"/>
                  <w:strike w:val="false"/>
                  <w:dstrike w:val="false"/>
                  <w:color w:val="0000FF"/>
                  <w:sz w:val="20"/>
                  <w:u w:val="none"/>
                  <w:effect w:val="none"/>
                </w:rPr>
                <w:t>58</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72c7b333c94ee3bad0bd2154cbac49_139">
              <w:r>
                <w:rPr>
                  <w:rStyle w:val="InternetLink"/>
                  <w:rFonts w:ascii="Times New Roman;sans-serif" w:hAnsi="Times New Roman;sans-serif"/>
                  <w:b w:val="false"/>
                  <w:color w:val="0000FF"/>
                  <w:sz w:val="20"/>
                  <w:u w:val="single"/>
                </w:rPr>
                <w:t>Other Information</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72c7b333c94ee3bad0bd2154cbac49_139">
              <w:r>
                <w:rPr>
                  <w:rStyle w:val="InternetLink"/>
                  <w:rFonts w:ascii="Times New Roman;sans-serif" w:hAnsi="Times New Roman;sans-serif"/>
                  <w:b w:val="false"/>
                  <w:strike w:val="false"/>
                  <w:dstrike w:val="false"/>
                  <w:color w:val="0000FF"/>
                  <w:sz w:val="20"/>
                  <w:u w:val="none"/>
                  <w:effect w:val="none"/>
                </w:rPr>
                <w:t>58</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72c7b333c94ee3bad0bd2154cbac49_142">
              <w:r>
                <w:rPr>
                  <w:rStyle w:val="InternetLink"/>
                  <w:rFonts w:ascii="Times New Roman;sans-serif" w:hAnsi="Times New Roman;sans-serif"/>
                  <w:b w:val="false"/>
                  <w:color w:val="0000FF"/>
                  <w:sz w:val="20"/>
                  <w:u w:val="single"/>
                </w:rPr>
                <w:t>Exhibits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72c7b333c94ee3bad0bd2154cbac49_142">
              <w:r>
                <w:rPr>
                  <w:rStyle w:val="InternetLink"/>
                  <w:rFonts w:ascii="Times New Roman;sans-serif" w:hAnsi="Times New Roman;sans-serif"/>
                  <w:b w:val="false"/>
                  <w:strike w:val="false"/>
                  <w:dstrike w:val="false"/>
                  <w:color w:val="0000FF"/>
                  <w:sz w:val="20"/>
                  <w:u w:val="none"/>
                  <w:effect w:val="none"/>
                </w:rPr>
                <w:t>59</w:t>
              </w:r>
            </w:hyperlink>
          </w:p>
        </w:tc>
      </w:tr>
      <w:tr>
        <w:trPr/>
        <w:tc>
          <w:tcPr>
            <w:tcW w:w="958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7"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c972c7b333c94ee3bad0bd2154cbac49_145">
              <w:r>
                <w:rPr>
                  <w:rStyle w:val="InternetLink"/>
                  <w:rFonts w:ascii="Times New Roman;sans-serif" w:hAnsi="Times New Roman;sans-serif"/>
                  <w:b w:val="false"/>
                  <w:color w:val="0000FF"/>
                  <w:sz w:val="20"/>
                  <w:u w:val="single"/>
                </w:rPr>
                <w:t>Signatures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72c7b333c94ee3bad0bd2154cbac49_145">
              <w:r>
                <w:rPr>
                  <w:rStyle w:val="InternetLink"/>
                  <w:rFonts w:ascii="Times New Roman;sans-serif" w:hAnsi="Times New Roman;sans-serif"/>
                  <w:b w:val="false"/>
                  <w:strike w:val="false"/>
                  <w:dstrike w:val="false"/>
                  <w:color w:val="0000FF"/>
                  <w:sz w:val="20"/>
                  <w:u w:val="none"/>
                  <w:effect w:val="none"/>
                </w:rPr>
                <w:t>60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972c7b333c94ee3bad0bd2154cbac49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EXLSERVICE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 and share count)</w:t>
      </w:r>
    </w:p>
    <w:tbl>
      <w:tblPr>
        <w:tblW w:w="10205" w:type="dxa"/>
        <w:jc w:val="center"/>
        <w:tblInd w:w="0" w:type="dxa"/>
        <w:tblLayout w:type="fixed"/>
        <w:tblCellMar>
          <w:top w:w="28" w:type="dxa"/>
          <w:left w:w="28" w:type="dxa"/>
          <w:bottom w:w="28" w:type="dxa"/>
          <w:right w:w="28" w:type="dxa"/>
        </w:tblCellMar>
      </w:tblPr>
      <w:tblGrid>
        <w:gridCol w:w="2713"/>
        <w:gridCol w:w="2137"/>
        <w:gridCol w:w="2157"/>
        <w:gridCol w:w="109"/>
        <w:gridCol w:w="109"/>
        <w:gridCol w:w="109"/>
        <w:gridCol w:w="196"/>
        <w:gridCol w:w="886"/>
        <w:gridCol w:w="109"/>
        <w:gridCol w:w="109"/>
        <w:gridCol w:w="109"/>
        <w:gridCol w:w="109"/>
        <w:gridCol w:w="214"/>
        <w:gridCol w:w="969"/>
        <w:gridCol w:w="170"/>
      </w:tblGrid>
      <w:tr>
        <w:trPr/>
        <w:tc>
          <w:tcPr>
            <w:tcW w:w="2713"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2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As of</w:t>
            </w:r>
          </w:p>
        </w:tc>
      </w:tr>
      <w:tr>
        <w:trPr/>
        <w:tc>
          <w:tcPr>
            <w:tcW w:w="7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2022</w:t>
            </w:r>
          </w:p>
        </w:tc>
      </w:tr>
      <w:tr>
        <w:trPr/>
        <w:tc>
          <w:tcPr>
            <w:tcW w:w="7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7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93,960 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118,669 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156,098 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179,027 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4,897 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288,305 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259,222 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70,186 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50,979 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613,177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612,794</w:t>
            </w:r>
            <w:r>
              <w:rPr>
                <w:color w:val="000000"/>
              </w:rPr>
              <w:t>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93,688 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82,828 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55,347 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2,055 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Deferred tax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68,612 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55,791 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64,819 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405,903 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405,637 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Long-term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34,779 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32,069 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1,362,702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9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1,346,119</w:t>
            </w:r>
            <w:r>
              <w:rPr>
                <w:color w:val="000000"/>
              </w:rPr>
              <w:t>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7,789 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Current portion of long-term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30,000 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18,782 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Accrued employee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82,044 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108,100 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95,352 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Current portion of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14,978 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Income taxes payable,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2,945 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259,063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277,946</w:t>
            </w:r>
            <w:r>
              <w:rPr>
                <w:color w:val="000000"/>
              </w:rPr>
              <w:t>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Long-term borrowings, 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220,000 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Operating lease liabilities, 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50,575 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48,155 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Deferred tax liabilities,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41,292 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528,488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587,940</w:t>
            </w:r>
            <w:r>
              <w:rPr>
                <w:color w:val="000000"/>
              </w:rPr>
              <w:t>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Commitments and contingencies (Refer to Note 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ExlService Holdings, Inc.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Preferred stock, $0.001 par value; 15,000,000 shares authorized, none issued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Common stock, $0.001 par value; 100,000,000 shares authorized, 40,349,727 shares issued and 33,152,670 shares outstanding as of June 30, 2023 and 39,987,976 shares issued and 33,234,444 shares outstanding as of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472,124 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445,108 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999,504 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899,105 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(124,147)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(144,143)</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including shares held in treasury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1,347,521</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1,200,110</w:t>
            </w:r>
            <w:r>
              <w:rPr>
                <w:color w:val="000000"/>
              </w:rPr>
              <w:t> </w:t>
            </w:r>
          </w:p>
        </w:tc>
        <w:tc>
          <w:tcPr>
            <w:tcW w:w="17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972c7b333c94ee3bad0bd2154cbac49_7">
        <w:r>
          <w:rPr>
            <w:rStyle w:val="InternetLink"/>
            <w:rFonts w:ascii="Times New Roman;sans-serif" w:hAnsi="Times New Roman;sans-serif"/>
            <w:b/>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580"/>
        <w:gridCol w:w="2268"/>
        <w:gridCol w:w="2274"/>
        <w:gridCol w:w="109"/>
        <w:gridCol w:w="109"/>
        <w:gridCol w:w="109"/>
        <w:gridCol w:w="196"/>
        <w:gridCol w:w="886"/>
        <w:gridCol w:w="109"/>
        <w:gridCol w:w="109"/>
        <w:gridCol w:w="109"/>
        <w:gridCol w:w="109"/>
        <w:gridCol w:w="196"/>
        <w:gridCol w:w="886"/>
        <w:gridCol w:w="156"/>
      </w:tblGrid>
      <w:tr>
        <w:trPr/>
        <w:tc>
          <w:tcPr>
            <w:tcW w:w="2580"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c>
          <w:tcPr>
            <w:tcW w:w="2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Less: 7,197,057 shares as of June 30, 2023 and 6,753,532 shares as of December 31, 2022, held in treasury, at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(513,307)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(441,931)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834,214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758,179</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 xml:space="preserve">Total liabilities and stockholders’ equity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1,362,702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1,346,119</w:t>
            </w: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972c7b333c94ee3bad0bd2154cbac49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EXLSERVICE HOLDINGS,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INCOME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 and share count)</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646"/>
        <w:gridCol w:w="1278"/>
        <w:gridCol w:w="1255"/>
        <w:gridCol w:w="109"/>
        <w:gridCol w:w="109"/>
        <w:gridCol w:w="109"/>
        <w:gridCol w:w="219"/>
        <w:gridCol w:w="862"/>
        <w:gridCol w:w="109"/>
        <w:gridCol w:w="109"/>
        <w:gridCol w:w="109"/>
        <w:gridCol w:w="109"/>
        <w:gridCol w:w="211"/>
        <w:gridCol w:w="826"/>
        <w:gridCol w:w="109"/>
        <w:gridCol w:w="109"/>
        <w:gridCol w:w="109"/>
        <w:gridCol w:w="109"/>
        <w:gridCol w:w="216"/>
        <w:gridCol w:w="865"/>
        <w:gridCol w:w="109"/>
        <w:gridCol w:w="109"/>
        <w:gridCol w:w="109"/>
        <w:gridCol w:w="109"/>
        <w:gridCol w:w="211"/>
        <w:gridCol w:w="826"/>
        <w:gridCol w:w="155"/>
      </w:tblGrid>
      <w:tr>
        <w:trPr/>
        <w:tc>
          <w:tcPr>
            <w:tcW w:w="1646"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404,996 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346,782 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805,639 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675,990 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Cost of revenues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428,723 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 xml:space="preserve">Gross profit </w:t>
            </w:r>
            <w:r>
              <w:rPr>
                <w:rFonts w:ascii="Times New Roman;sans-serif" w:hAnsi="Times New Roman;sans-serif"/>
                <w:b/>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151,776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125,575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300,950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247,267</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80,379 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156,211 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64,811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47,081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124,259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91,056</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gain,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income/(loss),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tax expense and earnings from equity affiliates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64,556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46,828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123,879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94,094</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earnings from equity affiliates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49,002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35,703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100,267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71,767</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from equity-method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ExlService Holdings, Inc.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49,068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35,846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100,399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72,024</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 attributable to ExlService Holdings, Inc.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shares used in computing earnings per share attributable to ExlService Holdings, Inc.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33,355,354 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33,403,411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33,397,226 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33,422,618</w:t>
            </w:r>
          </w:p>
        </w:tc>
      </w:tr>
      <w:tr>
        <w:trPr/>
        <w:tc>
          <w:tcPr>
            <w:tcW w:w="4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33,688,449 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33,830,539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33,809,555 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33,862,597</w:t>
            </w:r>
          </w:p>
        </w:tc>
      </w:tr>
    </w:tbl>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i/>
          <w:color w:val="000000"/>
          <w:sz w:val="18"/>
        </w:rPr>
      </w:pPr>
      <w:r>
        <w:rPr>
          <w:rFonts w:ascii="Times New Roman;sans-serif" w:hAnsi="Times New Roman;sans-serif"/>
          <w:b w:val="false"/>
          <w:i/>
          <w:color w:val="000000"/>
          <w:sz w:val="18"/>
        </w:rPr>
        <w:t>(1) Exclusive of depreciation and amortization expense.</w:t>
      </w:r>
    </w:p>
    <w:p>
      <w:pPr>
        <w:pStyle w:val="TextBody"/>
        <w:bidi w:val="0"/>
        <w:spacing w:before="0" w:after="0"/>
        <w:jc w:val="both"/>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972c7b333c94ee3bad0bd2154cbac49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EXLSERVICE HOLDINGS,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9117" w:type="dxa"/>
        <w:jc w:val="center"/>
        <w:tblInd w:w="0" w:type="dxa"/>
        <w:tblLayout w:type="fixed"/>
        <w:tblCellMar>
          <w:top w:w="28" w:type="dxa"/>
          <w:left w:w="28" w:type="dxa"/>
          <w:bottom w:w="28" w:type="dxa"/>
          <w:right w:w="28" w:type="dxa"/>
        </w:tblCellMar>
      </w:tblPr>
      <w:tblGrid>
        <w:gridCol w:w="1197"/>
        <w:gridCol w:w="1054"/>
        <w:gridCol w:w="1064"/>
        <w:gridCol w:w="109"/>
        <w:gridCol w:w="109"/>
        <w:gridCol w:w="109"/>
        <w:gridCol w:w="211"/>
        <w:gridCol w:w="736"/>
        <w:gridCol w:w="109"/>
        <w:gridCol w:w="109"/>
        <w:gridCol w:w="109"/>
        <w:gridCol w:w="109"/>
        <w:gridCol w:w="211"/>
        <w:gridCol w:w="796"/>
        <w:gridCol w:w="109"/>
        <w:gridCol w:w="109"/>
        <w:gridCol w:w="109"/>
        <w:gridCol w:w="109"/>
        <w:gridCol w:w="211"/>
        <w:gridCol w:w="841"/>
        <w:gridCol w:w="109"/>
        <w:gridCol w:w="109"/>
        <w:gridCol w:w="109"/>
        <w:gridCol w:w="109"/>
        <w:gridCol w:w="211"/>
        <w:gridCol w:w="796"/>
        <w:gridCol w:w="154"/>
      </w:tblGrid>
      <w:tr>
        <w:trPr/>
        <w:tc>
          <w:tcPr>
            <w:tcW w:w="1197"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18"/>
              </w:rPr>
              <w:t>Other comprehensive income/(loss):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gain/(loss) on 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gain/(loss)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Reclassification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(Gain)/loss on cash flow hedges</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Retirement benefits</w:t>
            </w:r>
            <w:r>
              <w:rPr>
                <w:rFonts w:ascii="Times New Roman;sans-serif" w:hAnsi="Times New Roman;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Income tax effects relating to above</w:t>
            </w:r>
            <w:r>
              <w:rPr>
                <w:rFonts w:ascii="Times New Roman;sans-serif" w:hAnsi="Times New Roman;sans-serif"/>
                <w:b/>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18"/>
              </w:rPr>
              <w:t>Total other comprehensive income/(loss)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7,340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(35,068)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19,996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(43,900)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56,408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778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120,395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28,124</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720"/>
        <w:jc w:val="center"/>
        <w:rPr/>
      </w:pPr>
      <w:r>
        <w:rPr/>
      </w:r>
    </w:p>
    <w:p>
      <w:pPr>
        <w:pStyle w:val="TextBody"/>
        <w:bidi w:val="0"/>
        <w:spacing w:before="0" w:after="0"/>
        <w:jc w:val="left"/>
        <w:rPr/>
      </w:pPr>
      <w:r>
        <w:rPr/>
      </w:r>
    </w:p>
    <w:p>
      <w:pPr>
        <w:pStyle w:val="TextBody"/>
        <w:bidi w:val="0"/>
        <w:spacing w:lineRule="auto" w:line="276" w:before="0" w:after="0"/>
        <w:ind w:left="0" w:right="0" w:hanging="630"/>
        <w:jc w:val="both"/>
        <w:rPr/>
      </w:pPr>
      <w:r>
        <w:rPr>
          <w:rFonts w:ascii="Times New Roman;sans-serif" w:hAnsi="Times New Roman;sans-serif"/>
          <w:b w:val="false"/>
          <w:i/>
          <w:color w:val="000000"/>
          <w:sz w:val="16"/>
        </w:rPr>
        <w:t>(1)</w:t>
      </w:r>
      <w:r>
        <w:rPr>
          <w:rFonts w:ascii="Times New Roman;sans-serif" w:hAnsi="Times New Roman;sans-serif"/>
          <w:b w:val="false"/>
          <w:i/>
          <w:color w:val="000000"/>
          <w:sz w:val="18"/>
        </w:rPr>
        <w:t>These are reclassified to net income and are included in cost of revenues, operating expenses and interest expense, as applicable in the unaudited consolidated statements of income. Refer to Note 17 - Derivatives and Hedge Accounting to the unaudited consolidated financial statements.</w:t>
      </w:r>
    </w:p>
    <w:p>
      <w:pPr>
        <w:pStyle w:val="TextBody"/>
        <w:bidi w:val="0"/>
        <w:spacing w:before="0" w:after="0"/>
        <w:jc w:val="both"/>
        <w:rPr/>
      </w:pPr>
      <w:r>
        <w:rPr/>
      </w:r>
    </w:p>
    <w:p>
      <w:pPr>
        <w:pStyle w:val="TextBody"/>
        <w:bidi w:val="0"/>
        <w:spacing w:lineRule="auto" w:line="276" w:before="0" w:after="0"/>
        <w:ind w:left="0" w:right="0" w:hanging="630"/>
        <w:jc w:val="both"/>
        <w:rPr/>
      </w:pPr>
      <w:r>
        <w:rPr>
          <w:rFonts w:ascii="Times New Roman;sans-serif" w:hAnsi="Times New Roman;sans-serif"/>
          <w:b w:val="false"/>
          <w:color w:val="000000"/>
          <w:sz w:val="16"/>
        </w:rPr>
        <w:t>(2)</w:t>
      </w:r>
      <w:r>
        <w:rPr>
          <w:rFonts w:ascii="Times New Roman;sans-serif" w:hAnsi="Times New Roman;sans-serif"/>
          <w:b w:val="false"/>
          <w:i/>
          <w:color w:val="000000"/>
          <w:sz w:val="18"/>
        </w:rPr>
        <w:t>These are reclassified to net income and are included in other income/(loss), net in the unaudited consolidated statements of income. Refer to Note 20 - Employee Benefit Plans to the unaudited consolidated financial statements.</w:t>
      </w:r>
    </w:p>
    <w:p>
      <w:pPr>
        <w:pStyle w:val="TextBody"/>
        <w:bidi w:val="0"/>
        <w:spacing w:before="0" w:after="0"/>
        <w:ind w:left="0" w:right="0" w:hanging="270"/>
        <w:jc w:val="both"/>
        <w:rPr/>
      </w:pPr>
      <w:r>
        <w:rPr/>
      </w:r>
    </w:p>
    <w:p>
      <w:pPr>
        <w:pStyle w:val="TextBody"/>
        <w:bidi w:val="0"/>
        <w:spacing w:lineRule="auto" w:line="276" w:before="0" w:after="0"/>
        <w:ind w:left="0" w:right="0" w:hanging="630"/>
        <w:jc w:val="both"/>
        <w:rPr/>
      </w:pPr>
      <w:r>
        <w:rPr>
          <w:rFonts w:ascii="Times New Roman;sans-serif" w:hAnsi="Times New Roman;sans-serif"/>
          <w:b w:val="false"/>
          <w:i/>
          <w:color w:val="000000"/>
          <w:sz w:val="16"/>
        </w:rPr>
        <w:t>(3)</w:t>
      </w:r>
      <w:r>
        <w:rPr>
          <w:rFonts w:ascii="Times New Roman;sans-serif" w:hAnsi="Times New Roman;sans-serif"/>
          <w:b w:val="false"/>
          <w:i/>
          <w:color w:val="000000"/>
          <w:sz w:val="18"/>
        </w:rPr>
        <w:t>These are income tax effects recognized on cash flow hedges, retirement benefits and foreign currency translation gain/(loss). Refer to Note 22 - Income Taxes to the unaudited consolidated financial statements.</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180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972c7b333c94ee3bad0bd2154cbac49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EXLSERVICE HOLDINGS, INC.</w:t>
      </w:r>
    </w:p>
    <w:p>
      <w:pPr>
        <w:pStyle w:val="TextBody"/>
        <w:bidi w:val="0"/>
        <w:spacing w:lineRule="auto" w:line="276"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June 30, 2023 and 2022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count)</w:t>
      </w:r>
    </w:p>
    <w:p>
      <w:pPr>
        <w:pStyle w:val="TextBody"/>
        <w:bidi w:val="0"/>
        <w:spacing w:before="0" w:after="0"/>
        <w:jc w:val="center"/>
        <w:rPr/>
      </w:pPr>
      <w:r>
        <w:rPr/>
      </w:r>
    </w:p>
    <w:p>
      <w:pPr>
        <w:pStyle w:val="TextBody"/>
        <w:bidi w:val="0"/>
        <w:spacing w:before="0" w:after="0"/>
        <w:jc w:val="center"/>
        <w:rPr/>
      </w:pPr>
      <w:r>
        <w:rPr/>
      </w:r>
    </w:p>
    <w:tbl>
      <w:tblPr>
        <w:tblW w:w="11890" w:type="dxa"/>
        <w:jc w:val="left"/>
        <w:tblInd w:w="0" w:type="dxa"/>
        <w:tblLayout w:type="fixed"/>
        <w:tblCellMar>
          <w:top w:w="28" w:type="dxa"/>
          <w:left w:w="28" w:type="dxa"/>
          <w:bottom w:w="28" w:type="dxa"/>
          <w:right w:w="28" w:type="dxa"/>
        </w:tblCellMar>
      </w:tblPr>
      <w:tblGrid>
        <w:gridCol w:w="730"/>
        <w:gridCol w:w="220"/>
        <w:gridCol w:w="221"/>
        <w:gridCol w:w="488"/>
        <w:gridCol w:w="488"/>
        <w:gridCol w:w="196"/>
        <w:gridCol w:w="109"/>
        <w:gridCol w:w="109"/>
        <w:gridCol w:w="109"/>
        <w:gridCol w:w="208"/>
        <w:gridCol w:w="367"/>
        <w:gridCol w:w="116"/>
        <w:gridCol w:w="109"/>
        <w:gridCol w:w="109"/>
        <w:gridCol w:w="109"/>
        <w:gridCol w:w="196"/>
        <w:gridCol w:w="751"/>
        <w:gridCol w:w="109"/>
        <w:gridCol w:w="109"/>
        <w:gridCol w:w="109"/>
        <w:gridCol w:w="109"/>
        <w:gridCol w:w="196"/>
        <w:gridCol w:w="751"/>
        <w:gridCol w:w="109"/>
        <w:gridCol w:w="109"/>
        <w:gridCol w:w="109"/>
        <w:gridCol w:w="109"/>
        <w:gridCol w:w="225"/>
        <w:gridCol w:w="864"/>
        <w:gridCol w:w="127"/>
        <w:gridCol w:w="109"/>
        <w:gridCol w:w="109"/>
        <w:gridCol w:w="109"/>
        <w:gridCol w:w="443"/>
        <w:gridCol w:w="443"/>
        <w:gridCol w:w="196"/>
        <w:gridCol w:w="109"/>
        <w:gridCol w:w="109"/>
        <w:gridCol w:w="109"/>
        <w:gridCol w:w="196"/>
        <w:gridCol w:w="751"/>
        <w:gridCol w:w="109"/>
        <w:gridCol w:w="109"/>
        <w:gridCol w:w="109"/>
        <w:gridCol w:w="109"/>
        <w:gridCol w:w="196"/>
        <w:gridCol w:w="751"/>
        <w:gridCol w:w="154"/>
      </w:tblGrid>
      <w:tr>
        <w:trPr/>
        <w:tc>
          <w:tcPr>
            <w:tcW w:w="73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March 31, 2023</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40,334,368</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40</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460,527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950,436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(131,487)</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(7,012,913)</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(484,294)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795,222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issued against stock-based compensation plans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15,359 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treasury stock</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(184,144)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7,340 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49,068 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June 30, 2023</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40,349,727</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40</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472,124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999,504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(124,147)</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(7,197,057)</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(513,307)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834,214</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bl>
      <w:tblPr>
        <w:tblW w:w="11890" w:type="dxa"/>
        <w:jc w:val="left"/>
        <w:tblInd w:w="0" w:type="dxa"/>
        <w:tblLayout w:type="fixed"/>
        <w:tblCellMar>
          <w:top w:w="28" w:type="dxa"/>
          <w:left w:w="28" w:type="dxa"/>
          <w:bottom w:w="28" w:type="dxa"/>
          <w:right w:w="28" w:type="dxa"/>
        </w:tblCellMar>
      </w:tblPr>
      <w:tblGrid>
        <w:gridCol w:w="730"/>
        <w:gridCol w:w="220"/>
        <w:gridCol w:w="221"/>
        <w:gridCol w:w="488"/>
        <w:gridCol w:w="488"/>
        <w:gridCol w:w="196"/>
        <w:gridCol w:w="109"/>
        <w:gridCol w:w="109"/>
        <w:gridCol w:w="109"/>
        <w:gridCol w:w="208"/>
        <w:gridCol w:w="367"/>
        <w:gridCol w:w="116"/>
        <w:gridCol w:w="109"/>
        <w:gridCol w:w="109"/>
        <w:gridCol w:w="109"/>
        <w:gridCol w:w="196"/>
        <w:gridCol w:w="751"/>
        <w:gridCol w:w="109"/>
        <w:gridCol w:w="109"/>
        <w:gridCol w:w="109"/>
        <w:gridCol w:w="109"/>
        <w:gridCol w:w="196"/>
        <w:gridCol w:w="751"/>
        <w:gridCol w:w="109"/>
        <w:gridCol w:w="109"/>
        <w:gridCol w:w="109"/>
        <w:gridCol w:w="109"/>
        <w:gridCol w:w="225"/>
        <w:gridCol w:w="864"/>
        <w:gridCol w:w="127"/>
        <w:gridCol w:w="109"/>
        <w:gridCol w:w="109"/>
        <w:gridCol w:w="109"/>
        <w:gridCol w:w="443"/>
        <w:gridCol w:w="443"/>
        <w:gridCol w:w="196"/>
        <w:gridCol w:w="109"/>
        <w:gridCol w:w="109"/>
        <w:gridCol w:w="109"/>
        <w:gridCol w:w="196"/>
        <w:gridCol w:w="751"/>
        <w:gridCol w:w="109"/>
        <w:gridCol w:w="109"/>
        <w:gridCol w:w="109"/>
        <w:gridCol w:w="109"/>
        <w:gridCol w:w="196"/>
        <w:gridCol w:w="751"/>
        <w:gridCol w:w="154"/>
      </w:tblGrid>
      <w:tr>
        <w:trPr/>
        <w:tc>
          <w:tcPr>
            <w:tcW w:w="73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March 31, 2022</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39,794,154</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40</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406,966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792,315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(98,306)</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(6,465,410)</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(400,674)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700,341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issued against stock-based compensation plans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treasury stock</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(205,716)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(35,068)</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June 30, 2022</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39,795,161</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40</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420,306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828,161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(133,374)</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(6,671,126)</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(429,480)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685,653</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972c7b333c94ee3bad0bd2154cbac49_7">
        <w:r>
          <w:rPr>
            <w:rStyle w:val="InternetLink"/>
            <w:rFonts w:ascii="Times New Roman;sans-serif" w:hAnsi="Times New Roman;sans-serif"/>
            <w:b/>
            <w:color w:val="0000FF"/>
            <w:sz w:val="20"/>
            <w:u w:val="single"/>
          </w:rPr>
          <w:t>Table of Contents</w:t>
        </w:r>
      </w:hyperlink>
    </w:p>
    <w:p>
      <w:pPr>
        <w:pStyle w:val="TextBody"/>
        <w:bidi w:val="0"/>
        <w:spacing w:lineRule="auto" w:line="288" w:before="1320" w:after="283"/>
        <w:jc w:val="center"/>
        <w:rPr>
          <w:rFonts w:ascii="Times New Roman;sans-serif" w:hAnsi="Times New Roman;sans-serif"/>
          <w:b/>
          <w:color w:val="000000"/>
          <w:sz w:val="20"/>
        </w:rPr>
      </w:pPr>
      <w:r>
        <w:rPr>
          <w:rFonts w:ascii="Times New Roman;sans-serif" w:hAnsi="Times New Roman;sans-serif"/>
          <w:b/>
          <w:color w:val="000000"/>
          <w:sz w:val="20"/>
        </w:rPr>
        <w:t>EXLSERVICE HOLDINGS, INC.</w:t>
      </w:r>
    </w:p>
    <w:p>
      <w:pPr>
        <w:pStyle w:val="TextBody"/>
        <w:bidi w:val="0"/>
        <w:spacing w:lineRule="auto" w:line="276"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six months ended June 30, 2023 and 2022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count)</w:t>
      </w:r>
    </w:p>
    <w:p>
      <w:pPr>
        <w:pStyle w:val="TextBody"/>
        <w:bidi w:val="0"/>
        <w:spacing w:before="0" w:after="0"/>
        <w:jc w:val="center"/>
        <w:rPr/>
      </w:pPr>
      <w:r>
        <w:rPr/>
      </w:r>
    </w:p>
    <w:tbl>
      <w:tblPr>
        <w:tblW w:w="12326" w:type="dxa"/>
        <w:jc w:val="center"/>
        <w:tblInd w:w="0" w:type="dxa"/>
        <w:tblLayout w:type="fixed"/>
        <w:tblCellMar>
          <w:top w:w="28" w:type="dxa"/>
          <w:left w:w="28" w:type="dxa"/>
          <w:bottom w:w="28" w:type="dxa"/>
          <w:right w:w="28" w:type="dxa"/>
        </w:tblCellMar>
      </w:tblPr>
      <w:tblGrid>
        <w:gridCol w:w="567"/>
        <w:gridCol w:w="368"/>
        <w:gridCol w:w="236"/>
        <w:gridCol w:w="488"/>
        <w:gridCol w:w="488"/>
        <w:gridCol w:w="196"/>
        <w:gridCol w:w="109"/>
        <w:gridCol w:w="109"/>
        <w:gridCol w:w="109"/>
        <w:gridCol w:w="208"/>
        <w:gridCol w:w="367"/>
        <w:gridCol w:w="116"/>
        <w:gridCol w:w="109"/>
        <w:gridCol w:w="109"/>
        <w:gridCol w:w="109"/>
        <w:gridCol w:w="196"/>
        <w:gridCol w:w="751"/>
        <w:gridCol w:w="109"/>
        <w:gridCol w:w="109"/>
        <w:gridCol w:w="109"/>
        <w:gridCol w:w="109"/>
        <w:gridCol w:w="196"/>
        <w:gridCol w:w="751"/>
        <w:gridCol w:w="109"/>
        <w:gridCol w:w="109"/>
        <w:gridCol w:w="109"/>
        <w:gridCol w:w="109"/>
        <w:gridCol w:w="225"/>
        <w:gridCol w:w="864"/>
        <w:gridCol w:w="127"/>
        <w:gridCol w:w="109"/>
        <w:gridCol w:w="109"/>
        <w:gridCol w:w="109"/>
        <w:gridCol w:w="443"/>
        <w:gridCol w:w="443"/>
        <w:gridCol w:w="196"/>
        <w:gridCol w:w="109"/>
        <w:gridCol w:w="109"/>
        <w:gridCol w:w="109"/>
        <w:gridCol w:w="196"/>
        <w:gridCol w:w="751"/>
        <w:gridCol w:w="109"/>
        <w:gridCol w:w="109"/>
        <w:gridCol w:w="109"/>
        <w:gridCol w:w="109"/>
        <w:gridCol w:w="109"/>
        <w:gridCol w:w="109"/>
        <w:gridCol w:w="109"/>
        <w:gridCol w:w="109"/>
        <w:gridCol w:w="196"/>
        <w:gridCol w:w="751"/>
        <w:gridCol w:w="154"/>
      </w:tblGrid>
      <w:tr>
        <w:trPr/>
        <w:tc>
          <w:tcPr>
            <w:tcW w:w="56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January 1, 2023</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39,987,976</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40</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445,108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899,105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(144,143)</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(6,753,532)</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(441,931)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758,179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issued against stock-based compensation plans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361,751 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treasury stock</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(443,525)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(71,376)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(71,376)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19,996 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100,399 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June 30, 2023</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40,349,727</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40</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472,124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999,504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(124,147)</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(7,197,057)</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(513,307)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834,214</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tbl>
      <w:tblPr>
        <w:tblW w:w="11890" w:type="dxa"/>
        <w:jc w:val="center"/>
        <w:tblInd w:w="0" w:type="dxa"/>
        <w:tblLayout w:type="fixed"/>
        <w:tblCellMar>
          <w:top w:w="28" w:type="dxa"/>
          <w:left w:w="28" w:type="dxa"/>
          <w:bottom w:w="28" w:type="dxa"/>
          <w:right w:w="28" w:type="dxa"/>
        </w:tblCellMar>
      </w:tblPr>
      <w:tblGrid>
        <w:gridCol w:w="567"/>
        <w:gridCol w:w="368"/>
        <w:gridCol w:w="236"/>
        <w:gridCol w:w="488"/>
        <w:gridCol w:w="488"/>
        <w:gridCol w:w="196"/>
        <w:gridCol w:w="109"/>
        <w:gridCol w:w="109"/>
        <w:gridCol w:w="109"/>
        <w:gridCol w:w="208"/>
        <w:gridCol w:w="367"/>
        <w:gridCol w:w="116"/>
        <w:gridCol w:w="109"/>
        <w:gridCol w:w="109"/>
        <w:gridCol w:w="109"/>
        <w:gridCol w:w="196"/>
        <w:gridCol w:w="751"/>
        <w:gridCol w:w="109"/>
        <w:gridCol w:w="109"/>
        <w:gridCol w:w="109"/>
        <w:gridCol w:w="109"/>
        <w:gridCol w:w="196"/>
        <w:gridCol w:w="751"/>
        <w:gridCol w:w="109"/>
        <w:gridCol w:w="109"/>
        <w:gridCol w:w="109"/>
        <w:gridCol w:w="109"/>
        <w:gridCol w:w="225"/>
        <w:gridCol w:w="864"/>
        <w:gridCol w:w="127"/>
        <w:gridCol w:w="109"/>
        <w:gridCol w:w="109"/>
        <w:gridCol w:w="109"/>
        <w:gridCol w:w="443"/>
        <w:gridCol w:w="443"/>
        <w:gridCol w:w="196"/>
        <w:gridCol w:w="109"/>
        <w:gridCol w:w="109"/>
        <w:gridCol w:w="109"/>
        <w:gridCol w:w="196"/>
        <w:gridCol w:w="751"/>
        <w:gridCol w:w="109"/>
        <w:gridCol w:w="109"/>
        <w:gridCol w:w="109"/>
        <w:gridCol w:w="109"/>
        <w:gridCol w:w="196"/>
        <w:gridCol w:w="751"/>
        <w:gridCol w:w="154"/>
      </w:tblGrid>
      <w:tr>
        <w:trPr/>
        <w:tc>
          <w:tcPr>
            <w:tcW w:w="56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January 1, 2022</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39,508,340</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40</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395,742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756,137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(89,474)</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(6,216,858)</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(369,289)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693,156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issued against stock-based compensation plans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286,821 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treasury stock</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(454,268)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(60,191)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(60,191)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(43,900)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(43,900)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72,024 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June 30, 2022</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39,795,161</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40</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420,306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828,161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(133,374)</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(6,671,126)</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(429,480)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685,653</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3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972c7b333c94ee3bad0bd2154cbac49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EXLSERVICE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8277" w:type="dxa"/>
        <w:jc w:val="center"/>
        <w:tblInd w:w="0" w:type="dxa"/>
        <w:tblLayout w:type="fixed"/>
        <w:tblCellMar>
          <w:top w:w="28" w:type="dxa"/>
          <w:left w:w="28" w:type="dxa"/>
          <w:bottom w:w="28" w:type="dxa"/>
          <w:right w:w="28" w:type="dxa"/>
        </w:tblCellMar>
      </w:tblPr>
      <w:tblGrid>
        <w:gridCol w:w="2071"/>
        <w:gridCol w:w="1814"/>
        <w:gridCol w:w="1829"/>
        <w:gridCol w:w="196"/>
        <w:gridCol w:w="736"/>
        <w:gridCol w:w="109"/>
        <w:gridCol w:w="109"/>
        <w:gridCol w:w="109"/>
        <w:gridCol w:w="109"/>
        <w:gridCol w:w="196"/>
        <w:gridCol w:w="736"/>
        <w:gridCol w:w="109"/>
        <w:gridCol w:w="154"/>
      </w:tblGrid>
      <w:tr>
        <w:trPr/>
        <w:tc>
          <w:tcPr>
            <w:tcW w:w="2071"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operating lease right-of-use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(gain)/loss on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foreign currency exchange (gain)/loss,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 benefit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Allowance for expected credit losses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Fair value changes in contingent consideration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operating assets and liabilities, net of effects of acquisitions: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(46,385)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 payable,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Deferred revenue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employee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 and other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operating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63,559 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53,008 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investing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 of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Business acquisition (net of cash and cash equivalents acquired)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(113,823)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(96,082)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redemption of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by/(used for) investing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(40,987)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financing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Principal payments of finance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borrowings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Repayments of borrowings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treasury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(70,638)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(60,191)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contingent consideration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ESPP contribution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exercise of stock options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for financing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(101,833)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exchange rate changes on cash, cash equivalents and restricted cash</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decrease in cash, cash equivalents and restricted cash</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at the beginning of the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at the end of the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100,660 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disclosure of cash flow information:</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during the period for:</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 net of refunds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disclosure of non-cash investing and financing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Assets acquired under finance lease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972c7b333c94ee3bad0bd2154cbac49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EXLSERVICE HOLDINGS,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June 30, 2023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 and share count)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 Organization</w:t>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ExlService Holdings, Inc. (“ExlService Holdings”) is organized as a corporation under the laws of the state of Delaware. ExlService Holdings, together with its subsidiaries and affiliates (collectively, the “Company”), is a leading data analytics and digital operations and solutions company that partners with clients to improve business outcomes and unlock growth. By bringing together deep domain expertise with robust data, powerful analytics, cloud, artificial intelligence and machine learning, the Company creates agile, scalable solutions and executes complex operations for the world’s leading corporations in industries including insurance, healthcare, banking and financial services, media, and retail, among others. The Company’s data-led value creation framework enables better and faster decision making, leveraging its end-to-end data and analytics capabilities to drive improved business outcomes, and re-designing of operating models to integrate advanced technology into operational workflows. The Company embeds digital operations and solutions into clients’ businesses and introduces its data led approach to transform operations.</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clients are located principally in the United States of America (“U.S.”) and the United Kingdom (“U.K.”).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lineRule="auto" w:line="288" w:before="360" w:after="283"/>
        <w:ind w:left="0" w:right="0" w:hanging="270"/>
        <w:jc w:val="both"/>
        <w:rPr>
          <w:rFonts w:ascii="Times New Roman;sans-serif" w:hAnsi="Times New Roman;sans-serif"/>
          <w:b/>
          <w:i/>
          <w:color w:val="000000"/>
          <w:sz w:val="20"/>
        </w:rPr>
      </w:pPr>
      <w:r>
        <w:rPr>
          <w:rFonts w:ascii="Times New Roman;sans-serif" w:hAnsi="Times New Roman;sans-serif"/>
          <w:b/>
          <w:i/>
          <w:color w:val="000000"/>
          <w:sz w:val="20"/>
        </w:rPr>
        <w:t>(a)Basis of Preparation and Principles of Consolidation</w:t>
      </w:r>
    </w:p>
    <w:p>
      <w:pPr>
        <w:pStyle w:val="TextBody"/>
        <w:bidi w:val="0"/>
        <w:spacing w:before="0" w:after="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unaudited consolidated financial statements have been prepared in conformity with United States generally accepted accounting principles (“U.S. GAAP”) for interim financial information, the instructions to Form 10-Q and Article 10 of Regulation S-X. Accordingly, they do not include all of the information and footnotes required by U.S. GAAP for annual financial statements and therefore should be read in conjunction with the audited consolidated financial statements and footnotes thereto included in the Company’s Annual Report on Form 10-K for the fiscal year ended December 31, 2022.</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unaudited consolidated financial statements reflect all adjustments (of a normal and recurring nature) that management considers necessary for a fair presentation of such statements for the interim periods presented. The unaudited consolidated statements of income for the interim periods presented are not necessarily indicative of the results for the full year or for any subsequent period.</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consolidated financial statements include the financial statements of ExlService Holdings and all of its subsidiaries. The standalone financial statements of subsidiaries are fully consolidated on a line-by-line basis. Intra-group balances and transactions, and gains and losses arising from intra-group transactions, are eliminated while preparing consolidated financial statements.</w:t>
      </w:r>
    </w:p>
    <w:p>
      <w:pPr>
        <w:pStyle w:val="TextBody"/>
        <w:bidi w:val="0"/>
        <w:spacing w:before="0" w:after="0"/>
        <w:ind w:left="0" w:right="0" w:firstLine="45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investments in equity affiliates are initially recorded at cost and any excess purchase consideration paid over proportionate share of the fair value of the net assets of the investee at the acquisition date is recognized as goodwill. The proportionate share of net income or loss of the investee after its acquisition is recognized in the unaudited consolidated statements of income.</w:t>
      </w:r>
    </w:p>
    <w:p>
      <w:pPr>
        <w:pStyle w:val="TextBody"/>
        <w:bidi w:val="0"/>
        <w:spacing w:before="0" w:after="0"/>
        <w:ind w:left="0" w:right="0" w:firstLine="36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Accounting policies of the respective individual subsidiaries and equity affiliates are aligned wherever necessary, so as to ensure consistency with the accounting policies that are adopted by the Company under U.S. GAAP.</w:t>
      </w:r>
    </w:p>
    <w:p>
      <w:pPr>
        <w:pStyle w:val="TextBody"/>
        <w:bidi w:val="0"/>
        <w:spacing w:before="0" w:after="0"/>
        <w:ind w:left="0" w:right="0" w:firstLine="360"/>
        <w:jc w:val="both"/>
        <w:rPr/>
      </w:pPr>
      <w:r>
        <w:rPr/>
      </w:r>
    </w:p>
    <w:p>
      <w:pPr>
        <w:pStyle w:val="TextBody"/>
        <w:bidi w:val="0"/>
        <w:spacing w:lineRule="auto" w:line="288" w:before="0" w:after="0"/>
        <w:ind w:left="0" w:right="0" w:hanging="270"/>
        <w:jc w:val="both"/>
        <w:rPr>
          <w:rFonts w:ascii="Times New Roman;sans-serif" w:hAnsi="Times New Roman;sans-serif"/>
          <w:b/>
          <w:i/>
          <w:color w:val="000000"/>
          <w:sz w:val="20"/>
        </w:rPr>
      </w:pPr>
      <w:r>
        <w:rPr>
          <w:rFonts w:ascii="Times New Roman;sans-serif" w:hAnsi="Times New Roman;sans-serif"/>
          <w:b/>
          <w:i/>
          <w:color w:val="000000"/>
          <w:sz w:val="20"/>
        </w:rPr>
        <w:t>(b)Use of Estimates</w:t>
      </w:r>
    </w:p>
    <w:p>
      <w:pPr>
        <w:pStyle w:val="TextBody"/>
        <w:bidi w:val="0"/>
        <w:spacing w:before="0" w:after="0"/>
        <w:ind w:left="0" w:right="0" w:firstLine="9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the unaudited consolidated financial statements in conformity with U.S. GAAP requires management to make estimates and assumptions that affect the reported amounts of assets and liabilities and disclosure of contingent assets and liabilities at the date of the unaudited consolidated financial statements and the unaudited consolidated statements of income during the reporting period. Although these estimates are based on management’s best assessment of the current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c972c7b333c94ee3bad0bd2154cbac49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EXLSERVICE HOLDINGS,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 and share count)</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business environment, actual results may be different from those estimates. The significant estimates and assumptions that affect the unaudited consolidated financial statements include, but are not limited to, estimates of the fair value of the identifiable intangible assets and contingent consideration, purchase price allocation, including revenue projections and the discount rate applied within the discounted cash flow model for business acquisitions, credit risk of customers, the nature and timing of the satisfaction of performance obligations, the standalone selling price of performance obligations, and variable consideration in a customer contract, expected recoverability from customers with contingent fee arrangements, estimated costs to complete fixed price contracts, recoverability of dues from statutory authorities, assets and obligations related to employee benefit plans, deferred tax valuation allowances, income-tax uncertainties and other contingencies, valuation of derivative financial instruments, stock-based awards, and debt instruments, assumptions used to calculate stock-based compensation expense, assumptions used to determine the incremental borrowing rate to calculate lease liabilities and right-of-use (“ROU”) assets, lease term to calculate amortization of ROU, depreciation and amortization periods, and recoverability of long-lived assets, goodwill and intangibles.</w:t>
      </w:r>
    </w:p>
    <w:p>
      <w:pPr>
        <w:pStyle w:val="TextBody"/>
        <w:bidi w:val="0"/>
        <w:spacing w:before="0" w:after="0"/>
        <w:ind w:left="0" w:right="0" w:firstLine="450"/>
        <w:jc w:val="both"/>
        <w:rPr/>
      </w:pPr>
      <w:r>
        <w:rPr/>
      </w:r>
    </w:p>
    <w:p>
      <w:pPr>
        <w:pStyle w:val="TextBody"/>
        <w:bidi w:val="0"/>
        <w:spacing w:lineRule="auto" w:line="288" w:before="0" w:after="0"/>
        <w:ind w:left="0" w:right="0" w:hanging="270"/>
        <w:jc w:val="both"/>
        <w:rPr>
          <w:rFonts w:ascii="Times New Roman;sans-serif" w:hAnsi="Times New Roman;sans-serif"/>
          <w:b/>
          <w:i/>
          <w:color w:val="000000"/>
          <w:sz w:val="20"/>
        </w:rPr>
      </w:pPr>
      <w:r>
        <w:rPr>
          <w:rFonts w:ascii="Times New Roman;sans-serif" w:hAnsi="Times New Roman;sans-serif"/>
          <w:b/>
          <w:i/>
          <w:color w:val="000000"/>
          <w:sz w:val="20"/>
        </w:rPr>
        <w:t>(c)Recent Accounting Pronouncements</w:t>
      </w:r>
    </w:p>
    <w:p>
      <w:pPr>
        <w:pStyle w:val="TextBody"/>
        <w:bidi w:val="0"/>
        <w:spacing w:before="0" w:after="0"/>
        <w:ind w:left="0" w:right="0" w:firstLine="90"/>
        <w:jc w:val="both"/>
        <w:rPr/>
      </w:pPr>
      <w:r>
        <w:rPr/>
      </w:r>
    </w:p>
    <w:p>
      <w:pPr>
        <w:pStyle w:val="TextBody"/>
        <w:bidi w:val="0"/>
        <w:spacing w:lineRule="auto" w:line="268" w:before="0" w:after="0"/>
        <w:ind w:left="0" w:right="0" w:firstLine="450"/>
        <w:jc w:val="both"/>
        <w:rPr/>
      </w:pPr>
      <w:r>
        <w:rPr>
          <w:rFonts w:ascii="Times New Roman;sans-serif" w:hAnsi="Times New Roman;sans-serif"/>
          <w:b w:val="false"/>
          <w:color w:val="000000"/>
          <w:sz w:val="20"/>
        </w:rPr>
        <w:t xml:space="preserve">In March 2023, the Financial Accounting Standard Board (“FASB”) issued Accounting Standard Update (“ASU”) No. 2023-01, </w:t>
      </w:r>
      <w:r>
        <w:rPr>
          <w:rFonts w:ascii="Times New Roman;sans-serif" w:hAnsi="Times New Roman;sans-serif"/>
          <w:b w:val="false"/>
          <w:i/>
          <w:color w:val="000000"/>
          <w:sz w:val="20"/>
        </w:rPr>
        <w:t>Leases (“ASC Topic 842”): Common Control Arrangements</w:t>
      </w:r>
      <w:r>
        <w:rPr>
          <w:rFonts w:ascii="Times New Roman;sans-serif" w:hAnsi="Times New Roman;sans-serif"/>
          <w:b w:val="false"/>
          <w:color w:val="000000"/>
          <w:sz w:val="20"/>
        </w:rPr>
        <w:t>. This ASU provides guidance in ASC Topic 842 that leasehold improvements associated with common control leases should be (i) amortized by the lessee over the useful life of the leasehold improvements to the common control group, regardless of the lease term, as long as the lessee controls the use of the underlying asset through a lease, and (ii) accounted for as a transfer between entities under common control through an adjustment to equity if and when the lessee no longer controls the use of the underlying asset. The ASU is effective for fiscal years beginning after December 15, 2023. Early adoption is permitted for both interim and annual financial statements that have not yet been issued. When adopted in an interim period, it must be adopted from the beginning of the year that includes that interim period. The Company is currently evaluating the impact of this ASU on its consolidated financial statements.</w:t>
      </w:r>
    </w:p>
    <w:p>
      <w:pPr>
        <w:pStyle w:val="TextBody"/>
        <w:bidi w:val="0"/>
        <w:spacing w:lineRule="auto" w:line="288" w:before="0" w:after="0"/>
        <w:ind w:left="0" w:right="0" w:firstLine="90"/>
        <w:jc w:val="both"/>
        <w:rPr>
          <w:color w:val="000000"/>
        </w:rPr>
      </w:pPr>
      <w:r>
        <w:rPr>
          <w:color w:val="000000"/>
        </w:rPr>
        <w:t>    </w:t>
      </w:r>
    </w:p>
    <w:p>
      <w:pPr>
        <w:pStyle w:val="TextBody"/>
        <w:bidi w:val="0"/>
        <w:spacing w:lineRule="auto" w:line="288" w:before="0" w:after="0"/>
        <w:ind w:left="0" w:right="0" w:hanging="270"/>
        <w:jc w:val="both"/>
        <w:rPr/>
      </w:pPr>
      <w:r>
        <w:rPr>
          <w:rFonts w:ascii="Times New Roman;sans-serif" w:hAnsi="Times New Roman;sans-serif"/>
          <w:b/>
          <w:color w:val="000000"/>
          <w:sz w:val="20"/>
        </w:rPr>
        <w:t>(d)</w:t>
      </w:r>
      <w:r>
        <w:rPr>
          <w:rFonts w:ascii="Times New Roman;sans-serif" w:hAnsi="Times New Roman;sans-serif"/>
          <w:b/>
          <w:i/>
          <w:color w:val="000000"/>
          <w:sz w:val="20"/>
        </w:rPr>
        <w:t>Recently adopted Accounting Pronouncements</w:t>
      </w:r>
    </w:p>
    <w:p>
      <w:pPr>
        <w:pStyle w:val="TextBody"/>
        <w:bidi w:val="0"/>
        <w:spacing w:before="0" w:after="0"/>
        <w:ind w:left="0" w:right="0" w:firstLine="90"/>
        <w:jc w:val="both"/>
        <w:rPr/>
      </w:pPr>
      <w:r>
        <w:rPr/>
      </w:r>
    </w:p>
    <w:p>
      <w:pPr>
        <w:pStyle w:val="TextBody"/>
        <w:bidi w:val="0"/>
        <w:spacing w:lineRule="auto" w:line="268" w:before="0" w:after="0"/>
        <w:ind w:left="0" w:right="0" w:firstLine="450"/>
        <w:jc w:val="both"/>
        <w:rPr/>
      </w:pPr>
      <w:r>
        <w:rPr>
          <w:rFonts w:ascii="Times New Roman;sans-serif" w:hAnsi="Times New Roman;sans-serif"/>
          <w:b w:val="false"/>
          <w:color w:val="000000"/>
          <w:sz w:val="20"/>
        </w:rPr>
        <w:t xml:space="preserve">In October 2021, FASB issued ASU No. 2021-08, </w:t>
      </w:r>
      <w:r>
        <w:rPr>
          <w:rFonts w:ascii="Times New Roman;sans-serif" w:hAnsi="Times New Roman;sans-serif"/>
          <w:b w:val="false"/>
          <w:i/>
          <w:color w:val="000000"/>
          <w:sz w:val="20"/>
        </w:rPr>
        <w:t>Business Combinations (“ASC Topic 805”)</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Accounting for Contract Assets and Contract Liabilities from Contracts with Customers</w:t>
      </w:r>
      <w:r>
        <w:rPr>
          <w:rFonts w:ascii="Times New Roman;sans-serif" w:hAnsi="Times New Roman;sans-serif"/>
          <w:b w:val="false"/>
          <w:color w:val="000000"/>
          <w:sz w:val="20"/>
        </w:rPr>
        <w:t xml:space="preserve">. This ASU provides guidance in ASC Topic 805 to require the acquirer entity to recognize and measure contract assets and contract liabilities acquired in a business combination in accordance with ASC Topic 606, </w:t>
      </w:r>
      <w:r>
        <w:rPr>
          <w:rFonts w:ascii="Times New Roman;sans-serif" w:hAnsi="Times New Roman;sans-serif"/>
          <w:b w:val="false"/>
          <w:i/>
          <w:color w:val="000000"/>
          <w:sz w:val="20"/>
        </w:rPr>
        <w:t>Revenue from Contract with Customers</w:t>
      </w:r>
      <w:r>
        <w:rPr>
          <w:rFonts w:ascii="Times New Roman;sans-serif" w:hAnsi="Times New Roman;sans-serif"/>
          <w:b w:val="false"/>
          <w:color w:val="000000"/>
          <w:sz w:val="20"/>
        </w:rPr>
        <w:t>, as if it had originated the contracts. Generally, this should result in an acquirer recognizing and measuring the acquired contract assets and contract liabilities consistent with how they were recognized and measured in the acquiree’s financial statements, if the acquiree prepared financial statements in accordance with U.S. GAAP. The ASU is effective for fiscal years beginning after December 15, 2022. An entity may early adopt the ASU including adoption in an interim period, with retrospective application to all business combinations within the fiscal year that includes such interim period. The adoption of this ASU is applicable for future business combinations.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3. Segment and Geographical Information</w:t>
      </w:r>
    </w:p>
    <w:p>
      <w:pPr>
        <w:pStyle w:val="TextBody"/>
        <w:bidi w:val="0"/>
        <w:spacing w:before="0" w:after="0"/>
        <w:jc w:val="both"/>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a provider of data analytics and digital operations and solutions.</w:t>
      </w:r>
    </w:p>
    <w:p>
      <w:pPr>
        <w:pStyle w:val="TextBody"/>
        <w:bidi w:val="0"/>
        <w:spacing w:before="0" w:after="0"/>
        <w:ind w:left="0" w:right="0" w:firstLine="450"/>
        <w:jc w:val="left"/>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manages and reports financial information through its four reportable segments: Insurance, Healthcare, Analytics and Emerging Business, which reflects how management reviews financial information and makes operating decisions. These business units develop client-specific solutions, build capabilities, maintain a unified go-to-market approach and are integrally responsible for service delivery, customer satisfaction, growth and profitability.</w:t>
      </w:r>
    </w:p>
    <w:p>
      <w:pPr>
        <w:pStyle w:val="TextBody"/>
        <w:bidi w:val="0"/>
        <w:spacing w:before="0" w:after="0"/>
        <w:ind w:left="0" w:right="0" w:firstLine="450"/>
        <w:jc w:val="both"/>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chief operating decision maker (“CODM”) generally reviews financial information such as revenues, cost of revenues and gross profit, disaggregated by the operating segments to allocate an overall budget among the operating segments.</w:t>
      </w:r>
    </w:p>
    <w:p>
      <w:pPr>
        <w:pStyle w:val="TextBody"/>
        <w:bidi w:val="0"/>
        <w:spacing w:before="0" w:after="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does not allocate, and therefore the CODM does not evaluate, certain operating expenses, interest expense or income taxes by segment. Many of the Company’s assets are shared by multiple operating segments. The Company manages these assets on a total Company basis, not by operating segment, and therefore asset information and capital expenditures by operating segment are not presented.</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Revenues and cost of revenues for the three months ended June 30, 2023 and 2022, respectively, for each of the reportable segments,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c972c7b333c94ee3bad0bd2154cbac49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EXLSERVICE HOLDINGS,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 and share count)</w:t>
      </w:r>
    </w:p>
    <w:tbl>
      <w:tblPr>
        <w:tblW w:w="10205" w:type="dxa"/>
        <w:jc w:val="center"/>
        <w:tblInd w:w="0" w:type="dxa"/>
        <w:tblLayout w:type="fixed"/>
        <w:tblCellMar>
          <w:top w:w="28" w:type="dxa"/>
          <w:left w:w="28" w:type="dxa"/>
          <w:bottom w:w="28" w:type="dxa"/>
          <w:right w:w="28" w:type="dxa"/>
        </w:tblCellMar>
      </w:tblPr>
      <w:tblGrid>
        <w:gridCol w:w="1208"/>
        <w:gridCol w:w="869"/>
        <w:gridCol w:w="870"/>
        <w:gridCol w:w="211"/>
        <w:gridCol w:w="826"/>
        <w:gridCol w:w="109"/>
        <w:gridCol w:w="109"/>
        <w:gridCol w:w="109"/>
        <w:gridCol w:w="109"/>
        <w:gridCol w:w="213"/>
        <w:gridCol w:w="727"/>
        <w:gridCol w:w="111"/>
        <w:gridCol w:w="109"/>
        <w:gridCol w:w="109"/>
        <w:gridCol w:w="109"/>
        <w:gridCol w:w="264"/>
        <w:gridCol w:w="904"/>
        <w:gridCol w:w="136"/>
        <w:gridCol w:w="109"/>
        <w:gridCol w:w="109"/>
        <w:gridCol w:w="109"/>
        <w:gridCol w:w="211"/>
        <w:gridCol w:w="826"/>
        <w:gridCol w:w="109"/>
        <w:gridCol w:w="109"/>
        <w:gridCol w:w="109"/>
        <w:gridCol w:w="109"/>
        <w:gridCol w:w="211"/>
        <w:gridCol w:w="826"/>
        <w:gridCol w:w="109"/>
        <w:gridCol w:w="157"/>
      </w:tblGrid>
      <w:tr>
        <w:trPr/>
        <w:tc>
          <w:tcPr>
            <w:tcW w:w="120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294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1"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2023</w:t>
            </w:r>
          </w:p>
        </w:tc>
        <w:tc>
          <w:tcPr>
            <w:tcW w:w="157" w:type="dxa"/>
            <w:tcBorders/>
          </w:tcPr>
          <w:p>
            <w:pPr>
              <w:pStyle w:val="TableContents"/>
              <w:bidi w:val="0"/>
              <w:spacing w:before="0" w:after="283"/>
              <w:jc w:val="left"/>
              <w:rPr>
                <w:sz w:val="4"/>
                <w:szCs w:val="4"/>
              </w:rPr>
            </w:pPr>
            <w:r>
              <w:rPr>
                <w:sz w:val="4"/>
                <w:szCs w:val="4"/>
              </w:rPr>
            </w:r>
          </w:p>
        </w:tc>
      </w:tr>
      <w:tr>
        <w:trPr/>
        <w:tc>
          <w:tcPr>
            <w:tcW w:w="2947"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Insurance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Healthcare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Emerging Business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Analytics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157" w:type="dxa"/>
            <w:tcBorders/>
          </w:tcPr>
          <w:p>
            <w:pPr>
              <w:pStyle w:val="TableContents"/>
              <w:bidi w:val="0"/>
              <w:spacing w:before="0" w:after="283"/>
              <w:jc w:val="left"/>
              <w:rPr>
                <w:sz w:val="4"/>
                <w:szCs w:val="4"/>
              </w:rPr>
            </w:pPr>
            <w:r>
              <w:rPr>
                <w:sz w:val="4"/>
                <w:szCs w:val="4"/>
              </w:rPr>
            </w:r>
          </w:p>
        </w:tc>
      </w:tr>
      <w:tr>
        <w:trPr/>
        <w:tc>
          <w:tcPr>
            <w:tcW w:w="2947"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30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27,156 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67,200 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404,996 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29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Cost of revenues</w:t>
            </w:r>
            <w:r>
              <w:rPr>
                <w:rFonts w:ascii="Times New Roman;sans-serif" w:hAnsi="Times New Roman;sans-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17,540 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37,845 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29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Gross profit</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29,355 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2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86,965 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2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gain, net, interest expense and other income, net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2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2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from equity-method investment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2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ans-serif" w:hAnsi="Times New Roman;sans-serif"/>
          <w:b w:val="false"/>
          <w:color w:val="000000"/>
          <w:sz w:val="14"/>
        </w:rPr>
        <w:t>(1)</w:t>
      </w:r>
      <w:r>
        <w:rPr>
          <w:color w:val="000000"/>
        </w:rPr>
        <w:t xml:space="preserve"> </w:t>
      </w:r>
      <w:r>
        <w:rPr>
          <w:rFonts w:ascii="Times New Roman;sans-serif" w:hAnsi="Times New Roman;sans-serif"/>
          <w:b w:val="false"/>
          <w:color w:val="000000"/>
          <w:sz w:val="20"/>
        </w:rPr>
        <w:t>Exclusive of depreciation and amortization expense.</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1196"/>
        <w:gridCol w:w="866"/>
        <w:gridCol w:w="868"/>
        <w:gridCol w:w="211"/>
        <w:gridCol w:w="826"/>
        <w:gridCol w:w="109"/>
        <w:gridCol w:w="109"/>
        <w:gridCol w:w="109"/>
        <w:gridCol w:w="109"/>
        <w:gridCol w:w="213"/>
        <w:gridCol w:w="727"/>
        <w:gridCol w:w="111"/>
        <w:gridCol w:w="109"/>
        <w:gridCol w:w="109"/>
        <w:gridCol w:w="109"/>
        <w:gridCol w:w="267"/>
        <w:gridCol w:w="916"/>
        <w:gridCol w:w="138"/>
        <w:gridCol w:w="109"/>
        <w:gridCol w:w="109"/>
        <w:gridCol w:w="109"/>
        <w:gridCol w:w="211"/>
        <w:gridCol w:w="826"/>
        <w:gridCol w:w="109"/>
        <w:gridCol w:w="109"/>
        <w:gridCol w:w="109"/>
        <w:gridCol w:w="109"/>
        <w:gridCol w:w="211"/>
        <w:gridCol w:w="826"/>
        <w:gridCol w:w="109"/>
        <w:gridCol w:w="157"/>
      </w:tblGrid>
      <w:tr>
        <w:trPr/>
        <w:tc>
          <w:tcPr>
            <w:tcW w:w="119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293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8"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2022</w:t>
            </w:r>
          </w:p>
        </w:tc>
        <w:tc>
          <w:tcPr>
            <w:tcW w:w="157" w:type="dxa"/>
            <w:tcBorders/>
          </w:tcPr>
          <w:p>
            <w:pPr>
              <w:pStyle w:val="TableContents"/>
              <w:bidi w:val="0"/>
              <w:spacing w:before="0" w:after="283"/>
              <w:jc w:val="left"/>
              <w:rPr>
                <w:sz w:val="4"/>
                <w:szCs w:val="4"/>
              </w:rPr>
            </w:pPr>
            <w:r>
              <w:rPr>
                <w:sz w:val="4"/>
                <w:szCs w:val="4"/>
              </w:rPr>
            </w:r>
          </w:p>
        </w:tc>
      </w:tr>
      <w:tr>
        <w:trPr/>
        <w:tc>
          <w:tcPr>
            <w:tcW w:w="2930"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Insurance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Healthcare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Emerging Business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Analytics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157" w:type="dxa"/>
            <w:tcBorders/>
          </w:tcPr>
          <w:p>
            <w:pPr>
              <w:pStyle w:val="TableContents"/>
              <w:bidi w:val="0"/>
              <w:spacing w:before="0" w:after="283"/>
              <w:jc w:val="left"/>
              <w:rPr>
                <w:sz w:val="4"/>
                <w:szCs w:val="4"/>
              </w:rPr>
            </w:pPr>
            <w:r>
              <w:rPr>
                <w:sz w:val="4"/>
                <w:szCs w:val="4"/>
              </w:rPr>
            </w:r>
          </w:p>
        </w:tc>
      </w:tr>
      <w:tr>
        <w:trPr/>
        <w:tc>
          <w:tcPr>
            <w:tcW w:w="2930"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3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23,051 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53,873 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346,782 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2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Cost of revenues</w:t>
            </w:r>
            <w:r>
              <w:rPr>
                <w:rFonts w:ascii="Times New Roman;sans-serif" w:hAnsi="Times New Roman;sans-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31,214 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2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Gross profit</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22,659 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2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78,494 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2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gain, net, interest expense and other loss, net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2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2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from equity-method investment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2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ans-serif" w:hAnsi="Times New Roman;sans-serif"/>
          <w:b w:val="false"/>
          <w:color w:val="000000"/>
          <w:sz w:val="14"/>
        </w:rPr>
        <w:t>(1)</w:t>
      </w:r>
      <w:r>
        <w:rPr>
          <w:color w:val="000000"/>
        </w:rPr>
        <w:t xml:space="preserve"> </w:t>
      </w:r>
      <w:r>
        <w:rPr>
          <w:rFonts w:ascii="Times New Roman;sans-serif" w:hAnsi="Times New Roman;sans-serif"/>
          <w:b w:val="false"/>
          <w:color w:val="000000"/>
          <w:sz w:val="20"/>
        </w:rPr>
        <w:t>Exclusive of depreciation and amortization expense.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Revenues and cost of revenues for the six months ended June 30, 2023 and 2022, respectively, for each of the reportable segments, are as follows: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90"/>
        <w:gridCol w:w="849"/>
        <w:gridCol w:w="851"/>
        <w:gridCol w:w="211"/>
        <w:gridCol w:w="826"/>
        <w:gridCol w:w="109"/>
        <w:gridCol w:w="109"/>
        <w:gridCol w:w="109"/>
        <w:gridCol w:w="109"/>
        <w:gridCol w:w="213"/>
        <w:gridCol w:w="727"/>
        <w:gridCol w:w="111"/>
        <w:gridCol w:w="109"/>
        <w:gridCol w:w="109"/>
        <w:gridCol w:w="109"/>
        <w:gridCol w:w="250"/>
        <w:gridCol w:w="982"/>
        <w:gridCol w:w="129"/>
        <w:gridCol w:w="109"/>
        <w:gridCol w:w="109"/>
        <w:gridCol w:w="109"/>
        <w:gridCol w:w="211"/>
        <w:gridCol w:w="826"/>
        <w:gridCol w:w="109"/>
        <w:gridCol w:w="109"/>
        <w:gridCol w:w="109"/>
        <w:gridCol w:w="109"/>
        <w:gridCol w:w="211"/>
        <w:gridCol w:w="826"/>
        <w:gridCol w:w="109"/>
        <w:gridCol w:w="157"/>
      </w:tblGrid>
      <w:tr>
        <w:trPr/>
        <w:tc>
          <w:tcPr>
            <w:tcW w:w="1190"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289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8"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2023</w:t>
            </w:r>
          </w:p>
        </w:tc>
        <w:tc>
          <w:tcPr>
            <w:tcW w:w="157" w:type="dxa"/>
            <w:tcBorders/>
          </w:tcPr>
          <w:p>
            <w:pPr>
              <w:pStyle w:val="TableContents"/>
              <w:bidi w:val="0"/>
              <w:spacing w:before="0" w:after="283"/>
              <w:jc w:val="left"/>
              <w:rPr>
                <w:sz w:val="4"/>
                <w:szCs w:val="4"/>
              </w:rPr>
            </w:pPr>
            <w:r>
              <w:rPr>
                <w:sz w:val="4"/>
                <w:szCs w:val="4"/>
              </w:rPr>
            </w:r>
          </w:p>
        </w:tc>
      </w:tr>
      <w:tr>
        <w:trPr/>
        <w:tc>
          <w:tcPr>
            <w:tcW w:w="2890"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Insurance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Healthcare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Emerging Business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Analytics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157" w:type="dxa"/>
            <w:tcBorders/>
          </w:tcPr>
          <w:p>
            <w:pPr>
              <w:pStyle w:val="TableContents"/>
              <w:bidi w:val="0"/>
              <w:spacing w:before="0" w:after="283"/>
              <w:jc w:val="left"/>
              <w:rPr>
                <w:sz w:val="4"/>
                <w:szCs w:val="4"/>
              </w:rPr>
            </w:pPr>
            <w:r>
              <w:rPr>
                <w:sz w:val="4"/>
                <w:szCs w:val="4"/>
              </w:rPr>
            </w:r>
          </w:p>
        </w:tc>
      </w:tr>
      <w:tr>
        <w:trPr/>
        <w:tc>
          <w:tcPr>
            <w:tcW w:w="2890"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3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254,393 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53,859 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133,361 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364,026 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805,639 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Cost of revenues</w:t>
            </w:r>
            <w:r>
              <w:rPr>
                <w:rFonts w:ascii="Times New Roman;sans-serif" w:hAnsi="Times New Roman;sans-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36,349 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73,815 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Gross profit</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59,546 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176,691 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gain, net, interest expense and other income, net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from equity-method investment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ans-serif" w:hAnsi="Times New Roman;sans-serif"/>
          <w:b w:val="false"/>
          <w:color w:val="000000"/>
          <w:sz w:val="14"/>
        </w:rPr>
        <w:t>(1)</w:t>
      </w:r>
      <w:r>
        <w:rPr>
          <w:color w:val="000000"/>
        </w:rPr>
        <w:t xml:space="preserve"> </w:t>
      </w:r>
      <w:r>
        <w:rPr>
          <w:rFonts w:ascii="Times New Roman;sans-serif" w:hAnsi="Times New Roman;sans-serif"/>
          <w:b w:val="false"/>
          <w:color w:val="000000"/>
          <w:sz w:val="20"/>
        </w:rPr>
        <w:t>Exclusive of depreciation and amortization expense.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c972c7b333c94ee3bad0bd2154cbac49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EXLSERVICE HOLDINGS,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 and share count)</w:t>
      </w:r>
    </w:p>
    <w:tbl>
      <w:tblPr>
        <w:tblW w:w="10205" w:type="dxa"/>
        <w:jc w:val="left"/>
        <w:tblInd w:w="0" w:type="dxa"/>
        <w:tblLayout w:type="fixed"/>
        <w:tblCellMar>
          <w:top w:w="28" w:type="dxa"/>
          <w:left w:w="28" w:type="dxa"/>
          <w:bottom w:w="28" w:type="dxa"/>
          <w:right w:w="28" w:type="dxa"/>
        </w:tblCellMar>
      </w:tblPr>
      <w:tblGrid>
        <w:gridCol w:w="1190"/>
        <w:gridCol w:w="849"/>
        <w:gridCol w:w="851"/>
        <w:gridCol w:w="211"/>
        <w:gridCol w:w="826"/>
        <w:gridCol w:w="109"/>
        <w:gridCol w:w="109"/>
        <w:gridCol w:w="109"/>
        <w:gridCol w:w="109"/>
        <w:gridCol w:w="213"/>
        <w:gridCol w:w="727"/>
        <w:gridCol w:w="111"/>
        <w:gridCol w:w="109"/>
        <w:gridCol w:w="109"/>
        <w:gridCol w:w="109"/>
        <w:gridCol w:w="250"/>
        <w:gridCol w:w="982"/>
        <w:gridCol w:w="129"/>
        <w:gridCol w:w="109"/>
        <w:gridCol w:w="109"/>
        <w:gridCol w:w="109"/>
        <w:gridCol w:w="211"/>
        <w:gridCol w:w="826"/>
        <w:gridCol w:w="109"/>
        <w:gridCol w:w="109"/>
        <w:gridCol w:w="109"/>
        <w:gridCol w:w="109"/>
        <w:gridCol w:w="211"/>
        <w:gridCol w:w="826"/>
        <w:gridCol w:w="109"/>
        <w:gridCol w:w="157"/>
      </w:tblGrid>
      <w:tr>
        <w:trPr/>
        <w:tc>
          <w:tcPr>
            <w:tcW w:w="1190"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289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8"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2022</w:t>
            </w:r>
          </w:p>
        </w:tc>
        <w:tc>
          <w:tcPr>
            <w:tcW w:w="157" w:type="dxa"/>
            <w:tcBorders/>
          </w:tcPr>
          <w:p>
            <w:pPr>
              <w:pStyle w:val="TableContents"/>
              <w:bidi w:val="0"/>
              <w:spacing w:before="0" w:after="283"/>
              <w:jc w:val="left"/>
              <w:rPr>
                <w:sz w:val="4"/>
                <w:szCs w:val="4"/>
              </w:rPr>
            </w:pPr>
            <w:r>
              <w:rPr>
                <w:sz w:val="4"/>
                <w:szCs w:val="4"/>
              </w:rPr>
            </w:r>
          </w:p>
        </w:tc>
      </w:tr>
      <w:tr>
        <w:trPr/>
        <w:tc>
          <w:tcPr>
            <w:tcW w:w="2890"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Insurance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Healthcare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Emerging Business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Analytics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157" w:type="dxa"/>
            <w:tcBorders/>
          </w:tcPr>
          <w:p>
            <w:pPr>
              <w:pStyle w:val="TableContents"/>
              <w:bidi w:val="0"/>
              <w:spacing w:before="0" w:after="283"/>
              <w:jc w:val="left"/>
              <w:rPr>
                <w:sz w:val="4"/>
                <w:szCs w:val="4"/>
              </w:rPr>
            </w:pPr>
            <w:r>
              <w:rPr>
                <w:sz w:val="4"/>
                <w:szCs w:val="4"/>
              </w:rPr>
            </w:r>
          </w:p>
        </w:tc>
      </w:tr>
      <w:tr>
        <w:trPr/>
        <w:tc>
          <w:tcPr>
            <w:tcW w:w="2890"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3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49,207 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104,620 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310,340 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675,990 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289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Cost of revenues</w:t>
            </w:r>
            <w:r>
              <w:rPr>
                <w:rFonts w:ascii="Times New Roman;sans-serif" w:hAnsi="Times New Roman;sans-serif"/>
                <w:b w:val="false"/>
                <w:color w:val="000000"/>
                <w:sz w:val="13"/>
              </w:rPr>
              <w:t>(1)</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35,345 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60,427 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428,723 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Gross profit</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44,193 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247,267 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2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156,211 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gain, net, interest expense and other income, net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2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2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from equity-method investment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2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72,024 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ans-serif" w:hAnsi="Times New Roman;sans-serif"/>
          <w:b w:val="false"/>
          <w:color w:val="000000"/>
          <w:sz w:val="14"/>
        </w:rPr>
        <w:t>(1)</w:t>
      </w:r>
      <w:r>
        <w:rPr>
          <w:color w:val="000000"/>
        </w:rPr>
        <w:t xml:space="preserve"> </w:t>
      </w:r>
      <w:r>
        <w:rPr>
          <w:rFonts w:ascii="Times New Roman;sans-serif" w:hAnsi="Times New Roman;sans-serif"/>
          <w:b w:val="false"/>
          <w:color w:val="000000"/>
          <w:sz w:val="20"/>
        </w:rPr>
        <w:t>Exclusive of depreciation and amortization expense.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Revenues, net by service type, were as follows:</w:t>
      </w:r>
    </w:p>
    <w:tbl>
      <w:tblPr>
        <w:tblW w:w="8504" w:type="dxa"/>
        <w:jc w:val="center"/>
        <w:tblInd w:w="0" w:type="dxa"/>
        <w:tblLayout w:type="fixed"/>
        <w:tblCellMar>
          <w:top w:w="28" w:type="dxa"/>
          <w:left w:w="28" w:type="dxa"/>
          <w:bottom w:w="28" w:type="dxa"/>
          <w:right w:w="28" w:type="dxa"/>
        </w:tblCellMar>
      </w:tblPr>
      <w:tblGrid>
        <w:gridCol w:w="1047"/>
        <w:gridCol w:w="922"/>
        <w:gridCol w:w="92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04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Digital operations and solutions</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222,813 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441,613 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365,650 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Analytics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310,340 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404,996 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346,782 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805,639 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675,990 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360"/>
        <w:jc w:val="left"/>
        <w:rPr/>
      </w:pPr>
      <w:r>
        <w:rPr>
          <w:rFonts w:ascii="Times New Roman;sans-serif" w:hAnsi="Times New Roman;sans-serif"/>
          <w:b w:val="false"/>
          <w:color w:val="000000"/>
          <w:sz w:val="14"/>
        </w:rPr>
        <w:t>(1)</w:t>
      </w:r>
      <w:r>
        <w:rPr>
          <w:color w:val="000000"/>
        </w:rPr>
        <w:t xml:space="preserve"> </w:t>
      </w:r>
      <w:r>
        <w:rPr>
          <w:rFonts w:ascii="Times New Roman;sans-serif" w:hAnsi="Times New Roman;sans-serif"/>
          <w:b w:val="false"/>
          <w:color w:val="000000"/>
          <w:sz w:val="20"/>
        </w:rPr>
        <w:t>Digital operations and solutions include revenues of the Company’s Insurance, Healthcare and Emerging Business reportable segments. Refer to the reportable segment disclosure above.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attributes the revenues to regions based upon the location of its customers.</w:t>
      </w:r>
    </w:p>
    <w:tbl>
      <w:tblPr>
        <w:tblW w:w="7694" w:type="dxa"/>
        <w:jc w:val="center"/>
        <w:tblInd w:w="0" w:type="dxa"/>
        <w:tblLayout w:type="fixed"/>
        <w:tblCellMar>
          <w:top w:w="28" w:type="dxa"/>
          <w:left w:w="28" w:type="dxa"/>
          <w:bottom w:w="28" w:type="dxa"/>
          <w:right w:w="28" w:type="dxa"/>
        </w:tblCellMar>
      </w:tblPr>
      <w:tblGrid>
        <w:gridCol w:w="755"/>
        <w:gridCol w:w="664"/>
        <w:gridCol w:w="66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 net</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580,899 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Non-United States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 of World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Non-United States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95,091 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404,996 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346,782 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805,639 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675,990 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center"/>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Long-lived assets by geographic area, which consist of property and equipment, net and operating lease right-of-use assets were as follows:</w:t>
      </w:r>
    </w:p>
    <w:tbl>
      <w:tblPr>
        <w:tblW w:w="4591" w:type="dxa"/>
        <w:jc w:val="left"/>
        <w:tblInd w:w="0" w:type="dxa"/>
        <w:tblLayout w:type="fixed"/>
        <w:tblCellMar>
          <w:top w:w="28" w:type="dxa"/>
          <w:left w:w="28" w:type="dxa"/>
          <w:bottom w:w="28" w:type="dxa"/>
          <w:right w:w="28" w:type="dxa"/>
        </w:tblCellMar>
      </w:tblPr>
      <w:tblGrid>
        <w:gridCol w:w="571"/>
        <w:gridCol w:w="500"/>
        <w:gridCol w:w="503"/>
        <w:gridCol w:w="211"/>
        <w:gridCol w:w="826"/>
        <w:gridCol w:w="109"/>
        <w:gridCol w:w="109"/>
        <w:gridCol w:w="109"/>
        <w:gridCol w:w="109"/>
        <w:gridCol w:w="273"/>
        <w:gridCol w:w="1072"/>
        <w:gridCol w:w="199"/>
      </w:tblGrid>
      <w:tr>
        <w:trPr/>
        <w:tc>
          <w:tcPr>
            <w:tcW w:w="571"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Long-lived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60,709 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50,118 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Philippines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 of World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138,175 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c972c7b333c94ee3bad0bd2154cbac49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EXLSERVICE HOLDINGS,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 and share count)</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4. Revenues, net</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Refer to Note 3 - Segment and Geographical Information to the unaudited consolidated financial statements for revenues disaggregated by reportable segments and geography.</w:t>
      </w:r>
    </w:p>
    <w:p>
      <w:pPr>
        <w:pStyle w:val="TextBody"/>
        <w:bidi w:val="0"/>
        <w:spacing w:before="0" w:after="0"/>
        <w:ind w:left="0" w:right="0" w:firstLine="450"/>
        <w:jc w:val="both"/>
        <w:rPr/>
      </w:pPr>
      <w:r>
        <w:rPr/>
      </w:r>
    </w:p>
    <w:p>
      <w:pPr>
        <w:pStyle w:val="TextBody"/>
        <w:bidi w:val="0"/>
        <w:spacing w:lineRule="auto" w:line="417"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Contract balances</w:t>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accounts receivable, contract assets and contract liabilities from contracts with customers:</w:t>
      </w:r>
    </w:p>
    <w:tbl>
      <w:tblPr>
        <w:tblW w:w="7614" w:type="dxa"/>
        <w:jc w:val="center"/>
        <w:tblInd w:w="0" w:type="dxa"/>
        <w:tblLayout w:type="fixed"/>
        <w:tblCellMar>
          <w:top w:w="28" w:type="dxa"/>
          <w:left w:w="28" w:type="dxa"/>
          <w:bottom w:w="28" w:type="dxa"/>
          <w:right w:w="28" w:type="dxa"/>
        </w:tblCellMar>
      </w:tblPr>
      <w:tblGrid>
        <w:gridCol w:w="1644"/>
        <w:gridCol w:w="1446"/>
        <w:gridCol w:w="1454"/>
        <w:gridCol w:w="212"/>
        <w:gridCol w:w="833"/>
        <w:gridCol w:w="109"/>
        <w:gridCol w:w="109"/>
        <w:gridCol w:w="109"/>
        <w:gridCol w:w="109"/>
        <w:gridCol w:w="281"/>
        <w:gridCol w:w="1103"/>
        <w:gridCol w:w="205"/>
      </w:tblGrid>
      <w:tr>
        <w:trPr/>
        <w:tc>
          <w:tcPr>
            <w:tcW w:w="1644"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259,222 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(consideration received in advance)</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Consideration received for process transition activities</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Accounts receivable includes $148,370 and $126,027 as of June 30, 2023 and December 31, 2022, respectively, representing unbilled receivables. The Company has accrued the unbilled receivables for work performed in accordance with the terms of contracts with customers and considers no significant performance risk associated with its unbilled receivables.</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Contract assets represent upfront payments such as deal signing discounts or deal signing bonuses made to customers. These costs are amortized over the expected period of the benefit and are recorded as an adjustment to transaction price and reduced from revenues. The Company’s assessment did not indicate any impairment losses on its contract assets for the periods presented.</w:t>
      </w:r>
    </w:p>
    <w:p>
      <w:pPr>
        <w:pStyle w:val="TextBody"/>
        <w:bidi w:val="0"/>
        <w:spacing w:before="0" w:after="0"/>
        <w:jc w:val="left"/>
        <w:rPr/>
      </w:pPr>
      <w:r>
        <w:rPr/>
      </w:r>
    </w:p>
    <w:p>
      <w:pPr>
        <w:pStyle w:val="TextBody"/>
        <w:bidi w:val="0"/>
        <w:spacing w:lineRule="auto" w:line="268" w:before="0" w:after="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Contract liabilities represent that portion of deferred revenue for which payments have been received in advance from customers. The Company also defers revenues attributable to certain process transition activities for which costs have been capitalized by the Company as contract fulfillment costs. Consideration received from customers, if any, relating to such transition activities are classified under contract liabilities and are included within “Deferred revenues” and “Other non-current liabilities” in the consolidated balance sheets. The revenues are recognized as (or when) the performance obligation is fulfilled under the contract with customer.</w:t>
      </w:r>
    </w:p>
    <w:p>
      <w:pPr>
        <w:pStyle w:val="TextBody"/>
        <w:bidi w:val="0"/>
        <w:spacing w:before="0" w:after="0"/>
        <w:ind w:left="0" w:right="0" w:firstLine="45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recognized during the three and six months ended June 30, 2023 and 2022, which was included in the contract liabilities balance at the beginning of the respective periods:</w:t>
      </w:r>
    </w:p>
    <w:p>
      <w:pPr>
        <w:pStyle w:val="TextBody"/>
        <w:bidi w:val="0"/>
        <w:spacing w:before="0" w:after="0"/>
        <w:jc w:val="both"/>
        <w:rPr/>
      </w:pPr>
      <w:r>
        <w:rPr/>
      </w:r>
    </w:p>
    <w:tbl>
      <w:tblPr>
        <w:tblW w:w="9546" w:type="dxa"/>
        <w:jc w:val="left"/>
        <w:tblInd w:w="0" w:type="dxa"/>
        <w:tblLayout w:type="fixed"/>
        <w:tblCellMar>
          <w:top w:w="28" w:type="dxa"/>
          <w:left w:w="28" w:type="dxa"/>
          <w:bottom w:w="28" w:type="dxa"/>
          <w:right w:w="28" w:type="dxa"/>
        </w:tblCellMar>
      </w:tblPr>
      <w:tblGrid>
        <w:gridCol w:w="1647"/>
        <w:gridCol w:w="1447"/>
        <w:gridCol w:w="1451"/>
        <w:gridCol w:w="213"/>
        <w:gridCol w:w="622"/>
        <w:gridCol w:w="110"/>
        <w:gridCol w:w="110"/>
        <w:gridCol w:w="110"/>
        <w:gridCol w:w="110"/>
        <w:gridCol w:w="213"/>
        <w:gridCol w:w="622"/>
        <w:gridCol w:w="110"/>
        <w:gridCol w:w="109"/>
        <w:gridCol w:w="109"/>
        <w:gridCol w:w="109"/>
        <w:gridCol w:w="211"/>
        <w:gridCol w:w="721"/>
        <w:gridCol w:w="109"/>
        <w:gridCol w:w="109"/>
        <w:gridCol w:w="109"/>
        <w:gridCol w:w="109"/>
        <w:gridCol w:w="211"/>
        <w:gridCol w:w="721"/>
        <w:gridCol w:w="154"/>
      </w:tblGrid>
      <w:tr>
        <w:trPr/>
        <w:tc>
          <w:tcPr>
            <w:tcW w:w="1647"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(consideration received in advance)</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Consideration received for process transition activities</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c972c7b333c94ee3bad0bd2154cbac49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EXLSERVICE HOLDINGS,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 and share count)</w:t>
      </w:r>
    </w:p>
    <w:p>
      <w:pPr>
        <w:pStyle w:val="TextBody"/>
        <w:bidi w:val="0"/>
        <w:spacing w:lineRule="auto" w:line="237"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Contract acquisition and fulfillment costs</w:t>
      </w:r>
    </w:p>
    <w:p>
      <w:pPr>
        <w:pStyle w:val="TextBody"/>
        <w:bidi w:val="0"/>
        <w:spacing w:before="0" w:after="0"/>
        <w:jc w:val="both"/>
        <w:rPr/>
      </w:pPr>
      <w:r>
        <w:rPr/>
      </w:r>
    </w:p>
    <w:p>
      <w:pPr>
        <w:pStyle w:val="TextBody"/>
        <w:bidi w:val="0"/>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details of the Company’s contract acquisition and fulfillment costs:</w:t>
      </w:r>
    </w:p>
    <w:tbl>
      <w:tblPr>
        <w:tblW w:w="9708" w:type="dxa"/>
        <w:jc w:val="center"/>
        <w:tblInd w:w="0" w:type="dxa"/>
        <w:tblLayout w:type="fixed"/>
        <w:tblCellMar>
          <w:top w:w="28" w:type="dxa"/>
          <w:left w:w="28" w:type="dxa"/>
          <w:bottom w:w="28" w:type="dxa"/>
          <w:right w:w="28" w:type="dxa"/>
        </w:tblCellMar>
      </w:tblPr>
      <w:tblGrid>
        <w:gridCol w:w="554"/>
        <w:gridCol w:w="487"/>
        <w:gridCol w:w="489"/>
        <w:gridCol w:w="283"/>
        <w:gridCol w:w="846"/>
        <w:gridCol w:w="146"/>
        <w:gridCol w:w="109"/>
        <w:gridCol w:w="109"/>
        <w:gridCol w:w="109"/>
        <w:gridCol w:w="336"/>
        <w:gridCol w:w="766"/>
        <w:gridCol w:w="173"/>
        <w:gridCol w:w="109"/>
        <w:gridCol w:w="109"/>
        <w:gridCol w:w="109"/>
        <w:gridCol w:w="283"/>
        <w:gridCol w:w="846"/>
        <w:gridCol w:w="146"/>
        <w:gridCol w:w="109"/>
        <w:gridCol w:w="109"/>
        <w:gridCol w:w="109"/>
        <w:gridCol w:w="336"/>
        <w:gridCol w:w="766"/>
        <w:gridCol w:w="173"/>
        <w:gridCol w:w="109"/>
        <w:gridCol w:w="109"/>
        <w:gridCol w:w="109"/>
        <w:gridCol w:w="375"/>
        <w:gridCol w:w="1122"/>
        <w:gridCol w:w="273"/>
      </w:tblGrid>
      <w:tr>
        <w:trPr/>
        <w:tc>
          <w:tcPr>
            <w:tcW w:w="55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8" w:type="dxa"/>
            <w:gridSpan w:val="27"/>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Contract Acquisition Costs</w:t>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w:t>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Opening Balance</w:t>
            </w:r>
          </w:p>
        </w:tc>
        <w:tc>
          <w:tcPr>
            <w:tcW w:w="28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Closing Balance</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2,183</w:t>
            </w:r>
            <w:r>
              <w:rPr>
                <w:color w:val="000000"/>
              </w:rPr>
              <w:t>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983</w:t>
            </w:r>
            <w:r>
              <w:rPr>
                <w:color w:val="000000"/>
              </w:rPr>
              <w:t>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2,183</w:t>
            </w:r>
            <w:r>
              <w:rPr>
                <w:color w:val="000000"/>
              </w:rPr>
              <w:t>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983</w:t>
            </w:r>
            <w:r>
              <w:rPr>
                <w:color w:val="000000"/>
              </w:rPr>
              <w:t>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1,095</w:t>
            </w:r>
            <w:r>
              <w:rPr>
                <w:color w:val="000000"/>
              </w:rPr>
              <w:t> </w:t>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703" w:type="dxa"/>
        <w:jc w:val="left"/>
        <w:tblInd w:w="0" w:type="dxa"/>
        <w:tblLayout w:type="fixed"/>
        <w:tblCellMar>
          <w:top w:w="28" w:type="dxa"/>
          <w:left w:w="28" w:type="dxa"/>
          <w:bottom w:w="28" w:type="dxa"/>
          <w:right w:w="28" w:type="dxa"/>
        </w:tblCellMar>
      </w:tblPr>
      <w:tblGrid>
        <w:gridCol w:w="554"/>
        <w:gridCol w:w="487"/>
        <w:gridCol w:w="489"/>
        <w:gridCol w:w="254"/>
        <w:gridCol w:w="889"/>
        <w:gridCol w:w="131"/>
        <w:gridCol w:w="109"/>
        <w:gridCol w:w="109"/>
        <w:gridCol w:w="109"/>
        <w:gridCol w:w="254"/>
        <w:gridCol w:w="889"/>
        <w:gridCol w:w="131"/>
        <w:gridCol w:w="109"/>
        <w:gridCol w:w="109"/>
        <w:gridCol w:w="109"/>
        <w:gridCol w:w="254"/>
        <w:gridCol w:w="889"/>
        <w:gridCol w:w="131"/>
        <w:gridCol w:w="109"/>
        <w:gridCol w:w="109"/>
        <w:gridCol w:w="109"/>
        <w:gridCol w:w="254"/>
        <w:gridCol w:w="889"/>
        <w:gridCol w:w="131"/>
        <w:gridCol w:w="109"/>
        <w:gridCol w:w="109"/>
        <w:gridCol w:w="109"/>
        <w:gridCol w:w="338"/>
        <w:gridCol w:w="1184"/>
        <w:gridCol w:w="247"/>
      </w:tblGrid>
      <w:tr>
        <w:trPr/>
        <w:tc>
          <w:tcPr>
            <w:tcW w:w="55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Contract Fulfillment Costs</w:t>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w:t>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Opening Balance</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5,795 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15,509 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(7,433)</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Closing Balance</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21,445</w:t>
            </w:r>
            <w:r>
              <w:rPr>
                <w:color w:val="000000"/>
              </w:rPr>
              <w:t>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10,167</w:t>
            </w:r>
            <w:r>
              <w:rPr>
                <w:color w:val="000000"/>
              </w:rPr>
              <w:t>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21,445</w:t>
            </w:r>
            <w:r>
              <w:rPr>
                <w:color w:val="000000"/>
              </w:rPr>
              <w:t>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10,167</w:t>
            </w:r>
            <w:r>
              <w:rPr>
                <w:color w:val="000000"/>
              </w:rPr>
              <w:t>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13,871</w:t>
            </w:r>
            <w:r>
              <w:rPr>
                <w:color w:val="000000"/>
              </w:rPr>
              <w:t> </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There was no impairment for contract acquisition and contract fulfillment costs as of June 30, 2023 and December 31, 2022. The capitalized costs are amortized over the expected period of benefit of the contract.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Allowance for expected credit losses</w:t>
      </w:r>
    </w:p>
    <w:p>
      <w:pPr>
        <w:pStyle w:val="TextBody"/>
        <w:bidi w:val="0"/>
        <w:spacing w:before="0" w:after="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the credit risk of its customers based on a combination of various financial and qualitative factors that may affect the ability of each customer to pay. The Company considered current and anticipated future economic conditions relating to the industries of the Company’s customers and the countries where it operates. In calculating expected credit loss, the Company also considered past payment trends, credit rating and other related credit information for its significant customers to estimate the probability of default in the future.</w:t>
      </w:r>
    </w:p>
    <w:p>
      <w:pPr>
        <w:pStyle w:val="TextBody"/>
        <w:bidi w:val="0"/>
        <w:spacing w:before="0" w:after="0"/>
        <w:ind w:left="0" w:right="0" w:firstLine="450"/>
        <w:jc w:val="both"/>
        <w:rPr/>
      </w:pPr>
      <w:r>
        <w:rPr/>
      </w:r>
    </w:p>
    <w:tbl>
      <w:tblPr>
        <w:tblW w:w="7720" w:type="dxa"/>
        <w:jc w:val="center"/>
        <w:tblInd w:w="0" w:type="dxa"/>
        <w:tblLayout w:type="fixed"/>
        <w:tblCellMar>
          <w:top w:w="28" w:type="dxa"/>
          <w:left w:w="28" w:type="dxa"/>
          <w:bottom w:w="28" w:type="dxa"/>
          <w:right w:w="28" w:type="dxa"/>
        </w:tblCellMar>
      </w:tblPr>
      <w:tblGrid>
        <w:gridCol w:w="1574"/>
        <w:gridCol w:w="1385"/>
        <w:gridCol w:w="1390"/>
        <w:gridCol w:w="231"/>
        <w:gridCol w:w="924"/>
        <w:gridCol w:w="119"/>
        <w:gridCol w:w="109"/>
        <w:gridCol w:w="109"/>
        <w:gridCol w:w="109"/>
        <w:gridCol w:w="309"/>
        <w:gridCol w:w="1235"/>
        <w:gridCol w:w="226"/>
      </w:tblGrid>
      <w:tr>
        <w:trPr/>
        <w:tc>
          <w:tcPr>
            <w:tcW w:w="1574"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w:t>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including unbilled receivables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290,105 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260,554 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expected credit losses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Accounts receivable, net</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288,305</w:t>
            </w:r>
            <w:r>
              <w:rPr>
                <w:color w:val="000000"/>
              </w:rPr>
              <w:t>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259,222</w:t>
            </w:r>
            <w:r>
              <w:rPr>
                <w:color w:val="000000"/>
              </w:rPr>
              <w:t>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c972c7b333c94ee3bad0bd2154cbac49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EXLSERVICE HOLDINGS,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 and share count)</w:t>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movement in “Allowance for expected credit losses” on customer balances was as follows:</w:t>
      </w:r>
    </w:p>
    <w:p>
      <w:pPr>
        <w:pStyle w:val="TextBody"/>
        <w:bidi w:val="0"/>
        <w:spacing w:before="0" w:after="0"/>
        <w:ind w:left="0" w:right="0" w:firstLine="450"/>
        <w:jc w:val="both"/>
        <w:rPr/>
      </w:pPr>
      <w:r>
        <w:rPr/>
      </w:r>
    </w:p>
    <w:tbl>
      <w:tblPr>
        <w:tblW w:w="10205" w:type="dxa"/>
        <w:jc w:val="left"/>
        <w:tblInd w:w="0" w:type="dxa"/>
        <w:tblLayout w:type="fixed"/>
        <w:tblCellMar>
          <w:top w:w="28" w:type="dxa"/>
          <w:left w:w="28" w:type="dxa"/>
          <w:bottom w:w="28" w:type="dxa"/>
          <w:right w:w="28" w:type="dxa"/>
        </w:tblCellMar>
      </w:tblPr>
      <w:tblGrid>
        <w:gridCol w:w="1236"/>
        <w:gridCol w:w="1021"/>
        <w:gridCol w:w="1014"/>
        <w:gridCol w:w="240"/>
        <w:gridCol w:w="720"/>
        <w:gridCol w:w="124"/>
        <w:gridCol w:w="109"/>
        <w:gridCol w:w="109"/>
        <w:gridCol w:w="109"/>
        <w:gridCol w:w="272"/>
        <w:gridCol w:w="621"/>
        <w:gridCol w:w="140"/>
        <w:gridCol w:w="109"/>
        <w:gridCol w:w="109"/>
        <w:gridCol w:w="109"/>
        <w:gridCol w:w="240"/>
        <w:gridCol w:w="720"/>
        <w:gridCol w:w="124"/>
        <w:gridCol w:w="109"/>
        <w:gridCol w:w="109"/>
        <w:gridCol w:w="109"/>
        <w:gridCol w:w="272"/>
        <w:gridCol w:w="621"/>
        <w:gridCol w:w="140"/>
        <w:gridCol w:w="109"/>
        <w:gridCol w:w="109"/>
        <w:gridCol w:w="109"/>
        <w:gridCol w:w="293"/>
        <w:gridCol w:w="879"/>
        <w:gridCol w:w="220"/>
      </w:tblGrid>
      <w:tr>
        <w:trPr/>
        <w:tc>
          <w:tcPr>
            <w:tcW w:w="123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3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w:t>
            </w:r>
          </w:p>
        </w:tc>
      </w:tr>
      <w:tr>
        <w:trPr/>
        <w:tc>
          <w:tcPr>
            <w:tcW w:w="3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3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Opening Balance</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Reductions due to write-off of Accounts Receivables</w:t>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adjustments</w:t>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Closing Balance</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1,800</w:t>
            </w:r>
            <w:r>
              <w:rPr>
                <w:color w:val="000000"/>
              </w:rPr>
              <w:t>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844</w:t>
            </w:r>
            <w:r>
              <w:rPr>
                <w:color w:val="000000"/>
              </w:rPr>
              <w:t>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1,800</w:t>
            </w:r>
            <w:r>
              <w:rPr>
                <w:color w:val="000000"/>
              </w:rPr>
              <w:t>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844</w:t>
            </w:r>
            <w:r>
              <w:rPr>
                <w:color w:val="000000"/>
              </w:rPr>
              <w:t>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1,332</w:t>
            </w:r>
            <w:r>
              <w:rPr>
                <w:color w:val="000000"/>
              </w:rPr>
              <w:t>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Concentration of credit risk</w:t>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To reduce credit risk, the Company conducts ongoing credit evaluations of its customers. No customer accounted for more than 10% of accounts receivable, net, as of June 30, 2023 and December 31, 2022.</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5. Earnings Per Share</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is computed by dividing net income attributable to common stockholders by the weighted average number of common shares outstanding, adjusted for outstanding shares that are subject to repurchase during each period. Diluted earnings per share is computed using the weighted average number of common shares plus the potentially dilutive effect of common stock equivalents (outstanding stock options, restricted stock, restricted stock units and employee stock purchase plans) issued and outstanding at the reporting date, using the treasury stock method. Common stock equivalents that are anti-dilutive are excluded from the computation of weighted average shares outstanding.</w:t>
      </w:r>
    </w:p>
    <w:p>
      <w:pPr>
        <w:pStyle w:val="TextBody"/>
        <w:bidi w:val="0"/>
        <w:spacing w:before="0" w:after="0"/>
        <w:ind w:left="0" w:right="0" w:hanging="90"/>
        <w:jc w:val="both"/>
        <w:rPr/>
      </w:pPr>
      <w:r>
        <w:rPr/>
      </w:r>
    </w:p>
    <w:p>
      <w:pPr>
        <w:pStyle w:val="TextBody"/>
        <w:bidi w:val="0"/>
        <w:spacing w:lineRule="auto" w:line="268" w:before="0" w:after="0"/>
        <w:ind w:left="0" w:right="0" w:hanging="9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earnings per share:</w:t>
      </w:r>
    </w:p>
    <w:tbl>
      <w:tblPr>
        <w:tblW w:w="10205" w:type="dxa"/>
        <w:jc w:val="left"/>
        <w:tblInd w:w="0" w:type="dxa"/>
        <w:tblLayout w:type="fixed"/>
        <w:tblCellMar>
          <w:top w:w="28" w:type="dxa"/>
          <w:left w:w="28" w:type="dxa"/>
          <w:bottom w:w="28" w:type="dxa"/>
          <w:right w:w="28" w:type="dxa"/>
        </w:tblCellMar>
      </w:tblPr>
      <w:tblGrid>
        <w:gridCol w:w="1598"/>
        <w:gridCol w:w="1404"/>
        <w:gridCol w:w="1415"/>
        <w:gridCol w:w="244"/>
        <w:gridCol w:w="837"/>
        <w:gridCol w:w="109"/>
        <w:gridCol w:w="109"/>
        <w:gridCol w:w="109"/>
        <w:gridCol w:w="109"/>
        <w:gridCol w:w="244"/>
        <w:gridCol w:w="837"/>
        <w:gridCol w:w="109"/>
        <w:gridCol w:w="109"/>
        <w:gridCol w:w="109"/>
        <w:gridCol w:w="109"/>
        <w:gridCol w:w="219"/>
        <w:gridCol w:w="862"/>
        <w:gridCol w:w="109"/>
        <w:gridCol w:w="109"/>
        <w:gridCol w:w="109"/>
        <w:gridCol w:w="109"/>
        <w:gridCol w:w="244"/>
        <w:gridCol w:w="837"/>
        <w:gridCol w:w="156"/>
      </w:tblGrid>
      <w:tr>
        <w:trPr/>
        <w:tc>
          <w:tcPr>
            <w:tcW w:w="1598"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4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Numerators:</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Denominators:</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 average common shares outstanding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33,355,354 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33,403,411 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33,397,226 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33,422,618 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share-based awards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439,979 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 average common shares outstanding</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33,688,449 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33,830,539 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33,809,555 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33,862,597 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 attributable to ExlService Holdings, Inc. stockholders:</w:t>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potentially dilutive shares considered anti-dilutive and not included in computing diluted earnings per share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c972c7b333c94ee3bad0bd2154cbac49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EXLSERVICE HOLDINGS,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 and share count)</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6. Other Income/(Loss), net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income/(loss), net consists of the following:</w:t>
      </w:r>
    </w:p>
    <w:tbl>
      <w:tblPr>
        <w:tblW w:w="8820" w:type="dxa"/>
        <w:jc w:val="left"/>
        <w:tblInd w:w="0" w:type="dxa"/>
        <w:tblLayout w:type="fixed"/>
        <w:tblCellMar>
          <w:top w:w="28" w:type="dxa"/>
          <w:left w:w="28" w:type="dxa"/>
          <w:bottom w:w="28" w:type="dxa"/>
          <w:right w:w="28" w:type="dxa"/>
        </w:tblCellMar>
      </w:tblPr>
      <w:tblGrid>
        <w:gridCol w:w="1462"/>
        <w:gridCol w:w="1285"/>
        <w:gridCol w:w="1288"/>
        <w:gridCol w:w="220"/>
        <w:gridCol w:w="644"/>
        <w:gridCol w:w="113"/>
        <w:gridCol w:w="113"/>
        <w:gridCol w:w="113"/>
        <w:gridCol w:w="113"/>
        <w:gridCol w:w="220"/>
        <w:gridCol w:w="565"/>
        <w:gridCol w:w="113"/>
        <w:gridCol w:w="109"/>
        <w:gridCol w:w="109"/>
        <w:gridCol w:w="109"/>
        <w:gridCol w:w="211"/>
        <w:gridCol w:w="616"/>
        <w:gridCol w:w="109"/>
        <w:gridCol w:w="109"/>
        <w:gridCol w:w="109"/>
        <w:gridCol w:w="109"/>
        <w:gridCol w:w="211"/>
        <w:gridCol w:w="616"/>
        <w:gridCol w:w="154"/>
      </w:tblGrid>
      <w:tr>
        <w:trPr/>
        <w:tc>
          <w:tcPr>
            <w:tcW w:w="1462"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and mark-to-market on investments</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dividend income</w:t>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Others, net</w:t>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income/(loss), net</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2,661 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7. Cash, Cash Equivalents and Restricted Cash</w:t>
      </w:r>
    </w:p>
    <w:p>
      <w:pPr>
        <w:pStyle w:val="TextBody"/>
        <w:bidi w:val="0"/>
        <w:spacing w:before="0" w:after="0"/>
        <w:jc w:val="center"/>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purposes of unaudited statements of cash flows, cash, cash equivalents and restricted cash consist of the following:</w:t>
      </w:r>
    </w:p>
    <w:tbl>
      <w:tblPr>
        <w:tblW w:w="8000" w:type="dxa"/>
        <w:jc w:val="center"/>
        <w:tblInd w:w="0" w:type="dxa"/>
        <w:tblLayout w:type="fixed"/>
        <w:tblCellMar>
          <w:top w:w="28" w:type="dxa"/>
          <w:left w:w="28" w:type="dxa"/>
          <w:bottom w:w="28" w:type="dxa"/>
          <w:right w:w="28" w:type="dxa"/>
        </w:tblCellMar>
      </w:tblPr>
      <w:tblGrid>
        <w:gridCol w:w="1272"/>
        <w:gridCol w:w="1116"/>
        <w:gridCol w:w="1122"/>
        <w:gridCol w:w="211"/>
        <w:gridCol w:w="826"/>
        <w:gridCol w:w="109"/>
        <w:gridCol w:w="109"/>
        <w:gridCol w:w="109"/>
        <w:gridCol w:w="109"/>
        <w:gridCol w:w="211"/>
        <w:gridCol w:w="826"/>
        <w:gridCol w:w="109"/>
        <w:gridCol w:w="109"/>
        <w:gridCol w:w="109"/>
        <w:gridCol w:w="109"/>
        <w:gridCol w:w="273"/>
        <w:gridCol w:w="1072"/>
        <w:gridCol w:w="199"/>
      </w:tblGrid>
      <w:tr>
        <w:trPr/>
        <w:tc>
          <w:tcPr>
            <w:tcW w:w="1272"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9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As of </w:t>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118,669 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125,621 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Restricted cash (current) primarily represents funds held on behalf of clients in dedicated bank accounts. The corresponding liability against the same is included under “Accrued Expenses and other current liabilities.” Restricted cash (non-current) represents amounts on deposit with banks against bank guarantees issued through banks in favor of relevant statutory authorities for equipment imports, deposits for obtaining indirect tax registrations and for demands against pending income tax assessments. These deposits with banks will mature one year after the balance sheet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8. Investments</w:t>
      </w:r>
    </w:p>
    <w:p>
      <w:pPr>
        <w:pStyle w:val="TextBody"/>
        <w:bidi w:val="0"/>
        <w:spacing w:before="0" w:after="0"/>
        <w:jc w:val="center"/>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Investments consist of the following:</w:t>
      </w:r>
    </w:p>
    <w:tbl>
      <w:tblPr>
        <w:tblW w:w="5628" w:type="dxa"/>
        <w:jc w:val="center"/>
        <w:tblInd w:w="0" w:type="dxa"/>
        <w:tblLayout w:type="fixed"/>
        <w:tblCellMar>
          <w:top w:w="28" w:type="dxa"/>
          <w:left w:w="28" w:type="dxa"/>
          <w:bottom w:w="28" w:type="dxa"/>
          <w:right w:w="28" w:type="dxa"/>
        </w:tblCellMar>
      </w:tblPr>
      <w:tblGrid>
        <w:gridCol w:w="939"/>
        <w:gridCol w:w="827"/>
        <w:gridCol w:w="829"/>
        <w:gridCol w:w="211"/>
        <w:gridCol w:w="841"/>
        <w:gridCol w:w="109"/>
        <w:gridCol w:w="109"/>
        <w:gridCol w:w="109"/>
        <w:gridCol w:w="109"/>
        <w:gridCol w:w="270"/>
        <w:gridCol w:w="1078"/>
        <w:gridCol w:w="197"/>
      </w:tblGrid>
      <w:tr>
        <w:trPr/>
        <w:tc>
          <w:tcPr>
            <w:tcW w:w="93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As of </w:t>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Short-term investments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110,964 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deposits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68,063 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Short-term investments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156,098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179,027</w:t>
            </w:r>
            <w:r>
              <w:rPr>
                <w:color w:val="000000"/>
              </w:rPr>
              <w:t>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Long-term investments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deposits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31,341 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equity affiliate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Long-term investments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16,085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34,779</w:t>
            </w:r>
            <w:r>
              <w:rPr>
                <w:color w:val="000000"/>
              </w:rPr>
              <w:t>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Refer to Note 16 - Fair Value Measurements to the unaudited consolidated financial statements for further details.</w:t>
      </w:r>
    </w:p>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c972c7b333c94ee3bad0bd2154cbac49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EXLSERVICE HOLDINGS,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 and share count)</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9. Property and Equipment, net</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consists of the following:</w:t>
      </w:r>
    </w:p>
    <w:tbl>
      <w:tblPr>
        <w:tblW w:w="9734" w:type="dxa"/>
        <w:jc w:val="center"/>
        <w:tblInd w:w="0" w:type="dxa"/>
        <w:tblLayout w:type="fixed"/>
        <w:tblCellMar>
          <w:top w:w="28" w:type="dxa"/>
          <w:left w:w="28" w:type="dxa"/>
          <w:bottom w:w="28" w:type="dxa"/>
          <w:right w:w="28" w:type="dxa"/>
        </w:tblCellMar>
      </w:tblPr>
      <w:tblGrid>
        <w:gridCol w:w="1503"/>
        <w:gridCol w:w="1323"/>
        <w:gridCol w:w="1329"/>
        <w:gridCol w:w="744"/>
        <w:gridCol w:w="744"/>
        <w:gridCol w:w="747"/>
        <w:gridCol w:w="109"/>
        <w:gridCol w:w="109"/>
        <w:gridCol w:w="109"/>
        <w:gridCol w:w="211"/>
        <w:gridCol w:w="826"/>
        <w:gridCol w:w="109"/>
        <w:gridCol w:w="109"/>
        <w:gridCol w:w="109"/>
        <w:gridCol w:w="109"/>
        <w:gridCol w:w="273"/>
        <w:gridCol w:w="1072"/>
        <w:gridCol w:w="199"/>
      </w:tblGrid>
      <w:tr>
        <w:trPr/>
        <w:tc>
          <w:tcPr>
            <w:tcW w:w="1503"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useful lives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Owned Assets:</w:t>
            </w:r>
          </w:p>
        </w:tc>
        <w:tc>
          <w:tcPr>
            <w:tcW w:w="2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Network equipment and computers</w:t>
            </w:r>
          </w:p>
        </w:tc>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130,218 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88,487 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42,890 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furniture and equipment</w:t>
            </w:r>
          </w:p>
        </w:tc>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Motor vehicles</w:t>
            </w:r>
          </w:p>
        </w:tc>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w:t>
            </w:r>
          </w:p>
        </w:tc>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work in progress</w:t>
            </w:r>
          </w:p>
        </w:tc>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14,459 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317,934 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298,460 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2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(224,764)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(216,132)</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82,328 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Right-of-use assets under finance leases*:</w:t>
            </w:r>
          </w:p>
        </w:tc>
        <w:tc>
          <w:tcPr>
            <w:tcW w:w="2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Network equipment and computers</w:t>
            </w:r>
          </w:p>
        </w:tc>
        <w:tc>
          <w:tcPr>
            <w:tcW w:w="2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2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furniture and equipment</w:t>
            </w:r>
          </w:p>
        </w:tc>
        <w:tc>
          <w:tcPr>
            <w:tcW w:w="2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Motor vehicles</w:t>
            </w:r>
          </w:p>
        </w:tc>
        <w:tc>
          <w:tcPr>
            <w:tcW w:w="2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2,499 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2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82,828 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on assets held under finance leases are computed using the straight-line method over the shorter of the assets estimated useful lives or the lease term.</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Capital work in progress represents advances paid towards acquisition of property and equipment and costs incurred on internally developed software not yet ready to be placed in service.</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six months ended June 30, 2023, there were no material changes in estimated useful lives of property and equipment during the ordinary course of operations.</w:t>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depreciation and amortization expense, excluding amortization of acquisition-related intangibles, recognized in the unaudited consolidated statements of income was as follows:</w:t>
      </w:r>
    </w:p>
    <w:tbl>
      <w:tblPr>
        <w:tblW w:w="8301" w:type="dxa"/>
        <w:jc w:val="center"/>
        <w:tblInd w:w="0" w:type="dxa"/>
        <w:tblLayout w:type="fixed"/>
        <w:tblCellMar>
          <w:top w:w="28" w:type="dxa"/>
          <w:left w:w="28" w:type="dxa"/>
          <w:bottom w:w="28" w:type="dxa"/>
          <w:right w:w="28" w:type="dxa"/>
        </w:tblCellMar>
      </w:tblPr>
      <w:tblGrid>
        <w:gridCol w:w="1195"/>
        <w:gridCol w:w="1051"/>
        <w:gridCol w:w="1054"/>
        <w:gridCol w:w="213"/>
        <w:gridCol w:w="622"/>
        <w:gridCol w:w="110"/>
        <w:gridCol w:w="110"/>
        <w:gridCol w:w="110"/>
        <w:gridCol w:w="110"/>
        <w:gridCol w:w="213"/>
        <w:gridCol w:w="622"/>
        <w:gridCol w:w="110"/>
        <w:gridCol w:w="109"/>
        <w:gridCol w:w="109"/>
        <w:gridCol w:w="109"/>
        <w:gridCol w:w="211"/>
        <w:gridCol w:w="721"/>
        <w:gridCol w:w="109"/>
        <w:gridCol w:w="109"/>
        <w:gridCol w:w="109"/>
        <w:gridCol w:w="109"/>
        <w:gridCol w:w="211"/>
        <w:gridCol w:w="721"/>
        <w:gridCol w:w="154"/>
      </w:tblGrid>
      <w:tr>
        <w:trPr/>
        <w:tc>
          <w:tcPr>
            <w:tcW w:w="1195"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8,918 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9,929 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19,045 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c972c7b333c94ee3bad0bd2154cbac49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EXLSERVICE HOLDINGS,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 and share count)</w:t>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effect of foreign exchange gain/(loss) upon settlement of cash flow hedges recorded under depreciation and amortization expense, was as follows:</w:t>
      </w:r>
    </w:p>
    <w:tbl>
      <w:tblPr>
        <w:tblW w:w="8099" w:type="dxa"/>
        <w:jc w:val="left"/>
        <w:tblInd w:w="0" w:type="dxa"/>
        <w:tblLayout w:type="fixed"/>
        <w:tblCellMar>
          <w:top w:w="28" w:type="dxa"/>
          <w:left w:w="28" w:type="dxa"/>
          <w:bottom w:w="28" w:type="dxa"/>
          <w:right w:w="28" w:type="dxa"/>
        </w:tblCellMar>
      </w:tblPr>
      <w:tblGrid>
        <w:gridCol w:w="1145"/>
        <w:gridCol w:w="1008"/>
        <w:gridCol w:w="1011"/>
        <w:gridCol w:w="109"/>
        <w:gridCol w:w="109"/>
        <w:gridCol w:w="109"/>
        <w:gridCol w:w="270"/>
        <w:gridCol w:w="558"/>
        <w:gridCol w:w="139"/>
        <w:gridCol w:w="139"/>
        <w:gridCol w:w="139"/>
        <w:gridCol w:w="139"/>
        <w:gridCol w:w="270"/>
        <w:gridCol w:w="423"/>
        <w:gridCol w:w="139"/>
        <w:gridCol w:w="109"/>
        <w:gridCol w:w="109"/>
        <w:gridCol w:w="109"/>
        <w:gridCol w:w="228"/>
        <w:gridCol w:w="585"/>
        <w:gridCol w:w="117"/>
        <w:gridCol w:w="117"/>
        <w:gridCol w:w="117"/>
        <w:gridCol w:w="117"/>
        <w:gridCol w:w="228"/>
        <w:gridCol w:w="390"/>
        <w:gridCol w:w="166"/>
      </w:tblGrid>
      <w:tr>
        <w:trPr/>
        <w:tc>
          <w:tcPr>
            <w:tcW w:w="114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exchange gain/(loss)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Internally developed software costs, included under Software, was as follows:</w:t>
      </w:r>
    </w:p>
    <w:tbl>
      <w:tblPr>
        <w:tblW w:w="5875" w:type="dxa"/>
        <w:jc w:val="center"/>
        <w:tblInd w:w="0" w:type="dxa"/>
        <w:tblLayout w:type="fixed"/>
        <w:tblCellMar>
          <w:top w:w="28" w:type="dxa"/>
          <w:left w:w="28" w:type="dxa"/>
          <w:bottom w:w="28" w:type="dxa"/>
          <w:right w:w="28" w:type="dxa"/>
        </w:tblCellMar>
      </w:tblPr>
      <w:tblGrid>
        <w:gridCol w:w="1038"/>
        <w:gridCol w:w="917"/>
        <w:gridCol w:w="924"/>
        <w:gridCol w:w="228"/>
        <w:gridCol w:w="779"/>
        <w:gridCol w:w="117"/>
        <w:gridCol w:w="109"/>
        <w:gridCol w:w="109"/>
        <w:gridCol w:w="109"/>
        <w:gridCol w:w="300"/>
        <w:gridCol w:w="1026"/>
        <w:gridCol w:w="219"/>
      </w:tblGrid>
      <w:tr>
        <w:trPr/>
        <w:tc>
          <w:tcPr>
            <w:tcW w:w="1038"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As of </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42,478 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31,544 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 Accumulated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(16,134)</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Internally developed software, net</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21,938 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15,410 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amortization expense on internally developed software recognized in the unaudited consolidated statements of income was as follows:</w:t>
      </w:r>
    </w:p>
    <w:tbl>
      <w:tblPr>
        <w:tblW w:w="6696" w:type="dxa"/>
        <w:jc w:val="center"/>
        <w:tblInd w:w="0" w:type="dxa"/>
        <w:tblLayout w:type="fixed"/>
        <w:tblCellMar>
          <w:top w:w="28" w:type="dxa"/>
          <w:left w:w="28" w:type="dxa"/>
          <w:bottom w:w="28" w:type="dxa"/>
          <w:right w:w="28" w:type="dxa"/>
        </w:tblCellMar>
      </w:tblPr>
      <w:tblGrid>
        <w:gridCol w:w="690"/>
        <w:gridCol w:w="606"/>
        <w:gridCol w:w="609"/>
        <w:gridCol w:w="213"/>
        <w:gridCol w:w="622"/>
        <w:gridCol w:w="110"/>
        <w:gridCol w:w="110"/>
        <w:gridCol w:w="110"/>
        <w:gridCol w:w="110"/>
        <w:gridCol w:w="213"/>
        <w:gridCol w:w="622"/>
        <w:gridCol w:w="110"/>
        <w:gridCol w:w="109"/>
        <w:gridCol w:w="109"/>
        <w:gridCol w:w="109"/>
        <w:gridCol w:w="211"/>
        <w:gridCol w:w="616"/>
        <w:gridCol w:w="109"/>
        <w:gridCol w:w="109"/>
        <w:gridCol w:w="109"/>
        <w:gridCol w:w="109"/>
        <w:gridCol w:w="211"/>
        <w:gridCol w:w="616"/>
        <w:gridCol w:w="154"/>
      </w:tblGrid>
      <w:tr>
        <w:trPr/>
        <w:tc>
          <w:tcPr>
            <w:tcW w:w="6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and December 31, 2022, the Company believes no impairment exists because the long-lived asset's future undiscounted net cash flows expected to be generated exceeds its carrying value; however, there can be no assurance that long-lived assets will not be impaired in future periods. Determining whether an impairment has occurred typically requires various estimates and assumptions, including determining which undiscounted cash flows are directly related to the potentially impaired asset, the useful life over which cash flows will occur, their amount, the asset’s residual value, if any. It is reasonably possible that the judgments and estimates described above could change in future periods.</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10. Goodwill and Other Intangible Assets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bidi w:val="0"/>
        <w:spacing w:before="0" w:after="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details of changes in goodwill by reportable segment of the Company:</w:t>
      </w:r>
    </w:p>
    <w:tbl>
      <w:tblPr>
        <w:tblW w:w="10107" w:type="dxa"/>
        <w:jc w:val="left"/>
        <w:tblInd w:w="0" w:type="dxa"/>
        <w:tblLayout w:type="fixed"/>
        <w:tblCellMar>
          <w:top w:w="28" w:type="dxa"/>
          <w:left w:w="28" w:type="dxa"/>
          <w:bottom w:w="28" w:type="dxa"/>
          <w:right w:w="28" w:type="dxa"/>
        </w:tblCellMar>
      </w:tblPr>
      <w:tblGrid>
        <w:gridCol w:w="1016"/>
        <w:gridCol w:w="891"/>
        <w:gridCol w:w="898"/>
        <w:gridCol w:w="211"/>
        <w:gridCol w:w="721"/>
        <w:gridCol w:w="109"/>
        <w:gridCol w:w="109"/>
        <w:gridCol w:w="109"/>
        <w:gridCol w:w="109"/>
        <w:gridCol w:w="211"/>
        <w:gridCol w:w="721"/>
        <w:gridCol w:w="109"/>
        <w:gridCol w:w="109"/>
        <w:gridCol w:w="109"/>
        <w:gridCol w:w="109"/>
        <w:gridCol w:w="319"/>
        <w:gridCol w:w="1091"/>
        <w:gridCol w:w="165"/>
        <w:gridCol w:w="109"/>
        <w:gridCol w:w="109"/>
        <w:gridCol w:w="109"/>
        <w:gridCol w:w="211"/>
        <w:gridCol w:w="826"/>
        <w:gridCol w:w="109"/>
        <w:gridCol w:w="109"/>
        <w:gridCol w:w="109"/>
        <w:gridCol w:w="109"/>
        <w:gridCol w:w="211"/>
        <w:gridCol w:w="826"/>
        <w:gridCol w:w="154"/>
      </w:tblGrid>
      <w:tr>
        <w:trPr/>
        <w:tc>
          <w:tcPr>
            <w:tcW w:w="1016"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Healthcare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Emerging Business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Analytics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January 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47,101 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286,732 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405,637 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June 30, 2023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47,243 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286,732 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405,903 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the Company performed an assessment to determine whether events or circumstances exist that may lead to a determination that it is more likely than not that the fair value of a reporting unit is less than its carrying amount. The Company considered current and forecasted economic and market conditions and qualitative factors, such as the Company’s performance during the first half of the current fiscal year, business forecasts for the remainder of the year, stock price movements, generation and availability of cash and expansion plans. The Company reviewed key assumptions, including revisions of projected future revenues for reporting units against the results of the annual impairment test performed during the fourth quarter of 2022. The Company did not identify any triggers or indications of potential impairment for its reporting units as of June 30, 2023. </w:t>
      </w:r>
    </w:p>
    <w:p>
      <w:pPr>
        <w:pStyle w:val="TextBody"/>
        <w:bidi w:val="0"/>
        <w:spacing w:before="0" w:after="0"/>
        <w:ind w:left="0" w:right="0" w:firstLine="450"/>
        <w:jc w:val="left"/>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recoverability of goodwill is dependent upon the continued growth of cash flows from the Company’s business activities. This growth is based on business forecasts and improvement in profitability of its reporting units. The Company continues to maintain its focus on cultivating long-term client relationships as well as attracting new clients.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c972c7b333c94ee3bad0bd2154cbac49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EXLSERVICE HOLDINGS,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 and share count)</w:t>
      </w:r>
    </w:p>
    <w:p>
      <w:pPr>
        <w:pStyle w:val="TextBody"/>
        <w:bidi w:val="0"/>
        <w:spacing w:before="0" w:after="0"/>
        <w:ind w:left="0" w:right="0" w:firstLine="45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Other Intangible Assets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regarding the Company’s intangible assets is set forth below:</w:t>
      </w:r>
    </w:p>
    <w:tbl>
      <w:tblPr>
        <w:tblW w:w="7358" w:type="dxa"/>
        <w:jc w:val="center"/>
        <w:tblInd w:w="0" w:type="dxa"/>
        <w:tblLayout w:type="fixed"/>
        <w:tblCellMar>
          <w:top w:w="28" w:type="dxa"/>
          <w:left w:w="28" w:type="dxa"/>
          <w:bottom w:w="28" w:type="dxa"/>
          <w:right w:w="28" w:type="dxa"/>
        </w:tblCellMar>
      </w:tblPr>
      <w:tblGrid>
        <w:gridCol w:w="1048"/>
        <w:gridCol w:w="921"/>
        <w:gridCol w:w="925"/>
        <w:gridCol w:w="276"/>
        <w:gridCol w:w="1081"/>
        <w:gridCol w:w="144"/>
        <w:gridCol w:w="109"/>
        <w:gridCol w:w="109"/>
        <w:gridCol w:w="109"/>
        <w:gridCol w:w="224"/>
        <w:gridCol w:w="796"/>
        <w:gridCol w:w="118"/>
        <w:gridCol w:w="109"/>
        <w:gridCol w:w="109"/>
        <w:gridCol w:w="109"/>
        <w:gridCol w:w="227"/>
        <w:gridCol w:w="777"/>
        <w:gridCol w:w="167"/>
      </w:tblGrid>
      <w:tr>
        <w:trPr/>
        <w:tc>
          <w:tcPr>
            <w:tcW w:w="1048"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June 30, 2023</w:t>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w:t>
              <w:b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Carrying</w:t>
              <w:br/>
              <w:t>Amount</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Finite-lived intangible assets:</w:t>
            </w:r>
          </w:p>
        </w:tc>
        <w:tc>
          <w:tcPr>
            <w:tcW w:w="15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99,146 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(45,463)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53,683 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 and trademarks</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Non-compete agreements</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104,724 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(49,137)</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55,587 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Indefinite-lived intangible assets:</w:t>
            </w:r>
          </w:p>
        </w:tc>
        <w:tc>
          <w:tcPr>
            <w:tcW w:w="1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 and trademarks</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intangible assets</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105,624 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(49,137)</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56,487 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904" w:type="dxa"/>
        <w:jc w:val="center"/>
        <w:tblInd w:w="0" w:type="dxa"/>
        <w:tblLayout w:type="fixed"/>
        <w:tblCellMar>
          <w:top w:w="28" w:type="dxa"/>
          <w:left w:w="28" w:type="dxa"/>
          <w:bottom w:w="28" w:type="dxa"/>
          <w:right w:w="28" w:type="dxa"/>
        </w:tblCellMar>
      </w:tblPr>
      <w:tblGrid>
        <w:gridCol w:w="1048"/>
        <w:gridCol w:w="921"/>
        <w:gridCol w:w="925"/>
        <w:gridCol w:w="367"/>
        <w:gridCol w:w="1437"/>
        <w:gridCol w:w="191"/>
        <w:gridCol w:w="109"/>
        <w:gridCol w:w="109"/>
        <w:gridCol w:w="109"/>
        <w:gridCol w:w="431"/>
        <w:gridCol w:w="1532"/>
        <w:gridCol w:w="227"/>
        <w:gridCol w:w="109"/>
        <w:gridCol w:w="109"/>
        <w:gridCol w:w="109"/>
        <w:gridCol w:w="227"/>
        <w:gridCol w:w="777"/>
        <w:gridCol w:w="167"/>
      </w:tblGrid>
      <w:tr>
        <w:trPr/>
        <w:tc>
          <w:tcPr>
            <w:tcW w:w="1048"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2022</w:t>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Carrying</w:t>
              <w:br/>
              <w:t>Amount</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Finite-lived intangible assets:</w:t>
            </w:r>
          </w:p>
        </w:tc>
        <w:tc>
          <w:tcPr>
            <w:tcW w:w="19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99,146 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(39,848)</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59,298 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1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(20,902)</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 and trademarks</w:t>
            </w:r>
          </w:p>
        </w:tc>
        <w:tc>
          <w:tcPr>
            <w:tcW w:w="1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Non-compete agreements</w:t>
            </w:r>
          </w:p>
        </w:tc>
        <w:tc>
          <w:tcPr>
            <w:tcW w:w="1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126,060 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(62,141)</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63,919 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Indefinite-lived intangible assets:</w:t>
            </w:r>
          </w:p>
        </w:tc>
        <w:tc>
          <w:tcPr>
            <w:tcW w:w="1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 and trademarks</w:t>
            </w:r>
          </w:p>
        </w:tc>
        <w:tc>
          <w:tcPr>
            <w:tcW w:w="1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intangible assets</w:t>
            </w:r>
          </w:p>
        </w:tc>
        <w:tc>
          <w:tcPr>
            <w:tcW w:w="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126,960 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(62,141)</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64,819 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center"/>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amortization expense recognized in the unaudited consolidated statements of income was as follows:</w:t>
      </w:r>
    </w:p>
    <w:tbl>
      <w:tblPr>
        <w:tblW w:w="6696" w:type="dxa"/>
        <w:jc w:val="center"/>
        <w:tblInd w:w="0" w:type="dxa"/>
        <w:tblLayout w:type="fixed"/>
        <w:tblCellMar>
          <w:top w:w="28" w:type="dxa"/>
          <w:left w:w="28" w:type="dxa"/>
          <w:bottom w:w="28" w:type="dxa"/>
          <w:right w:w="28" w:type="dxa"/>
        </w:tblCellMar>
      </w:tblPr>
      <w:tblGrid>
        <w:gridCol w:w="690"/>
        <w:gridCol w:w="606"/>
        <w:gridCol w:w="609"/>
        <w:gridCol w:w="213"/>
        <w:gridCol w:w="622"/>
        <w:gridCol w:w="110"/>
        <w:gridCol w:w="110"/>
        <w:gridCol w:w="110"/>
        <w:gridCol w:w="110"/>
        <w:gridCol w:w="213"/>
        <w:gridCol w:w="622"/>
        <w:gridCol w:w="110"/>
        <w:gridCol w:w="109"/>
        <w:gridCol w:w="109"/>
        <w:gridCol w:w="109"/>
        <w:gridCol w:w="211"/>
        <w:gridCol w:w="616"/>
        <w:gridCol w:w="109"/>
        <w:gridCol w:w="109"/>
        <w:gridCol w:w="109"/>
        <w:gridCol w:w="109"/>
        <w:gridCol w:w="211"/>
        <w:gridCol w:w="616"/>
        <w:gridCol w:w="154"/>
      </w:tblGrid>
      <w:tr>
        <w:trPr/>
        <w:tc>
          <w:tcPr>
            <w:tcW w:w="6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4,204 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4,146 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remaining weighted average life of intangible assets is as follows:</w:t>
      </w:r>
    </w:p>
    <w:tbl>
      <w:tblPr>
        <w:tblW w:w="4425" w:type="dxa"/>
        <w:jc w:val="center"/>
        <w:tblInd w:w="0" w:type="dxa"/>
        <w:tblLayout w:type="fixed"/>
        <w:tblCellMar>
          <w:top w:w="28" w:type="dxa"/>
          <w:left w:w="28" w:type="dxa"/>
          <w:bottom w:w="28" w:type="dxa"/>
          <w:right w:w="28" w:type="dxa"/>
        </w:tblCellMar>
      </w:tblPr>
      <w:tblGrid>
        <w:gridCol w:w="1260"/>
        <w:gridCol w:w="1108"/>
        <w:gridCol w:w="1112"/>
        <w:gridCol w:w="276"/>
        <w:gridCol w:w="276"/>
        <w:gridCol w:w="393"/>
      </w:tblGrid>
      <w:tr>
        <w:trPr/>
        <w:tc>
          <w:tcPr>
            <w:tcW w:w="126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(in years)</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 and trademarks (finite lived)</w:t>
            </w:r>
          </w:p>
        </w:tc>
        <w:tc>
          <w:tcPr>
            <w:tcW w:w="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Non-compete agreements</w:t>
            </w:r>
          </w:p>
        </w:tc>
        <w:tc>
          <w:tcPr>
            <w:tcW w:w="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c972c7b333c94ee3bad0bd2154cbac49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EXLSERVICE HOLDINGS,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 and share count)</w:t>
      </w:r>
    </w:p>
    <w:tbl>
      <w:tblPr>
        <w:tblW w:w="9498" w:type="dxa"/>
        <w:jc w:val="center"/>
        <w:tblInd w:w="0" w:type="dxa"/>
        <w:tblLayout w:type="fixed"/>
        <w:tblCellMar>
          <w:top w:w="28" w:type="dxa"/>
          <w:left w:w="28" w:type="dxa"/>
          <w:bottom w:w="28" w:type="dxa"/>
          <w:right w:w="28" w:type="dxa"/>
        </w:tblCellMar>
      </w:tblPr>
      <w:tblGrid>
        <w:gridCol w:w="875"/>
        <w:gridCol w:w="770"/>
        <w:gridCol w:w="770"/>
        <w:gridCol w:w="1376"/>
        <w:gridCol w:w="4703"/>
        <w:gridCol w:w="1004"/>
      </w:tblGrid>
      <w:tr>
        <w:trPr/>
        <w:tc>
          <w:tcPr>
            <w:tcW w:w="87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4703"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rPr/>
        <w:tc>
          <w:tcPr>
            <w:tcW w:w="9498" w:type="dxa"/>
            <w:gridSpan w:val="6"/>
            <w:tcBorders/>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Estimated future amortization expense related to finite-lived intangible assets as of June 30, 2023 was as follows:</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(July 1 - December 31)</w:t>
            </w:r>
          </w:p>
        </w:tc>
        <w:tc>
          <w:tcPr>
            <w:tcW w:w="1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6,315 </w:t>
            </w:r>
          </w:p>
        </w:tc>
        <w:tc>
          <w:tcPr>
            <w:tcW w:w="10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6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12,140 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6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10,705 </w:t>
            </w:r>
          </w:p>
        </w:tc>
        <w:tc>
          <w:tcPr>
            <w:tcW w:w="10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6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10,366 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6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9,364 </w:t>
            </w:r>
          </w:p>
        </w:tc>
        <w:tc>
          <w:tcPr>
            <w:tcW w:w="10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and thereafter</w:t>
            </w:r>
          </w:p>
        </w:tc>
        <w:tc>
          <w:tcPr>
            <w:tcW w:w="6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6,697 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55,587 </w:t>
            </w:r>
          </w:p>
        </w:tc>
        <w:tc>
          <w:tcPr>
            <w:tcW w:w="10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11. Other Current Assets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 consist of the following:</w:t>
      </w:r>
    </w:p>
    <w:tbl>
      <w:tblPr>
        <w:tblW w:w="6206" w:type="dxa"/>
        <w:jc w:val="center"/>
        <w:tblInd w:w="0" w:type="dxa"/>
        <w:tblLayout w:type="fixed"/>
        <w:tblCellMar>
          <w:top w:w="28" w:type="dxa"/>
          <w:left w:w="28" w:type="dxa"/>
          <w:bottom w:w="28" w:type="dxa"/>
          <w:right w:w="28" w:type="dxa"/>
        </w:tblCellMar>
      </w:tblPr>
      <w:tblGrid>
        <w:gridCol w:w="1163"/>
        <w:gridCol w:w="1019"/>
        <w:gridCol w:w="1028"/>
        <w:gridCol w:w="228"/>
        <w:gridCol w:w="779"/>
        <w:gridCol w:w="117"/>
        <w:gridCol w:w="109"/>
        <w:gridCol w:w="109"/>
        <w:gridCol w:w="109"/>
        <w:gridCol w:w="300"/>
        <w:gridCol w:w="1026"/>
        <w:gridCol w:w="219"/>
      </w:tblGrid>
      <w:tr>
        <w:trPr/>
        <w:tc>
          <w:tcPr>
            <w:tcW w:w="1163"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18,132 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 income tax,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from statutory authorities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Advances to suppliers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contract fulfillment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70,186 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50,979 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12. Other Assets</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consist of the following:</w:t>
      </w:r>
    </w:p>
    <w:tbl>
      <w:tblPr>
        <w:tblW w:w="5906" w:type="dxa"/>
        <w:jc w:val="center"/>
        <w:tblInd w:w="0" w:type="dxa"/>
        <w:tblLayout w:type="fixed"/>
        <w:tblCellMar>
          <w:top w:w="28" w:type="dxa"/>
          <w:left w:w="28" w:type="dxa"/>
          <w:bottom w:w="28" w:type="dxa"/>
          <w:right w:w="28" w:type="dxa"/>
        </w:tblCellMar>
      </w:tblPr>
      <w:tblGrid>
        <w:gridCol w:w="1054"/>
        <w:gridCol w:w="925"/>
        <w:gridCol w:w="931"/>
        <w:gridCol w:w="228"/>
        <w:gridCol w:w="779"/>
        <w:gridCol w:w="117"/>
        <w:gridCol w:w="109"/>
        <w:gridCol w:w="109"/>
        <w:gridCol w:w="109"/>
        <w:gridCol w:w="300"/>
        <w:gridCol w:w="1026"/>
        <w:gridCol w:w="219"/>
      </w:tblGrid>
      <w:tr>
        <w:trPr/>
        <w:tc>
          <w:tcPr>
            <w:tcW w:w="1054"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contract fulfillment costs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19,333 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12,693 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deposits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 with statutory authorities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48,255 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32,069 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20" w:after="283"/>
        <w:ind w:left="0" w:right="0" w:firstLine="90"/>
        <w:jc w:val="center"/>
        <w:rPr/>
      </w:pPr>
      <w:r>
        <w:rPr/>
      </w:r>
    </w:p>
    <w:p>
      <w:pPr>
        <w:pStyle w:val="TextBody"/>
        <w:bidi w:val="0"/>
        <w:spacing w:before="220" w:after="283"/>
        <w:ind w:left="0" w:right="0" w:firstLine="90"/>
        <w:jc w:val="center"/>
        <w:rPr/>
      </w:pPr>
      <w:r>
        <w:rPr/>
      </w:r>
    </w:p>
    <w:p>
      <w:pPr>
        <w:pStyle w:val="TextBody"/>
        <w:bidi w:val="0"/>
        <w:spacing w:before="220" w:after="283"/>
        <w:ind w:left="0" w:right="0" w:firstLine="90"/>
        <w:jc w:val="center"/>
        <w:rPr/>
      </w:pPr>
      <w:r>
        <w:rPr/>
      </w:r>
    </w:p>
    <w:p>
      <w:pPr>
        <w:pStyle w:val="TextBody"/>
        <w:bidi w:val="0"/>
        <w:spacing w:before="220" w:after="283"/>
        <w:ind w:left="0" w:right="0" w:firstLine="9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c972c7b333c94ee3bad0bd2154cbac49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EXLSERVICE HOLDINGS,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 and share count)</w:t>
      </w:r>
    </w:p>
    <w:p>
      <w:pPr>
        <w:pStyle w:val="TextBody"/>
        <w:bidi w:val="0"/>
        <w:spacing w:before="360" w:after="283"/>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13. Accrued Expenses and Other Current Liabilities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 consist of the following:</w:t>
      </w:r>
    </w:p>
    <w:tbl>
      <w:tblPr>
        <w:tblW w:w="6843" w:type="dxa"/>
        <w:jc w:val="center"/>
        <w:tblInd w:w="0" w:type="dxa"/>
        <w:tblLayout w:type="fixed"/>
        <w:tblCellMar>
          <w:top w:w="28" w:type="dxa"/>
          <w:left w:w="28" w:type="dxa"/>
          <w:bottom w:w="28" w:type="dxa"/>
          <w:right w:w="28" w:type="dxa"/>
        </w:tblCellMar>
      </w:tblPr>
      <w:tblGrid>
        <w:gridCol w:w="1385"/>
        <w:gridCol w:w="1215"/>
        <w:gridCol w:w="1225"/>
        <w:gridCol w:w="211"/>
        <w:gridCol w:w="826"/>
        <w:gridCol w:w="109"/>
        <w:gridCol w:w="109"/>
        <w:gridCol w:w="109"/>
        <w:gridCol w:w="109"/>
        <w:gridCol w:w="300"/>
        <w:gridCol w:w="1026"/>
        <w:gridCol w:w="219"/>
      </w:tblGrid>
      <w:tr>
        <w:trPr/>
        <w:tc>
          <w:tcPr>
            <w:tcW w:w="1385"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47,854 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Payable to statutory authorities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capital expenditures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95,352 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14. Other Non-Current Liabilities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 consist of the following:</w:t>
      </w:r>
    </w:p>
    <w:tbl>
      <w:tblPr>
        <w:tblW w:w="5380" w:type="dxa"/>
        <w:jc w:val="center"/>
        <w:tblInd w:w="0" w:type="dxa"/>
        <w:tblLayout w:type="fixed"/>
        <w:tblCellMar>
          <w:top w:w="28" w:type="dxa"/>
          <w:left w:w="28" w:type="dxa"/>
          <w:bottom w:w="28" w:type="dxa"/>
          <w:right w:w="28" w:type="dxa"/>
        </w:tblCellMar>
      </w:tblPr>
      <w:tblGrid>
        <w:gridCol w:w="865"/>
        <w:gridCol w:w="758"/>
        <w:gridCol w:w="761"/>
        <w:gridCol w:w="228"/>
        <w:gridCol w:w="779"/>
        <w:gridCol w:w="117"/>
        <w:gridCol w:w="109"/>
        <w:gridCol w:w="109"/>
        <w:gridCol w:w="109"/>
        <w:gridCol w:w="300"/>
        <w:gridCol w:w="1026"/>
        <w:gridCol w:w="219"/>
      </w:tblGrid>
      <w:tr>
        <w:trPr/>
        <w:tc>
          <w:tcPr>
            <w:tcW w:w="865"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Retirement benefits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12,982 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transition revenue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tax benefits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28,343 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41,292 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15. Accumulated Other Comprehensive Income/(Loss)</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pPr>
      <w:r>
        <w:rPr>
          <w:rFonts w:ascii="Times New Roman;sans-serif" w:hAnsi="Times New Roman;sans-serif"/>
          <w:b w:val="false"/>
          <w:color w:val="000000"/>
          <w:sz w:val="20"/>
        </w:rPr>
        <w:t xml:space="preserve">Accumulated other comprehensive income/(loss) (“AOCI”) consists of actuarial gain/(loss) on retirement benefits and foreign currency translation adjustments. In addition, the Company enters into foreign currency forward contracts and interest rate swaps, which are designated as cash flow hedges and net investment hedges, as applicable, in accordance with ASC Topic 815, </w:t>
      </w:r>
      <w:r>
        <w:rPr>
          <w:rFonts w:ascii="Times New Roman;sans-serif" w:hAnsi="Times New Roman;sans-serif"/>
          <w:b w:val="false"/>
          <w:i/>
          <w:color w:val="000000"/>
          <w:sz w:val="20"/>
        </w:rPr>
        <w:t>Derivatives and Hedging</w:t>
      </w:r>
      <w:r>
        <w:rPr>
          <w:rFonts w:ascii="Times New Roman;sans-serif" w:hAnsi="Times New Roman;sans-serif"/>
          <w:b w:val="false"/>
          <w:color w:val="000000"/>
          <w:sz w:val="20"/>
        </w:rPr>
        <w:t>. Cumulative changes in the fair values of cash flow hedges are recognized in AOCI on the Company’s consolidated balance sheets. The fair value changes are reclassified from AOCI to unaudited consolidated statements of income upon settlement of foreign currency forward contracts designated as cash flow hedges of a forecast transaction, whereas such changes for interest rate swaps are reclassified over the term of the contract. Fair value changes related to net investment hedges are included in AOCI and are reclassified to unaudited consolidated statements of income when a foreign operation is disposed or partially disposed. The following table sets forth the changes in AOCI during the six months ended June 30, 2023 and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c972c7b333c94ee3bad0bd2154cbac49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EXLSERVICE HOLDINGS,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 and share count)</w:t>
      </w:r>
    </w:p>
    <w:tbl>
      <w:tblPr>
        <w:tblW w:w="10205" w:type="dxa"/>
        <w:jc w:val="center"/>
        <w:tblInd w:w="0" w:type="dxa"/>
        <w:tblLayout w:type="fixed"/>
        <w:tblCellMar>
          <w:top w:w="28" w:type="dxa"/>
          <w:left w:w="28" w:type="dxa"/>
          <w:bottom w:w="28" w:type="dxa"/>
          <w:right w:w="28" w:type="dxa"/>
        </w:tblCellMar>
      </w:tblPr>
      <w:tblGrid>
        <w:gridCol w:w="1357"/>
        <w:gridCol w:w="878"/>
        <w:gridCol w:w="881"/>
        <w:gridCol w:w="327"/>
        <w:gridCol w:w="1362"/>
        <w:gridCol w:w="169"/>
        <w:gridCol w:w="109"/>
        <w:gridCol w:w="109"/>
        <w:gridCol w:w="109"/>
        <w:gridCol w:w="356"/>
        <w:gridCol w:w="1309"/>
        <w:gridCol w:w="184"/>
        <w:gridCol w:w="109"/>
        <w:gridCol w:w="109"/>
        <w:gridCol w:w="109"/>
        <w:gridCol w:w="251"/>
        <w:gridCol w:w="785"/>
        <w:gridCol w:w="129"/>
        <w:gridCol w:w="109"/>
        <w:gridCol w:w="109"/>
        <w:gridCol w:w="109"/>
        <w:gridCol w:w="211"/>
        <w:gridCol w:w="863"/>
        <w:gridCol w:w="162"/>
      </w:tblGrid>
      <w:tr>
        <w:trPr/>
        <w:tc>
          <w:tcPr>
            <w:tcW w:w="135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Income/(Loss)</w:t>
            </w:r>
          </w:p>
        </w:tc>
      </w:tr>
      <w:tr>
        <w:trPr/>
        <w:tc>
          <w:tcPr>
            <w:tcW w:w="3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 translation gain/(loss)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gain/(loss) on cash flow hedges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Retirement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January 1, 2023</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(133,139)</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(11,303)</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299</w:t>
            </w: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(144,143)</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 recognized during the period</w:t>
            </w:r>
          </w:p>
        </w:tc>
        <w:tc>
          <w:tcPr>
            <w:tcW w:w="1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21,322 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vAlign w:val="center"/>
          </w:tcPr>
          <w:p>
            <w:pPr>
              <w:pStyle w:val="TableContents"/>
              <w:bidi w:val="0"/>
              <w:spacing w:before="0" w:after="283"/>
              <w:jc w:val="left"/>
              <w:rPr>
                <w:sz w:val="4"/>
                <w:szCs w:val="4"/>
              </w:rPr>
            </w:pPr>
            <w:r>
              <w:rPr>
                <w:sz w:val="4"/>
                <w:szCs w:val="4"/>
              </w:rPr>
            </w:r>
          </w:p>
        </w:tc>
        <w:tc>
          <w:tcPr>
            <w:tcW w:w="1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31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Reclassification to net income </w:t>
            </w:r>
            <w:r>
              <w:rPr>
                <w:rFonts w:ascii="Times New Roman;sans-serif" w:hAnsi="Times New Roman;sans-serif"/>
                <w:b w:val="false"/>
                <w:color w:val="000000"/>
                <w:sz w:val="13"/>
              </w:rPr>
              <w:t>(1)</w:t>
            </w:r>
          </w:p>
        </w:tc>
        <w:tc>
          <w:tcPr>
            <w:tcW w:w="1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Income tax effects </w:t>
            </w:r>
            <w:r>
              <w:rPr>
                <w:rFonts w:ascii="Times New Roman;sans-serif" w:hAnsi="Times New Roman;sans-serif"/>
                <w:b w:val="false"/>
                <w:color w:val="000000"/>
                <w:sz w:val="13"/>
              </w:rPr>
              <w:t>(2)</w:t>
            </w:r>
          </w:p>
        </w:tc>
        <w:tc>
          <w:tcPr>
            <w:tcW w:w="1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(4,334)</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Accumulated other comprehensive income/(loss) as of June 30, 2023</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(129,098)</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4,737</w:t>
            </w:r>
            <w:r>
              <w:rPr>
                <w:color w:val="000000"/>
              </w:rPr>
              <w:t>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214</w:t>
            </w: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(124,147)</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January 1, 2022</w:t>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(95,437)</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8,420</w:t>
            </w: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(2,457)</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(89,474)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recognized during the period</w:t>
            </w:r>
          </w:p>
        </w:tc>
        <w:tc>
          <w:tcPr>
            <w:tcW w:w="1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(30,227)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(15,149)</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(45,376)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vAlign w:val="center"/>
          </w:tcPr>
          <w:p>
            <w:pPr>
              <w:pStyle w:val="TableContents"/>
              <w:bidi w:val="0"/>
              <w:spacing w:before="0" w:after="283"/>
              <w:jc w:val="left"/>
              <w:rPr>
                <w:sz w:val="4"/>
                <w:szCs w:val="4"/>
              </w:rPr>
            </w:pPr>
            <w:r>
              <w:rPr>
                <w:sz w:val="4"/>
                <w:szCs w:val="4"/>
              </w:rPr>
            </w:r>
          </w:p>
        </w:tc>
        <w:tc>
          <w:tcPr>
            <w:tcW w:w="1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31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Reclassification to net income </w:t>
            </w:r>
            <w:r>
              <w:rPr>
                <w:rFonts w:ascii="Times New Roman;sans-serif" w:hAnsi="Times New Roman;sans-serif"/>
                <w:b w:val="false"/>
                <w:color w:val="000000"/>
                <w:sz w:val="13"/>
              </w:rPr>
              <w:t>(1)</w:t>
            </w:r>
          </w:p>
        </w:tc>
        <w:tc>
          <w:tcPr>
            <w:tcW w:w="1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(3,448)</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Income tax effects </w:t>
            </w:r>
            <w:r>
              <w:rPr>
                <w:rFonts w:ascii="Times New Roman;sans-serif" w:hAnsi="Times New Roman;sans-serif"/>
                <w:b w:val="false"/>
                <w:color w:val="000000"/>
                <w:sz w:val="13"/>
              </w:rPr>
              <w:t>(2)</w:t>
            </w:r>
          </w:p>
        </w:tc>
        <w:tc>
          <w:tcPr>
            <w:tcW w:w="1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Accumulated other comprehensive income/(loss) as of June 30, 2022</w:t>
            </w:r>
          </w:p>
        </w:tc>
        <w:tc>
          <w:tcPr>
            <w:tcW w:w="3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(124,685)</w:t>
            </w:r>
          </w:p>
        </w:tc>
        <w:tc>
          <w:tcPr>
            <w:tcW w:w="16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(6,444)</w:t>
            </w:r>
          </w:p>
        </w:tc>
        <w:tc>
          <w:tcPr>
            <w:tcW w:w="1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(2,245)</w:t>
            </w:r>
          </w:p>
        </w:tc>
        <w:tc>
          <w:tcPr>
            <w:tcW w:w="1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(133,374)</w:t>
            </w:r>
          </w:p>
        </w:tc>
        <w:tc>
          <w:tcPr>
            <w:tcW w:w="1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center"/>
        <w:rPr/>
      </w:pPr>
      <w:r>
        <w:rPr/>
      </w:r>
    </w:p>
    <w:p>
      <w:pPr>
        <w:pStyle w:val="TextBody"/>
        <w:bidi w:val="0"/>
        <w:spacing w:lineRule="auto" w:line="276" w:before="0" w:after="0"/>
        <w:ind w:left="0" w:right="0" w:hanging="720"/>
        <w:jc w:val="both"/>
        <w:rPr>
          <w:rFonts w:ascii="Times New Roman;sans-serif" w:hAnsi="Times New Roman;sans-serif"/>
          <w:b w:val="false"/>
          <w:i/>
          <w:color w:val="000000"/>
          <w:sz w:val="18"/>
        </w:rPr>
      </w:pPr>
      <w:r>
        <w:rPr>
          <w:rFonts w:ascii="Times New Roman;sans-serif" w:hAnsi="Times New Roman;sans-serif"/>
          <w:b w:val="false"/>
          <w:i/>
          <w:color w:val="000000"/>
          <w:sz w:val="18"/>
        </w:rPr>
        <w:t>(1)    Refer to Note 17 - Derivatives and Hedge Accounting and Note 20 - Employee Benefit Plans to the unaudited consolidated financial statements for reclassification to net income.</w:t>
      </w:r>
    </w:p>
    <w:p>
      <w:pPr>
        <w:pStyle w:val="TextBody"/>
        <w:bidi w:val="0"/>
        <w:spacing w:before="0" w:after="0"/>
        <w:ind w:left="0" w:right="0" w:hanging="180"/>
        <w:jc w:val="both"/>
        <w:rPr/>
      </w:pPr>
      <w:r>
        <w:rPr/>
      </w:r>
    </w:p>
    <w:p>
      <w:pPr>
        <w:pStyle w:val="TextBody"/>
        <w:bidi w:val="0"/>
        <w:spacing w:lineRule="auto" w:line="276" w:before="0" w:after="0"/>
        <w:ind w:left="0" w:right="0" w:hanging="720"/>
        <w:jc w:val="both"/>
        <w:rPr>
          <w:rFonts w:ascii="Times New Roman;sans-serif" w:hAnsi="Times New Roman;sans-serif"/>
          <w:b w:val="false"/>
          <w:i/>
          <w:color w:val="000000"/>
          <w:sz w:val="18"/>
        </w:rPr>
      </w:pPr>
      <w:r>
        <w:rPr>
          <w:rFonts w:ascii="Times New Roman;sans-serif" w:hAnsi="Times New Roman;sans-serif"/>
          <w:b w:val="false"/>
          <w:i/>
          <w:color w:val="000000"/>
          <w:sz w:val="18"/>
        </w:rPr>
        <w:t>(2)    These are income tax effects recognized on cash flow hedges, retirement benefits and foreign currency translation gain/(loss). Refer to Note 22 - Income Taxes 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16. Fair Value Measurements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Assets and Liabilities Measured at Fair Value</w:t>
      </w:r>
    </w:p>
    <w:p>
      <w:pPr>
        <w:pStyle w:val="TextBody"/>
        <w:bidi w:val="0"/>
        <w:spacing w:before="0" w:after="0"/>
        <w:ind w:left="0" w:right="0" w:firstLine="495"/>
        <w:jc w:val="left"/>
        <w:rPr/>
      </w:pPr>
      <w:r>
        <w:rPr/>
      </w:r>
    </w:p>
    <w:p>
      <w:pPr>
        <w:pStyle w:val="TextBody"/>
        <w:bidi w:val="0"/>
        <w:spacing w:lineRule="auto" w:line="26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Company’s assets and liabilities that were recognized at fair value:</w:t>
      </w:r>
    </w:p>
    <w:tbl>
      <w:tblPr>
        <w:tblW w:w="9730" w:type="dxa"/>
        <w:jc w:val="center"/>
        <w:tblInd w:w="0" w:type="dxa"/>
        <w:tblLayout w:type="fixed"/>
        <w:tblCellMar>
          <w:top w:w="28" w:type="dxa"/>
          <w:left w:w="28" w:type="dxa"/>
          <w:bottom w:w="28" w:type="dxa"/>
          <w:right w:w="28" w:type="dxa"/>
        </w:tblCellMar>
      </w:tblPr>
      <w:tblGrid>
        <w:gridCol w:w="1244"/>
        <w:gridCol w:w="1099"/>
        <w:gridCol w:w="1106"/>
        <w:gridCol w:w="301"/>
        <w:gridCol w:w="1029"/>
        <w:gridCol w:w="155"/>
        <w:gridCol w:w="109"/>
        <w:gridCol w:w="109"/>
        <w:gridCol w:w="109"/>
        <w:gridCol w:w="276"/>
        <w:gridCol w:w="946"/>
        <w:gridCol w:w="143"/>
        <w:gridCol w:w="109"/>
        <w:gridCol w:w="109"/>
        <w:gridCol w:w="109"/>
        <w:gridCol w:w="276"/>
        <w:gridCol w:w="945"/>
        <w:gridCol w:w="143"/>
        <w:gridCol w:w="109"/>
        <w:gridCol w:w="109"/>
        <w:gridCol w:w="109"/>
        <w:gridCol w:w="211"/>
        <w:gridCol w:w="721"/>
        <w:gridCol w:w="154"/>
      </w:tblGrid>
      <w:tr>
        <w:trPr/>
        <w:tc>
          <w:tcPr>
            <w:tcW w:w="1244"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Quoted Prices in </w:t>
              <w:br/>
              <w:t>Active Markets for</w:t>
              <w:br/>
              <w:t>Identical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w:t>
              <w:br/>
              <w:t>Observable</w:t>
              <w:br/>
              <w:t>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w:t>
              <w:br/>
              <w:t>Unobservable</w:t>
              <w:br/>
              <w:t>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 of June 30, 2023</w:t>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 - Money market funds*</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68,891 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Derivative financial instruments </w:t>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86,863 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10,300 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4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Derivative financial instruments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3,908 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13,689 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c972c7b333c94ee3bad0bd2154cbac49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EXLSERVICE HOLDINGS,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 and share count)</w:t>
      </w:r>
    </w:p>
    <w:tbl>
      <w:tblPr>
        <w:tblW w:w="9835" w:type="dxa"/>
        <w:jc w:val="center"/>
        <w:tblInd w:w="0" w:type="dxa"/>
        <w:tblLayout w:type="fixed"/>
        <w:tblCellMar>
          <w:top w:w="28" w:type="dxa"/>
          <w:left w:w="28" w:type="dxa"/>
          <w:bottom w:w="28" w:type="dxa"/>
          <w:right w:w="28" w:type="dxa"/>
        </w:tblCellMar>
      </w:tblPr>
      <w:tblGrid>
        <w:gridCol w:w="1249"/>
        <w:gridCol w:w="1098"/>
        <w:gridCol w:w="1102"/>
        <w:gridCol w:w="273"/>
        <w:gridCol w:w="1071"/>
        <w:gridCol w:w="141"/>
        <w:gridCol w:w="109"/>
        <w:gridCol w:w="109"/>
        <w:gridCol w:w="109"/>
        <w:gridCol w:w="276"/>
        <w:gridCol w:w="946"/>
        <w:gridCol w:w="143"/>
        <w:gridCol w:w="109"/>
        <w:gridCol w:w="109"/>
        <w:gridCol w:w="109"/>
        <w:gridCol w:w="276"/>
        <w:gridCol w:w="945"/>
        <w:gridCol w:w="143"/>
        <w:gridCol w:w="109"/>
        <w:gridCol w:w="109"/>
        <w:gridCol w:w="109"/>
        <w:gridCol w:w="211"/>
        <w:gridCol w:w="826"/>
        <w:gridCol w:w="154"/>
      </w:tblGrid>
      <w:tr>
        <w:trPr/>
        <w:tc>
          <w:tcPr>
            <w:tcW w:w="1249"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Quoted Prices in </w:t>
              <w:br/>
              <w:t>Active Markets for</w:t>
              <w:br/>
              <w:t>Identical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w:t>
              <w:br/>
              <w:t>Observable</w:t>
              <w:br/>
              <w:t>Inputs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w:t>
              <w:br/>
              <w:t>Unobservable</w:t>
              <w:br/>
              <w:t>Inputs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 of December 31, 2022</w:t>
            </w:r>
          </w:p>
        </w:tc>
        <w:tc>
          <w:tcPr>
            <w:tcW w:w="14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4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 - Money market funds*</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110,964 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Derivative financial instruments </w:t>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112,101 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2,346 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114,447 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4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Derivative financial instruments </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16,277 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18,689 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34,966 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495"/>
        <w:jc w:val="center"/>
        <w:rPr/>
      </w:pPr>
      <w:r>
        <w:rPr/>
      </w:r>
    </w:p>
    <w:p>
      <w:pPr>
        <w:pStyle w:val="TextBody"/>
        <w:bidi w:val="0"/>
        <w:spacing w:lineRule="auto" w:line="276" w:before="0" w:after="0"/>
        <w:jc w:val="both"/>
        <w:rPr/>
      </w:pP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i/>
          <w:color w:val="000000"/>
          <w:sz w:val="20"/>
        </w:rPr>
        <w:t>Represents money market funds which are carried at the fair value option under ASC Topic 825 “Financial Instruments”.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Represents those short-term investments which are carried at the fair value option under ASC Topic 825 “Financial Instruments”.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Contingent consideration is presented under “Accrued Expenses and Other Current Liabilities” and “Other Non-Current Liabilities,” as applicable, in the consolidated balance sheets.</w:t>
      </w:r>
    </w:p>
    <w:p>
      <w:pPr>
        <w:pStyle w:val="TextBody"/>
        <w:bidi w:val="0"/>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Derivative Financial Instruments:</w:t>
      </w:r>
    </w:p>
    <w:p>
      <w:pPr>
        <w:pStyle w:val="TextBody"/>
        <w:bidi w:val="0"/>
        <w:spacing w:before="0" w:after="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derivative financial instruments consist of foreign currency forward contracts and interest rate swaps. Fair values for derivative financial instruments are based on independent sources including highly rated financial institutions and are classified as Level 2. Refer to Note 17 - Derivatives and Hedge Accounting to the unaudited consolidated financial statements for further details.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Fair Value of Contingent Consideration:</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measurement of contingent consideration is determined using Level 3 inputs. The Company’s contingent consideration represents a component of the total purchase consideration for business acquisitions. The measurement is calculated using unobservable inputs based on the Company’s own assessment of achievement of certain performance goals. The Company estimated the fair value of the contingent consideration based on the Monte Carlo simulation model and scenario-based method.</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changes in the fair value of contingent consideration:</w:t>
      </w:r>
    </w:p>
    <w:tbl>
      <w:tblPr>
        <w:tblW w:w="6825" w:type="dxa"/>
        <w:jc w:val="left"/>
        <w:tblInd w:w="0" w:type="dxa"/>
        <w:tblLayout w:type="fixed"/>
        <w:tblCellMar>
          <w:top w:w="28" w:type="dxa"/>
          <w:left w:w="28" w:type="dxa"/>
          <w:bottom w:w="28" w:type="dxa"/>
          <w:right w:w="28" w:type="dxa"/>
        </w:tblCellMar>
      </w:tblPr>
      <w:tblGrid>
        <w:gridCol w:w="591"/>
        <w:gridCol w:w="521"/>
        <w:gridCol w:w="523"/>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59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w:t>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changes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Closing balance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and six months ended June 30, 2023 and 2022, there were no transfers among Level 1, Level 2 and Level 3.</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c972c7b333c94ee3bad0bd2154cbac49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EXLSERVICE HOLDINGS,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 and share count)</w:t>
      </w:r>
    </w:p>
    <w:p>
      <w:pPr>
        <w:pStyle w:val="TextBody"/>
        <w:bidi w:val="0"/>
        <w:spacing w:lineRule="auto" w:line="268" w:before="0" w:after="0"/>
        <w:jc w:val="left"/>
        <w:rPr/>
      </w:pPr>
      <w:r>
        <w:rPr>
          <w:rFonts w:ascii="Times New Roman;sans-serif" w:hAnsi="Times New Roman;sans-serif"/>
          <w:b w:val="false"/>
          <w:i/>
          <w:color w:val="000000"/>
          <w:sz w:val="20"/>
        </w:rPr>
        <w:t>Financial Instruments Not Carried at Fair Value</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other financial instruments not carried at fair value consist primarily of cash and cash equivalents (except investments in money market funds, as disclosed above), short-term investments (except investments in mutual funds, as disclosed above), restricted cash, accounts receivable, net, long-term investments, accrued capital expenditures, accrued expenses, client liabilities and interest payable on borrowings for which fair values approximate their carrying amounts. The carrying value of the Company’s outstanding revolving credit facility approximates its fair value because the Company’s interest rate yield is near current market rates for comparable debt instruments.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17. Derivatives and Hedge Accounting</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pPr>
      <w:r>
        <w:rPr>
          <w:rFonts w:ascii="Times New Roman;sans-serif" w:hAnsi="Times New Roman;sans-serif"/>
          <w:b w:val="false"/>
          <w:color w:val="000000"/>
          <w:sz w:val="20"/>
        </w:rPr>
        <w:t xml:space="preserve">The Company uses derivative instruments to mitigate cash flow volatility from risk of fluctuations in foreign currency exchange rates and interest rates. The Company enters into foreign currency forward contracts to hedge cash flow risks from forecasted transactions denominated in certain foreign currencies, and interest rate swaps to hedge cash flow risks from its revolving credit facility having variable interest rate obligations. These contracts qualify as cash flow hedges under ASC Topic 815, </w:t>
      </w:r>
      <w:r>
        <w:rPr>
          <w:rFonts w:ascii="Times New Roman;sans-serif" w:hAnsi="Times New Roman;sans-serif"/>
          <w:b w:val="false"/>
          <w:i/>
          <w:color w:val="000000"/>
          <w:sz w:val="20"/>
        </w:rPr>
        <w:t>Derivatives and Hedging</w:t>
      </w:r>
      <w:r>
        <w:rPr>
          <w:rFonts w:ascii="Times New Roman;sans-serif" w:hAnsi="Times New Roman;sans-serif"/>
          <w:b w:val="false"/>
          <w:color w:val="000000"/>
          <w:sz w:val="20"/>
        </w:rPr>
        <w:t>, and are with counterparties that are highly rated financial institutions. For derivatives in cash flow hedging relationships as of June 30, 2023 and December 31, 2022, the Company had outstanding foreign currency forward contracts totaling $831,250 and $841,620, respectively and interest rate swaps totaling $75,000, each.</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estimates that approximately $1,578 of derivative gains, net, excluding tax effects, included in AOCI, representing changes in the value of cash flow hedges based on exchange rates prevailing as of June 30, 2023, could be reclassified into earnings within the next twelve months. As of June 30, 2023, the maximum outstanding term of the cash flow hedges was approximately 39 months.</w:t>
      </w:r>
    </w:p>
    <w:p>
      <w:pPr>
        <w:pStyle w:val="TextBody"/>
        <w:bidi w:val="0"/>
        <w:spacing w:before="0" w:after="0"/>
        <w:jc w:val="both"/>
        <w:rPr/>
      </w:pPr>
      <w:r>
        <w:rPr/>
      </w:r>
    </w:p>
    <w:p>
      <w:pPr>
        <w:pStyle w:val="TextBody"/>
        <w:bidi w:val="0"/>
        <w:spacing w:lineRule="auto" w:line="268" w:before="0" w:after="0"/>
        <w:ind w:left="0" w:right="0" w:firstLine="450"/>
        <w:jc w:val="both"/>
        <w:rPr/>
      </w:pPr>
      <w:r>
        <w:rPr>
          <w:rFonts w:ascii="Times New Roman;sans-serif" w:hAnsi="Times New Roman;sans-serif"/>
          <w:b w:val="false"/>
          <w:color w:val="000000"/>
          <w:sz w:val="20"/>
        </w:rPr>
        <w:t xml:space="preserve">The Company also enters into foreign currency forward contracts to hedge its intercompany balances and other monetary assets and liabilities denominated in currencies other than functional currencies, against the risk of fluctuations in foreign currency exchange rates associated with remeasurement of such assets and liabilities to functional currency. These foreign currency forward contracts do not qualify as fair value hedges under ASC Topic 815, </w:t>
      </w:r>
      <w:r>
        <w:rPr>
          <w:rFonts w:ascii="Times New Roman;sans-serif" w:hAnsi="Times New Roman;sans-serif"/>
          <w:b w:val="false"/>
          <w:i/>
          <w:color w:val="000000"/>
          <w:sz w:val="20"/>
        </w:rPr>
        <w:t>Derivatives and Hedging</w:t>
      </w:r>
      <w:r>
        <w:rPr>
          <w:rFonts w:ascii="Times New Roman;sans-serif" w:hAnsi="Times New Roman;sans-serif"/>
          <w:b w:val="false"/>
          <w:color w:val="000000"/>
          <w:sz w:val="20"/>
        </w:rPr>
        <w:t>. Changes in the fair value of these financial instruments are recognized in the unaudited consolidated statements of income and are included in the foreign exchange gain/(loss) line item. The Company’s primary exchange rate exposure is with the Indian rupee, the Philippine peso and the U.K. pound sterling (GBP). The Company also has exposure to Colombian pesos (COP), the Euro (EUR), South African ZAR, the Australian dollar (AUD), the Canadian dollar (CAD) and other local currencies in which it operates.</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aggregate notional principal amounts of outstanding foreign currency forward contracts for derivatives not designated as hedging instruments:</w:t>
      </w:r>
    </w:p>
    <w:p>
      <w:pPr>
        <w:pStyle w:val="TextBody"/>
        <w:bidi w:val="0"/>
        <w:spacing w:before="0" w:after="0"/>
        <w:ind w:left="0" w:right="0" w:firstLine="450"/>
        <w:jc w:val="both"/>
        <w:rPr/>
      </w:pPr>
      <w:r>
        <w:rPr/>
      </w:r>
    </w:p>
    <w:tbl>
      <w:tblPr>
        <w:tblW w:w="7704" w:type="dxa"/>
        <w:jc w:val="left"/>
        <w:tblInd w:w="0" w:type="dxa"/>
        <w:tblLayout w:type="fixed"/>
        <w:tblCellMar>
          <w:top w:w="28" w:type="dxa"/>
          <w:left w:w="28" w:type="dxa"/>
          <w:bottom w:w="28" w:type="dxa"/>
          <w:right w:w="28" w:type="dxa"/>
        </w:tblCellMar>
      </w:tblPr>
      <w:tblGrid>
        <w:gridCol w:w="1505"/>
        <w:gridCol w:w="1321"/>
        <w:gridCol w:w="1328"/>
        <w:gridCol w:w="109"/>
        <w:gridCol w:w="109"/>
        <w:gridCol w:w="109"/>
        <w:gridCol w:w="488"/>
        <w:gridCol w:w="488"/>
        <w:gridCol w:w="376"/>
        <w:gridCol w:w="109"/>
        <w:gridCol w:w="109"/>
        <w:gridCol w:w="109"/>
        <w:gridCol w:w="452"/>
        <w:gridCol w:w="452"/>
        <w:gridCol w:w="640"/>
      </w:tblGrid>
      <w:tr>
        <w:trPr/>
        <w:tc>
          <w:tcPr>
            <w:tcW w:w="1505"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Foreign currency forward contracts denominated 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4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 S. dollar (USD)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165,793 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163,990 </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U.K. pound sterling (GBP)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11,235 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8,351 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 (EUR)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3,947 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Australian dollar (AUD)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4,471 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 African ZAR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102,249 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Colombian peso (COP)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2,449,676 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c972c7b333c94ee3bad0bd2154cbac49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EXLSERVICE HOLDINGS,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 and share count)</w:t>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fair value of the foreign currency forward contracts and interest rate swaps and their location on the consolidated balance sheets:</w:t>
      </w:r>
    </w:p>
    <w:tbl>
      <w:tblPr>
        <w:tblW w:w="9512" w:type="dxa"/>
        <w:jc w:val="center"/>
        <w:tblInd w:w="0" w:type="dxa"/>
        <w:tblLayout w:type="fixed"/>
        <w:tblCellMar>
          <w:top w:w="28" w:type="dxa"/>
          <w:left w:w="28" w:type="dxa"/>
          <w:bottom w:w="28" w:type="dxa"/>
          <w:right w:w="28" w:type="dxa"/>
        </w:tblCellMar>
      </w:tblPr>
      <w:tblGrid>
        <w:gridCol w:w="876"/>
        <w:gridCol w:w="773"/>
        <w:gridCol w:w="780"/>
        <w:gridCol w:w="109"/>
        <w:gridCol w:w="109"/>
        <w:gridCol w:w="109"/>
        <w:gridCol w:w="260"/>
        <w:gridCol w:w="761"/>
        <w:gridCol w:w="134"/>
        <w:gridCol w:w="124"/>
        <w:gridCol w:w="124"/>
        <w:gridCol w:w="124"/>
        <w:gridCol w:w="313"/>
        <w:gridCol w:w="1071"/>
        <w:gridCol w:w="161"/>
        <w:gridCol w:w="109"/>
        <w:gridCol w:w="109"/>
        <w:gridCol w:w="109"/>
        <w:gridCol w:w="335"/>
        <w:gridCol w:w="740"/>
        <w:gridCol w:w="173"/>
        <w:gridCol w:w="173"/>
        <w:gridCol w:w="173"/>
        <w:gridCol w:w="173"/>
        <w:gridCol w:w="404"/>
        <w:gridCol w:w="892"/>
        <w:gridCol w:w="294"/>
      </w:tblGrid>
      <w:tr>
        <w:trPr/>
        <w:tc>
          <w:tcPr>
            <w:tcW w:w="87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Derivatives in cash flow hedging </w:t>
              <w:br/>
              <w:t>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Derivatives not designated as hedging </w:t>
              <w:br/>
              <w:t>instruments</w:t>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4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Accrued expenses and other </w:t>
              <w:b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effect of foreign currency forward contracts and interest rate swaps on AOCI and the unaudited consolidated statements of income:</w:t>
      </w:r>
    </w:p>
    <w:tbl>
      <w:tblPr>
        <w:tblW w:w="10205" w:type="dxa"/>
        <w:jc w:val="left"/>
        <w:tblInd w:w="0" w:type="dxa"/>
        <w:tblLayout w:type="fixed"/>
        <w:tblCellMar>
          <w:top w:w="28" w:type="dxa"/>
          <w:left w:w="28" w:type="dxa"/>
          <w:bottom w:w="28" w:type="dxa"/>
          <w:right w:w="28" w:type="dxa"/>
        </w:tblCellMar>
      </w:tblPr>
      <w:tblGrid>
        <w:gridCol w:w="1705"/>
        <w:gridCol w:w="1474"/>
        <w:gridCol w:w="1483"/>
        <w:gridCol w:w="109"/>
        <w:gridCol w:w="109"/>
        <w:gridCol w:w="109"/>
        <w:gridCol w:w="211"/>
        <w:gridCol w:w="616"/>
        <w:gridCol w:w="109"/>
        <w:gridCol w:w="109"/>
        <w:gridCol w:w="109"/>
        <w:gridCol w:w="109"/>
        <w:gridCol w:w="211"/>
        <w:gridCol w:w="786"/>
        <w:gridCol w:w="109"/>
        <w:gridCol w:w="109"/>
        <w:gridCol w:w="109"/>
        <w:gridCol w:w="109"/>
        <w:gridCol w:w="211"/>
        <w:gridCol w:w="721"/>
        <w:gridCol w:w="109"/>
        <w:gridCol w:w="109"/>
        <w:gridCol w:w="109"/>
        <w:gridCol w:w="109"/>
        <w:gridCol w:w="211"/>
        <w:gridCol w:w="784"/>
        <w:gridCol w:w="157"/>
      </w:tblGrid>
      <w:tr>
        <w:trPr/>
        <w:tc>
          <w:tcPr>
            <w:tcW w:w="1705"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4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Derivative financial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6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Unrealized gain/(loss) recognized in 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in cash flow hedging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Gain/(loss) recognized in unaudited consolidated statements of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not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340" w:after="283"/>
        <w:ind w:left="0" w:right="0" w:firstLine="450"/>
        <w:jc w:val="left"/>
        <w:rPr/>
      </w:pPr>
      <w:r>
        <w:rPr/>
      </w:r>
    </w:p>
    <w:p>
      <w:pPr>
        <w:pStyle w:val="TextBody"/>
        <w:bidi w:val="0"/>
        <w:spacing w:before="340" w:after="283"/>
        <w:ind w:left="0" w:right="0" w:firstLine="450"/>
        <w:jc w:val="left"/>
        <w:rPr/>
      </w:pPr>
      <w:r>
        <w:rPr/>
      </w:r>
    </w:p>
    <w:p>
      <w:pPr>
        <w:pStyle w:val="TextBody"/>
        <w:bidi w:val="0"/>
        <w:spacing w:before="340" w:after="283"/>
        <w:ind w:left="0" w:right="0" w:firstLine="450"/>
        <w:jc w:val="left"/>
        <w:rPr/>
      </w:pPr>
      <w:r>
        <w:rPr/>
      </w:r>
    </w:p>
    <w:p>
      <w:pPr>
        <w:pStyle w:val="TextBody"/>
        <w:bidi w:val="0"/>
        <w:spacing w:before="340" w:after="283"/>
        <w:ind w:left="0" w:right="0" w:firstLine="450"/>
        <w:jc w:val="left"/>
        <w:rPr/>
      </w:pPr>
      <w:r>
        <w:rPr/>
      </w:r>
    </w:p>
    <w:p>
      <w:pPr>
        <w:pStyle w:val="TextBody"/>
        <w:bidi w:val="0"/>
        <w:spacing w:before="340" w:after="283"/>
        <w:ind w:left="0" w:right="0" w:firstLine="450"/>
        <w:jc w:val="left"/>
        <w:rPr/>
      </w:pPr>
      <w:r>
        <w:rPr/>
      </w:r>
    </w:p>
    <w:p>
      <w:pPr>
        <w:pStyle w:val="TextBody"/>
        <w:bidi w:val="0"/>
        <w:spacing w:before="340" w:after="283"/>
        <w:ind w:left="0" w:right="0" w:firstLine="450"/>
        <w:jc w:val="left"/>
        <w:rPr/>
      </w:pPr>
      <w:r>
        <w:rPr/>
      </w:r>
    </w:p>
    <w:p>
      <w:pPr>
        <w:pStyle w:val="TextBody"/>
        <w:bidi w:val="0"/>
        <w:spacing w:before="340" w:after="283"/>
        <w:ind w:left="0" w:right="0" w:firstLine="450"/>
        <w:jc w:val="left"/>
        <w:rPr/>
      </w:pPr>
      <w:r>
        <w:rPr/>
      </w:r>
    </w:p>
    <w:p>
      <w:pPr>
        <w:pStyle w:val="TextBody"/>
        <w:bidi w:val="0"/>
        <w:spacing w:before="340" w:after="283"/>
        <w:ind w:left="0" w:right="0" w:firstLine="450"/>
        <w:jc w:val="left"/>
        <w:rPr/>
      </w:pPr>
      <w:r>
        <w:rPr/>
      </w:r>
    </w:p>
    <w:p>
      <w:pPr>
        <w:pStyle w:val="TextBody"/>
        <w:bidi w:val="0"/>
        <w:spacing w:before="340" w:after="283"/>
        <w:ind w:left="0" w:right="0" w:firstLine="450"/>
        <w:jc w:val="left"/>
        <w:rPr/>
      </w:pPr>
      <w:r>
        <w:rPr/>
      </w:r>
    </w:p>
    <w:p>
      <w:pPr>
        <w:pStyle w:val="TextBody"/>
        <w:bidi w:val="0"/>
        <w:spacing w:before="340" w:after="283"/>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c972c7b333c94ee3bad0bd2154cbac49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EXLSERVICE HOLDINGS,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 and share count)</w:t>
      </w:r>
    </w:p>
    <w:p>
      <w:pPr>
        <w:pStyle w:val="TextBody"/>
        <w:bidi w:val="0"/>
        <w:spacing w:lineRule="auto" w:line="288" w:before="3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location and amount of gain/(loss) recognized in unaudited consolidated statements of income for derivatives in cash flow hedging relationships and derivatives not designated as hedging instruments:</w:t>
      </w:r>
    </w:p>
    <w:tbl>
      <w:tblPr>
        <w:tblW w:w="10205" w:type="dxa"/>
        <w:jc w:val="center"/>
        <w:tblInd w:w="0" w:type="dxa"/>
        <w:tblLayout w:type="fixed"/>
        <w:tblCellMar>
          <w:top w:w="28" w:type="dxa"/>
          <w:left w:w="28" w:type="dxa"/>
          <w:bottom w:w="28" w:type="dxa"/>
          <w:right w:w="28" w:type="dxa"/>
        </w:tblCellMar>
      </w:tblPr>
      <w:tblGrid>
        <w:gridCol w:w="1109"/>
        <w:gridCol w:w="851"/>
        <w:gridCol w:w="854"/>
        <w:gridCol w:w="109"/>
        <w:gridCol w:w="109"/>
        <w:gridCol w:w="109"/>
        <w:gridCol w:w="262"/>
        <w:gridCol w:w="1027"/>
        <w:gridCol w:w="135"/>
        <w:gridCol w:w="109"/>
        <w:gridCol w:w="109"/>
        <w:gridCol w:w="109"/>
        <w:gridCol w:w="351"/>
        <w:gridCol w:w="1056"/>
        <w:gridCol w:w="183"/>
        <w:gridCol w:w="109"/>
        <w:gridCol w:w="109"/>
        <w:gridCol w:w="109"/>
        <w:gridCol w:w="262"/>
        <w:gridCol w:w="1027"/>
        <w:gridCol w:w="135"/>
        <w:gridCol w:w="109"/>
        <w:gridCol w:w="109"/>
        <w:gridCol w:w="109"/>
        <w:gridCol w:w="345"/>
        <w:gridCol w:w="1037"/>
        <w:gridCol w:w="263"/>
      </w:tblGrid>
      <w:tr>
        <w:trPr/>
        <w:tc>
          <w:tcPr>
            <w:tcW w:w="1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4" w:type="dxa"/>
            <w:gridSpan w:val="21"/>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r>
      <w:tr>
        <w:trPr/>
        <w:tc>
          <w:tcPr>
            <w:tcW w:w="2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1"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6"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8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per unaudited consolidated</w:t>
              <w:br/>
              <w:t>statements of</w:t>
              <w:br/>
              <w:t>income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Gain/(loss) on derivative financial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per unaudited consolidated</w:t>
              <w:br/>
              <w:t>statements of</w:t>
              <w:br/>
              <w:t>income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Gain/(loss) on derivative financial instruments</w:t>
            </w:r>
          </w:p>
        </w:tc>
      </w:tr>
      <w:tr>
        <w:trPr/>
        <w:tc>
          <w:tcPr>
            <w:tcW w:w="28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Derivatives in cash flow hedging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Location in unaudited consolidated statements of income where gain/(loss) was reclassified from 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253,220 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221,207 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45,605 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40,434 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28,238 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23,985 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before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effects on above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Derivatives not designated as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Location in unaudited consolidated statements of income where gain/(loss) was recognized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gain/(loss),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(5,457)</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(5,457)</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340" w:after="283"/>
        <w:ind w:left="0" w:right="0" w:firstLine="495"/>
        <w:jc w:val="left"/>
        <w:rPr/>
      </w:pPr>
      <w:r>
        <w:rPr/>
      </w:r>
    </w:p>
    <w:p>
      <w:pPr>
        <w:pStyle w:val="TextBody"/>
        <w:bidi w:val="0"/>
        <w:spacing w:before="340" w:after="283"/>
        <w:jc w:val="left"/>
        <w:rPr/>
      </w:pPr>
      <w:r>
        <w:rPr/>
      </w:r>
    </w:p>
    <w:p>
      <w:pPr>
        <w:pStyle w:val="TextBody"/>
        <w:bidi w:val="0"/>
        <w:spacing w:before="340" w:after="283"/>
        <w:jc w:val="left"/>
        <w:rPr/>
      </w:pPr>
      <w:r>
        <w:rPr/>
      </w:r>
    </w:p>
    <w:p>
      <w:pPr>
        <w:pStyle w:val="TextBody"/>
        <w:bidi w:val="0"/>
        <w:spacing w:before="340" w:after="283"/>
        <w:jc w:val="left"/>
        <w:rPr/>
      </w:pPr>
      <w:r>
        <w:rPr/>
      </w:r>
    </w:p>
    <w:p>
      <w:pPr>
        <w:pStyle w:val="TextBody"/>
        <w:bidi w:val="0"/>
        <w:spacing w:before="340" w:after="283"/>
        <w:jc w:val="left"/>
        <w:rPr/>
      </w:pPr>
      <w:r>
        <w:rPr/>
      </w:r>
    </w:p>
    <w:p>
      <w:pPr>
        <w:pStyle w:val="TextBody"/>
        <w:bidi w:val="0"/>
        <w:spacing w:before="340" w:after="283"/>
        <w:jc w:val="left"/>
        <w:rPr/>
      </w:pPr>
      <w:r>
        <w:rPr/>
      </w:r>
    </w:p>
    <w:p>
      <w:pPr>
        <w:pStyle w:val="TextBody"/>
        <w:bidi w:val="0"/>
        <w:spacing w:before="340" w:after="283"/>
        <w:jc w:val="left"/>
        <w:rPr/>
      </w:pPr>
      <w:r>
        <w:rPr/>
      </w:r>
    </w:p>
    <w:p>
      <w:pPr>
        <w:pStyle w:val="TextBody"/>
        <w:bidi w:val="0"/>
        <w:spacing w:before="3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c972c7b333c94ee3bad0bd2154cbac49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EXLSERVICE HOLDINGS,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 and share count)</w:t>
      </w:r>
    </w:p>
    <w:p>
      <w:pPr>
        <w:pStyle w:val="TextBody"/>
        <w:bidi w:val="0"/>
        <w:spacing w:lineRule="auto" w:line="288" w:before="3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location and amount of gain/(loss) recognized in unaudited consolidated statements of income for derivatives in cash flow hedging relationships and derivatives not designated as hedging instruments:</w:t>
      </w:r>
    </w:p>
    <w:tbl>
      <w:tblPr>
        <w:tblW w:w="10205" w:type="dxa"/>
        <w:jc w:val="center"/>
        <w:tblInd w:w="0" w:type="dxa"/>
        <w:tblLayout w:type="fixed"/>
        <w:tblCellMar>
          <w:top w:w="28" w:type="dxa"/>
          <w:left w:w="28" w:type="dxa"/>
          <w:bottom w:w="28" w:type="dxa"/>
          <w:right w:w="28" w:type="dxa"/>
        </w:tblCellMar>
      </w:tblPr>
      <w:tblGrid>
        <w:gridCol w:w="1109"/>
        <w:gridCol w:w="851"/>
        <w:gridCol w:w="854"/>
        <w:gridCol w:w="109"/>
        <w:gridCol w:w="109"/>
        <w:gridCol w:w="109"/>
        <w:gridCol w:w="262"/>
        <w:gridCol w:w="1027"/>
        <w:gridCol w:w="135"/>
        <w:gridCol w:w="109"/>
        <w:gridCol w:w="109"/>
        <w:gridCol w:w="109"/>
        <w:gridCol w:w="351"/>
        <w:gridCol w:w="1056"/>
        <w:gridCol w:w="183"/>
        <w:gridCol w:w="109"/>
        <w:gridCol w:w="109"/>
        <w:gridCol w:w="109"/>
        <w:gridCol w:w="262"/>
        <w:gridCol w:w="1027"/>
        <w:gridCol w:w="135"/>
        <w:gridCol w:w="109"/>
        <w:gridCol w:w="109"/>
        <w:gridCol w:w="109"/>
        <w:gridCol w:w="345"/>
        <w:gridCol w:w="1037"/>
        <w:gridCol w:w="263"/>
      </w:tblGrid>
      <w:tr>
        <w:trPr/>
        <w:tc>
          <w:tcPr>
            <w:tcW w:w="1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4" w:type="dxa"/>
            <w:gridSpan w:val="21"/>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2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1"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6"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8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per unaudited consolidated</w:t>
              <w:br/>
              <w:t>statements of</w:t>
              <w:br/>
              <w:t>income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Gain/(loss) on derivative financial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per unaudited consolidated</w:t>
              <w:br/>
              <w:t>statements of</w:t>
              <w:br/>
              <w:t>income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Gain/(loss) on derivative financial instruments</w:t>
            </w:r>
          </w:p>
        </w:tc>
      </w:tr>
      <w:tr>
        <w:trPr/>
        <w:tc>
          <w:tcPr>
            <w:tcW w:w="28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Derivatives in cash flow hedging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Location in unaudited consolidated statements of income where gain/(loss) was reclassified from 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504,689 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(3,896)</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428,723 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2,777 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92,351 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80,379 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57,731 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48,155 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26,609 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27,677 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before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(4,229)</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3,448 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effects on above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(3,464)</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2,513 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Derivatives not designated as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Location in unaudited consolidated statements of income where gain/(loss) was recognized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gain/(loss),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(6,356)</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2,158 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3,179 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(6,356)</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18. Borrowings</w:t>
      </w:r>
    </w:p>
    <w:p>
      <w:pPr>
        <w:pStyle w:val="TextBody"/>
        <w:bidi w:val="0"/>
        <w:spacing w:lineRule="auto" w:line="288" w:before="360" w:after="283"/>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summarizes the Company’s debt position:</w:t>
      </w:r>
    </w:p>
    <w:tbl>
      <w:tblPr>
        <w:tblW w:w="6460" w:type="dxa"/>
        <w:jc w:val="left"/>
        <w:tblInd w:w="0" w:type="dxa"/>
        <w:tblLayout w:type="fixed"/>
        <w:tblCellMar>
          <w:top w:w="28" w:type="dxa"/>
          <w:left w:w="28" w:type="dxa"/>
          <w:bottom w:w="28" w:type="dxa"/>
          <w:right w:w="28" w:type="dxa"/>
        </w:tblCellMar>
      </w:tblPr>
      <w:tblGrid>
        <w:gridCol w:w="1227"/>
        <w:gridCol w:w="1080"/>
        <w:gridCol w:w="1083"/>
        <w:gridCol w:w="212"/>
        <w:gridCol w:w="833"/>
        <w:gridCol w:w="109"/>
        <w:gridCol w:w="109"/>
        <w:gridCol w:w="109"/>
        <w:gridCol w:w="109"/>
        <w:gridCol w:w="281"/>
        <w:gridCol w:w="1103"/>
        <w:gridCol w:w="205"/>
      </w:tblGrid>
      <w:tr>
        <w:trPr/>
        <w:tc>
          <w:tcPr>
            <w:tcW w:w="1227"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Revolving credit facility</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borrowings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Long-term borrowings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220,000 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borrowings</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250,000 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pStyle w:val="TextBody"/>
        <w:bidi w:val="0"/>
        <w:spacing w:lineRule="auto" w:line="26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Unamortized debt issuance costs for the Company’s revolving credit facility of $1,040 and $1,177 as of June 30, 2023 and December 31, 2022, respectively, are presented under “Other current assets” and “Other assets,” as applicable in the consolidated balance sheets.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Credit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c972c7b333c94ee3bad0bd2154cbac49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EXLSERVICE HOLDINGS,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 and share count)</w:t>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held a $300,000 revolving credit facility pursuant to its credit agreement (the “Credit Agreement”), dated as of November 21, 2017 with certain lenders and Citibank N.A. as Administrative Agent. The revolving credit facility originally had a maturity date of November 21, 2022 and was voluntarily pre-payable from time to time without premium or penalty.</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April 18, 2022, the Company and each of the Company’s wholly owned material domestic subsidiaries entered into an Amendment and Restatement Agreement with Citibank, N.A. as Administrative Agent and certain lenders (the “2022 Credit Agreement”), pursuant to which the parties thereto amended and restated the Credit Agreement. Among other things, the 2022 Credit Agreement (a) provides for the issuance of new revolving credit commitments such that the aggregate amount of revolving credit commitments available to the Company is equal to $400,000; (b) extends the maturity date of the revolving credit facility from November 21, 2022 to April 18, 2027; and (c) replaces LIBOR with Secured Overnight Financing Rate (“SOFR”) as the reference rate for the U.S. dollar borrowings.</w:t>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2022 Credit Agreement provides an option to increase the commitments by up to $200,000, subject to certain approvals and conditions. The 2022 Credit Agreement includes a letter of credit sub facility and is voluntarily pre-payable from time to time without premium or penalty. Borrowings under the 2022 Credit Agreement can be used for working capital and general corporate purposes, including permitted acquisitions.</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Obligations under the 2022 Credit Agreement are guaranteed by the Company’s material domestic subsidiaries and are secured by all or substantially all of the Company’s and its material domestic subsidiaries’ assets. The 2022 Credit Agreement contains customary affirmative and negative covenants, including, but not limited to, restrictions on the ability to incur indebtedness, create liens, make certain investments, make certain dividends and related distributions, enter into, or undertake, certain liquidations, mergers, consolidations or acquisitions and dispose of certain assets or subsidiaries.</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revolving credit facility carried an effective interest rate as shown below:</w:t>
      </w:r>
    </w:p>
    <w:p>
      <w:pPr>
        <w:pStyle w:val="TextBody"/>
        <w:bidi w:val="0"/>
        <w:spacing w:before="0" w:after="0"/>
        <w:ind w:left="0" w:right="0" w:firstLine="450"/>
        <w:jc w:val="left"/>
        <w:rPr/>
      </w:pPr>
      <w:r>
        <w:rPr/>
      </w:r>
    </w:p>
    <w:tbl>
      <w:tblPr>
        <w:tblW w:w="6958" w:type="dxa"/>
        <w:jc w:val="left"/>
        <w:tblInd w:w="0" w:type="dxa"/>
        <w:tblLayout w:type="fixed"/>
        <w:tblCellMar>
          <w:top w:w="28" w:type="dxa"/>
          <w:left w:w="28" w:type="dxa"/>
          <w:bottom w:w="28" w:type="dxa"/>
          <w:right w:w="28" w:type="dxa"/>
        </w:tblCellMar>
      </w:tblPr>
      <w:tblGrid>
        <w:gridCol w:w="695"/>
        <w:gridCol w:w="610"/>
        <w:gridCol w:w="614"/>
        <w:gridCol w:w="203"/>
        <w:gridCol w:w="203"/>
        <w:gridCol w:w="495"/>
        <w:gridCol w:w="199"/>
        <w:gridCol w:w="199"/>
        <w:gridCol w:w="199"/>
        <w:gridCol w:w="203"/>
        <w:gridCol w:w="203"/>
        <w:gridCol w:w="495"/>
        <w:gridCol w:w="109"/>
        <w:gridCol w:w="109"/>
        <w:gridCol w:w="109"/>
        <w:gridCol w:w="203"/>
        <w:gridCol w:w="203"/>
        <w:gridCol w:w="445"/>
        <w:gridCol w:w="179"/>
        <w:gridCol w:w="179"/>
        <w:gridCol w:w="179"/>
        <w:gridCol w:w="203"/>
        <w:gridCol w:w="203"/>
        <w:gridCol w:w="519"/>
      </w:tblGrid>
      <w:tr>
        <w:trPr/>
        <w:tc>
          <w:tcPr>
            <w:tcW w:w="69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5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Interest Rate</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and December 31, 2022, the Company was in compliance with all financial and non-financial covenants listed under the revolving credit facility.</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Expected payments for all of the Company’s borrowings as of June 30, 2023 were as follows:</w:t>
      </w:r>
    </w:p>
    <w:tbl>
      <w:tblPr>
        <w:tblW w:w="4538" w:type="dxa"/>
        <w:jc w:val="center"/>
        <w:tblInd w:w="0" w:type="dxa"/>
        <w:tblLayout w:type="fixed"/>
        <w:tblCellMar>
          <w:top w:w="28" w:type="dxa"/>
          <w:left w:w="28" w:type="dxa"/>
          <w:bottom w:w="28" w:type="dxa"/>
          <w:right w:w="28" w:type="dxa"/>
        </w:tblCellMar>
      </w:tblPr>
      <w:tblGrid>
        <w:gridCol w:w="786"/>
        <w:gridCol w:w="692"/>
        <w:gridCol w:w="696"/>
        <w:gridCol w:w="196"/>
        <w:gridCol w:w="736"/>
        <w:gridCol w:w="109"/>
        <w:gridCol w:w="109"/>
        <w:gridCol w:w="109"/>
        <w:gridCol w:w="109"/>
        <w:gridCol w:w="196"/>
        <w:gridCol w:w="646"/>
        <w:gridCol w:w="154"/>
      </w:tblGrid>
      <w:tr>
        <w:trPr/>
        <w:tc>
          <w:tcPr>
            <w:tcW w:w="78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Revolving credit facility</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Principal</w:t>
              <w:br/>
              <w:t>Payments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8"/>
              </w:rPr>
            </w:pPr>
            <w:r>
              <w:rPr>
                <w:rFonts w:ascii="Times New Roman;sans-serif" w:hAnsi="Times New Roman;sans-serif"/>
                <w:b/>
                <w:color w:val="000000"/>
                <w:sz w:val="18"/>
              </w:rPr>
              <w:t>Interest</w:t>
              <w:br/>
              <w:t>Payments*</w:t>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2023 (July 1 - December 31)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45,103 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Interest payments are based on interest rate prevailing as of June 30, 2023.</w:t>
      </w:r>
    </w:p>
    <w:p>
      <w:pPr>
        <w:pStyle w:val="TextBody"/>
        <w:bidi w:val="0"/>
        <w:spacing w:lineRule="auto" w:line="288" w:before="1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Letters of Credit</w:t>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the Company provides standby letters of credit to third parties primarily for facility leases. As of each of June 30, 2023 and December 31, 2022, the Company had outstanding letters of credit of $461, that were not recognized in the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c972c7b333c94ee3bad0bd2154cbac49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EXLSERVICE HOLDINGS,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 and share count)</w:t>
      </w: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19. Capital Structure</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Common Stock</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one class of common stock outstanding.</w:t>
      </w:r>
    </w:p>
    <w:p>
      <w:pPr>
        <w:pStyle w:val="TextBody"/>
        <w:bidi w:val="0"/>
        <w:spacing w:before="0" w:after="0"/>
        <w:ind w:left="0" w:right="0" w:firstLine="495"/>
        <w:jc w:val="left"/>
        <w:rPr/>
      </w:pPr>
      <w:r>
        <w:rPr/>
      </w:r>
    </w:p>
    <w:p>
      <w:pPr>
        <w:pStyle w:val="TextBody"/>
        <w:bidi w:val="0"/>
        <w:spacing w:lineRule="auto" w:line="26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purchased shares of its common stock from employees in connection with withholding tax payments related to the vesting of restricted stock units and performance-based restricted stock units, as below:</w:t>
      </w:r>
    </w:p>
    <w:tbl>
      <w:tblPr>
        <w:tblW w:w="10205" w:type="dxa"/>
        <w:jc w:val="left"/>
        <w:tblInd w:w="0" w:type="dxa"/>
        <w:tblLayout w:type="fixed"/>
        <w:tblCellMar>
          <w:top w:w="28" w:type="dxa"/>
          <w:left w:w="28" w:type="dxa"/>
          <w:bottom w:w="28" w:type="dxa"/>
          <w:right w:w="28" w:type="dxa"/>
        </w:tblCellMar>
      </w:tblPr>
      <w:tblGrid>
        <w:gridCol w:w="1032"/>
        <w:gridCol w:w="904"/>
        <w:gridCol w:w="913"/>
        <w:gridCol w:w="535"/>
        <w:gridCol w:w="535"/>
        <w:gridCol w:w="537"/>
        <w:gridCol w:w="109"/>
        <w:gridCol w:w="109"/>
        <w:gridCol w:w="109"/>
        <w:gridCol w:w="353"/>
        <w:gridCol w:w="1031"/>
        <w:gridCol w:w="183"/>
        <w:gridCol w:w="109"/>
        <w:gridCol w:w="109"/>
        <w:gridCol w:w="109"/>
        <w:gridCol w:w="684"/>
        <w:gridCol w:w="2340"/>
        <w:gridCol w:w="504"/>
      </w:tblGrid>
      <w:tr>
        <w:trPr/>
        <w:tc>
          <w:tcPr>
            <w:tcW w:w="103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234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 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Weighted average purchase price per share </w:t>
            </w:r>
            <w:r>
              <w:rPr>
                <w:rFonts w:ascii="Times New Roman;sans-serif" w:hAnsi="Times New Roman;sans-serif"/>
                <w:b/>
                <w:color w:val="000000"/>
                <w:sz w:val="12"/>
              </w:rPr>
              <w:t>(1)</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Three months ended June 30, 2023</w:t>
            </w:r>
          </w:p>
        </w:tc>
        <w:tc>
          <w:tcPr>
            <w:tcW w:w="16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Three months ended June 30, 2022</w:t>
            </w:r>
          </w:p>
        </w:tc>
        <w:tc>
          <w:tcPr>
            <w:tcW w:w="1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Six months ended June 30, 2023</w:t>
            </w:r>
          </w:p>
        </w:tc>
        <w:tc>
          <w:tcPr>
            <w:tcW w:w="1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170.22 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Six months ended June 30, 2022</w:t>
            </w:r>
          </w:p>
        </w:tc>
        <w:tc>
          <w:tcPr>
            <w:tcW w:w="1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117.23 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The weighted average purchase price per share is based on the closing price of the Company’s common stock on the Nasdaq Global Select Market on the trading day prior to the applicable vesting date of the shares of restricted stock.</w:t>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5, 2021, the Company’s board of directors authorized a $300,000 common stock repurchase program beginning January 1, 2022 (the “2022 Repurchase Program”).</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Under the 2022 Repurchase Program, shares may be purchased by the Company from time to time from the open market and through private transactions, or otherwise, as determined by the Company’s management as market conditions warrant. Repurchases may be discontinued at any time by the management.</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purchased shares of its common stock, for a total consideration including commissions, under the 2022 Repurchase Program, as below:</w:t>
      </w:r>
    </w:p>
    <w:tbl>
      <w:tblPr>
        <w:tblW w:w="10205" w:type="dxa"/>
        <w:jc w:val="left"/>
        <w:tblInd w:w="0" w:type="dxa"/>
        <w:tblLayout w:type="fixed"/>
        <w:tblCellMar>
          <w:top w:w="28" w:type="dxa"/>
          <w:left w:w="28" w:type="dxa"/>
          <w:bottom w:w="28" w:type="dxa"/>
          <w:right w:w="28" w:type="dxa"/>
        </w:tblCellMar>
      </w:tblPr>
      <w:tblGrid>
        <w:gridCol w:w="1058"/>
        <w:gridCol w:w="928"/>
        <w:gridCol w:w="937"/>
        <w:gridCol w:w="541"/>
        <w:gridCol w:w="541"/>
        <w:gridCol w:w="543"/>
        <w:gridCol w:w="109"/>
        <w:gridCol w:w="109"/>
        <w:gridCol w:w="109"/>
        <w:gridCol w:w="320"/>
        <w:gridCol w:w="1096"/>
        <w:gridCol w:w="166"/>
        <w:gridCol w:w="109"/>
        <w:gridCol w:w="109"/>
        <w:gridCol w:w="109"/>
        <w:gridCol w:w="663"/>
        <w:gridCol w:w="2269"/>
        <w:gridCol w:w="489"/>
      </w:tblGrid>
      <w:tr>
        <w:trPr/>
        <w:tc>
          <w:tcPr>
            <w:tcW w:w="105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26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r>
      <w:tr>
        <w:trPr/>
        <w:tc>
          <w:tcPr>
            <w:tcW w:w="2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 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purchase price per share</w:t>
            </w:r>
          </w:p>
        </w:tc>
      </w:tr>
      <w:tr>
        <w:trPr/>
        <w:tc>
          <w:tcPr>
            <w:tcW w:w="2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Three months ended June 30, 2023</w:t>
            </w:r>
          </w:p>
        </w:tc>
        <w:tc>
          <w:tcPr>
            <w:tcW w:w="16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184,144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29,013 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157.56 </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Three months ended June 30, 2022</w:t>
            </w:r>
          </w:p>
        </w:tc>
        <w:tc>
          <w:tcPr>
            <w:tcW w:w="1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28,806 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140.03 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Six months ended June 30, 2023</w:t>
            </w:r>
          </w:p>
        </w:tc>
        <w:tc>
          <w:tcPr>
            <w:tcW w:w="1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405,169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64,847 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160.05 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Six months ended June 30, 2022</w:t>
            </w:r>
          </w:p>
        </w:tc>
        <w:tc>
          <w:tcPr>
            <w:tcW w:w="1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427,049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57,000 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133.47 </w:t>
            </w:r>
          </w:p>
        </w:tc>
        <w:tc>
          <w:tcPr>
            <w:tcW w:w="4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Repurchased shares have been recorded as treasury shares and will be held until the Company’s board of directors designates that these shares be retired or used for other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20. Employee Benefit Plans</w:t>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Gratuity Plan in India (the “India Plan”) provides for a lump sum payment to vested employees on retirement or upon termination of employment in an amount based on the respective employee’s salary and years of employment with the Company. In addition, the Company’s subsidiary operating in the Philippines conforms to the minimum regulatory benefit, which provide for lump sum payment to vested employees on retirement from employment in an amount based on the respective employee’s salary and years of employment with the Company (the “Philippines Plan”). Liabilities with regard to the India Plan and the Philippines Plan are determined by actuarial valuation using the projected unit credit method. Current service costs for these plans are accrued in the year to which they relate. Actuarial gains or losses or prior service costs, if any, resulting from amendments to the plans are recognized and amortized over the remaining period of service of the employees.</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c972c7b333c94ee3bad0bd2154cbac49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EXLSERVICE HOLDINGS,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 and share count)</w:t>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India Plan is partially funded whereas the Philippines Plan is unfunded. The Company makes annual contributions to the India Plan established with insurance companies. Fund managers manage these funds and calculate the annual contribution required to be made by the Company and manage the India Plan, including any required payouts. These funds are managed on a cash accumulation basis and interest is declared retrospectively on March 31 of each year. The Company expects to earn a return of approximately 7.0% per annum on the India Plan for the year ending on December 31, 2023.</w:t>
      </w:r>
    </w:p>
    <w:p>
      <w:pPr>
        <w:pStyle w:val="TextBody"/>
        <w:bidi w:val="0"/>
        <w:spacing w:before="0" w:after="0"/>
        <w:ind w:left="0" w:right="0" w:firstLine="450"/>
        <w:jc w:val="both"/>
        <w:rPr/>
      </w:pPr>
      <w:r>
        <w:rPr/>
      </w:r>
    </w:p>
    <w:tbl>
      <w:tblPr>
        <w:tblW w:w="4158" w:type="dxa"/>
        <w:jc w:val="center"/>
        <w:tblInd w:w="0" w:type="dxa"/>
        <w:tblLayout w:type="fixed"/>
        <w:tblCellMar>
          <w:top w:w="28" w:type="dxa"/>
          <w:left w:w="28" w:type="dxa"/>
          <w:bottom w:w="28" w:type="dxa"/>
          <w:right w:w="28" w:type="dxa"/>
        </w:tblCellMar>
      </w:tblPr>
      <w:tblGrid>
        <w:gridCol w:w="992"/>
        <w:gridCol w:w="875"/>
        <w:gridCol w:w="878"/>
        <w:gridCol w:w="109"/>
        <w:gridCol w:w="109"/>
        <w:gridCol w:w="109"/>
        <w:gridCol w:w="211"/>
        <w:gridCol w:w="721"/>
        <w:gridCol w:w="154"/>
      </w:tblGrid>
      <w:tr>
        <w:trPr/>
        <w:tc>
          <w:tcPr>
            <w:tcW w:w="992"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Change in Plan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 assets as of January 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Actual return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Employer contribution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Plan assets as of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88" w:before="0" w:after="0"/>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 Benefits payments were substantially made through the plan assets during the six months ended June 30, 2023.</w:t>
      </w:r>
    </w:p>
    <w:p>
      <w:pPr>
        <w:pStyle w:val="TextBody"/>
        <w:bidi w:val="0"/>
        <w:spacing w:before="0" w:after="0"/>
        <w:ind w:left="0" w:right="0" w:firstLine="450"/>
        <w:jc w:val="both"/>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Components of net periodic benefit costs recognized in unaudited consolidated statements of income and actuarial (gain)/loss reclassified from AOCI, were as follows:</w:t>
      </w:r>
    </w:p>
    <w:tbl>
      <w:tblPr>
        <w:tblW w:w="8871" w:type="dxa"/>
        <w:jc w:val="center"/>
        <w:tblInd w:w="0" w:type="dxa"/>
        <w:tblLayout w:type="fixed"/>
        <w:tblCellMar>
          <w:top w:w="28" w:type="dxa"/>
          <w:left w:w="28" w:type="dxa"/>
          <w:bottom w:w="28" w:type="dxa"/>
          <w:right w:w="28" w:type="dxa"/>
        </w:tblCellMar>
      </w:tblPr>
      <w:tblGrid>
        <w:gridCol w:w="1475"/>
        <w:gridCol w:w="1297"/>
        <w:gridCol w:w="1308"/>
        <w:gridCol w:w="213"/>
        <w:gridCol w:w="622"/>
        <w:gridCol w:w="110"/>
        <w:gridCol w:w="110"/>
        <w:gridCol w:w="110"/>
        <w:gridCol w:w="110"/>
        <w:gridCol w:w="213"/>
        <w:gridCol w:w="622"/>
        <w:gridCol w:w="110"/>
        <w:gridCol w:w="109"/>
        <w:gridCol w:w="109"/>
        <w:gridCol w:w="109"/>
        <w:gridCol w:w="211"/>
        <w:gridCol w:w="616"/>
        <w:gridCol w:w="109"/>
        <w:gridCol w:w="109"/>
        <w:gridCol w:w="109"/>
        <w:gridCol w:w="109"/>
        <w:gridCol w:w="211"/>
        <w:gridCol w:w="616"/>
        <w:gridCol w:w="154"/>
      </w:tblGrid>
      <w:tr>
        <w:trPr/>
        <w:tc>
          <w:tcPr>
            <w:tcW w:w="1475"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return on plan assets</w:t>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actuarial (gain)/loss, gross of tax</w:t>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gratuity cost</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actuarial (gain)/loss, gross of tax</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effects on above</w:t>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actuarial (gain)/loss, net of tax</w:t>
            </w:r>
          </w:p>
        </w:tc>
        <w:tc>
          <w:tcPr>
            <w:tcW w:w="2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several 401(k) plans (the “401(k) Plans”) under Section 401(k) of the Internal Revenue Code of 1986, as amended (the “Code”), covering all eligible employees, as defined in the Code as a defined social security contribution plan. The Company may make discretionary contributions of up to a maximum of 3.0% of employee compensation within certain limits.</w:t>
      </w:r>
    </w:p>
    <w:p>
      <w:pPr>
        <w:pStyle w:val="TextBody"/>
        <w:bidi w:val="0"/>
        <w:spacing w:before="0" w:after="0"/>
        <w:ind w:left="0" w:right="0" w:firstLine="450"/>
        <w:jc w:val="both"/>
        <w:rPr/>
      </w:pPr>
      <w:r>
        <w:rPr/>
      </w:r>
    </w:p>
    <w:p>
      <w:pPr>
        <w:pStyle w:val="TextBody"/>
        <w:bidi w:val="0"/>
        <w:spacing w:lineRule="auto" w:line="276"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accrual for contribution to the 401(k) Plans was as follows:</w:t>
      </w:r>
    </w:p>
    <w:p>
      <w:pPr>
        <w:pStyle w:val="TextBody"/>
        <w:bidi w:val="0"/>
        <w:spacing w:before="0" w:after="0"/>
        <w:ind w:left="0" w:right="0" w:firstLine="540"/>
        <w:jc w:val="both"/>
        <w:rPr/>
      </w:pPr>
      <w:r>
        <w:rPr/>
      </w:r>
    </w:p>
    <w:tbl>
      <w:tblPr>
        <w:tblW w:w="7713" w:type="dxa"/>
        <w:jc w:val="left"/>
        <w:tblInd w:w="0" w:type="dxa"/>
        <w:tblLayout w:type="fixed"/>
        <w:tblCellMar>
          <w:top w:w="28" w:type="dxa"/>
          <w:left w:w="28" w:type="dxa"/>
          <w:bottom w:w="28" w:type="dxa"/>
          <w:right w:w="28" w:type="dxa"/>
        </w:tblCellMar>
      </w:tblPr>
      <w:tblGrid>
        <w:gridCol w:w="1001"/>
        <w:gridCol w:w="877"/>
        <w:gridCol w:w="882"/>
        <w:gridCol w:w="228"/>
        <w:gridCol w:w="668"/>
        <w:gridCol w:w="118"/>
        <w:gridCol w:w="118"/>
        <w:gridCol w:w="118"/>
        <w:gridCol w:w="118"/>
        <w:gridCol w:w="228"/>
        <w:gridCol w:w="668"/>
        <w:gridCol w:w="118"/>
        <w:gridCol w:w="109"/>
        <w:gridCol w:w="109"/>
        <w:gridCol w:w="109"/>
        <w:gridCol w:w="211"/>
        <w:gridCol w:w="616"/>
        <w:gridCol w:w="109"/>
        <w:gridCol w:w="109"/>
        <w:gridCol w:w="109"/>
        <w:gridCol w:w="109"/>
        <w:gridCol w:w="211"/>
        <w:gridCol w:w="616"/>
        <w:gridCol w:w="154"/>
      </w:tblGrid>
      <w:tr>
        <w:trPr/>
        <w:tc>
          <w:tcPr>
            <w:tcW w:w="1001"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 to the 401(k) Plans</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pStyle w:val="TextBody"/>
        <w:bidi w:val="0"/>
        <w:spacing w:lineRule="auto" w:line="276"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contribution for various defined social security contribution plans on behalf of employees in foreign subsidiaries of the Company was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c972c7b333c94ee3bad0bd2154cbac49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EXLSERVICE HOLDINGS,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 and share count)</w:t>
      </w:r>
    </w:p>
    <w:tbl>
      <w:tblPr>
        <w:tblW w:w="10205" w:type="dxa"/>
        <w:jc w:val="left"/>
        <w:tblInd w:w="0" w:type="dxa"/>
        <w:tblLayout w:type="fixed"/>
        <w:tblCellMar>
          <w:top w:w="28" w:type="dxa"/>
          <w:left w:w="28" w:type="dxa"/>
          <w:bottom w:w="28" w:type="dxa"/>
          <w:right w:w="28" w:type="dxa"/>
        </w:tblCellMar>
      </w:tblPr>
      <w:tblGrid>
        <w:gridCol w:w="1866"/>
        <w:gridCol w:w="1637"/>
        <w:gridCol w:w="1645"/>
        <w:gridCol w:w="227"/>
        <w:gridCol w:w="667"/>
        <w:gridCol w:w="117"/>
        <w:gridCol w:w="117"/>
        <w:gridCol w:w="117"/>
        <w:gridCol w:w="117"/>
        <w:gridCol w:w="227"/>
        <w:gridCol w:w="667"/>
        <w:gridCol w:w="117"/>
        <w:gridCol w:w="109"/>
        <w:gridCol w:w="109"/>
        <w:gridCol w:w="109"/>
        <w:gridCol w:w="211"/>
        <w:gridCol w:w="721"/>
        <w:gridCol w:w="109"/>
        <w:gridCol w:w="109"/>
        <w:gridCol w:w="109"/>
        <w:gridCol w:w="109"/>
        <w:gridCol w:w="211"/>
        <w:gridCol w:w="616"/>
        <w:gridCol w:w="162"/>
      </w:tblGrid>
      <w:tr>
        <w:trPr/>
        <w:tc>
          <w:tcPr>
            <w:tcW w:w="1866"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5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 to the defined social security contribution plans</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5,604 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4,549 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8,762 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21. Leases</w:t>
      </w:r>
    </w:p>
    <w:p>
      <w:pPr>
        <w:pStyle w:val="TextBody"/>
        <w:bidi w:val="0"/>
        <w:spacing w:before="0" w:after="0"/>
        <w:jc w:val="left"/>
        <w:rPr/>
      </w:pPr>
      <w:r>
        <w:rPr/>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conducts its operations using facilities leased under operating lease agreements that expire at various dates. The Company finances its use of certain motor vehicles and other equipment under various lease arrangements provided by financial institutions. The lease agreements do not contain any covenants to impose any restrictions except for market-standard practice for similar lease arrangements.</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pPr>
      <w:r>
        <w:rPr>
          <w:rFonts w:ascii="Times New Roman;sans-serif" w:hAnsi="Times New Roman;sans-serif"/>
          <w:b w:val="false"/>
          <w:color w:val="000000"/>
          <w:sz w:val="20"/>
        </w:rPr>
        <w:t xml:space="preserve">The Company had performed an evaluation of its contracts with suppliers in accordance with ASC Topic 842, </w:t>
      </w:r>
      <w:r>
        <w:rPr>
          <w:rFonts w:ascii="Times New Roman;sans-serif" w:hAnsi="Times New Roman;sans-serif"/>
          <w:b w:val="false"/>
          <w:i/>
          <w:color w:val="000000"/>
          <w:sz w:val="20"/>
        </w:rPr>
        <w:t>Leases</w:t>
      </w:r>
      <w:r>
        <w:rPr>
          <w:rFonts w:ascii="Times New Roman;sans-serif" w:hAnsi="Times New Roman;sans-serif"/>
          <w:b w:val="false"/>
          <w:color w:val="000000"/>
          <w:sz w:val="20"/>
        </w:rPr>
        <w:t>, and had determined that, except for leases for office facilities, motor vehicles and other equipment as described above, none of the Company’s contracts contain a lease. As part of the Company’s efforts to optimize its existing network of operations centers, the Company continued to evaluate its office facilities to determine where it can exit or consolidate its use of office space.</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Supplemental balance sheet information</w:t>
      </w:r>
    </w:p>
    <w:tbl>
      <w:tblPr>
        <w:tblW w:w="5980" w:type="dxa"/>
        <w:jc w:val="center"/>
        <w:tblInd w:w="0" w:type="dxa"/>
        <w:tblLayout w:type="fixed"/>
        <w:tblCellMar>
          <w:top w:w="28" w:type="dxa"/>
          <w:left w:w="28" w:type="dxa"/>
          <w:bottom w:w="28" w:type="dxa"/>
          <w:right w:w="28" w:type="dxa"/>
        </w:tblCellMar>
      </w:tblPr>
      <w:tblGrid>
        <w:gridCol w:w="1053"/>
        <w:gridCol w:w="926"/>
        <w:gridCol w:w="930"/>
        <w:gridCol w:w="238"/>
        <w:gridCol w:w="785"/>
        <w:gridCol w:w="132"/>
        <w:gridCol w:w="109"/>
        <w:gridCol w:w="109"/>
        <w:gridCol w:w="109"/>
        <w:gridCol w:w="313"/>
        <w:gridCol w:w="1031"/>
        <w:gridCol w:w="245"/>
      </w:tblGrid>
      <w:tr>
        <w:trPr/>
        <w:tc>
          <w:tcPr>
            <w:tcW w:w="1053"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Lease</w:t>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58,423 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55,347 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 Current</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14,482 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14,978 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 Non-current</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50,575 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48,155 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operating lease liabilities</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65,057 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63,133 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Finance Lease</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gross</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2,499 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depreciation</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(1,388)</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(1,999)</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liabilities - Current</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liabilities - Non-current</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finance lease liabilities</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540 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 are presented as a part of “Accrued expenses and other current liabilities” and “Other non-current liabilities,” as applicable, in the Company’s consolidated balance sheets.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c972c7b333c94ee3bad0bd2154cbac49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EXLSERVICE HOLDINGS,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 and share count)</w:t>
      </w:r>
    </w:p>
    <w:p>
      <w:pPr>
        <w:pStyle w:val="TextBody"/>
        <w:bidi w:val="0"/>
        <w:spacing w:lineRule="auto" w:line="26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lease cost, which are included in the Company’s unaudited consolidated statements of income, are as follows:</w:t>
      </w:r>
    </w:p>
    <w:p>
      <w:pPr>
        <w:pStyle w:val="TextBody"/>
        <w:bidi w:val="0"/>
        <w:spacing w:before="0" w:after="0"/>
        <w:ind w:left="0" w:right="0" w:firstLine="540"/>
        <w:jc w:val="left"/>
        <w:rPr/>
      </w:pPr>
      <w:r>
        <w:rPr/>
      </w:r>
    </w:p>
    <w:tbl>
      <w:tblPr>
        <w:tblW w:w="7575" w:type="dxa"/>
        <w:jc w:val="center"/>
        <w:tblInd w:w="0" w:type="dxa"/>
        <w:tblLayout w:type="fixed"/>
        <w:tblCellMar>
          <w:top w:w="28" w:type="dxa"/>
          <w:left w:w="28" w:type="dxa"/>
          <w:bottom w:w="28" w:type="dxa"/>
          <w:right w:w="28" w:type="dxa"/>
        </w:tblCellMar>
      </w:tblPr>
      <w:tblGrid>
        <w:gridCol w:w="938"/>
        <w:gridCol w:w="826"/>
        <w:gridCol w:w="830"/>
        <w:gridCol w:w="228"/>
        <w:gridCol w:w="647"/>
        <w:gridCol w:w="126"/>
        <w:gridCol w:w="126"/>
        <w:gridCol w:w="126"/>
        <w:gridCol w:w="126"/>
        <w:gridCol w:w="228"/>
        <w:gridCol w:w="647"/>
        <w:gridCol w:w="126"/>
        <w:gridCol w:w="109"/>
        <w:gridCol w:w="109"/>
        <w:gridCol w:w="109"/>
        <w:gridCol w:w="196"/>
        <w:gridCol w:w="646"/>
        <w:gridCol w:w="109"/>
        <w:gridCol w:w="109"/>
        <w:gridCol w:w="109"/>
        <w:gridCol w:w="109"/>
        <w:gridCol w:w="196"/>
        <w:gridCol w:w="646"/>
        <w:gridCol w:w="154"/>
      </w:tblGrid>
      <w:tr>
        <w:trPr/>
        <w:tc>
          <w:tcPr>
            <w:tcW w:w="938"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Lease cost</w:t>
            </w:r>
          </w:p>
        </w:tc>
        <w:tc>
          <w:tcPr>
            <w:tcW w:w="23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Finance lease:</w:t>
            </w:r>
          </w:p>
        </w:tc>
        <w:tc>
          <w:tcPr>
            <w:tcW w:w="10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right-of-use assets</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on lease liabilities</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Operating lease</w:t>
            </w:r>
            <w:r>
              <w:rPr>
                <w:rFonts w:ascii="Times New Roman;sans-serif" w:hAnsi="Times New Roman;sans-serif"/>
                <w:b/>
                <w:color w:val="000000"/>
                <w:sz w:val="12"/>
              </w:rPr>
              <w:t>(a)</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Variable lease costs</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lease cost</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6,663 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7,434 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14,650 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 Includes short-term leases, which are immaterial.</w:t>
      </w:r>
    </w:p>
    <w:p>
      <w:pPr>
        <w:pStyle w:val="TextBody"/>
        <w:bidi w:val="0"/>
        <w:spacing w:before="20" w:after="283"/>
        <w:ind w:left="0" w:right="0" w:firstLine="495"/>
        <w:jc w:val="both"/>
        <w:rPr/>
      </w:pPr>
      <w:r>
        <w:rPr/>
      </w:r>
    </w:p>
    <w:p>
      <w:pPr>
        <w:pStyle w:val="TextBody"/>
        <w:bidi w:val="0"/>
        <w:spacing w:lineRule="auto" w:line="288" w:before="120" w:after="283"/>
        <w:ind w:left="0" w:right="0" w:firstLine="495"/>
        <w:jc w:val="both"/>
        <w:rPr>
          <w:rFonts w:ascii="Times New Roman;sans-serif" w:hAnsi="Times New Roman;sans-serif"/>
          <w:b/>
          <w:i/>
          <w:color w:val="000000"/>
          <w:sz w:val="20"/>
        </w:rPr>
      </w:pPr>
      <w:r>
        <w:rPr>
          <w:rFonts w:ascii="Times New Roman;sans-serif" w:hAnsi="Times New Roman;sans-serif"/>
          <w:b/>
          <w:i/>
          <w:color w:val="000000"/>
          <w:sz w:val="20"/>
        </w:rPr>
        <w:t>Supplemental cash flow and other information related to leases are as follows:</w:t>
      </w:r>
    </w:p>
    <w:tbl>
      <w:tblPr>
        <w:tblW w:w="8072" w:type="dxa"/>
        <w:jc w:val="left"/>
        <w:tblInd w:w="0" w:type="dxa"/>
        <w:tblLayout w:type="fixed"/>
        <w:tblCellMar>
          <w:top w:w="28" w:type="dxa"/>
          <w:left w:w="28" w:type="dxa"/>
          <w:bottom w:w="28" w:type="dxa"/>
          <w:right w:w="28" w:type="dxa"/>
        </w:tblCellMar>
      </w:tblPr>
      <w:tblGrid>
        <w:gridCol w:w="1995"/>
        <w:gridCol w:w="1749"/>
        <w:gridCol w:w="1760"/>
        <w:gridCol w:w="196"/>
        <w:gridCol w:w="646"/>
        <w:gridCol w:w="256"/>
        <w:gridCol w:w="109"/>
        <w:gridCol w:w="109"/>
        <w:gridCol w:w="109"/>
        <w:gridCol w:w="196"/>
        <w:gridCol w:w="646"/>
        <w:gridCol w:w="301"/>
      </w:tblGrid>
      <w:tr>
        <w:trPr/>
        <w:tc>
          <w:tcPr>
            <w:tcW w:w="1995"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5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payments for amounts included in the measurement of lease liabilities :</w:t>
            </w:r>
          </w:p>
        </w:tc>
        <w:tc>
          <w:tcPr>
            <w:tcW w:w="10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cash outflows for operating leases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10,829 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11,922 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cash outflows for finance leases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cash outflows for finance leases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assets obtained in exchange for new operating lease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10,929 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assets obtained in exchange for new finance lease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remaining lease term (in years)</w:t>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w:t>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years</w:t>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w:t>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years</w:t>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discount rate</w:t>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modified certain of its operating leases, resulting in a decrease of its lease liabilities by $2,466 and an increase of its lease liabilities by $263, during the six months ended June 30, 2023 and June 30, 2022, respectively, with a corresponding adjustment to ROU assets.</w:t>
      </w:r>
    </w:p>
    <w:p>
      <w:pPr>
        <w:pStyle w:val="TextBody"/>
        <w:bidi w:val="0"/>
        <w:spacing w:before="0" w:after="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and December 31, 2022, the Company did not have any significant leases that have not yet commenced but that create significant rights and obligations for the Company.</w:t>
      </w:r>
    </w:p>
    <w:p>
      <w:pPr>
        <w:pStyle w:val="TextBody"/>
        <w:bidi w:val="0"/>
        <w:spacing w:lineRule="auto" w:line="268" w:before="120" w:after="283"/>
        <w:jc w:val="left"/>
        <w:rPr>
          <w:rFonts w:ascii="Times New Roman;sans-serif" w:hAnsi="Times New Roman;sans-serif"/>
          <w:b/>
          <w:color w:val="000000"/>
          <w:sz w:val="20"/>
        </w:rPr>
      </w:pPr>
      <w:r>
        <w:rPr>
          <w:rFonts w:ascii="Times New Roman;sans-serif" w:hAnsi="Times New Roman;sans-serif"/>
          <w:b/>
          <w:color w:val="000000"/>
          <w:sz w:val="20"/>
        </w:rPr>
        <w:t>Maturities of lease liabilities as of June 30, 2023 were as follows:</w:t>
      </w:r>
    </w:p>
    <w:tbl>
      <w:tblPr>
        <w:tblW w:w="5395" w:type="dxa"/>
        <w:jc w:val="left"/>
        <w:tblInd w:w="0" w:type="dxa"/>
        <w:tblLayout w:type="fixed"/>
        <w:tblCellMar>
          <w:top w:w="28" w:type="dxa"/>
          <w:left w:w="28" w:type="dxa"/>
          <w:bottom w:w="28" w:type="dxa"/>
          <w:right w:w="28" w:type="dxa"/>
        </w:tblCellMar>
      </w:tblPr>
      <w:tblGrid>
        <w:gridCol w:w="840"/>
        <w:gridCol w:w="740"/>
        <w:gridCol w:w="744"/>
        <w:gridCol w:w="296"/>
        <w:gridCol w:w="978"/>
        <w:gridCol w:w="165"/>
        <w:gridCol w:w="109"/>
        <w:gridCol w:w="109"/>
        <w:gridCol w:w="109"/>
        <w:gridCol w:w="332"/>
        <w:gridCol w:w="713"/>
        <w:gridCol w:w="260"/>
      </w:tblGrid>
      <w:tr>
        <w:trPr/>
        <w:tc>
          <w:tcPr>
            <w:tcW w:w="8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Finance Leases</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2023 (July 1 - December 31)</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9,445 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17,314 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12,908 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11,926 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9,151 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 and thereafter</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20,554 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lease payments</w:t>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81,298 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692 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Imputed interest</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16,241 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Present value of lease liabilities</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65,057 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540 </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c972c7b333c94ee3bad0bd2154cbac49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EXLSERVICE HOLDINGS,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 and share count)</w:t>
      </w:r>
    </w:p>
    <w:p>
      <w:pPr>
        <w:pStyle w:val="TextBody"/>
        <w:bidi w:val="0"/>
        <w:spacing w:before="20" w:after="283"/>
        <w:jc w:val="left"/>
        <w:rPr/>
      </w:pPr>
      <w:r>
        <w:rPr/>
      </w:r>
    </w:p>
    <w:p>
      <w:pPr>
        <w:pStyle w:val="TextBody"/>
        <w:bidi w:val="0"/>
        <w:spacing w:lineRule="auto" w:line="276" w:before="0" w:after="0"/>
        <w:jc w:val="both"/>
        <w:rPr/>
      </w:pPr>
      <w:r>
        <w:rPr>
          <w:rFonts w:ascii="Times New Roman;sans-serif" w:hAnsi="Times New Roman;sans-serif"/>
          <w:b/>
          <w:color w:val="000000"/>
          <w:sz w:val="20"/>
        </w:rPr>
        <w:t>Maturities of lease liabilities as of December 31, 2022 were as follows:</w:t>
      </w:r>
      <w:r>
        <w:rPr>
          <w:color w:val="000000"/>
        </w:rPr>
        <w:t xml:space="preserve"> </w:t>
      </w:r>
    </w:p>
    <w:tbl>
      <w:tblPr>
        <w:tblW w:w="5395" w:type="dxa"/>
        <w:jc w:val="left"/>
        <w:tblInd w:w="0" w:type="dxa"/>
        <w:tblLayout w:type="fixed"/>
        <w:tblCellMar>
          <w:top w:w="28" w:type="dxa"/>
          <w:left w:w="28" w:type="dxa"/>
          <w:bottom w:w="28" w:type="dxa"/>
          <w:right w:w="28" w:type="dxa"/>
        </w:tblCellMar>
      </w:tblPr>
      <w:tblGrid>
        <w:gridCol w:w="840"/>
        <w:gridCol w:w="737"/>
        <w:gridCol w:w="747"/>
        <w:gridCol w:w="296"/>
        <w:gridCol w:w="978"/>
        <w:gridCol w:w="165"/>
        <w:gridCol w:w="109"/>
        <w:gridCol w:w="109"/>
        <w:gridCol w:w="109"/>
        <w:gridCol w:w="332"/>
        <w:gridCol w:w="713"/>
        <w:gridCol w:w="260"/>
      </w:tblGrid>
      <w:tr>
        <w:trPr/>
        <w:tc>
          <w:tcPr>
            <w:tcW w:w="840"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Finance Leases</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18,711 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14,846 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10,037 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8,941 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 and thereafter</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19,624 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lease payments</w:t>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78,633 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Imputed interest</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Present value of lease liabilities</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63,133 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519 </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22. Income Taxes</w:t>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determines the tax provision for interim periods using an estimate of its annual effective tax rate. Each quarter, the Company updates its estimate of annual effective tax rate, and if its estimated tax rate changes, the Company makes a cumulative adjustment.</w:t>
      </w:r>
    </w:p>
    <w:p>
      <w:pPr>
        <w:pStyle w:val="TextBody"/>
        <w:bidi w:val="0"/>
        <w:spacing w:before="0" w:after="0"/>
        <w:ind w:left="0" w:right="0" w:firstLine="450"/>
        <w:jc w:val="left"/>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tax rate increased from 23.8% during the three months ended June 30, 2022 to 24.1% during the three months ended June 30, 2023. The Company recorded income tax expense of $15,554 and $11,125 for the three months ended June 30, 2023 and 2022, respectively. The increase in income tax expense was primarily as a result of higher profit during the three months ended June 30, 2023, compared to the three months ended June 30, 2022, and an increase in non-deductible expenses during the three months ended June 30, 2023, partially offset by higher excess tax benefits related to stock-based compensation during the three months ended June 30, 2023, compared to the three months ended June 30, 2022.</w:t>
      </w:r>
    </w:p>
    <w:p>
      <w:pPr>
        <w:pStyle w:val="TextBody"/>
        <w:bidi w:val="0"/>
        <w:spacing w:before="0" w:after="0"/>
        <w:ind w:left="0" w:right="0" w:firstLine="450"/>
        <w:jc w:val="left"/>
        <w:rPr/>
      </w:pPr>
      <w:r>
        <w:rPr/>
      </w:r>
    </w:p>
    <w:p>
      <w:pPr>
        <w:pStyle w:val="TextBody"/>
        <w:bidi w:val="0"/>
        <w:spacing w:lineRule="auto" w:line="26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tax rate decreased from 23.7% during the six months ended June 30, 2022 to 19.1% during the six months ended June 30, 2023. The Company recorded income tax expense of $23,612 and $22,327 for the six months ended June 30, 2023 and June 30, 2022, respectively. The increase in income tax expense was primarily as a result of higher profit during the six months ended June 30, 2023, compared to the six months ended June 30, 2022, and an increase in non-deductible expenses, partially offset by higher excess tax benefits related to stock-based compensation during the six months ended June 30, 2023, compared to the six months ended June 30, 2022.</w:t>
      </w:r>
    </w:p>
    <w:p>
      <w:pPr>
        <w:pStyle w:val="TextBody"/>
        <w:bidi w:val="0"/>
        <w:spacing w:before="0" w:after="0"/>
        <w:ind w:left="0" w:right="0" w:firstLine="495"/>
        <w:jc w:val="both"/>
        <w:rPr/>
      </w:pPr>
      <w:r>
        <w:rPr/>
      </w:r>
    </w:p>
    <w:p>
      <w:pPr>
        <w:pStyle w:val="TextBody"/>
        <w:bidi w:val="0"/>
        <w:spacing w:lineRule="auto" w:line="26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the Company’s subsidiaries in India, the United Kingdom and Australia repatriated $76,000 (net of $4,015 withholding taxes), $15,598 and $9,081, respectively, to the United States. These distributions do not constitute a change in the Company’s permanent reinvestment assertion.</w:t>
      </w:r>
    </w:p>
    <w:p>
      <w:pPr>
        <w:pStyle w:val="TextBody"/>
        <w:bidi w:val="0"/>
        <w:spacing w:before="0" w:after="0"/>
        <w:ind w:left="0" w:right="0" w:firstLine="495"/>
        <w:jc w:val="both"/>
        <w:rPr/>
      </w:pPr>
      <w:r>
        <w:rPr/>
      </w:r>
    </w:p>
    <w:p>
      <w:pPr>
        <w:pStyle w:val="TextBody"/>
        <w:bidi w:val="0"/>
        <w:spacing w:lineRule="auto" w:line="244"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Deferred income taxes recognized in AOCI were as follows:</w:t>
      </w:r>
    </w:p>
    <w:tbl>
      <w:tblPr>
        <w:tblW w:w="9241" w:type="dxa"/>
        <w:jc w:val="center"/>
        <w:tblInd w:w="0" w:type="dxa"/>
        <w:tblLayout w:type="fixed"/>
        <w:tblCellMar>
          <w:top w:w="28" w:type="dxa"/>
          <w:left w:w="28" w:type="dxa"/>
          <w:bottom w:w="28" w:type="dxa"/>
          <w:right w:w="28" w:type="dxa"/>
        </w:tblCellMar>
      </w:tblPr>
      <w:tblGrid>
        <w:gridCol w:w="1520"/>
        <w:gridCol w:w="1336"/>
        <w:gridCol w:w="1344"/>
        <w:gridCol w:w="219"/>
        <w:gridCol w:w="720"/>
        <w:gridCol w:w="113"/>
        <w:gridCol w:w="113"/>
        <w:gridCol w:w="113"/>
        <w:gridCol w:w="113"/>
        <w:gridCol w:w="219"/>
        <w:gridCol w:w="657"/>
        <w:gridCol w:w="113"/>
        <w:gridCol w:w="109"/>
        <w:gridCol w:w="109"/>
        <w:gridCol w:w="109"/>
        <w:gridCol w:w="211"/>
        <w:gridCol w:w="691"/>
        <w:gridCol w:w="109"/>
        <w:gridCol w:w="109"/>
        <w:gridCol w:w="109"/>
        <w:gridCol w:w="109"/>
        <w:gridCol w:w="211"/>
        <w:gridCol w:w="631"/>
        <w:gridCol w:w="154"/>
      </w:tblGrid>
      <w:tr>
        <w:trPr/>
        <w:tc>
          <w:tcPr>
            <w:tcW w:w="1520"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 taxes benefit / (expense) recognized on:</w:t>
            </w:r>
          </w:p>
        </w:tc>
        <w:tc>
          <w:tcPr>
            <w:tcW w:w="10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gain/(loss) on cash flow hedges</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 for cash flow hedges</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 for retirement benefits</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(2,516)</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3,656</w:t>
            </w:r>
            <w:r>
              <w:rPr>
                <w:color w:val="000000"/>
              </w:rPr>
              <w:t>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(5,507)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4,620</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c972c7b333c94ee3bad0bd2154cbac49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EXLSERVICE HOLDINGS,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 and share count)</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23. Stock-Based Compensation</w:t>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by nature of function, as below, are included in the unaudited consolidated statements of income:</w:t>
      </w:r>
    </w:p>
    <w:tbl>
      <w:tblPr>
        <w:tblW w:w="9974" w:type="dxa"/>
        <w:jc w:val="center"/>
        <w:tblInd w:w="0" w:type="dxa"/>
        <w:tblLayout w:type="fixed"/>
        <w:tblCellMar>
          <w:top w:w="28" w:type="dxa"/>
          <w:left w:w="28" w:type="dxa"/>
          <w:bottom w:w="28" w:type="dxa"/>
          <w:right w:w="28" w:type="dxa"/>
        </w:tblCellMar>
      </w:tblPr>
      <w:tblGrid>
        <w:gridCol w:w="1730"/>
        <w:gridCol w:w="1524"/>
        <w:gridCol w:w="1530"/>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73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Income tax benefit related to share-based compensation</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(1) Includes $190 and $14 during the three months ended June 30, 2023 and 2022, respectively, and $12,710 and $3,624 during the six months ended June 30, 2023 and 2022, respectively, related to discrete benefits recognized in income tax expense in accordance with ASU No. 2016-09, Compensation - Stock Compensation.</w:t>
      </w:r>
    </w:p>
    <w:p>
      <w:pPr>
        <w:pStyle w:val="TextBody"/>
        <w:bidi w:val="0"/>
        <w:spacing w:before="0" w:after="0"/>
        <w:ind w:left="0" w:right="0" w:firstLine="495"/>
        <w:jc w:val="both"/>
        <w:rPr/>
      </w:pPr>
      <w:r>
        <w:rPr/>
      </w:r>
    </w:p>
    <w:p>
      <w:pPr>
        <w:pStyle w:val="TextBody"/>
        <w:bidi w:val="0"/>
        <w:spacing w:lineRule="auto" w:line="26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and December 31, 2022, the Company had 678,615 and 1,324,755 shares, respectively, available for grant under the 2018 Omnibus Incentive Plan.</w:t>
      </w:r>
    </w:p>
    <w:p>
      <w:pPr>
        <w:pStyle w:val="TextBody"/>
        <w:bidi w:val="0"/>
        <w:spacing w:before="0" w:after="0"/>
        <w:ind w:left="0" w:right="0" w:firstLine="495"/>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Stock Options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activity under the Company’s stock-based compensation plans is shown below:</w:t>
      </w:r>
    </w:p>
    <w:tbl>
      <w:tblPr>
        <w:tblW w:w="10205" w:type="dxa"/>
        <w:jc w:val="left"/>
        <w:tblInd w:w="0" w:type="dxa"/>
        <w:tblLayout w:type="fixed"/>
        <w:tblCellMar>
          <w:top w:w="28" w:type="dxa"/>
          <w:left w:w="28" w:type="dxa"/>
          <w:bottom w:w="28" w:type="dxa"/>
          <w:right w:w="28" w:type="dxa"/>
        </w:tblCellMar>
      </w:tblPr>
      <w:tblGrid>
        <w:gridCol w:w="1652"/>
        <w:gridCol w:w="1449"/>
        <w:gridCol w:w="1458"/>
        <w:gridCol w:w="265"/>
        <w:gridCol w:w="776"/>
        <w:gridCol w:w="137"/>
        <w:gridCol w:w="109"/>
        <w:gridCol w:w="109"/>
        <w:gridCol w:w="109"/>
        <w:gridCol w:w="262"/>
        <w:gridCol w:w="896"/>
        <w:gridCol w:w="135"/>
        <w:gridCol w:w="109"/>
        <w:gridCol w:w="109"/>
        <w:gridCol w:w="109"/>
        <w:gridCol w:w="233"/>
        <w:gridCol w:w="516"/>
        <w:gridCol w:w="122"/>
        <w:gridCol w:w="109"/>
        <w:gridCol w:w="109"/>
        <w:gridCol w:w="109"/>
        <w:gridCol w:w="385"/>
        <w:gridCol w:w="385"/>
        <w:gridCol w:w="553"/>
      </w:tblGrid>
      <w:tr>
        <w:trPr/>
        <w:tc>
          <w:tcPr>
            <w:tcW w:w="1652"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Stock</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w:t>
              <w:br/>
              <w:t>Intrinsic</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br/>
              <w:t>Remaining</w:t>
              <w:br/>
              <w:t>Contractual</w:t>
              <w:br/>
              <w:t>Life (Years)</w:t>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2022</w:t>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3,093 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27.62 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Granted</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331,336 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Exercised</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(3,093)</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Forfeited</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June 30, 2023</w:t>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331,336 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150.75 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exercisable as of June 30, 2023</w:t>
            </w:r>
          </w:p>
        </w:tc>
        <w:tc>
          <w:tcPr>
            <w:tcW w:w="104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grant date fair value of Stock options granted during the period</w:t>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Stock options granted under the 2018 Omnibus Incentive Plan during the three and six months ended June 30, 2023, have a contractual period of ten years and vest ratably over four years.</w:t>
      </w:r>
    </w:p>
    <w:p>
      <w:pPr>
        <w:pStyle w:val="TextBody"/>
        <w:bidi w:val="0"/>
        <w:spacing w:lineRule="auto" w:line="288" w:before="2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each stock option granted to employees is estimated on the date of grant using the Black-Scholes option-pricing model with the following assumptions:</w:t>
      </w:r>
    </w:p>
    <w:tbl>
      <w:tblPr>
        <w:tblW w:w="6449" w:type="dxa"/>
        <w:jc w:val="left"/>
        <w:tblInd w:w="0" w:type="dxa"/>
        <w:tblLayout w:type="fixed"/>
        <w:tblCellMar>
          <w:top w:w="28" w:type="dxa"/>
          <w:left w:w="28" w:type="dxa"/>
          <w:bottom w:w="28" w:type="dxa"/>
          <w:right w:w="28" w:type="dxa"/>
        </w:tblCellMar>
      </w:tblPr>
      <w:tblGrid>
        <w:gridCol w:w="1157"/>
        <w:gridCol w:w="1017"/>
        <w:gridCol w:w="1021"/>
        <w:gridCol w:w="659"/>
        <w:gridCol w:w="659"/>
        <w:gridCol w:w="1936"/>
      </w:tblGrid>
      <w:tr>
        <w:trPr/>
        <w:tc>
          <w:tcPr>
            <w:tcW w:w="115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and Six months ended June 30, 2023</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13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life (years)</w:t>
            </w:r>
          </w:p>
        </w:tc>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free interest rate for expected life</w:t>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9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 for expected life</w:t>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1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c972c7b333c94ee3bad0bd2154cbac49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EXLSERVICE HOLDINGS,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 and share count)</w:t>
      </w:r>
    </w:p>
    <w:p>
      <w:pPr>
        <w:pStyle w:val="TextBody"/>
        <w:bidi w:val="0"/>
        <w:spacing w:lineRule="auto" w:line="288" w:before="2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does not anticipate paying any cash dividends in the foreseeable future and therefore uses an expected dividend yield of zero in the option valuation model.</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unrecognized compensation cost of $19,801 is expected to be expensed over a weighted average period of 4.0 years. The total grant date fair value of stock options exercised during the three and six months ended June 30, 2023 and 2022, was $30 and $nil, respectively.</w:t>
      </w:r>
    </w:p>
    <w:p>
      <w:pPr>
        <w:pStyle w:val="TextBody"/>
        <w:bidi w:val="0"/>
        <w:spacing w:lineRule="auto" w:line="288" w:before="140" w:after="283"/>
        <w:jc w:val="both"/>
        <w:rPr>
          <w:rFonts w:ascii="Times New Roman;sans-serif" w:hAnsi="Times New Roman;sans-serif"/>
          <w:b/>
          <w:color w:val="000000"/>
          <w:sz w:val="20"/>
        </w:rPr>
      </w:pPr>
      <w:r>
        <w:rPr>
          <w:rFonts w:ascii="Times New Roman;sans-serif" w:hAnsi="Times New Roman;sans-serif"/>
          <w:b/>
          <w:color w:val="000000"/>
          <w:sz w:val="20"/>
        </w:rPr>
        <w:t>Share Matching Program</w:t>
      </w:r>
    </w:p>
    <w:p>
      <w:pPr>
        <w:pStyle w:val="TextBody"/>
        <w:bidi w:val="0"/>
        <w:spacing w:lineRule="auto" w:line="268" w:before="1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Under the Company’s 2018 Omnibus Incentive Plan (the “2018 Plan”), the Company established a share matching program (“SMP”) for executive officers and other specified employees. Under the SMP, the Company agreed to issue a number of restricted stock units equal to the number of newly acquired shares of the Company's common stock.</w:t>
      </w:r>
    </w:p>
    <w:p>
      <w:pPr>
        <w:pStyle w:val="TextBody"/>
        <w:bidi w:val="0"/>
        <w:spacing w:lineRule="auto" w:line="268" w:before="1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Restricted stock unit activity under the SMP is shown below:</w:t>
      </w:r>
    </w:p>
    <w:tbl>
      <w:tblPr>
        <w:tblW w:w="6040" w:type="dxa"/>
        <w:jc w:val="left"/>
        <w:tblInd w:w="0" w:type="dxa"/>
        <w:tblLayout w:type="fixed"/>
        <w:tblCellMar>
          <w:top w:w="28" w:type="dxa"/>
          <w:left w:w="28" w:type="dxa"/>
          <w:bottom w:w="28" w:type="dxa"/>
          <w:right w:w="28" w:type="dxa"/>
        </w:tblCellMar>
      </w:tblPr>
      <w:tblGrid>
        <w:gridCol w:w="1147"/>
        <w:gridCol w:w="1006"/>
        <w:gridCol w:w="1012"/>
        <w:gridCol w:w="360"/>
        <w:gridCol w:w="361"/>
        <w:gridCol w:w="231"/>
        <w:gridCol w:w="141"/>
        <w:gridCol w:w="141"/>
        <w:gridCol w:w="141"/>
        <w:gridCol w:w="291"/>
        <w:gridCol w:w="997"/>
        <w:gridCol w:w="212"/>
      </w:tblGrid>
      <w:tr>
        <w:trPr/>
        <w:tc>
          <w:tcPr>
            <w:tcW w:w="114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Restricted Stock Units (SMP)</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br/>
              <w:t>Fair Value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2022</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47,623 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124.76 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Granted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Vested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Forfeited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(4,177)</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124.76 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June 30, 2023</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43,446 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124.76 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unrecognized compensation cost of $3,165 is expected to be expensed over a weighted average period of 1.8 years.</w:t>
      </w:r>
    </w:p>
    <w:p>
      <w:pPr>
        <w:pStyle w:val="TextBody"/>
        <w:bidi w:val="0"/>
        <w:spacing w:lineRule="auto" w:line="268" w:before="240" w:after="283"/>
        <w:jc w:val="both"/>
        <w:rPr>
          <w:rFonts w:ascii="Times New Roman;sans-serif" w:hAnsi="Times New Roman;sans-serif"/>
          <w:b/>
          <w:color w:val="000000"/>
          <w:sz w:val="20"/>
        </w:rPr>
      </w:pPr>
      <w:r>
        <w:rPr>
          <w:rFonts w:ascii="Times New Roman;sans-serif" w:hAnsi="Times New Roman;sans-serif"/>
          <w:b/>
          <w:color w:val="000000"/>
          <w:sz w:val="20"/>
        </w:rPr>
        <w:t>Restricted Stock Units</w:t>
      </w:r>
    </w:p>
    <w:p>
      <w:pPr>
        <w:pStyle w:val="TextBody"/>
        <w:bidi w:val="0"/>
        <w:spacing w:lineRule="auto" w:line="288" w:before="1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Restricted stock unit activity under the Company’s stock-based compensation plans is shown below:</w:t>
      </w:r>
    </w:p>
    <w:tbl>
      <w:tblPr>
        <w:tblW w:w="6229" w:type="dxa"/>
        <w:jc w:val="left"/>
        <w:tblInd w:w="0" w:type="dxa"/>
        <w:tblLayout w:type="fixed"/>
        <w:tblCellMar>
          <w:top w:w="28" w:type="dxa"/>
          <w:left w:w="28" w:type="dxa"/>
          <w:bottom w:w="28" w:type="dxa"/>
          <w:right w:w="28" w:type="dxa"/>
        </w:tblCellMar>
      </w:tblPr>
      <w:tblGrid>
        <w:gridCol w:w="1185"/>
        <w:gridCol w:w="1039"/>
        <w:gridCol w:w="1045"/>
        <w:gridCol w:w="449"/>
        <w:gridCol w:w="451"/>
        <w:gridCol w:w="231"/>
        <w:gridCol w:w="110"/>
        <w:gridCol w:w="110"/>
        <w:gridCol w:w="110"/>
        <w:gridCol w:w="290"/>
        <w:gridCol w:w="997"/>
        <w:gridCol w:w="212"/>
      </w:tblGrid>
      <w:tr>
        <w:trPr/>
        <w:tc>
          <w:tcPr>
            <w:tcW w:w="1185"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Restricted Stock Units</w:t>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br/>
              <w:t>Fair Value</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2022*</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923,126 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98.71 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Granted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238,431 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171.38 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Vested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(307,060)</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90.47 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Forfeited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(61,323)</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104.53 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June 30, 2023*</w:t>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793,174 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123.29 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 As of June 30, 2023 and December 31, 2022 restricted stock units vested for which the underlying common stock is yet to be issued are 130,528 and 174,490 respectively.</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unrecognized compensation cost of $77,100 is expected to be expensed over a weighted average period of 2.7 years.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Performance Based Stock Awards</w:t>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2018 Plan, the Company grants performance-based restricted stock units (“PRSUs”) to executive officers and other specified employees. During the six months ended June 30, 2023, the Company granted 40% of each award recipient’s equity grants in the form of PRSUs that cliff vest at the end of a three-year period based on an aggregated revenue target for a three-year period (“PU”). The remaining 60% of each award recipient’s equity grants are PRSUs that are based on market conditions, contingent on the Company’s meeting a total shareholder return relative to a group of peer companies specified under the 2018 Plan, and are measured over a three-year performance period (“MU”). </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c972c7b333c94ee3bad0bd2154cbac49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EXLSERVICE HOLDINGS,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 and share count)</w:t>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PRSU activity under the Company’s stock plans is shown below:</w:t>
      </w:r>
    </w:p>
    <w:tbl>
      <w:tblPr>
        <w:tblW w:w="9285" w:type="dxa"/>
        <w:jc w:val="center"/>
        <w:tblInd w:w="0" w:type="dxa"/>
        <w:tblLayout w:type="fixed"/>
        <w:tblCellMar>
          <w:top w:w="28" w:type="dxa"/>
          <w:left w:w="28" w:type="dxa"/>
          <w:bottom w:w="28" w:type="dxa"/>
          <w:right w:w="28" w:type="dxa"/>
        </w:tblCellMar>
      </w:tblPr>
      <w:tblGrid>
        <w:gridCol w:w="1147"/>
        <w:gridCol w:w="1006"/>
        <w:gridCol w:w="1012"/>
        <w:gridCol w:w="360"/>
        <w:gridCol w:w="361"/>
        <w:gridCol w:w="231"/>
        <w:gridCol w:w="110"/>
        <w:gridCol w:w="110"/>
        <w:gridCol w:w="110"/>
        <w:gridCol w:w="292"/>
        <w:gridCol w:w="1002"/>
        <w:gridCol w:w="161"/>
        <w:gridCol w:w="109"/>
        <w:gridCol w:w="109"/>
        <w:gridCol w:w="109"/>
        <w:gridCol w:w="413"/>
        <w:gridCol w:w="413"/>
        <w:gridCol w:w="231"/>
        <w:gridCol w:w="154"/>
        <w:gridCol w:w="154"/>
        <w:gridCol w:w="154"/>
        <w:gridCol w:w="298"/>
        <w:gridCol w:w="1019"/>
        <w:gridCol w:w="220"/>
      </w:tblGrid>
      <w:tr>
        <w:trPr/>
        <w:tc>
          <w:tcPr>
            <w:tcW w:w="114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Revenue Based PRSUs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Market Condition Based PRSUs</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br/>
              <w:t>Fair Value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2022</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49,591 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178,712 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134.72 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43,948 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65,849 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223.61 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(5,399)</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(17,252)</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141.19 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June 30, 2023</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88,140 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145.86 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227,309 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159.98 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unrecognized compensation cost of $35,048 is expected to be expensed over a weighted average period of 2.1 years.</w:t>
      </w:r>
    </w:p>
    <w:p>
      <w:pPr>
        <w:pStyle w:val="TextBody"/>
        <w:bidi w:val="0"/>
        <w:spacing w:lineRule="auto" w:line="268" w:before="140" w:after="283"/>
        <w:jc w:val="both"/>
        <w:rPr>
          <w:rFonts w:ascii="Times New Roman;sans-serif" w:hAnsi="Times New Roman;sans-serif"/>
          <w:b/>
          <w:color w:val="000000"/>
          <w:sz w:val="20"/>
        </w:rPr>
      </w:pPr>
      <w:r>
        <w:rPr>
          <w:rFonts w:ascii="Times New Roman;sans-serif" w:hAnsi="Times New Roman;sans-serif"/>
          <w:b/>
          <w:color w:val="000000"/>
          <w:sz w:val="20"/>
        </w:rPr>
        <w:t>Employee Stock Purchase Plan</w:t>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June 21, 2022, at the annual meeting of stockholders of the Company, the Company’s stockholders approved the ExlService Holdings, Inc. 2022 Employee Stock Purchase Plan (the “2022 ESPP”).</w:t>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2022 ESPP allows eligible employees to purchase the Company’s shares of common stock through payroll deductions at a pre-specified discount to the lower of closing price of the Company’s common shares on the date of offering or the last business day of each purchase interval. The dollar amount of shares of common stock that can be purchased under the 2022 ESPP must not exceed 15% of the participating employee’s compensation during the offering period, subject to a cap of $25 per employee per calendar year. The Company has reserved 800,000 shares of common stock for issuance over the term of the 2022 ESPP.</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second offering period under the 2022 ESPP commenced on January 1, 2023 with a term of six months.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Activity under the Company’s 2022 ESPP is shown below:</w:t>
      </w:r>
    </w:p>
    <w:p>
      <w:pPr>
        <w:pStyle w:val="TextBody"/>
        <w:bidi w:val="0"/>
        <w:spacing w:before="0" w:after="0"/>
        <w:ind w:left="0" w:right="0" w:firstLine="450"/>
        <w:jc w:val="both"/>
        <w:rPr/>
      </w:pPr>
      <w:r>
        <w:rPr/>
      </w:r>
    </w:p>
    <w:tbl>
      <w:tblPr>
        <w:tblW w:w="10205" w:type="dxa"/>
        <w:jc w:val="left"/>
        <w:tblInd w:w="0" w:type="dxa"/>
        <w:tblLayout w:type="fixed"/>
        <w:tblCellMar>
          <w:top w:w="28" w:type="dxa"/>
          <w:left w:w="28" w:type="dxa"/>
          <w:bottom w:w="28" w:type="dxa"/>
          <w:right w:w="28" w:type="dxa"/>
        </w:tblCellMar>
      </w:tblPr>
      <w:tblGrid>
        <w:gridCol w:w="2388"/>
        <w:gridCol w:w="2078"/>
        <w:gridCol w:w="2091"/>
        <w:gridCol w:w="109"/>
        <w:gridCol w:w="109"/>
        <w:gridCol w:w="109"/>
        <w:gridCol w:w="436"/>
        <w:gridCol w:w="417"/>
        <w:gridCol w:w="419"/>
        <w:gridCol w:w="109"/>
        <w:gridCol w:w="109"/>
        <w:gridCol w:w="109"/>
        <w:gridCol w:w="369"/>
        <w:gridCol w:w="1079"/>
        <w:gridCol w:w="274"/>
      </w:tblGrid>
      <w:tr>
        <w:trPr/>
        <w:tc>
          <w:tcPr>
            <w:tcW w:w="2388"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20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6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Proceeds Received</w:t>
            </w:r>
          </w:p>
        </w:tc>
      </w:tr>
      <w:tr>
        <w:trPr/>
        <w:tc>
          <w:tcPr>
            <w:tcW w:w="6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available for issuance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Issuance of common stock related to the first offering period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available for issuance as of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792,364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related to the second offering period made subsequent to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3,800 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ESPP is compensatory and results in compensation expense. The fair value of common stock to be issued under the ESPP was determined using the Black-Scholes option pricing model with the following assumptions:</w:t>
      </w:r>
    </w:p>
    <w:p>
      <w:pPr>
        <w:pStyle w:val="TextBody"/>
        <w:bidi w:val="0"/>
        <w:spacing w:before="0" w:after="0"/>
        <w:jc w:val="left"/>
        <w:rPr/>
      </w:pPr>
      <w:r>
        <w:rPr/>
      </w:r>
    </w:p>
    <w:tbl>
      <w:tblPr>
        <w:tblW w:w="5669" w:type="dxa"/>
        <w:jc w:val="left"/>
        <w:tblInd w:w="0" w:type="dxa"/>
        <w:tblLayout w:type="fixed"/>
        <w:tblCellMar>
          <w:top w:w="28" w:type="dxa"/>
          <w:left w:w="28" w:type="dxa"/>
          <w:bottom w:w="28" w:type="dxa"/>
          <w:right w:w="28" w:type="dxa"/>
        </w:tblCellMar>
      </w:tblPr>
      <w:tblGrid>
        <w:gridCol w:w="1157"/>
        <w:gridCol w:w="1017"/>
        <w:gridCol w:w="1021"/>
        <w:gridCol w:w="501"/>
        <w:gridCol w:w="501"/>
        <w:gridCol w:w="1472"/>
      </w:tblGrid>
      <w:tr>
        <w:trPr/>
        <w:tc>
          <w:tcPr>
            <w:tcW w:w="115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2023</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life (years)</w:t>
            </w:r>
          </w:p>
        </w:tc>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free interest rate for expected life</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 for expected life</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1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for illiquidity</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 average fair value of employee stock purchase rights granted pursuant to the ESPP during the six months ended June 30, 2023 was $25.86.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c972c7b333c94ee3bad0bd2154cbac49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EXLSERVICE HOLDINGS,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 and share count)</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24. Related Party Disclosures</w:t>
      </w:r>
    </w:p>
    <w:p>
      <w:pPr>
        <w:pStyle w:val="TextBody"/>
        <w:bidi w:val="0"/>
        <w:spacing w:before="0" w:after="0"/>
        <w:jc w:val="left"/>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2022, the Company entered into a service contract for providing analytics services to The Vanguard Group Inc. which beneficially owns more than 10% of the Company’s common stock as of June 30, 2023. During the three months ended June 30, 2023 and 2022, the Company recognized revenues, net of $379 and $574, respectively, related to this service contract. During the six months ended June 30, 2023 and 2022, the Company recognized revenues, net of $1,330 and $574, respectively, related to this service contract. The Company had outstanding accounts receivable, net of $383 and $856, related to this service contract as of June 30, 2023 and December 31, 2022, respectively.</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25. Commitments and Contingencies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Capital Commitments</w:t>
      </w:r>
    </w:p>
    <w:p>
      <w:pPr>
        <w:pStyle w:val="TextBody"/>
        <w:bidi w:val="0"/>
        <w:spacing w:before="0" w:after="0"/>
        <w:jc w:val="left"/>
        <w:rPr/>
      </w:pPr>
      <w:r>
        <w:rPr/>
      </w:r>
    </w:p>
    <w:p>
      <w:pPr>
        <w:pStyle w:val="TextBody"/>
        <w:bidi w:val="0"/>
        <w:spacing w:lineRule="auto" w:line="26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the Company had committed to spend approximately $6,600 under agreements to purchase property and equipment. This amount is net of capital advances paid which are recognized in unaudited consolidated balance sheets as “Capital work in progress” under “Property and equipment, net.”</w:t>
      </w:r>
    </w:p>
    <w:p>
      <w:pPr>
        <w:pStyle w:val="TextBody"/>
        <w:bidi w:val="0"/>
        <w:spacing w:before="0" w:after="0"/>
        <w:jc w:val="left"/>
        <w:rPr/>
      </w:pPr>
      <w:r>
        <w:rPr/>
      </w:r>
    </w:p>
    <w:p>
      <w:pPr>
        <w:pStyle w:val="TextBody"/>
        <w:bidi w:val="0"/>
        <w:spacing w:lineRule="auto" w:line="26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On June 15, 2023, the Company, along with other limited partners, entered into a limited partnership agreement with the general partner, PNP Financial Services Fund GP I, LLC and initial limited partner and outgoing partner, to form a partnership with the name Plug and Play Financial Services Fund I, L.P. (the “Partnership”) for the primary purpose of making investments in growth-stage technology companies. The Company is committed under the Partnership to make investments up to an amount of $4,000.</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Other Commitments</w:t>
      </w:r>
    </w:p>
    <w:p>
      <w:pPr>
        <w:pStyle w:val="TextBody"/>
        <w:bidi w:val="0"/>
        <w:spacing w:before="0" w:after="0"/>
        <w:jc w:val="left"/>
        <w:rPr/>
      </w:pPr>
      <w:r>
        <w:rPr/>
      </w:r>
    </w:p>
    <w:p>
      <w:pPr>
        <w:pStyle w:val="TextBody"/>
        <w:bidi w:val="0"/>
        <w:spacing w:lineRule="auto" w:line="268" w:before="0" w:after="0"/>
        <w:ind w:left="0" w:right="0" w:firstLine="450"/>
        <w:jc w:val="both"/>
        <w:rPr/>
      </w:pPr>
      <w:r>
        <w:rPr>
          <w:rFonts w:ascii="Times New Roman;sans-serif" w:hAnsi="Times New Roman;sans-serif"/>
          <w:b w:val="false"/>
          <w:color w:val="000000"/>
          <w:sz w:val="20"/>
        </w:rPr>
        <w:t>Certain units of the Company’s Indian subsidiaries were established as 100%</w:t>
      </w:r>
      <w:r>
        <w:rPr>
          <w:color w:val="000000"/>
          <w:shd w:fill="FFFFFF" w:val="clear"/>
        </w:rPr>
        <w:t xml:space="preserve"> </w:t>
      </w:r>
      <w:r>
        <w:rPr>
          <w:rFonts w:ascii="Times New Roman;sans-serif" w:hAnsi="Times New Roman;sans-serif"/>
          <w:b w:val="false"/>
          <w:color w:val="000000"/>
          <w:sz w:val="20"/>
        </w:rPr>
        <w:t>Export-Oriented units or under the Software Technology Parks of India or Special Economic Zone scheme promulgated by the Government of India. These units are exempt from customs, central excise duties, and levies on imported and indigenous capital goods, stores, and spares. The Company has undertaken to pay custom duties, service taxes, levies, and liquidated damages payable, if any, in respect of imported and indigenous capital goods, stores and spares consumed duty free, in the event that certain terms and conditions are not fulfilled. The Company believes, however, that these units have in the past satisfied, and will continue to satisfy, the required conditions.</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operations centers in the Philippines are registered as qualified Philippines Economic Zone Authority units, which provides the Company fiscal incentives on the import of capital goods and local purchase of services and materials. The Company is required to meet certain requirements to retain the incentives. The Company has complied, and intends to continue compliance, with the requirements to avail itself of the incentives.</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Contingencies</w:t>
      </w:r>
    </w:p>
    <w:p>
      <w:pPr>
        <w:pStyle w:val="TextBody"/>
        <w:bidi w:val="0"/>
        <w:spacing w:before="0" w:after="0"/>
        <w:ind w:left="0" w:right="0" w:firstLine="450"/>
        <w:jc w:val="both"/>
        <w:rPr/>
      </w:pPr>
      <w:r>
        <w:rPr/>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transfer pricing regulations in the countries in which the Company operates require that controlled intercompany transactions be at arm’s-length. Accordingly, the Company determines and documents pricing for controlled intercompany transactions based on an economic analysis as prescribed in the respective regulations. The tax authorities have jurisdiction to review the Company’s transfer pricing. If the Company’s transfer pricing is challenged by the authorities, they could assess additional tax, interest and penalties, thereby impacting the Company’s profitability and cash flows.</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currently involved in transfer pricing and related income tax disputes with Indian tax authorities. The aggregate amount demanded by Indian tax authorities (net of advance payments) as of June 30, 2023 and December 31, 2022 is $37,130 and $37,088, respectively. The Company has made payments and/or provided bank guarantees against these demands in the amounts of $7,328 and $7,532, as of June 30, 2023 and December 31, 2022, respectively. The Company believes that its positions will more likely than not be sustained upon final examination by the tax authorities, and accordingly has not accrued any liabilities with respect to these matters in its consolidated financial statements.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India’s Value Added Tax (“VAT”) regime ended in June 2017 and was replaced by the current Goods and Service Tax (“GST”) regime. Pursuant to reviewing the Company’s annual VAT filings, the Indian tax authorities raised aggregate VAT demands for tax years 2015 and 2017, in the amounts of $5,572 and $5,526, as of June 30, 2023 and December 31, 2022, respectively. The GST authorities rejected the Company’s refunds claims in the amounts of $$4,305 and $3,866 as of June 30,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c972c7b333c94ee3bad0bd2154cbac49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EXLSERVICE HOLDINGS,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 and share count)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2023 and December 31, 2022, respectively. The Company has filed appeals against these matters and believes that it is more likely than not that upon final examination its position will be sustained based on its technical merits. Accordingly, no provision was recognized as of June 30, 2023 and December 31, 2022, respectively.</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One of the Company’s subsidiaries in India has undergone an assessment with the statutory authority with respect to defined social security contribution plan. Except for some components of the assessment for which the Company has recognized a provision in the financial statements, the Company believes that the amount demanded by such authority is not a meaningful indicator of the potential liabilities of the Company, and that the matter is without merit. The Company is defending against the assessment order and has accordingly instituted an appeal against the order before the relevant tribunal while also making a payment under protest of the amount demanded. As of the reporting date, the Company’s management does not believe that the ultimate assessment will have a material adverse effect on the Company’s consolidated financial condition, results of operations or cash flows. The Company will continue to monitor and evaluate its position based on future events and developments in this matter.</w:t>
      </w:r>
    </w:p>
    <w:p>
      <w:pPr>
        <w:pStyle w:val="TextBody"/>
        <w:bidi w:val="0"/>
        <w:spacing w:before="0" w:after="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2019 and September 2020, the Indian Parliament passed various consolidating labor codes, including the Code on Social Security, 2020 (the “Indian Social Security Code”) which aims to rationalize labor laws relating to employee benefits during employment and post-employment benefits. However, the rules for the Indian Social Security Code are yet to be published and the effective date from which these changes are applicable is yet to be notified. The Company will complete its evaluation once the subject rules are notified and will give appropriate impact in the financial statements in the period in which, the Indian Social Security Code becomes effective and the related rules to determine the financial impact are published.</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its subsidiaries, and/or their present officers or directors, may be or have been, named as a defendant in litigation matters, including employment-related claims. The plaintiffs in those cases seek damages, including, where applicable, compensatory damages, punitive damages and attorney’s fees. With respect to pending litigation matters as of the reporting date, the Company believes that the damages claimed are without merit, and the Company intends to vigorously defend them. The Company will continuously monitor developments on these matters to assess potential impacts to the financial statements.</w:t>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outcomes of legal actions are unpredictable and subject to significant uncertainties, and thus it is inherently difficult to determine the likelihood of the Company incurring a material loss or quantification of any such loss. With respect to pending litigation matters as of the reporting date, based on information currently available, including the Company’s assessment of the facts underlying each matter and advice of counsel, the amount or range of reasonably possible losses, if any, cannot be reasonably estimated. Based on the Company’s assessment, including the availability of insurance recoveries, the Company’s management does not believe that currently pending litigation, individually or in aggregate, will have a material adverse effect on the Company’s consolidated financial condition, results of operations or cash flows. The Company will continuously monitor these matters to assess potential impacts to the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26. Subsequent Events</w:t>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June 20, 2023, the Company’s stockholders approved an amendment to the Company’s Amended and Restated Certificate of Incorporation, which upon filing with the State of Delaware, and effectiveness thereof, will effect a 5-for-1 forward stock split of the Company’s common stock (the “2023 Stock Split”) and an increase in the number of authorized shares of the Company’s common stock from 100,000,000 shares to 400,000,000 shares. The par value of each share of common stock, $0.001, shall remain unchanged. The 2023 Stock Split was considered to not have been consummated as the common shares were not trading on Nasdaq Global Select Market on a post-split basis as of the date of issuance of the consolidated financial statements.</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2023 Stock Split, each stockholder of record on July 25, 2023 holding shares of the Company’s common stock will receive four additional shares of the Company’s common stock for every one share held. The additional shares are to be distributed after the close of business on August 1, 2023.</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All share count and per share amounts in these consolidated financial statements are presented on a pre-split basis.</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Below are the pro forma weighted average common stock outstanding and earnings per share (basic and diluted) as if 2023 Stock Split had been effective for all years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c972c7b333c94ee3bad0bd2154cbac49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EXLSERVICE HOLDINGS,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 and share count)</w:t>
      </w:r>
    </w:p>
    <w:tbl>
      <w:tblPr>
        <w:tblW w:w="10205" w:type="dxa"/>
        <w:jc w:val="left"/>
        <w:tblInd w:w="0" w:type="dxa"/>
        <w:tblLayout w:type="fixed"/>
        <w:tblCellMar>
          <w:top w:w="28" w:type="dxa"/>
          <w:left w:w="28" w:type="dxa"/>
          <w:bottom w:w="28" w:type="dxa"/>
          <w:right w:w="28" w:type="dxa"/>
        </w:tblCellMar>
      </w:tblPr>
      <w:tblGrid>
        <w:gridCol w:w="1446"/>
        <w:gridCol w:w="1271"/>
        <w:gridCol w:w="1280"/>
        <w:gridCol w:w="268"/>
        <w:gridCol w:w="918"/>
        <w:gridCol w:w="109"/>
        <w:gridCol w:w="109"/>
        <w:gridCol w:w="109"/>
        <w:gridCol w:w="109"/>
        <w:gridCol w:w="268"/>
        <w:gridCol w:w="918"/>
        <w:gridCol w:w="109"/>
        <w:gridCol w:w="109"/>
        <w:gridCol w:w="109"/>
        <w:gridCol w:w="109"/>
        <w:gridCol w:w="241"/>
        <w:gridCol w:w="945"/>
        <w:gridCol w:w="109"/>
        <w:gridCol w:w="109"/>
        <w:gridCol w:w="109"/>
        <w:gridCol w:w="109"/>
        <w:gridCol w:w="268"/>
        <w:gridCol w:w="918"/>
        <w:gridCol w:w="156"/>
      </w:tblGrid>
      <w:tr>
        <w:trPr/>
        <w:tc>
          <w:tcPr>
            <w:tcW w:w="1446"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Pro Forma (Unaudited)</w:t>
            </w:r>
          </w:p>
        </w:tc>
      </w:tr>
      <w:tr>
        <w:trPr/>
        <w:tc>
          <w:tcPr>
            <w:tcW w:w="3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3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 average common shares outstanding</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166,776,770 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167,017,055 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166,986,130 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167,113,090 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share based awards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2,135,640 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2,061,645 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2,199,895 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 average common shares outstanding</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168,442,245 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169,152,695 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169,047,775 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169,312,985 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per share attributable to ExlService Holdings, Inc. stockholders:</w:t>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potentially dilutive shares considered anti-dilutive and not included in computing diluted earnings per share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972c7b333c94ee3bad0bd2154cbac49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You should read the following discussion in connection with our unaudited consolidated financial statements and the related notes included elsewhere in this Quarterly Report on Form 10-Q and our audited consolidated financial statements and the related notes included in our Annual Report on Form 10-K for the fiscal year ended December 31, 2022. Some of the statements in the following discussion are forward looking statements.</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before="0" w:after="0"/>
        <w:jc w:val="left"/>
        <w:rPr/>
      </w:pPr>
      <w:r>
        <w:rPr/>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contains forward-looking statements within the meaning of the United States Private Securities Litigation Reform Act of 1995. You should not place undue reliance on these statements because they are subject to numerous uncertainties and factors relating to our operations and business environment, all of which are difficult to predict and many of which are beyond our control.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Quarterly Report on Form 10-Q, you should understand that these statements are not guarantees of performance or results. They involve known and unknown risks, uncertainties and assumptions. Although we believe that these forward-looking statements are based on reasonable assumptions, you should be aware that many factors could affect our actual financial results or results of operations and could cause actual results to differ materially from those in the forward-looking statements. These factors include but are not limited to:</w:t>
      </w:r>
    </w:p>
    <w:p>
      <w:pPr>
        <w:pStyle w:val="TextBody"/>
        <w:bidi w:val="0"/>
        <w:spacing w:before="0" w:after="0"/>
        <w:ind w:left="0" w:right="0" w:firstLine="450"/>
        <w:jc w:val="both"/>
        <w:rPr/>
      </w:pPr>
      <w:r>
        <w:rPr/>
      </w:r>
    </w:p>
    <w:p>
      <w:pPr>
        <w:pStyle w:val="TextBody"/>
        <w:bidi w:val="0"/>
        <w:spacing w:lineRule="auto" w:line="288" w:before="60" w:after="60"/>
        <w:ind w:left="0" w:right="0" w:hanging="360"/>
        <w:jc w:val="both"/>
        <w:rPr/>
      </w:pPr>
      <w:r>
        <w:rPr>
          <w:color w:val="000000"/>
        </w:rPr>
        <w:t>•</w:t>
      </w:r>
      <w:r>
        <w:rPr>
          <w:rFonts w:ascii="Times New Roman;sans-serif" w:hAnsi="Times New Roman;sans-serif"/>
          <w:b w:val="false"/>
          <w:color w:val="000000"/>
          <w:sz w:val="20"/>
        </w:rPr>
        <w:t>our ability to maintain and grow client demand for our services and solutions, including anticipating and incorporating the latest technology into our offerings;</w:t>
      </w:r>
    </w:p>
    <w:p>
      <w:pPr>
        <w:pStyle w:val="TextBody"/>
        <w:bidi w:val="0"/>
        <w:spacing w:lineRule="auto" w:line="288" w:before="60" w:after="60"/>
        <w:ind w:left="0" w:right="0" w:hanging="360"/>
        <w:jc w:val="both"/>
        <w:rPr/>
      </w:pPr>
      <w:r>
        <w:rPr>
          <w:color w:val="000000"/>
        </w:rPr>
        <w:t>•</w:t>
      </w:r>
      <w:r>
        <w:rPr>
          <w:rFonts w:ascii="Times New Roman;sans-serif" w:hAnsi="Times New Roman;sans-serif"/>
          <w:b w:val="false"/>
          <w:color w:val="000000"/>
          <w:sz w:val="20"/>
        </w:rPr>
        <w:t>impact on client demand by the selling cycle and terms of our client contracts;</w:t>
      </w:r>
    </w:p>
    <w:p>
      <w:pPr>
        <w:pStyle w:val="TextBody"/>
        <w:bidi w:val="0"/>
        <w:spacing w:lineRule="auto" w:line="288" w:before="60" w:after="60"/>
        <w:ind w:left="0" w:right="0" w:hanging="360"/>
        <w:jc w:val="both"/>
        <w:rPr/>
      </w:pPr>
      <w:r>
        <w:rPr>
          <w:color w:val="000000"/>
        </w:rPr>
        <w:t>•</w:t>
      </w:r>
      <w:r>
        <w:rPr>
          <w:rFonts w:ascii="Times New Roman;sans-serif" w:hAnsi="Times New Roman;sans-serif"/>
          <w:b w:val="false"/>
          <w:color w:val="000000"/>
          <w:sz w:val="20"/>
        </w:rPr>
        <w:t>fluctuations in our earnings;</w:t>
      </w:r>
    </w:p>
    <w:p>
      <w:pPr>
        <w:pStyle w:val="TextBody"/>
        <w:bidi w:val="0"/>
        <w:spacing w:lineRule="auto" w:line="288" w:before="60" w:after="60"/>
        <w:ind w:left="0" w:right="0" w:hanging="360"/>
        <w:jc w:val="both"/>
        <w:rPr/>
      </w:pPr>
      <w:r>
        <w:rPr>
          <w:color w:val="000000"/>
        </w:rPr>
        <w:t>•</w:t>
      </w:r>
      <w:r>
        <w:rPr>
          <w:rFonts w:ascii="Times New Roman;sans-serif" w:hAnsi="Times New Roman;sans-serif"/>
          <w:b w:val="false"/>
          <w:color w:val="000000"/>
          <w:sz w:val="20"/>
        </w:rPr>
        <w:t>our ability to hire and retain enough sufficiently trained employees to support our operations or any changes in the senior management team;</w:t>
      </w:r>
    </w:p>
    <w:p>
      <w:pPr>
        <w:pStyle w:val="TextBody"/>
        <w:bidi w:val="0"/>
        <w:spacing w:lineRule="auto" w:line="288" w:before="60" w:after="60"/>
        <w:ind w:left="0" w:right="0" w:hanging="360"/>
        <w:jc w:val="both"/>
        <w:rPr/>
      </w:pPr>
      <w:r>
        <w:rPr>
          <w:color w:val="000000"/>
        </w:rPr>
        <w:t>•</w:t>
      </w:r>
      <w:r>
        <w:rPr>
          <w:rFonts w:ascii="Times New Roman;sans-serif" w:hAnsi="Times New Roman;sans-serif"/>
          <w:b w:val="false"/>
          <w:color w:val="000000"/>
          <w:sz w:val="20"/>
        </w:rPr>
        <w:t>our ability to accurately estimate and/or manage costs;</w:t>
      </w:r>
    </w:p>
    <w:p>
      <w:pPr>
        <w:pStyle w:val="TextBody"/>
        <w:bidi w:val="0"/>
        <w:spacing w:lineRule="auto" w:line="288" w:before="60" w:after="60"/>
        <w:ind w:left="0" w:right="0" w:hanging="360"/>
        <w:jc w:val="both"/>
        <w:rPr/>
      </w:pPr>
      <w:r>
        <w:rPr>
          <w:color w:val="000000"/>
        </w:rPr>
        <w:t>•</w:t>
      </w:r>
      <w:r>
        <w:rPr>
          <w:rFonts w:ascii="Times New Roman;sans-serif" w:hAnsi="Times New Roman;sans-serif"/>
          <w:b w:val="false"/>
          <w:color w:val="000000"/>
          <w:sz w:val="20"/>
        </w:rPr>
        <w:t>our ability to adjust our pricing terms or effectively manage our asset utilization levels to meet the changing demands of our clients and potential clients;</w:t>
      </w:r>
    </w:p>
    <w:p>
      <w:pPr>
        <w:pStyle w:val="TextBody"/>
        <w:bidi w:val="0"/>
        <w:spacing w:lineRule="auto" w:line="288" w:before="60" w:after="60"/>
        <w:ind w:left="0" w:right="0" w:hanging="360"/>
        <w:jc w:val="both"/>
        <w:rPr/>
      </w:pPr>
      <w:r>
        <w:rPr>
          <w:color w:val="000000"/>
        </w:rPr>
        <w:t>•</w:t>
      </w:r>
      <w:r>
        <w:rPr>
          <w:rFonts w:ascii="Times New Roman;sans-serif" w:hAnsi="Times New Roman;sans-serif"/>
          <w:b w:val="false"/>
          <w:color w:val="000000"/>
          <w:sz w:val="20"/>
        </w:rPr>
        <w:t>cyber security incidents, data breaches, or other unauthorized disclosure of sensitive or confidential client and employee data;</w:t>
      </w:r>
    </w:p>
    <w:p>
      <w:pPr>
        <w:pStyle w:val="TextBody"/>
        <w:bidi w:val="0"/>
        <w:spacing w:lineRule="auto" w:line="288" w:before="60" w:after="60"/>
        <w:ind w:left="0" w:right="0" w:hanging="360"/>
        <w:jc w:val="both"/>
        <w:rPr/>
      </w:pPr>
      <w:r>
        <w:rPr>
          <w:color w:val="000000"/>
        </w:rPr>
        <w:t>•</w:t>
      </w:r>
      <w:r>
        <w:rPr>
          <w:rFonts w:ascii="Times New Roman;sans-serif" w:hAnsi="Times New Roman;sans-serif"/>
          <w:b w:val="false"/>
          <w:color w:val="000000"/>
          <w:sz w:val="20"/>
        </w:rPr>
        <w:t>reliance on third parties to deliver services and infrastructure for client critical services;</w:t>
      </w:r>
    </w:p>
    <w:p>
      <w:pPr>
        <w:pStyle w:val="TextBody"/>
        <w:bidi w:val="0"/>
        <w:spacing w:lineRule="auto" w:line="288" w:before="60" w:after="60"/>
        <w:ind w:left="0" w:right="0" w:hanging="360"/>
        <w:jc w:val="both"/>
        <w:rPr/>
      </w:pPr>
      <w:r>
        <w:rPr>
          <w:color w:val="000000"/>
        </w:rPr>
        <w:t>•</w:t>
      </w:r>
      <w:r>
        <w:rPr>
          <w:rFonts w:ascii="Times New Roman;sans-serif" w:hAnsi="Times New Roman;sans-serif"/>
          <w:b w:val="false"/>
          <w:color w:val="000000"/>
          <w:sz w:val="20"/>
        </w:rPr>
        <w:t>employee wage increases;</w:t>
      </w:r>
    </w:p>
    <w:p>
      <w:pPr>
        <w:pStyle w:val="TextBody"/>
        <w:bidi w:val="0"/>
        <w:spacing w:lineRule="auto" w:line="288" w:before="60" w:after="60"/>
        <w:ind w:left="0" w:right="0" w:hanging="360"/>
        <w:jc w:val="both"/>
        <w:rPr/>
      </w:pPr>
      <w:r>
        <w:rPr>
          <w:color w:val="000000"/>
        </w:rPr>
        <w:t>•</w:t>
      </w:r>
      <w:r>
        <w:rPr>
          <w:rFonts w:ascii="Times New Roman;sans-serif" w:hAnsi="Times New Roman;sans-serif"/>
          <w:b w:val="false"/>
          <w:color w:val="000000"/>
          <w:sz w:val="20"/>
        </w:rPr>
        <w:t>failure to protect our intellectual property;</w:t>
      </w:r>
    </w:p>
    <w:p>
      <w:pPr>
        <w:pStyle w:val="TextBody"/>
        <w:bidi w:val="0"/>
        <w:spacing w:lineRule="auto" w:line="288" w:before="60" w:after="60"/>
        <w:ind w:left="0" w:right="0" w:hanging="360"/>
        <w:jc w:val="both"/>
        <w:rPr/>
      </w:pPr>
      <w:r>
        <w:rPr>
          <w:color w:val="000000"/>
        </w:rPr>
        <w:t>•</w:t>
      </w:r>
      <w:r>
        <w:rPr>
          <w:rFonts w:ascii="Times New Roman;sans-serif" w:hAnsi="Times New Roman;sans-serif"/>
          <w:b w:val="false"/>
          <w:color w:val="000000"/>
          <w:sz w:val="20"/>
        </w:rPr>
        <w:t>our dependence on a limited number of clients in a limited number of industries and our ability to withstand the loss of a significant client;</w:t>
      </w:r>
    </w:p>
    <w:p>
      <w:pPr>
        <w:pStyle w:val="TextBody"/>
        <w:bidi w:val="0"/>
        <w:spacing w:lineRule="auto" w:line="288" w:before="60" w:after="60"/>
        <w:ind w:left="0" w:right="0" w:hanging="360"/>
        <w:jc w:val="both"/>
        <w:rPr/>
      </w:pPr>
      <w:r>
        <w:rPr>
          <w:color w:val="000000"/>
        </w:rPr>
        <w:t>•</w:t>
      </w:r>
      <w:r>
        <w:rPr>
          <w:rFonts w:ascii="Times New Roman;sans-serif" w:hAnsi="Times New Roman;sans-serif"/>
          <w:b w:val="false"/>
          <w:color w:val="000000"/>
          <w:sz w:val="20"/>
        </w:rPr>
        <w:t>our ability to grow our business or effectively manage growth and international operations;</w:t>
      </w:r>
    </w:p>
    <w:p>
      <w:pPr>
        <w:pStyle w:val="TextBody"/>
        <w:bidi w:val="0"/>
        <w:spacing w:lineRule="auto" w:line="288" w:before="60" w:after="60"/>
        <w:ind w:left="0" w:right="0" w:hanging="360"/>
        <w:jc w:val="both"/>
        <w:rPr/>
      </w:pPr>
      <w:r>
        <w:rPr>
          <w:color w:val="000000"/>
        </w:rPr>
        <w:t>•</w:t>
      </w:r>
      <w:r>
        <w:rPr>
          <w:rFonts w:ascii="Times New Roman;sans-serif" w:hAnsi="Times New Roman;sans-serif"/>
          <w:b w:val="false"/>
          <w:color w:val="000000"/>
          <w:sz w:val="20"/>
        </w:rPr>
        <w:t>our ability to successfully consummate or integrate strategic acquisitions including the impact from the impairment of goodwill and other intangible assets, if any;</w:t>
      </w:r>
    </w:p>
    <w:p>
      <w:pPr>
        <w:pStyle w:val="TextBody"/>
        <w:bidi w:val="0"/>
        <w:spacing w:lineRule="auto" w:line="288" w:before="60" w:after="60"/>
        <w:ind w:left="0" w:right="0" w:hanging="360"/>
        <w:jc w:val="both"/>
        <w:rPr/>
      </w:pPr>
      <w:r>
        <w:rPr>
          <w:color w:val="000000"/>
        </w:rPr>
        <w:t>•</w:t>
      </w:r>
      <w:r>
        <w:rPr>
          <w:rFonts w:ascii="Times New Roman;sans-serif" w:hAnsi="Times New Roman;sans-serif"/>
          <w:b w:val="false"/>
          <w:color w:val="000000"/>
          <w:sz w:val="20"/>
        </w:rPr>
        <w:t>our ability to adhere to regulations or accreditation or licensing standards that govern our business;</w:t>
      </w:r>
    </w:p>
    <w:p>
      <w:pPr>
        <w:pStyle w:val="TextBody"/>
        <w:bidi w:val="0"/>
        <w:spacing w:lineRule="auto" w:line="288" w:before="60" w:after="60"/>
        <w:ind w:left="0" w:right="0" w:hanging="360"/>
        <w:jc w:val="both"/>
        <w:rPr/>
      </w:pPr>
      <w:r>
        <w:rPr>
          <w:color w:val="000000"/>
        </w:rPr>
        <w:t>•</w:t>
      </w:r>
      <w:r>
        <w:rPr>
          <w:rFonts w:ascii="Times New Roman;sans-serif" w:hAnsi="Times New Roman;sans-serif"/>
          <w:b w:val="false"/>
          <w:color w:val="000000"/>
          <w:sz w:val="20"/>
        </w:rPr>
        <w:t>increasing competition in our industry;</w:t>
      </w:r>
    </w:p>
    <w:p>
      <w:pPr>
        <w:pStyle w:val="TextBody"/>
        <w:bidi w:val="0"/>
        <w:spacing w:lineRule="auto" w:line="288" w:before="60" w:after="60"/>
        <w:ind w:left="0" w:right="0" w:hanging="360"/>
        <w:jc w:val="both"/>
        <w:rPr/>
      </w:pPr>
      <w:r>
        <w:rPr>
          <w:color w:val="000000"/>
        </w:rPr>
        <w:t>•</w:t>
      </w:r>
      <w:r>
        <w:rPr>
          <w:rFonts w:ascii="Times New Roman;sans-serif" w:hAnsi="Times New Roman;sans-serif"/>
          <w:b w:val="false"/>
          <w:color w:val="000000"/>
          <w:sz w:val="20"/>
        </w:rPr>
        <w:t>telecommunications or technology disruptions or breaches, natural or other disasters, medical epidemics or pandemics, such as COVID-19, or acts of violence or war;</w:t>
      </w:r>
    </w:p>
    <w:p>
      <w:pPr>
        <w:pStyle w:val="TextBody"/>
        <w:bidi w:val="0"/>
        <w:spacing w:lineRule="auto" w:line="288" w:before="60" w:after="60"/>
        <w:ind w:left="0" w:right="0" w:hanging="360"/>
        <w:jc w:val="both"/>
        <w:rPr/>
      </w:pPr>
      <w:r>
        <w:rPr>
          <w:color w:val="000000"/>
        </w:rPr>
        <w:t>•</w:t>
      </w:r>
      <w:r>
        <w:rPr>
          <w:rFonts w:ascii="Times New Roman;sans-serif" w:hAnsi="Times New Roman;sans-serif"/>
          <w:b w:val="false"/>
          <w:color w:val="000000"/>
          <w:sz w:val="20"/>
        </w:rPr>
        <w:t>operational and information security failures arising as a result of remote work solutions adopted due to COVID-19;</w:t>
      </w:r>
    </w:p>
    <w:p>
      <w:pPr>
        <w:pStyle w:val="TextBody"/>
        <w:bidi w:val="0"/>
        <w:spacing w:lineRule="auto" w:line="288" w:before="60" w:after="60"/>
        <w:ind w:left="0" w:right="0" w:hanging="360"/>
        <w:jc w:val="both"/>
        <w:rPr/>
      </w:pPr>
      <w:r>
        <w:rPr>
          <w:color w:val="000000"/>
        </w:rPr>
        <w:t>•</w:t>
      </w:r>
      <w:r>
        <w:rPr>
          <w:rFonts w:ascii="Times New Roman;sans-serif" w:hAnsi="Times New Roman;sans-serif"/>
          <w:b w:val="false"/>
          <w:color w:val="000000"/>
          <w:sz w:val="20"/>
        </w:rPr>
        <w:t>legal liability arising out of customer and third party contracts;</w:t>
      </w:r>
    </w:p>
    <w:p>
      <w:pPr>
        <w:pStyle w:val="TextBody"/>
        <w:bidi w:val="0"/>
        <w:spacing w:lineRule="auto" w:line="288" w:before="60" w:after="60"/>
        <w:ind w:left="0" w:right="0" w:hanging="360"/>
        <w:jc w:val="both"/>
        <w:rPr/>
      </w:pPr>
      <w:r>
        <w:rPr>
          <w:color w:val="000000"/>
        </w:rPr>
        <w:t>•</w:t>
      </w:r>
      <w:r>
        <w:rPr>
          <w:rFonts w:ascii="Times New Roman;sans-serif" w:hAnsi="Times New Roman;sans-serif"/>
          <w:b w:val="false"/>
          <w:color w:val="000000"/>
          <w:sz w:val="20"/>
        </w:rPr>
        <w:t>adverse outcome of our disputes with the tax authorities in the geographies where we operate;</w:t>
      </w:r>
    </w:p>
    <w:p>
      <w:pPr>
        <w:pStyle w:val="TextBody"/>
        <w:bidi w:val="0"/>
        <w:spacing w:lineRule="auto" w:line="288" w:before="60" w:after="60"/>
        <w:ind w:left="0" w:right="0" w:hanging="360"/>
        <w:jc w:val="both"/>
        <w:rPr/>
      </w:pPr>
      <w:r>
        <w:rPr>
          <w:color w:val="000000"/>
        </w:rPr>
        <w:t>•</w:t>
      </w:r>
      <w:r>
        <w:rPr>
          <w:rFonts w:ascii="Times New Roman;sans-serif" w:hAnsi="Times New Roman;sans-serif"/>
          <w:b w:val="false"/>
          <w:color w:val="000000"/>
          <w:sz w:val="20"/>
        </w:rPr>
        <w:t>the introduction of new or unfavorable tax legislation;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972c7b333c94ee3bad0bd2154cbac49_7">
        <w:r>
          <w:rPr>
            <w:rStyle w:val="InternetLink"/>
            <w:rFonts w:ascii="Times New Roman;sans-serif" w:hAnsi="Times New Roman;sans-serif"/>
            <w:b/>
            <w:color w:val="0000FF"/>
            <w:sz w:val="20"/>
            <w:u w:val="single"/>
          </w:rPr>
          <w:t>Table of Contents</w:t>
        </w:r>
      </w:hyperlink>
    </w:p>
    <w:p>
      <w:pPr>
        <w:pStyle w:val="TextBody"/>
        <w:bidi w:val="0"/>
        <w:spacing w:lineRule="auto" w:line="288" w:before="60" w:after="60"/>
        <w:ind w:left="0" w:right="0" w:hanging="360"/>
        <w:jc w:val="both"/>
        <w:rPr/>
      </w:pPr>
      <w:r>
        <w:rPr>
          <w:color w:val="000000"/>
        </w:rPr>
        <w:t>•</w:t>
      </w:r>
      <w:r>
        <w:rPr>
          <w:rFonts w:ascii="Times New Roman;sans-serif" w:hAnsi="Times New Roman;sans-serif"/>
          <w:b w:val="false"/>
          <w:color w:val="000000"/>
          <w:sz w:val="20"/>
        </w:rPr>
        <w:t>changes in tax laws or decisions regarding repatriation of funds held abroad;</w:t>
      </w:r>
    </w:p>
    <w:p>
      <w:pPr>
        <w:pStyle w:val="TextBody"/>
        <w:bidi w:val="0"/>
        <w:spacing w:lineRule="auto" w:line="288" w:before="60" w:after="60"/>
        <w:ind w:left="0" w:right="0" w:hanging="360"/>
        <w:jc w:val="both"/>
        <w:rPr/>
      </w:pPr>
      <w:r>
        <w:rPr>
          <w:color w:val="000000"/>
        </w:rPr>
        <w:t>•</w:t>
      </w:r>
      <w:r>
        <w:rPr>
          <w:rFonts w:ascii="Times New Roman;sans-serif" w:hAnsi="Times New Roman;sans-serif"/>
          <w:b w:val="false"/>
          <w:color w:val="000000"/>
          <w:sz w:val="20"/>
        </w:rPr>
        <w:t>exposure to currency exchange rate fluctuations in the various currencies in which we do business including the potential effects of Russian-Ukraine conflict, rising inflation, high interest rates and economic recessionary trends on currency exchange rates;</w:t>
      </w:r>
    </w:p>
    <w:p>
      <w:pPr>
        <w:pStyle w:val="TextBody"/>
        <w:bidi w:val="0"/>
        <w:spacing w:lineRule="auto" w:line="288" w:before="60" w:after="60"/>
        <w:ind w:left="0" w:right="0" w:hanging="360"/>
        <w:jc w:val="both"/>
        <w:rPr/>
      </w:pPr>
      <w:r>
        <w:rPr>
          <w:color w:val="000000"/>
        </w:rPr>
        <w:t>•</w:t>
      </w:r>
      <w:r>
        <w:rPr>
          <w:rFonts w:ascii="Times New Roman;sans-serif" w:hAnsi="Times New Roman;sans-serif"/>
          <w:b w:val="false"/>
          <w:color w:val="000000"/>
          <w:sz w:val="20"/>
        </w:rPr>
        <w:t>restrictions on immigration;</w:t>
      </w:r>
    </w:p>
    <w:p>
      <w:pPr>
        <w:pStyle w:val="TextBody"/>
        <w:bidi w:val="0"/>
        <w:spacing w:lineRule="auto" w:line="288" w:before="60" w:after="60"/>
        <w:ind w:left="0" w:right="0" w:hanging="360"/>
        <w:jc w:val="both"/>
        <w:rPr/>
      </w:pPr>
      <w:r>
        <w:rPr>
          <w:color w:val="000000"/>
        </w:rPr>
        <w:t>•</w:t>
      </w:r>
      <w:r>
        <w:rPr>
          <w:rFonts w:ascii="Times New Roman;sans-serif" w:hAnsi="Times New Roman;sans-serif"/>
          <w:b w:val="false"/>
          <w:color w:val="000000"/>
          <w:sz w:val="20"/>
        </w:rPr>
        <w:t>ability to service debt or obtain additional financing on favorable terms. Inception of interest rate swaps to hedge interest rate risk;</w:t>
      </w:r>
    </w:p>
    <w:p>
      <w:pPr>
        <w:pStyle w:val="TextBody"/>
        <w:bidi w:val="0"/>
        <w:spacing w:lineRule="auto" w:line="288" w:before="60" w:after="60"/>
        <w:ind w:left="0" w:right="0" w:hanging="360"/>
        <w:jc w:val="both"/>
        <w:rPr/>
      </w:pPr>
      <w:r>
        <w:rPr>
          <w:color w:val="000000"/>
        </w:rPr>
        <w:t>•</w:t>
      </w:r>
      <w:r>
        <w:rPr>
          <w:rFonts w:ascii="Times New Roman;sans-serif" w:hAnsi="Times New Roman;sans-serif"/>
          <w:b w:val="false"/>
          <w:color w:val="000000"/>
          <w:sz w:val="20"/>
        </w:rPr>
        <w:t>negative public reaction in the U.S. or elsewhere to offshore outsourcing;</w:t>
      </w:r>
    </w:p>
    <w:p>
      <w:pPr>
        <w:pStyle w:val="TextBody"/>
        <w:bidi w:val="0"/>
        <w:spacing w:lineRule="auto" w:line="288" w:before="60" w:after="60"/>
        <w:ind w:left="0" w:right="0" w:hanging="360"/>
        <w:jc w:val="both"/>
        <w:rPr/>
      </w:pPr>
      <w:r>
        <w:rPr>
          <w:color w:val="000000"/>
        </w:rPr>
        <w:t>•</w:t>
      </w:r>
      <w:r>
        <w:rPr>
          <w:rFonts w:ascii="Times New Roman;sans-serif" w:hAnsi="Times New Roman;sans-serif"/>
          <w:b w:val="false"/>
          <w:color w:val="000000"/>
          <w:sz w:val="20"/>
        </w:rPr>
        <w:t>effects of political and economic conditions globally, particularly in the geographies where we operate;</w:t>
      </w:r>
    </w:p>
    <w:p>
      <w:pPr>
        <w:pStyle w:val="TextBody"/>
        <w:bidi w:val="0"/>
        <w:spacing w:lineRule="auto" w:line="288" w:before="60" w:after="60"/>
        <w:ind w:left="0" w:right="0" w:hanging="360"/>
        <w:jc w:val="both"/>
        <w:rPr/>
      </w:pPr>
      <w:r>
        <w:rPr>
          <w:color w:val="000000"/>
        </w:rPr>
        <w:t>•</w:t>
      </w:r>
      <w:r>
        <w:rPr>
          <w:rFonts w:ascii="Times New Roman;sans-serif" w:hAnsi="Times New Roman;sans-serif"/>
          <w:b w:val="false"/>
          <w:color w:val="000000"/>
          <w:sz w:val="20"/>
        </w:rPr>
        <w:t>ability to make accurate estimates and assumptions in connection with the preparation of our consolidated financial statements;</w:t>
      </w:r>
    </w:p>
    <w:p>
      <w:pPr>
        <w:pStyle w:val="TextBody"/>
        <w:bidi w:val="0"/>
        <w:spacing w:lineRule="auto" w:line="288" w:before="60" w:after="60"/>
        <w:ind w:left="0" w:right="0" w:hanging="360"/>
        <w:jc w:val="both"/>
        <w:rPr/>
      </w:pPr>
      <w:r>
        <w:rPr>
          <w:color w:val="000000"/>
        </w:rPr>
        <w:t>•</w:t>
      </w:r>
      <w:r>
        <w:rPr>
          <w:rFonts w:ascii="Times New Roman;sans-serif" w:hAnsi="Times New Roman;sans-serif"/>
          <w:b w:val="false"/>
          <w:color w:val="000000"/>
          <w:sz w:val="20"/>
        </w:rPr>
        <w:t>regulatory, legislative and judicial developments, including changes to or the withdrawal of governmental fiscal incentives;</w:t>
      </w:r>
    </w:p>
    <w:p>
      <w:pPr>
        <w:pStyle w:val="TextBody"/>
        <w:bidi w:val="0"/>
        <w:spacing w:lineRule="auto" w:line="288" w:before="60" w:after="60"/>
        <w:ind w:left="0" w:right="0" w:hanging="360"/>
        <w:jc w:val="both"/>
        <w:rPr/>
      </w:pPr>
      <w:r>
        <w:rPr>
          <w:color w:val="000000"/>
        </w:rPr>
        <w:t>•</w:t>
      </w:r>
      <w:r>
        <w:rPr>
          <w:rFonts w:ascii="Times New Roman;sans-serif" w:hAnsi="Times New Roman;sans-serif"/>
          <w:b w:val="false"/>
          <w:color w:val="000000"/>
          <w:sz w:val="20"/>
        </w:rPr>
        <w:t>credit risk fluctuations in the market values of our investment and derivatives portfolios; and</w:t>
      </w:r>
    </w:p>
    <w:p>
      <w:pPr>
        <w:pStyle w:val="TextBody"/>
        <w:bidi w:val="0"/>
        <w:spacing w:lineRule="auto" w:line="288" w:before="60" w:after="60"/>
        <w:ind w:left="0" w:right="0" w:hanging="360"/>
        <w:jc w:val="both"/>
        <w:rPr/>
      </w:pPr>
      <w:r>
        <w:rPr>
          <w:color w:val="000000"/>
        </w:rPr>
        <w:t>•</w:t>
      </w:r>
      <w:r>
        <w:rPr>
          <w:rFonts w:ascii="Times New Roman;sans-serif" w:hAnsi="Times New Roman;sans-serif"/>
          <w:b w:val="false"/>
          <w:color w:val="000000"/>
          <w:sz w:val="20"/>
        </w:rPr>
        <w:t>our ability to meet our environmental, social and governance-related goals and targets.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These and other factors are more fully discussed in our Annual Report on Form 10-K for the fiscal year ended December 31, 2022. These and other risks could cause actual results to differ materially from those implied by forward-looking statements in this Quarterly Report on Form 10-Q.</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forward-looking statements made by us in this Quarterly Report on Form 10-Q, or elsewhere, speak only as of the date on which they were made. New risks and uncertainties may occur from time to time, and it is impossible for us to predict those events or how they may affect us. We have no obligation to update any forward-looking statements in this Quarterly Report on Form 10-Q after the date of this Quarterly Report on Form 10-Q, except as required by federal securities laws.</w:t>
      </w: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Executive Overview</w:t>
      </w:r>
    </w:p>
    <w:p>
      <w:pPr>
        <w:pStyle w:val="TextBody"/>
        <w:bidi w:val="0"/>
        <w:spacing w:before="0" w:after="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a leading data analytics and digital operations and solutions company that partners with clients to improve business outcomes and unlock growth. By bringing together deep domain expertise with robust data, powerful analytics, cloud, AI and ML, we create agile, scalable solutions and execute complex operations for the world’s leading corporations in industries including insurance, healthcare, banking and financial services, media, and retail, among others.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deliver data analytics and digital operations and solutions to our clients, driving enterprise-scale business transformation initiatives that leverage our deep expertise in advanced analytics, AI, ML and cloud. We manage and report financial information through our four strategic business units: Insurance, Healthcare, Analytics and Emerging Business, which reflects how management reviews financial information and makes operating decisions.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reportable segments are as follows:</w:t>
      </w:r>
    </w:p>
    <w:p>
      <w:pPr>
        <w:pStyle w:val="TextBody"/>
        <w:bidi w:val="0"/>
        <w:spacing w:before="0" w:after="0"/>
        <w:ind w:left="0" w:right="0" w:firstLine="450"/>
        <w:jc w:val="both"/>
        <w:rPr/>
      </w:pPr>
      <w:r>
        <w:rPr/>
      </w:r>
    </w:p>
    <w:p>
      <w:pPr>
        <w:pStyle w:val="TextBody"/>
        <w:bidi w:val="0"/>
        <w:spacing w:lineRule="auto" w:line="288" w:before="0" w:after="0"/>
        <w:ind w:left="0" w:right="0" w:hanging="180"/>
        <w:jc w:val="both"/>
        <w:rPr/>
      </w:pPr>
      <w:r>
        <w:rPr>
          <w:color w:val="000000"/>
        </w:rPr>
        <w:t>•</w:t>
      </w:r>
      <w:r>
        <w:rPr>
          <w:rFonts w:ascii="Times New Roman;sans-serif" w:hAnsi="Times New Roman;sans-serif"/>
          <w:b w:val="false"/>
          <w:color w:val="000000"/>
          <w:sz w:val="20"/>
        </w:rPr>
        <w:t>Insurance,</w:t>
      </w:r>
    </w:p>
    <w:p>
      <w:pPr>
        <w:pStyle w:val="TextBody"/>
        <w:bidi w:val="0"/>
        <w:spacing w:before="0" w:after="0"/>
        <w:ind w:left="0" w:right="0" w:firstLine="180"/>
        <w:jc w:val="both"/>
        <w:rPr/>
      </w:pPr>
      <w:r>
        <w:rPr/>
      </w:r>
    </w:p>
    <w:p>
      <w:pPr>
        <w:pStyle w:val="TextBody"/>
        <w:bidi w:val="0"/>
        <w:spacing w:lineRule="auto" w:line="288" w:before="0" w:after="0"/>
        <w:ind w:left="0" w:right="0" w:hanging="180"/>
        <w:jc w:val="both"/>
        <w:rPr/>
      </w:pPr>
      <w:r>
        <w:rPr>
          <w:color w:val="000000"/>
        </w:rPr>
        <w:t>•</w:t>
      </w:r>
      <w:r>
        <w:rPr>
          <w:rFonts w:ascii="Times New Roman;sans-serif" w:hAnsi="Times New Roman;sans-serif"/>
          <w:b w:val="false"/>
          <w:color w:val="000000"/>
          <w:sz w:val="20"/>
        </w:rPr>
        <w:t>Healthcare,</w:t>
      </w:r>
    </w:p>
    <w:p>
      <w:pPr>
        <w:pStyle w:val="TextBody"/>
        <w:bidi w:val="0"/>
        <w:spacing w:before="0" w:after="0"/>
        <w:ind w:left="0" w:right="0" w:firstLine="180"/>
        <w:jc w:val="both"/>
        <w:rPr/>
      </w:pPr>
      <w:r>
        <w:rPr/>
      </w:r>
    </w:p>
    <w:p>
      <w:pPr>
        <w:pStyle w:val="TextBody"/>
        <w:bidi w:val="0"/>
        <w:spacing w:lineRule="auto" w:line="288" w:before="0" w:after="0"/>
        <w:ind w:left="0" w:right="0" w:hanging="180"/>
        <w:jc w:val="both"/>
        <w:rPr/>
      </w:pPr>
      <w:r>
        <w:rPr>
          <w:color w:val="000000"/>
        </w:rPr>
        <w:t>•</w:t>
      </w:r>
      <w:r>
        <w:rPr>
          <w:rFonts w:ascii="Times New Roman;sans-serif" w:hAnsi="Times New Roman;sans-serif"/>
          <w:b w:val="false"/>
          <w:color w:val="000000"/>
          <w:sz w:val="20"/>
        </w:rPr>
        <w:t>Analytics, and</w:t>
      </w:r>
    </w:p>
    <w:p>
      <w:pPr>
        <w:pStyle w:val="TextBody"/>
        <w:bidi w:val="0"/>
        <w:spacing w:before="0" w:after="0"/>
        <w:ind w:left="0" w:right="0" w:firstLine="180"/>
        <w:jc w:val="both"/>
        <w:rPr/>
      </w:pPr>
      <w:r>
        <w:rPr/>
      </w:r>
    </w:p>
    <w:p>
      <w:pPr>
        <w:pStyle w:val="TextBody"/>
        <w:bidi w:val="0"/>
        <w:spacing w:lineRule="auto" w:line="288" w:before="0" w:after="0"/>
        <w:ind w:left="0" w:right="0" w:hanging="180"/>
        <w:jc w:val="both"/>
        <w:rPr/>
      </w:pPr>
      <w:r>
        <w:rPr>
          <w:color w:val="000000"/>
        </w:rPr>
        <w:t>•</w:t>
      </w:r>
      <w:r>
        <w:rPr>
          <w:rFonts w:ascii="Times New Roman;sans-serif" w:hAnsi="Times New Roman;sans-serif"/>
          <w:b w:val="false"/>
          <w:color w:val="000000"/>
          <w:sz w:val="20"/>
        </w:rPr>
        <w:t>Emerging Business</w:t>
      </w:r>
    </w:p>
    <w:p>
      <w:pPr>
        <w:pStyle w:val="TextBody"/>
        <w:bidi w:val="0"/>
        <w:spacing w:before="0" w:after="0"/>
        <w:jc w:val="left"/>
        <w:rPr/>
      </w:pPr>
      <w:r>
        <w:rPr/>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global delivery network, which includes highly trained industry and process specialists across the United States, Latin America, South Africa, Europe and Asia (primarily India and the Philippines), is a key asset. We have operations centers in India, the United States, the United Kingdom, the Republic of Ireland, the Philippines, Bulgaria, Colombia, South Africa, Romania and the Czech Republic.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972c7b333c94ee3bad0bd2154cbac49_7">
        <w:r>
          <w:rPr>
            <w:rStyle w:val="InternetLink"/>
            <w:rFonts w:ascii="Times New Roman;sans-serif" w:hAnsi="Times New Roman;sans-serif"/>
            <w:b/>
            <w:color w:val="0000FF"/>
            <w:sz w:val="20"/>
            <w:u w:val="single"/>
          </w:rPr>
          <w:t>Table of Contents</w:t>
        </w:r>
      </w:hyperlink>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Revenues</w:t>
      </w:r>
    </w:p>
    <w:p>
      <w:pPr>
        <w:pStyle w:val="TextBody"/>
        <w:bidi w:val="0"/>
        <w:spacing w:before="0" w:after="0"/>
        <w:ind w:left="0" w:right="0" w:firstLine="450"/>
        <w:jc w:val="both"/>
        <w:rPr/>
      </w:pPr>
      <w:r>
        <w:rPr/>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30, 2023, we generated revenues of $405.0 million compared to revenues of $346.8 million for the three months ended June 30, 2022, an increase of $58.2 million, or 16.8%. For the six months ended June 30, 2023, we generated revenues of $805.6 million compared to revenues of $676.0 million for the six months ended June 30, 2022, an increase of $129.6 million, or 19.2%.</w:t>
      </w:r>
    </w:p>
    <w:p>
      <w:pPr>
        <w:pStyle w:val="TextBody"/>
        <w:bidi w:val="0"/>
        <w:spacing w:before="0" w:after="0"/>
        <w:jc w:val="left"/>
        <w:rPr/>
      </w:pPr>
      <w:r>
        <w:rPr/>
      </w:r>
    </w:p>
    <w:p>
      <w:pPr>
        <w:pStyle w:val="TextBody"/>
        <w:bidi w:val="0"/>
        <w:spacing w:lineRule="auto" w:line="276" w:before="0" w:after="0"/>
        <w:ind w:left="0" w:right="0" w:firstLine="450"/>
        <w:jc w:val="both"/>
        <w:rPr/>
      </w:pPr>
      <w:r>
        <w:rPr>
          <w:rFonts w:ascii="Times New Roman;sans-serif" w:hAnsi="Times New Roman;sans-serif"/>
          <w:b w:val="false"/>
          <w:color w:val="000000"/>
          <w:sz w:val="20"/>
        </w:rPr>
        <w:t>We serve cli</w:t>
      </w:r>
      <w:r>
        <w:rPr>
          <w:rFonts w:ascii="Times New Roman;sans-serif" w:hAnsi="Times New Roman;sans-serif"/>
          <w:b w:val="false"/>
          <w:color w:val="000000"/>
          <w:sz w:val="20"/>
          <w:shd w:fill="FFFFFF" w:val="clear"/>
        </w:rPr>
        <w:t>ents mainly in the United States and the United Kingdom, with these two regions generating 84.1% and 10.8%, respectively, of our total revenues for the three months ended June 30, 2023, and 86.1% and 9.3%, respectively, of our total revenues for the three months ended June 30, 2022. For the six months ended June 30, 2023, these two regions generated 84.4% and 10.6%, respectively, of our total revenues and 85.9% and 9.6%, respectively, of our total revenues for the six months ended June 30, 2022.</w:t>
      </w:r>
    </w:p>
    <w:p>
      <w:pPr>
        <w:pStyle w:val="TextBody"/>
        <w:bidi w:val="0"/>
        <w:spacing w:before="0" w:after="0"/>
        <w:ind w:left="0" w:right="0" w:firstLine="450"/>
        <w:jc w:val="both"/>
        <w:rPr/>
      </w:pPr>
      <w:r>
        <w:rPr/>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30, 2023 and 2022, our total revenues from our top ten clients accounted for 33.8% and 36.2% of our total revenues, respectively. For the six months ended June 30, 2023 and 2022, our total revenues from our top ten clients accounted for 34.3% and 36.2% of our total revenues, respectively. Although we continue to develop relationships with new clients to diversify our client base, we believe that the loss of any of our top ten clients could have a material adverse effect on our financial performance.</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Our Business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provide data analytics and digital operations and solutions to our clients. We market our services to our existing and prospective clients through our sales and client management teams, which are aligned by key industry verticals and cross-industry domains such as finance and accounting. Our sales and client management teams operate primarily from the United States, Europe and Australia.</w:t>
      </w:r>
    </w:p>
    <w:p>
      <w:pPr>
        <w:pStyle w:val="TextBody"/>
        <w:bidi w:val="0"/>
        <w:spacing w:before="0" w:after="0"/>
        <w:jc w:val="both"/>
        <w:rPr/>
      </w:pPr>
      <w:r>
        <w:rPr/>
      </w:r>
    </w:p>
    <w:p>
      <w:pPr>
        <w:pStyle w:val="TextBody"/>
        <w:bidi w:val="0"/>
        <w:spacing w:lineRule="auto" w:line="288" w:before="0" w:after="0"/>
        <w:ind w:left="0" w:right="0" w:firstLine="450"/>
        <w:jc w:val="both"/>
        <w:rPr/>
      </w:pPr>
      <w:r>
        <w:rPr>
          <w:rFonts w:ascii="Times New Roman;sans-serif" w:hAnsi="Times New Roman;sans-serif"/>
          <w:b w:val="false"/>
          <w:i/>
          <w:color w:val="000000"/>
          <w:sz w:val="20"/>
        </w:rPr>
        <w:t>Digital Operations and Solutions:</w:t>
      </w:r>
      <w:r>
        <w:rPr>
          <w:color w:val="000000"/>
        </w:rPr>
        <w:t xml:space="preserve"> </w:t>
      </w:r>
      <w:r>
        <w:rPr>
          <w:rFonts w:ascii="Times New Roman;sans-serif" w:hAnsi="Times New Roman;sans-serif"/>
          <w:b w:val="false"/>
          <w:color w:val="000000"/>
          <w:sz w:val="20"/>
        </w:rPr>
        <w:t>We provide our clients with a range of digital operations and solutions from our Insurance, Healthcare and Emerging Business strategic business units, which are focused on solving complex industry challenges such as the insurance claims life cycle, financial transactions processing and provider and member experiences. This typically involves the use of agile delivery models to implement digital technologies and interventions like hyper-automation, customer experience transformation, advanced automation, robotics, enterprise architecture, end-to-end business function management and transformations. We either administer and manage these functions on an ongoing basis via longer-term arrangements or project work. For a portion of our digital operations and solutions, we hire and train employees to work at our operations centers on the relevant business operations, implement a process migration to these operations centers and then provide services either to the client or directly to the client’s customers. Each client contract has different terms based on the scope, deliverables and complexity of the engagement. We also provide consulting services related to digital operations and solutions that include industry-specific digital transformational services as well as cross-industry finance and accounting services as part of the Emerging Business strategic business unit.</w:t>
      </w:r>
    </w:p>
    <w:p>
      <w:pPr>
        <w:pStyle w:val="TextBody"/>
        <w:bidi w:val="0"/>
        <w:spacing w:before="0" w:after="0"/>
        <w:ind w:left="0" w:right="0" w:firstLine="450"/>
        <w:jc w:val="both"/>
        <w:rPr/>
      </w:pPr>
      <w:r>
        <w:rPr/>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provide our services under contracts with our clients, which typically have terms of three or more years, with some being contracts with no end dates. These contracts provide us with a relatively predictable revenue base for a substantial portion of our digital operations and solutions business. However, our clients can typically terminate these contracts with or without cause and with short notice periods. We have a long selling cycle for our services and the budget and approval processes of prospective clients make it difficult to predict the timing of entering into definitive agreements with new clients. Similarly, new license sales and implementation projects for our technology service platforms and other software-based services have a long selling cycle, however ongoing annual maintenance and support contracts for existing arrangements provide us with a relatively predictable revenue base.</w:t>
      </w:r>
    </w:p>
    <w:p>
      <w:pPr>
        <w:pStyle w:val="TextBody"/>
        <w:bidi w:val="0"/>
        <w:spacing w:before="0" w:after="0"/>
        <w:jc w:val="both"/>
        <w:rPr/>
      </w:pPr>
      <w:r>
        <w:rPr/>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charge for our services using various pricing models like time-and-material pricing, full-time-equivalent pricing, transaction-based pricing, outcome-based pricing, subscription-based pricing and other alternative pricing models. Outcome-based pricing arrangements are examples of non-linear pricing models where clients link revenues from platforms and solutions and the services we provide to usage or savings rather than the efforts deployed to provide these services. We continue to observe a shift in the industry pricing models toward transaction-based pricing, outcome-based pricing and other alternative pricing models. We believe this trend will continue and we use such alternative pricing models with some of our current clients and are seeking to move certain other clients from a full-time-equivalent pricing model to a transaction-based or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972c7b333c94ee3bad0bd2154cbac49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alternative pricing model. These alternative pricing models place the focus on operating efficiency in order to maintain or improve our gross margins.</w:t>
      </w:r>
    </w:p>
    <w:p>
      <w:pPr>
        <w:pStyle w:val="TextBody"/>
        <w:bidi w:val="0"/>
        <w:spacing w:before="0" w:after="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also observed that prospective larger clients are entering into multi-vendor relationships with regard to their digital operations and solutions needs to seek more favorable contract terms and diversification of the risk of concentration on a few vendors. We believe that the trend toward multi-vendor relationships will continue. A multi-vendor relationship allows a client to seek more favorable pricing and other contract terms from each vendor, which can result in significantly reduced gross margins from the provision of services to such client for each vendor. To the extent our large clients expand their use of multi-vendor relationships and are able to extract more favorable contract terms from other vendors, our gross margins and revenues may be reduced with regard to such clients if we are required to modify the terms of our relationships with such clients to meet competition.</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pPr>
      <w:r>
        <w:rPr>
          <w:rFonts w:ascii="Times New Roman;sans-serif" w:hAnsi="Times New Roman;sans-serif"/>
          <w:b w:val="false"/>
          <w:i/>
          <w:color w:val="000000"/>
          <w:sz w:val="20"/>
        </w:rPr>
        <w:t>Analytics:</w:t>
      </w:r>
      <w:r>
        <w:rPr>
          <w:color w:val="000000"/>
        </w:rPr>
        <w:t xml:space="preserve"> </w:t>
      </w:r>
      <w:r>
        <w:rPr>
          <w:rFonts w:ascii="Times New Roman;sans-serif" w:hAnsi="Times New Roman;sans-serif"/>
          <w:b w:val="false"/>
          <w:color w:val="000000"/>
          <w:sz w:val="20"/>
        </w:rPr>
        <w:t>Our analytics services aim to drive better business outcomes for our clients by unlocking deep insights from data and creating data-led solutions across all parts of our clients’ business. We provide care optimization and reimbursement optimization services, for our clients through our healthcare analytics solutions and services. We also offer integrated solutions to help our clients in cost containment by leveraging technology platforms, customizable and configurable analytics and expertise in healthcare reimbursements to help clients enhance their claim payment accuracy. Our Analytics teams deliver predictive and prescriptive analytics in the areas of customer acquisition and life cycle management, risk underwriting and pricing, operational effectiveness, credit and operational risk monitoring and governance, regulatory reporting and data management. We enhance, modernize and enrich structured and unstructured data and use a spectrum of advanced analytical tools and techniques, including our in-house AI and ML capabilities and proprietary solutions to create insights, improve decision making for our clients and address a range of complex industry-wide priorities. Our acquisition of Clairvoyant AI, Inc. (“Clairvoyant”) in December 2021 strengthened our data analytics capabilities with additional expertise in data and product engineering, cloud enablement and managed services, further supporting our clients in the insurance, healthcare, banking and financial services and retail industries. We actively cross-sell and, where appropriate, integrate our analytics services with other digital operations and solutions as part of a comprehensive offering for our clients. Our projects-based analytics services are cyclical and can be significantly affected by variations in business cycles. In addition, our projects-based analytics services are documented in contracts with terms generally not exceeding one year and may not produce ongoing or recurring business for us once the project is completed. These contracts also usually contain provisions permitting termination of the contract after a short notice period. The short-term nature and specificity of these projects could lead to fluctuations and uncertainties in the revenues generated from providing analytics services.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anticipate that revenues from our analytics services will grow as we expand our service offerings and client base, both organically and through acquisitions.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2023 Stock Split</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June 20, 2023, subsequent to the approval and recommendation of our board of directors, our stockholders approved an amendment to our Amended and Restated Certificate of Incorporation, which upon filing with the State of Delaware, and effectiveness thereof, will effect a 5-for-1 forward stock split of our common stock and an increase in the number of authorized shares of our common stock from 100,000,000 shares to 400,000,000 shares (see Note 26 – Subsequent Events to our unaudited consolidated financial statements herein for further details.)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significant changes in our critical accounting policies and estimates during the three and six months ended June 30, 2023, as compared to the critical accounting policies and estimates referred in Part II, Item 7, “Management’s Discussion and Analysis of Financial Condition and Results of Operations” under “Critical Accounting Policies and Estimates” and Note 2 - Summary of Significant Accounting Policies to our consolidated financial statements included in our Annual Report on Form 10-K for the fiscal year ended December 31,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972c7b333c94ee3bad0bd2154cbac49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Results of Operations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results of operations:</w:t>
      </w:r>
    </w:p>
    <w:tbl>
      <w:tblPr>
        <w:tblW w:w="10205" w:type="dxa"/>
        <w:jc w:val="center"/>
        <w:tblInd w:w="0" w:type="dxa"/>
        <w:tblLayout w:type="fixed"/>
        <w:tblCellMar>
          <w:top w:w="28" w:type="dxa"/>
          <w:left w:w="28" w:type="dxa"/>
          <w:bottom w:w="28" w:type="dxa"/>
          <w:right w:w="28" w:type="dxa"/>
        </w:tblCellMar>
      </w:tblPr>
      <w:tblGrid>
        <w:gridCol w:w="1979"/>
        <w:gridCol w:w="1711"/>
        <w:gridCol w:w="1709"/>
        <w:gridCol w:w="212"/>
        <w:gridCol w:w="621"/>
        <w:gridCol w:w="109"/>
        <w:gridCol w:w="109"/>
        <w:gridCol w:w="109"/>
        <w:gridCol w:w="109"/>
        <w:gridCol w:w="212"/>
        <w:gridCol w:w="621"/>
        <w:gridCol w:w="109"/>
        <w:gridCol w:w="109"/>
        <w:gridCol w:w="109"/>
        <w:gridCol w:w="109"/>
        <w:gridCol w:w="211"/>
        <w:gridCol w:w="631"/>
        <w:gridCol w:w="109"/>
        <w:gridCol w:w="109"/>
        <w:gridCol w:w="109"/>
        <w:gridCol w:w="109"/>
        <w:gridCol w:w="211"/>
        <w:gridCol w:w="616"/>
        <w:gridCol w:w="163"/>
      </w:tblGrid>
      <w:tr>
        <w:trPr/>
        <w:tc>
          <w:tcPr>
            <w:tcW w:w="1979"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53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3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1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net</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Cost of revenues</w:t>
            </w:r>
            <w:r>
              <w:rPr>
                <w:rFonts w:ascii="Times New Roman;sans-serif" w:hAnsi="Times New Roman;sans-serif"/>
                <w:b w:val="false"/>
                <w:color w:val="000000"/>
                <w:sz w:val="13"/>
              </w:rPr>
              <w:t>(1)</w:t>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Gross profit</w:t>
            </w:r>
            <w:r>
              <w:rPr>
                <w:rFonts w:ascii="Times New Roman;sans-serif" w:hAnsi="Times New Roman;sans-serif"/>
                <w:b/>
                <w:color w:val="000000"/>
                <w:sz w:val="13"/>
              </w:rPr>
              <w:t>(1)</w:t>
            </w:r>
          </w:p>
        </w:tc>
        <w:tc>
          <w:tcPr>
            <w:tcW w:w="8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151.8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300.9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247.3</w:t>
            </w: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9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 expenses</w:t>
            </w:r>
          </w:p>
        </w:tc>
        <w:tc>
          <w:tcPr>
            <w:tcW w:w="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8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from operations</w:t>
            </w:r>
          </w:p>
        </w:tc>
        <w:tc>
          <w:tcPr>
            <w:tcW w:w="8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64.9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47.0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91.0</w:t>
            </w: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gain, net</w:t>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income/(loss), net</w:t>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tax expense and earnings from equity affiliates</w:t>
            </w:r>
          </w:p>
        </w:tc>
        <w:tc>
          <w:tcPr>
            <w:tcW w:w="8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64.6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46.7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123.9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94.0</w:t>
            </w: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earnings from equity affiliates</w:t>
            </w:r>
          </w:p>
        </w:tc>
        <w:tc>
          <w:tcPr>
            <w:tcW w:w="8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49.1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71.7</w:t>
            </w: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from equity-method investment</w:t>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ExlService Holdings, Inc. stockholders</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49.1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72.0</w:t>
            </w:r>
            <w:r>
              <w:rPr>
                <w:color w:val="000000"/>
              </w:rPr>
              <w:t>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center"/>
        <w:rPr/>
      </w:pPr>
      <w:r>
        <w:rPr/>
      </w:r>
    </w:p>
    <w:p>
      <w:pPr>
        <w:pStyle w:val="TextBody"/>
        <w:bidi w:val="0"/>
        <w:spacing w:lineRule="auto" w:line="288" w:before="0" w:after="0"/>
        <w:ind w:left="0" w:right="0" w:firstLine="450"/>
        <w:jc w:val="both"/>
        <w:rPr>
          <w:rFonts w:ascii="Times New Roman;sans-serif" w:hAnsi="Times New Roman;sans-serif"/>
          <w:b w:val="false"/>
          <w:i/>
          <w:color w:val="000000"/>
          <w:sz w:val="18"/>
        </w:rPr>
      </w:pPr>
      <w:r>
        <w:rPr>
          <w:rFonts w:ascii="Times New Roman;sans-serif" w:hAnsi="Times New Roman;sans-serif"/>
          <w:b w:val="false"/>
          <w:i/>
          <w:color w:val="000000"/>
          <w:sz w:val="18"/>
        </w:rPr>
        <w:t>(1) Exclusive of depreciation and amortization expense.</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val="false"/>
          <w:i/>
          <w:color w:val="000000"/>
          <w:sz w:val="18"/>
        </w:rPr>
      </w:pPr>
      <w:r>
        <w:rPr>
          <w:rFonts w:ascii="Times New Roman;sans-serif" w:hAnsi="Times New Roman;sans-serif"/>
          <w:b w:val="false"/>
          <w:i/>
          <w:color w:val="000000"/>
          <w:sz w:val="18"/>
        </w:rPr>
        <w:t>Due to rounding, the numbers presented in the tables included in this Part I, Item 2, “Management’s Discussion and Analysis of Financial Condition and Results of Operations” may not add up precisely to the totals provided.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972c7b333c94ee3bad0bd2154cbac49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Three Months Ended June 30, 2023 Compared to Three Months Ended June 30, 2022</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Revenues.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revenues by reportable segments:</w:t>
      </w:r>
    </w:p>
    <w:tbl>
      <w:tblPr>
        <w:tblW w:w="6465" w:type="dxa"/>
        <w:jc w:val="center"/>
        <w:tblInd w:w="0" w:type="dxa"/>
        <w:tblLayout w:type="fixed"/>
        <w:tblCellMar>
          <w:top w:w="28" w:type="dxa"/>
          <w:left w:w="28" w:type="dxa"/>
          <w:bottom w:w="28" w:type="dxa"/>
          <w:right w:w="28" w:type="dxa"/>
        </w:tblCellMar>
      </w:tblPr>
      <w:tblGrid>
        <w:gridCol w:w="607"/>
        <w:gridCol w:w="534"/>
        <w:gridCol w:w="539"/>
        <w:gridCol w:w="213"/>
        <w:gridCol w:w="622"/>
        <w:gridCol w:w="110"/>
        <w:gridCol w:w="110"/>
        <w:gridCol w:w="110"/>
        <w:gridCol w:w="110"/>
        <w:gridCol w:w="213"/>
        <w:gridCol w:w="622"/>
        <w:gridCol w:w="110"/>
        <w:gridCol w:w="109"/>
        <w:gridCol w:w="109"/>
        <w:gridCol w:w="109"/>
        <w:gridCol w:w="211"/>
        <w:gridCol w:w="511"/>
        <w:gridCol w:w="109"/>
        <w:gridCol w:w="109"/>
        <w:gridCol w:w="109"/>
        <w:gridCol w:w="109"/>
        <w:gridCol w:w="255"/>
        <w:gridCol w:w="256"/>
        <w:gridCol w:w="569"/>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Healthcare</w:t>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Business</w:t>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Analytics</w:t>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 net</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405.0 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346.8 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5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20" w:after="283"/>
        <w:ind w:left="0" w:right="0" w:firstLine="450"/>
        <w:jc w:val="both"/>
        <w:rPr/>
      </w:pPr>
      <w:r>
        <w:rPr/>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Revenues for the three months ended June 30, 2023 were $405.0 million, up $58.2 million, or 16.8%, compared to the three months ended June 30, 2022, driven primarily by revenue growth from our new and existing clients in all of our reportable segments.</w:t>
      </w:r>
    </w:p>
    <w:p>
      <w:pPr>
        <w:pStyle w:val="TextBody"/>
        <w:bidi w:val="0"/>
        <w:spacing w:before="0" w:after="0"/>
        <w:ind w:left="0" w:right="0" w:firstLine="450"/>
        <w:jc w:val="both"/>
        <w:rPr/>
      </w:pPr>
      <w:r>
        <w:rPr/>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Revenue growth in Insurance of $20.0 million was primarily driven by expansion of business from our new and existing clients of $20.9 million. This was partially offset by a loss of $0.9 million, mainly attributable to the depreciation of the Australian dollar, the South African ZAR and the Indian rupee against the U.S. dollar during the three months ended June 30, 2023, compared to the three months ended June 30, 2022. Insurance revenues were 31.7% and 31.3% of our total revenues during the three months ended June 30, 2023 and June 30, 2022, respectively.</w:t>
      </w:r>
    </w:p>
    <w:p>
      <w:pPr>
        <w:pStyle w:val="TextBody"/>
        <w:bidi w:val="0"/>
        <w:spacing w:before="0" w:after="0"/>
        <w:ind w:left="0" w:right="0" w:firstLine="450"/>
        <w:jc w:val="both"/>
        <w:rPr/>
      </w:pPr>
      <w:r>
        <w:rPr/>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Revenue growth in Healthcare of $4.1 million was primarily driven by expansion of business from our new and existing clients during the three months ended June 30, 2023. Healthcare revenues were 6.7% of our total revenues for each of the three months ended June 30, 2023 and June 30, 2022.</w:t>
      </w:r>
    </w:p>
    <w:p>
      <w:pPr>
        <w:pStyle w:val="TextBody"/>
        <w:bidi w:val="0"/>
        <w:spacing w:before="0" w:after="0"/>
        <w:ind w:left="0" w:right="0" w:firstLine="450"/>
        <w:jc w:val="both"/>
        <w:rPr/>
      </w:pPr>
      <w:r>
        <w:rPr/>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Revenue growth in Emerging Business of $13.2 million was primarily driven by expansion of business from our new and existing clients of $13.7 million. This was partially offset by a loss of $0.5 million, mainly attributable to the depreciation of the Indian rupee against the U.S. dollar during the three months ended June 30, 2023, compared to the three months ended June 30, 2022. Emerging Business revenues were 16.6% and 15.5% of our total revenues during the three months ended June 30, 2023 and June 30, 2022, respectively.</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Revenue growth in Analytics of $20.9 million was primarily driven by higher volumes in our annuity and project based engagements from our new and existing clients. Analytics revenues were 45.0% and 46.5% of our total revenues during the three months ended June 30, 2023 and June 30, 2022, respectively.</w:t>
      </w: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972c7b333c94ee3bad0bd2154cbac49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95"/>
        <w:jc w:val="left"/>
        <w:rPr/>
      </w:pPr>
      <w:r>
        <w:rPr>
          <w:rFonts w:ascii="Times New Roman;sans-serif" w:hAnsi="Times New Roman;sans-serif"/>
          <w:b/>
          <w:i/>
          <w:color w:val="000000"/>
          <w:sz w:val="20"/>
        </w:rPr>
        <w:t>Cost of Revenues and Gross Margin</w:t>
      </w:r>
      <w:r>
        <w:rPr>
          <w:rFonts w:ascii="Times New Roman;sans-serif" w:hAnsi="Times New Roman;sans-serif"/>
          <w:b/>
          <w:color w:val="000000"/>
          <w:sz w:val="20"/>
        </w:rPr>
        <w:t xml:space="preserve">: </w:t>
      </w:r>
      <w:r>
        <w:rPr>
          <w:rFonts w:ascii="Times New Roman;sans-serif" w:hAnsi="Times New Roman;sans-serif"/>
          <w:b w:val="false"/>
          <w:color w:val="000000"/>
          <w:sz w:val="20"/>
        </w:rPr>
        <w:t>The following table sets forth cost of revenues and gross margin of our reportable segments:</w:t>
      </w:r>
    </w:p>
    <w:tbl>
      <w:tblPr>
        <w:tblW w:w="10205" w:type="dxa"/>
        <w:jc w:val="center"/>
        <w:tblInd w:w="0" w:type="dxa"/>
        <w:tblLayout w:type="fixed"/>
        <w:tblCellMar>
          <w:top w:w="28" w:type="dxa"/>
          <w:left w:w="28" w:type="dxa"/>
          <w:bottom w:w="28" w:type="dxa"/>
          <w:right w:w="28" w:type="dxa"/>
        </w:tblCellMar>
      </w:tblPr>
      <w:tblGrid>
        <w:gridCol w:w="553"/>
        <w:gridCol w:w="487"/>
        <w:gridCol w:w="491"/>
        <w:gridCol w:w="212"/>
        <w:gridCol w:w="620"/>
        <w:gridCol w:w="109"/>
        <w:gridCol w:w="109"/>
        <w:gridCol w:w="109"/>
        <w:gridCol w:w="109"/>
        <w:gridCol w:w="212"/>
        <w:gridCol w:w="620"/>
        <w:gridCol w:w="109"/>
        <w:gridCol w:w="109"/>
        <w:gridCol w:w="109"/>
        <w:gridCol w:w="109"/>
        <w:gridCol w:w="211"/>
        <w:gridCol w:w="511"/>
        <w:gridCol w:w="109"/>
        <w:gridCol w:w="109"/>
        <w:gridCol w:w="109"/>
        <w:gridCol w:w="109"/>
        <w:gridCol w:w="255"/>
        <w:gridCol w:w="256"/>
        <w:gridCol w:w="508"/>
        <w:gridCol w:w="109"/>
        <w:gridCol w:w="109"/>
        <w:gridCol w:w="109"/>
        <w:gridCol w:w="255"/>
        <w:gridCol w:w="256"/>
        <w:gridCol w:w="420"/>
        <w:gridCol w:w="168"/>
        <w:gridCol w:w="168"/>
        <w:gridCol w:w="168"/>
        <w:gridCol w:w="255"/>
        <w:gridCol w:w="256"/>
        <w:gridCol w:w="420"/>
        <w:gridCol w:w="109"/>
        <w:gridCol w:w="109"/>
        <w:gridCol w:w="109"/>
        <w:gridCol w:w="254"/>
        <w:gridCol w:w="257"/>
        <w:gridCol w:w="430"/>
      </w:tblGrid>
      <w:tr>
        <w:trPr/>
        <w:tc>
          <w:tcPr>
            <w:tcW w:w="5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Margin</w:t>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Healthcare</w:t>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Business</w:t>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Analytics</w:t>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4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4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4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20" w:after="283"/>
        <w:ind w:left="0" w:right="0" w:firstLine="45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30, 2023, cost of revenues was $253.2 million compared to $221.2 million for the three months ended June 30, 2022, an increase of $32.0 million, or 14.5%. The increase in cost of revenues was primarily due to increases in employee-related costs, partially offset by foreign exchange gain, net of hedging. Our gross margin for the three months ended June 30, 2023 was 37.5%, compared to 36.2% for the three months ended June 30, 2022, an increase of 130 basis points (“bps”) primarily driven by higher revenues, operational efficiencies and foreign exchange gain, net of hedging during the three months ended June 30, 2023, compared to the three months ended June 30, 2022.</w:t>
      </w:r>
    </w:p>
    <w:p>
      <w:pPr>
        <w:pStyle w:val="TextBody"/>
        <w:bidi w:val="0"/>
        <w:spacing w:before="0" w:after="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cost of revenues in Insurance of $13.7 million for the three months ended June 30, 2023 was primarily due to increases in employee-related costs of $13.8 million on account of higher headcount and wage inflation and higher technology costs of $2.0 million on account of increased use of the hybrid and remote working models, partially offset by foreign exchange gain, net of hedging of $2.1 million. Gross margin in Insurance decreased by 50 bps during the three months ended June 30, 2023, compared to the three months ended June 30, 2022, primarily due to lower margins associated with higher costs during ramp-ups in certain existing and new clients and higher employee costs during the three months ended June 30, 2023, compared to the three months ended June 30, 2022.</w:t>
      </w:r>
    </w:p>
    <w:p>
      <w:pPr>
        <w:pStyle w:val="TextBody"/>
        <w:bidi w:val="0"/>
        <w:spacing w:before="0" w:after="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cost of revenues in Healthcare of $0.1 million for the three months ended June 30, 2023 was primarily due to lower other operating costs of $0.6 million and foreign exchange gain, net of hedging of $0.5 million, partially offset by increases in employee-related costs of $1.0 million on account of higher headcount and wage inflation. Gross margin in Healthcare increased by 1,220 bps during the three months ended June 30, 2023, compared to the three months ended June 30, 2022, primarily due to higher revenues, operational efficiencies and foreign exchange gain, net of hedging during the three months ended June 30, 2023, compared to the three months ended June 30, 2022.</w:t>
      </w:r>
    </w:p>
    <w:p>
      <w:pPr>
        <w:pStyle w:val="TextBody"/>
        <w:bidi w:val="0"/>
        <w:spacing w:before="0" w:after="0"/>
        <w:ind w:left="0" w:right="0" w:firstLine="450"/>
        <w:jc w:val="both"/>
        <w:rPr/>
      </w:pPr>
      <w:r>
        <w:rPr/>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cost of revenues in Emerging Business of $6.6 million for the three months ended June 30, 2023 was primarily due to increases in employee-related costs of $6.1 million on account of higher headcount and wage inflation, higher technology costs of $1.0 million on account of increased use of the hybrid and remote working models and higher other operating costs of $0.6 million, partially offset by foreign exchange gain, net of hedging of $1.1 million. Gross margin in Emerging Business increased by 160 bps during the three months ended June 30, 2023, compared to the three months ended June 30, 2022, primarily due to higher revenues and operational efficiencies during the three months ended June 30, 2023, compared to the three months ended June 30, 2022.</w:t>
      </w:r>
    </w:p>
    <w:p>
      <w:pPr>
        <w:pStyle w:val="TextBody"/>
        <w:bidi w:val="0"/>
        <w:spacing w:before="0" w:after="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cost of revenues in Analytics of $11.8 million for the three months ended June 30, 2023 was primarily due to increases in employee-related costs of $15.6 million on account of higher headcount and wage inflation, partially offset by lower other operating costs of $1.9 million and foreign exchange gain, net of hedging of $1.9 million. Gross margin in Analytics increased by 70 bps during the three months ended June 30, 2023, compared to the three months ended June 30, 2022, primarily due to higher revenues and foreign exchange gain, net of hedging during the three months ended June 30, 2023, compared to the three months ended June 30,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972c7b333c94ee3bad0bd2154cbac49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Selling, General and Administrative (“SG&amp;A”) Expenses.</w:t>
      </w:r>
    </w:p>
    <w:tbl>
      <w:tblPr>
        <w:tblW w:w="8508" w:type="dxa"/>
        <w:jc w:val="center"/>
        <w:tblInd w:w="0" w:type="dxa"/>
        <w:tblLayout w:type="fixed"/>
        <w:tblCellMar>
          <w:top w:w="28" w:type="dxa"/>
          <w:left w:w="28" w:type="dxa"/>
          <w:bottom w:w="28" w:type="dxa"/>
          <w:right w:w="28" w:type="dxa"/>
        </w:tblCellMar>
      </w:tblPr>
      <w:tblGrid>
        <w:gridCol w:w="1354"/>
        <w:gridCol w:w="1189"/>
        <w:gridCol w:w="1192"/>
        <w:gridCol w:w="211"/>
        <w:gridCol w:w="511"/>
        <w:gridCol w:w="271"/>
        <w:gridCol w:w="109"/>
        <w:gridCol w:w="109"/>
        <w:gridCol w:w="109"/>
        <w:gridCol w:w="211"/>
        <w:gridCol w:w="511"/>
        <w:gridCol w:w="271"/>
        <w:gridCol w:w="109"/>
        <w:gridCol w:w="109"/>
        <w:gridCol w:w="109"/>
        <w:gridCol w:w="211"/>
        <w:gridCol w:w="406"/>
        <w:gridCol w:w="109"/>
        <w:gridCol w:w="109"/>
        <w:gridCol w:w="109"/>
        <w:gridCol w:w="109"/>
        <w:gridCol w:w="255"/>
        <w:gridCol w:w="256"/>
        <w:gridCol w:w="569"/>
      </w:tblGrid>
      <w:tr>
        <w:trPr/>
        <w:tc>
          <w:tcPr>
            <w:tcW w:w="1354"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 expenses</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 percentage of revenues</w:t>
            </w:r>
          </w:p>
        </w:tc>
        <w:tc>
          <w:tcPr>
            <w:tcW w:w="72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SG&amp;A expenses of $9.3 million was primarily due to higher employee-related costs of $5.9 million on account of higher headcount and wage inflation, higher technology costs of $1.2 million on account of increased use of the hybrid and remote working models, increase in travel costs of $0.8 million and higher other operating costs of $2.2 million. This was partially offset by foreign exchange gain, net of hedging of $0.8 million, during the three months ended June 30, 2023, compared to the three months ended June 30, 2022.</w:t>
      </w:r>
    </w:p>
    <w:p>
      <w:pPr>
        <w:pStyle w:val="TextBody"/>
        <w:bidi w:val="0"/>
        <w:spacing w:lineRule="auto" w:line="276" w:before="360" w:after="283"/>
        <w:ind w:left="0" w:right="0" w:firstLine="495"/>
        <w:jc w:val="both"/>
        <w:rPr>
          <w:rFonts w:ascii="Times New Roman;sans-serif" w:hAnsi="Times New Roman;sans-serif"/>
          <w:b/>
          <w:i/>
          <w:color w:val="000000"/>
          <w:sz w:val="20"/>
        </w:rPr>
      </w:pPr>
      <w:r>
        <w:rPr>
          <w:rFonts w:ascii="Times New Roman;sans-serif" w:hAnsi="Times New Roman;sans-serif"/>
          <w:b/>
          <w:i/>
          <w:color w:val="000000"/>
          <w:sz w:val="20"/>
        </w:rPr>
        <w:t>Depreciation and Amortization.</w:t>
      </w:r>
    </w:p>
    <w:tbl>
      <w:tblPr>
        <w:tblW w:w="8223" w:type="dxa"/>
        <w:jc w:val="center"/>
        <w:tblInd w:w="0" w:type="dxa"/>
        <w:tblLayout w:type="fixed"/>
        <w:tblCellMar>
          <w:top w:w="28" w:type="dxa"/>
          <w:left w:w="28" w:type="dxa"/>
          <w:bottom w:w="28" w:type="dxa"/>
          <w:right w:w="28" w:type="dxa"/>
        </w:tblCellMar>
      </w:tblPr>
      <w:tblGrid>
        <w:gridCol w:w="1195"/>
        <w:gridCol w:w="1051"/>
        <w:gridCol w:w="1054"/>
        <w:gridCol w:w="211"/>
        <w:gridCol w:w="511"/>
        <w:gridCol w:w="271"/>
        <w:gridCol w:w="109"/>
        <w:gridCol w:w="109"/>
        <w:gridCol w:w="109"/>
        <w:gridCol w:w="211"/>
        <w:gridCol w:w="511"/>
        <w:gridCol w:w="271"/>
        <w:gridCol w:w="109"/>
        <w:gridCol w:w="109"/>
        <w:gridCol w:w="109"/>
        <w:gridCol w:w="211"/>
        <w:gridCol w:w="481"/>
        <w:gridCol w:w="109"/>
        <w:gridCol w:w="109"/>
        <w:gridCol w:w="109"/>
        <w:gridCol w:w="109"/>
        <w:gridCol w:w="293"/>
        <w:gridCol w:w="293"/>
        <w:gridCol w:w="569"/>
      </w:tblGrid>
      <w:tr>
        <w:trPr/>
        <w:tc>
          <w:tcPr>
            <w:tcW w:w="1195"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amortization expense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 percentage of revenues</w:t>
            </w:r>
          </w:p>
        </w:tc>
        <w:tc>
          <w:tcPr>
            <w:tcW w:w="72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depreciation expense of $1.1 million was primarily due to lower depreciation of $0.8 million on assets related to operations centers closed as a result of optimization of office space and increased use of the hybrid and remote working models and foreign exchange gain, net of hedging of $0.3 million during the three months ended June 30, 2023, compared to the three months ended June 30, 2022. The increase in intangibles amortization expense of $0.1 million during the three months ended June 30, 2023, compared to the three months ended June 30, 2022 was primarily due to amortization of intangibles associated with our acquisition of Inbound Media Group, LLC in June 2022.</w:t>
      </w:r>
    </w:p>
    <w:p>
      <w:pPr>
        <w:pStyle w:val="TextBody"/>
        <w:bidi w:val="0"/>
        <w:spacing w:before="0" w:after="0"/>
        <w:ind w:left="0" w:right="0" w:firstLine="450"/>
        <w:jc w:val="both"/>
        <w:rPr/>
      </w:pPr>
      <w:r>
        <w:rPr/>
      </w:r>
    </w:p>
    <w:p>
      <w:pPr>
        <w:pStyle w:val="TextBody"/>
        <w:bidi w:val="0"/>
        <w:spacing w:lineRule="auto" w:line="268" w:before="120" w:after="283"/>
        <w:ind w:left="0" w:right="0" w:firstLine="450"/>
        <w:jc w:val="both"/>
        <w:rPr/>
      </w:pPr>
      <w:r>
        <w:rPr>
          <w:rFonts w:ascii="Times New Roman;sans-serif" w:hAnsi="Times New Roman;sans-serif"/>
          <w:b/>
          <w:i/>
          <w:color w:val="000000"/>
          <w:sz w:val="20"/>
        </w:rPr>
        <w:t>Income from Operations.</w:t>
      </w:r>
      <w:r>
        <w:rPr>
          <w:color w:val="000000"/>
        </w:rPr>
        <w:t xml:space="preserve"> </w:t>
      </w:r>
      <w:r>
        <w:rPr>
          <w:rFonts w:ascii="Times New Roman;sans-serif" w:hAnsi="Times New Roman;sans-serif"/>
          <w:b w:val="false"/>
          <w:color w:val="000000"/>
          <w:sz w:val="20"/>
        </w:rPr>
        <w:t>Income from operations increased by $17.9 million, or 37.7%, from $47.0 million for the three months ended June 30, 2022 to $64.9 million for the three months ended June 30, 2023, primarily due to higher revenues, partially offset by higher cost of revenues and higher SG&amp;A expenses during the three months ended June 30, 2023. As a percentage of revenues, income from operations increased from 13.6% for the three months ended June 30, 2022 to 16.0% for the three months ended June 30, 2023.</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ans-serif" w:hAnsi="Times New Roman;sans-serif"/>
          <w:b/>
          <w:i/>
          <w:color w:val="000000"/>
          <w:sz w:val="20"/>
        </w:rPr>
        <w:t xml:space="preserve">Foreign Exchange Gain, net. </w:t>
      </w:r>
      <w:r>
        <w:rPr>
          <w:rFonts w:ascii="Times New Roman;sans-serif" w:hAnsi="Times New Roman;sans-serif"/>
          <w:b w:val="false"/>
          <w:color w:val="000000"/>
          <w:sz w:val="20"/>
        </w:rPr>
        <w:t>Foreign exchange gains and losses are primarily attributable to the movement of the U.S. dollar against the Indian rupee, the Philippine peso, the U.K. pound sterling and the South African ZAR during the three months ended June 30, 2023, compared to the three months ended June 30, 2022. The average exchange rate of the U.S. dollar against the Indian rupee increased from 77.68 during the three months ended June 30, 2022 to 82.20 during the three months ended June 30, 2023. The average exchange rate of the U.S. dollar against the Philippine peso increased from 53.18 during the three months ended June 30, 2022 to 55.58 during the three months ended June 30, 2023. The average exchange rate of the U.K. pound sterling against the U.S. dollar increased from 1.24 during the three months ended June 30, 2022 to 1.25 during the three months ended June 30, 2023. The average exchange rate of the U.S. dollar against the South African ZAR increased from 15.94 during the three months ended June 30, 2022 to 19.02 during the three months ended June 30, 2023.</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recorded a foreign exchange gain, net of $1.4 million for the three months ended June 30, 2022 compared to a foreign exchange gain, net of $0.3 million for the three months ended June 30, 2023.</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972c7b333c94ee3bad0bd2154cbac49_7">
        <w:r>
          <w:rPr>
            <w:rStyle w:val="InternetLink"/>
            <w:rFonts w:ascii="Times New Roman;sans-serif" w:hAnsi="Times New Roman;sans-serif"/>
            <w:b/>
            <w:color w:val="0000FF"/>
            <w:sz w:val="20"/>
            <w:u w:val="single"/>
          </w:rPr>
          <w:t>Table of Contents</w:t>
        </w:r>
      </w:hyperlink>
    </w:p>
    <w:p>
      <w:pPr>
        <w:pStyle w:val="TextBody"/>
        <w:bidi w:val="0"/>
        <w:spacing w:lineRule="auto" w:line="268" w:before="0" w:after="0"/>
        <w:ind w:left="0" w:right="0" w:firstLine="450"/>
        <w:jc w:val="both"/>
        <w:rPr/>
      </w:pPr>
      <w:r>
        <w:rPr>
          <w:rFonts w:ascii="Times New Roman;sans-serif" w:hAnsi="Times New Roman;sans-serif"/>
          <w:b/>
          <w:i/>
          <w:color w:val="000000"/>
          <w:sz w:val="20"/>
        </w:rPr>
        <w:t>Interest expens</w:t>
      </w:r>
      <w:r>
        <w:rPr>
          <w:rFonts w:ascii="Times New Roman;sans-serif" w:hAnsi="Times New Roman;sans-serif"/>
          <w:b w:val="false"/>
          <w:color w:val="000000"/>
          <w:sz w:val="20"/>
        </w:rPr>
        <w:t>e. Interest expense increased from $1.5 million for the three months ended June 30, 2022 to $3.2 million for the three months ended June 30, 2023, primarily due to a higher effective interest rate of 6.2% during the three months ended June 30, 2023, compared to 2.0% during the three months ended June 30, 2022, partially offset by a lower average outstanding balance under our revolving credit facility during the three months ended June 30, 2023, compared to the three months ended June 30, 2022.</w:t>
      </w:r>
    </w:p>
    <w:p>
      <w:pPr>
        <w:pStyle w:val="TextBody"/>
        <w:bidi w:val="0"/>
        <w:spacing w:lineRule="auto" w:line="288" w:before="240" w:after="283"/>
        <w:ind w:left="0" w:right="0" w:firstLine="495"/>
        <w:jc w:val="both"/>
        <w:rPr>
          <w:rFonts w:ascii="Times New Roman;sans-serif" w:hAnsi="Times New Roman;sans-serif"/>
          <w:b/>
          <w:i/>
          <w:color w:val="000000"/>
          <w:sz w:val="20"/>
        </w:rPr>
      </w:pPr>
      <w:r>
        <w:rPr>
          <w:rFonts w:ascii="Times New Roman;sans-serif" w:hAnsi="Times New Roman;sans-serif"/>
          <w:b/>
          <w:i/>
          <w:color w:val="000000"/>
          <w:sz w:val="20"/>
        </w:rPr>
        <w:t xml:space="preserve">Other Income/(Loss), net. </w:t>
      </w:r>
    </w:p>
    <w:tbl>
      <w:tblPr>
        <w:tblW w:w="9040" w:type="dxa"/>
        <w:jc w:val="center"/>
        <w:tblInd w:w="0" w:type="dxa"/>
        <w:tblLayout w:type="fixed"/>
        <w:tblCellMar>
          <w:top w:w="28" w:type="dxa"/>
          <w:left w:w="28" w:type="dxa"/>
          <w:bottom w:w="28" w:type="dxa"/>
          <w:right w:w="28" w:type="dxa"/>
        </w:tblCellMar>
      </w:tblPr>
      <w:tblGrid>
        <w:gridCol w:w="1462"/>
        <w:gridCol w:w="1285"/>
        <w:gridCol w:w="1288"/>
        <w:gridCol w:w="252"/>
        <w:gridCol w:w="486"/>
        <w:gridCol w:w="130"/>
        <w:gridCol w:w="130"/>
        <w:gridCol w:w="130"/>
        <w:gridCol w:w="130"/>
        <w:gridCol w:w="252"/>
        <w:gridCol w:w="576"/>
        <w:gridCol w:w="130"/>
        <w:gridCol w:w="109"/>
        <w:gridCol w:w="109"/>
        <w:gridCol w:w="109"/>
        <w:gridCol w:w="211"/>
        <w:gridCol w:w="406"/>
        <w:gridCol w:w="109"/>
        <w:gridCol w:w="109"/>
        <w:gridCol w:w="109"/>
        <w:gridCol w:w="109"/>
        <w:gridCol w:w="418"/>
        <w:gridCol w:w="422"/>
        <w:gridCol w:w="569"/>
      </w:tblGrid>
      <w:tr>
        <w:trPr/>
        <w:tc>
          <w:tcPr>
            <w:tcW w:w="1462"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r>
      <w:tr>
        <w:trPr/>
        <w:tc>
          <w:tcPr>
            <w:tcW w:w="40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and mark-to-market on investments</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dividend income</w:t>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income/(loss), net</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(1,629.3)</w:t>
            </w:r>
          </w:p>
        </w:tc>
        <w:tc>
          <w:tcPr>
            <w:tcW w:w="5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income/(loss), net increased by $2.8 million, from Other loss, net of $0.2 million for the three months ended June 30, 2022 to Other income, net of $2.6 million for the three months ended June 30, 2023. The increase is primarily due to higher return on mutual fund investments of $0.4 million, higher interest income on our short-term and long-term investments of $0.6 million during the three months ended June 30, 2023, compared to the three months ended June 30, 2022, and an increase of $1.0 million due to change in fair value of contingent consideration liability related to our Clairvoyant acquisition during the three months ended June 30, 2022.</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pPr>
      <w:r>
        <w:rPr>
          <w:rFonts w:ascii="Times New Roman;sans-serif" w:hAnsi="Times New Roman;sans-serif"/>
          <w:b/>
          <w:i/>
          <w:color w:val="000000"/>
          <w:sz w:val="20"/>
        </w:rPr>
        <w:t>Income Tax Expense.</w:t>
      </w:r>
      <w:r>
        <w:rPr>
          <w:color w:val="000000"/>
        </w:rPr>
        <w:t xml:space="preserve"> </w:t>
      </w:r>
      <w:r>
        <w:rPr>
          <w:rFonts w:ascii="Times New Roman;sans-serif" w:hAnsi="Times New Roman;sans-serif"/>
          <w:b w:val="false"/>
          <w:color w:val="000000"/>
          <w:sz w:val="20"/>
        </w:rPr>
        <w:t>The effective tax rate increased from 23.8% during the three months ended June 30, 2022 to 24.1% during the three months ended June 30, 2023. We recorded income tax expense of $15.5 million and $11.1 million for the three months ended June 30, 2023 and June 30, 2022, respectively. The increase in income tax expense was primarily as a result of higher profit during the three months ended June 30, 2023, compared to the three months ended June 30, 2022, and an increase in non-deductible expenses during the three months ended June 30, 2023, partially offset by higher excess tax benefits related to stock-based compensation during the three months ended June 30, 2023, compared to the three months ended June 30, 2022.</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pPr>
      <w:r>
        <w:rPr>
          <w:rFonts w:ascii="Times New Roman;sans-serif" w:hAnsi="Times New Roman;sans-serif"/>
          <w:b/>
          <w:i/>
          <w:color w:val="000000"/>
          <w:sz w:val="20"/>
        </w:rPr>
        <w:t>Net Income.</w:t>
      </w:r>
      <w:r>
        <w:rPr>
          <w:color w:val="000000"/>
        </w:rPr>
        <w:t xml:space="preserve"> </w:t>
      </w:r>
      <w:r>
        <w:rPr>
          <w:rFonts w:ascii="Times New Roman;sans-serif" w:hAnsi="Times New Roman;sans-serif"/>
          <w:b w:val="false"/>
          <w:color w:val="000000"/>
          <w:sz w:val="20"/>
        </w:rPr>
        <w:t>Net income increased from $35.8 million for the three months ended June 30, 2022 to $49.1 million for the three months ended June 30, 2023, primarily due to increase in income from operations of $17.9 million and higher other income, net of $2.6 million partially offset by higher income tax expense of $4.4 million, higher interest expense of $1.7 million and lower foreign exchange gain, net of $1.1 million. As a percentage of revenues, net income increased from 10.3% for the three months ended June 30, 2022 to 12.1% for the three months ended June 30,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972c7b333c94ee3bad0bd2154cbac49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Six Months Ended June 30, 2023 Compared to Six Months Ended June 30, 2022</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Revenues.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revenues by reportable segments:</w:t>
      </w:r>
    </w:p>
    <w:p>
      <w:pPr>
        <w:pStyle w:val="TextBody"/>
        <w:bidi w:val="0"/>
        <w:spacing w:before="0" w:after="0"/>
        <w:ind w:left="0" w:right="0" w:firstLine="450"/>
        <w:jc w:val="left"/>
        <w:rPr/>
      </w:pPr>
      <w:r>
        <w:rPr/>
      </w:r>
    </w:p>
    <w:tbl>
      <w:tblPr>
        <w:tblW w:w="6549" w:type="dxa"/>
        <w:jc w:val="left"/>
        <w:tblInd w:w="0" w:type="dxa"/>
        <w:tblLayout w:type="fixed"/>
        <w:tblCellMar>
          <w:top w:w="28" w:type="dxa"/>
          <w:left w:w="28" w:type="dxa"/>
          <w:bottom w:w="28" w:type="dxa"/>
          <w:right w:w="28" w:type="dxa"/>
        </w:tblCellMar>
      </w:tblPr>
      <w:tblGrid>
        <w:gridCol w:w="607"/>
        <w:gridCol w:w="534"/>
        <w:gridCol w:w="53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55"/>
        <w:gridCol w:w="256"/>
        <w:gridCol w:w="569"/>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Healthcare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Business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Analytics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5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Revenues for the six months ended June 30, 2023 were $805.6 million, up $129.6 million, or 19.2%, compared to the six months ended June 30, 2022, driven primarily by revenue growth from our new and existing clients in all of our reportable segments.</w:t>
      </w:r>
    </w:p>
    <w:p>
      <w:pPr>
        <w:pStyle w:val="TextBody"/>
        <w:bidi w:val="0"/>
        <w:spacing w:before="0" w:after="0"/>
        <w:ind w:left="0" w:right="0" w:firstLine="450"/>
        <w:jc w:val="both"/>
        <w:rPr/>
      </w:pPr>
      <w:r>
        <w:rPr/>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Revenue growth in Insurance of $42.6 million was primarily driven by expansion of business from our new and existing clients of $44.9 million. This was partially offset by a loss of $2.3 million, mainly attributable to the depreciation of the Australian dollar, the Indian rupee and the South African ZAR against the U.S. dollar during the six months ended June 30, 2023, compared to the six months ended June 30, 2022. Insurance revenues were 31.6% and 31.3% of our total revenues during the six months ended June 30, 2023 and June 30, 2022, respectively.</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Revenue growth in Healthcare of $4.6 million was primarily driven by expansion of business from our new and existing clients during the six months ended June 30, 2023. Healthcare revenues were 6.7% and 7.3% of our total revenues during the six months ended June 30, 2023 and June 30, 2022, respectively.</w:t>
      </w:r>
    </w:p>
    <w:p>
      <w:pPr>
        <w:pStyle w:val="TextBody"/>
        <w:bidi w:val="0"/>
        <w:spacing w:before="0" w:after="0"/>
        <w:ind w:left="0" w:right="0" w:firstLine="450"/>
        <w:jc w:val="both"/>
        <w:rPr/>
      </w:pPr>
      <w:r>
        <w:rPr/>
      </w:r>
    </w:p>
    <w:p>
      <w:pPr>
        <w:pStyle w:val="TextBody"/>
        <w:bidi w:val="0"/>
        <w:spacing w:lineRule="auto" w:line="256" w:before="0" w:after="0"/>
        <w:ind w:left="0" w:right="0" w:firstLine="450"/>
        <w:jc w:val="both"/>
        <w:rPr/>
      </w:pPr>
      <w:r>
        <w:rPr>
          <w:rFonts w:ascii="Times New Roman;sans-serif" w:hAnsi="Times New Roman;sans-serif"/>
          <w:b w:val="false"/>
          <w:color w:val="000000"/>
          <w:sz w:val="20"/>
        </w:rPr>
        <w:t>Revenue growth in Emerging Business of $28.7 million was primarily driven by expansion of business from our new and existing clients of $31.0 million. This was partially offset by a loss of $2.3 million, mainly attributable to the depreciation of the Indian rupee and the U.K. pound sterling against the U.S. dollar during the six months ended June 30, 2023, compared to the six months ended June 30, 2022.</w:t>
      </w:r>
      <w:r>
        <w:rPr>
          <w:color w:val="000000"/>
        </w:rPr>
        <w:t xml:space="preserve"> </w:t>
      </w:r>
      <w:r>
        <w:rPr>
          <w:rFonts w:ascii="Times New Roman;sans-serif" w:hAnsi="Times New Roman;sans-serif"/>
          <w:b w:val="false"/>
          <w:color w:val="000000"/>
          <w:sz w:val="20"/>
        </w:rPr>
        <w:t>Emerging Business revenues were 16.6% and 15.5% of our total revenues during the six months ended June 30, 2023 and June 30, 2022, respectively.</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ans-serif" w:hAnsi="Times New Roman;sans-serif"/>
          <w:b w:val="false"/>
          <w:color w:val="000000"/>
          <w:sz w:val="20"/>
        </w:rPr>
        <w:t>Revenue growth in Analytics of $53.7 million was primarily driven by higher volumes in our annuity and project based engagements from our new and existing clients</w:t>
      </w:r>
      <w:r>
        <w:rPr>
          <w:color w:val="008080"/>
        </w:rPr>
        <w:t xml:space="preserve"> </w:t>
      </w:r>
      <w:r>
        <w:rPr>
          <w:rFonts w:ascii="Times New Roman;sans-serif" w:hAnsi="Times New Roman;sans-serif"/>
          <w:b w:val="false"/>
          <w:color w:val="000000"/>
          <w:sz w:val="20"/>
        </w:rPr>
        <w:t>of $54.5 million. This was partially offset by a loss of $0.8 million, mainly attributable to the depreciation of the U.K. pound sterling against the U.S. dollar during the six months ended June 30, 2023, compared to the six months ended June 30, 2022. Analytics revenues were 45.1% and 45.9% of our total revenues during the six months ended June 30, 2023 and June 30, 2022, respectively.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972c7b333c94ee3bad0bd2154cbac49_7">
        <w:r>
          <w:rPr>
            <w:rStyle w:val="InternetLink"/>
            <w:rFonts w:ascii="Times New Roman;sans-serif" w:hAnsi="Times New Roman;sans-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480"/>
        <w:jc w:val="left"/>
        <w:rPr/>
      </w:pPr>
      <w:r>
        <w:rPr>
          <w:rFonts w:ascii="Times New Roman;sans-serif" w:hAnsi="Times New Roman;sans-serif"/>
          <w:b/>
          <w:i/>
          <w:color w:val="000000"/>
          <w:sz w:val="20"/>
        </w:rPr>
        <w:t>Cost of Revenues and Gross Margin</w:t>
      </w:r>
      <w:r>
        <w:rPr>
          <w:rFonts w:ascii="Times New Roman;sans-serif" w:hAnsi="Times New Roman;sans-serif"/>
          <w:b/>
          <w:color w:val="000000"/>
          <w:sz w:val="20"/>
        </w:rPr>
        <w:t xml:space="preserve">: </w:t>
      </w:r>
      <w:r>
        <w:rPr>
          <w:rFonts w:ascii="Times New Roman;sans-serif" w:hAnsi="Times New Roman;sans-serif"/>
          <w:b w:val="false"/>
          <w:color w:val="000000"/>
          <w:sz w:val="20"/>
        </w:rPr>
        <w:t>The following table sets forth cost of revenues and gross margin of our reportable segments:</w:t>
      </w:r>
    </w:p>
    <w:tbl>
      <w:tblPr>
        <w:tblW w:w="10205" w:type="dxa"/>
        <w:jc w:val="left"/>
        <w:tblInd w:w="0" w:type="dxa"/>
        <w:tblLayout w:type="fixed"/>
        <w:tblCellMar>
          <w:top w:w="28" w:type="dxa"/>
          <w:left w:w="28" w:type="dxa"/>
          <w:bottom w:w="28" w:type="dxa"/>
          <w:right w:w="28" w:type="dxa"/>
        </w:tblCellMar>
      </w:tblPr>
      <w:tblGrid>
        <w:gridCol w:w="525"/>
        <w:gridCol w:w="462"/>
        <w:gridCol w:w="466"/>
        <w:gridCol w:w="211"/>
        <w:gridCol w:w="616"/>
        <w:gridCol w:w="109"/>
        <w:gridCol w:w="109"/>
        <w:gridCol w:w="109"/>
        <w:gridCol w:w="109"/>
        <w:gridCol w:w="211"/>
        <w:gridCol w:w="616"/>
        <w:gridCol w:w="109"/>
        <w:gridCol w:w="109"/>
        <w:gridCol w:w="109"/>
        <w:gridCol w:w="109"/>
        <w:gridCol w:w="211"/>
        <w:gridCol w:w="511"/>
        <w:gridCol w:w="109"/>
        <w:gridCol w:w="109"/>
        <w:gridCol w:w="109"/>
        <w:gridCol w:w="109"/>
        <w:gridCol w:w="320"/>
        <w:gridCol w:w="286"/>
        <w:gridCol w:w="714"/>
        <w:gridCol w:w="109"/>
        <w:gridCol w:w="109"/>
        <w:gridCol w:w="109"/>
        <w:gridCol w:w="255"/>
        <w:gridCol w:w="256"/>
        <w:gridCol w:w="371"/>
        <w:gridCol w:w="149"/>
        <w:gridCol w:w="149"/>
        <w:gridCol w:w="149"/>
        <w:gridCol w:w="255"/>
        <w:gridCol w:w="256"/>
        <w:gridCol w:w="371"/>
        <w:gridCol w:w="109"/>
        <w:gridCol w:w="109"/>
        <w:gridCol w:w="109"/>
        <w:gridCol w:w="229"/>
        <w:gridCol w:w="231"/>
        <w:gridCol w:w="423"/>
      </w:tblGrid>
      <w:tr>
        <w:trPr/>
        <w:tc>
          <w:tcPr>
            <w:tcW w:w="525"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1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Margin</w:t>
            </w:r>
          </w:p>
        </w:tc>
      </w:tr>
      <w:tr>
        <w:trPr/>
        <w:tc>
          <w:tcPr>
            <w:tcW w:w="1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Healthcare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71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3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3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4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Business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Analytics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71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3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3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4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7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4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19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 cost of revenues was $504.7 million compared to $428.7 million for the six months ended June 30, 2022, an increase of $76.0 million, or 17.7%. The increase in cost of revenues was primarily due to increases in employee-related costs, partially offset by foreign exchange gain, net of hedging. Our gross margin for the six months ended June 30, 2023 was 37.4% compared to 36.6% for the six months ended June 30, 2022, an increase of 80 basis points (“bps”) primarily driven by higher revenues, operational efficiencies and foreign exchange gain, net of hedging during the six months ended June 30, 2023, compared to the six months ended June 30, 2022.</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cost of revenues in Insurance of $30.9 million for the six months ended June 30, 2023 was primarily due to increases in employee-related costs of $30.8 million on account of higher headcount and wage inflation, higher technology costs of $4.9 million on account of increased use of the hybrid and remote working models and higher other operating cost of $2.0 million, partially offset by foreign exchange gain, net of hedging of $5.1 million, lower facilities cost of $0.9 million and lower travel cost of $0.8 million. Gross margin in Insurance decreased by 140 bps during the six months ended June 30, 2023, compared to the six months ended June 30, 2022, primarily due to lower margins associated with higher costs during ramp-ups in certain existing and new clients during the six months ended June 30, 2023, compared to the six months ended June 30, 2022.</w:t>
      </w:r>
    </w:p>
    <w:p>
      <w:pPr>
        <w:pStyle w:val="TextBody"/>
        <w:bidi w:val="0"/>
        <w:spacing w:before="0" w:after="0"/>
        <w:ind w:left="0" w:right="0" w:firstLine="450"/>
        <w:jc w:val="left"/>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cost of revenues in Healthcare of $1.1 million for the six months ended June 30, 2023 was primarily due to increases in employee-related costs of $2.8 million on account of higher headcount and wage inflation, partially offset by lower other operating costs of $0.4 million and foreign exchange gain, net of hedging of $1.3 million. Gross margin in Healthcare increased by 430 bps during the six months ended June 30, 2023, compared to the six months ended June 30, 2022, primarily due to higher revenues and foreign exchange gain, net of hedging during the six months ended June 30, 2023, compared to the six months ended June 30, 2022.</w:t>
      </w:r>
    </w:p>
    <w:p>
      <w:pPr>
        <w:pStyle w:val="TextBody"/>
        <w:bidi w:val="0"/>
        <w:spacing w:before="0" w:after="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cost of revenues in Emerging Business of $13.4 million for the six months ended June 30, 2023 was primarily due to increases in employee-related costs of $13.2 million on account of higher headcount and wage inflation, higher technology costs of $1.8 million on account of increased use of the hybrid and remote working models and higher other operating costs of $1.2 million, partially offset by foreign exchange gain, net of hedging of $2.8 million. Gross margin in Emerging Business increased by 240 bps during the six months ended June 30, 2023, compared to the six months ended June 30, 2022, primarily due to higher revenues and operational efficiencies during the six months ended June 30, 2023, compared to the six months ended June 30, 2022.</w:t>
      </w:r>
    </w:p>
    <w:p>
      <w:pPr>
        <w:pStyle w:val="TextBody"/>
        <w:bidi w:val="0"/>
        <w:spacing w:before="0" w:after="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cost of revenues in Analytics of $30.6 million for the six months ended June 30, 2023 was primarily due to increases in employee-related costs of $36.4 million on account of higher headcount and wage inflation, partially offset by lower other operating costs of $1.0 million and foreign exchange gain, net of hedging of $4.8 million. Gross margin in Analytics increased by 90 bps during the six months ended June 30, 2023, compared to the six months ended June 30, 2022, primarily due to higher revenues and foreign exchange gain, net of hedging during the six months ended June 30, 2023, compared to the six months ended June 30, 2022.</w:t>
      </w:r>
    </w:p>
    <w:p>
      <w:pPr>
        <w:pStyle w:val="TextBody"/>
        <w:bidi w:val="0"/>
        <w:spacing w:before="0" w:after="0"/>
        <w:ind w:left="0" w:right="0" w:firstLine="460"/>
        <w:jc w:val="both"/>
        <w:rPr/>
      </w:pPr>
      <w:r>
        <w:rPr/>
      </w:r>
    </w:p>
    <w:p>
      <w:pPr>
        <w:pStyle w:val="TextBody"/>
        <w:bidi w:val="0"/>
        <w:spacing w:before="0" w:after="0"/>
        <w:ind w:left="0" w:right="0" w:firstLine="4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972c7b333c94ee3bad0bd2154cbac49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0"/>
        <w:ind w:left="0" w:right="0" w:firstLine="460"/>
        <w:jc w:val="both"/>
        <w:rPr>
          <w:rFonts w:ascii="Times New Roman;sans-serif" w:hAnsi="Times New Roman;sans-serif"/>
          <w:b/>
          <w:i/>
          <w:color w:val="000000"/>
          <w:sz w:val="20"/>
        </w:rPr>
      </w:pPr>
      <w:r>
        <w:rPr>
          <w:rFonts w:ascii="Times New Roman;sans-serif" w:hAnsi="Times New Roman;sans-serif"/>
          <w:b/>
          <w:i/>
          <w:color w:val="000000"/>
          <w:sz w:val="20"/>
        </w:rPr>
        <w:t>Selling, General and Administrative (“SG&amp;A”) Expenses.</w:t>
      </w:r>
    </w:p>
    <w:tbl>
      <w:tblPr>
        <w:tblW w:w="9258" w:type="dxa"/>
        <w:jc w:val="left"/>
        <w:tblInd w:w="0" w:type="dxa"/>
        <w:tblLayout w:type="fixed"/>
        <w:tblCellMar>
          <w:top w:w="28" w:type="dxa"/>
          <w:left w:w="28" w:type="dxa"/>
          <w:bottom w:w="28" w:type="dxa"/>
          <w:right w:w="28" w:type="dxa"/>
        </w:tblCellMar>
      </w:tblPr>
      <w:tblGrid>
        <w:gridCol w:w="1354"/>
        <w:gridCol w:w="1189"/>
        <w:gridCol w:w="1192"/>
        <w:gridCol w:w="211"/>
        <w:gridCol w:w="616"/>
        <w:gridCol w:w="271"/>
        <w:gridCol w:w="109"/>
        <w:gridCol w:w="109"/>
        <w:gridCol w:w="109"/>
        <w:gridCol w:w="211"/>
        <w:gridCol w:w="616"/>
        <w:gridCol w:w="271"/>
        <w:gridCol w:w="109"/>
        <w:gridCol w:w="109"/>
        <w:gridCol w:w="109"/>
        <w:gridCol w:w="211"/>
        <w:gridCol w:w="511"/>
        <w:gridCol w:w="109"/>
        <w:gridCol w:w="109"/>
        <w:gridCol w:w="109"/>
        <w:gridCol w:w="109"/>
        <w:gridCol w:w="309"/>
        <w:gridCol w:w="309"/>
        <w:gridCol w:w="897"/>
      </w:tblGrid>
      <w:tr>
        <w:trPr/>
        <w:tc>
          <w:tcPr>
            <w:tcW w:w="1354"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change</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 percentage of revenues</w:t>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05"/>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SG&amp;A expenses of $21.4 million was primarily due to higher employee-related costs of $17.0 million on account of higher headcount and wage inflation, increase in travel costs of $2.0 million, higher technology costs of $1.1 million on account of increased use of the hybrid and remote working models and higher other operating costs of $3.5 million. This was partially offset by foreign exchange gain, net of hedging of $2.2 million, during the six months ended June 30, 2023, compared to the six months ended June 30, 2022.</w:t>
      </w:r>
    </w:p>
    <w:p>
      <w:pPr>
        <w:pStyle w:val="TextBody"/>
        <w:bidi w:val="0"/>
        <w:spacing w:before="0" w:after="0"/>
        <w:ind w:left="0" w:right="0" w:firstLine="450"/>
        <w:jc w:val="both"/>
        <w:rPr/>
      </w:pPr>
      <w:r>
        <w:rPr/>
      </w:r>
    </w:p>
    <w:p>
      <w:pPr>
        <w:pStyle w:val="TextBody"/>
        <w:bidi w:val="0"/>
        <w:spacing w:lineRule="auto" w:line="276" w:before="0" w:after="0"/>
        <w:ind w:left="0" w:right="0" w:firstLine="480"/>
        <w:jc w:val="both"/>
        <w:rPr>
          <w:rFonts w:ascii="Times New Roman;sans-serif" w:hAnsi="Times New Roman;sans-serif"/>
          <w:b/>
          <w:i/>
          <w:color w:val="000000"/>
          <w:sz w:val="20"/>
        </w:rPr>
      </w:pPr>
      <w:r>
        <w:rPr>
          <w:rFonts w:ascii="Times New Roman;sans-serif" w:hAnsi="Times New Roman;sans-serif"/>
          <w:b/>
          <w:i/>
          <w:color w:val="000000"/>
          <w:sz w:val="20"/>
        </w:rPr>
        <w:t>Depreciation and Amortization.</w:t>
      </w:r>
    </w:p>
    <w:tbl>
      <w:tblPr>
        <w:tblW w:w="8583" w:type="dxa"/>
        <w:jc w:val="left"/>
        <w:tblInd w:w="0" w:type="dxa"/>
        <w:tblLayout w:type="fixed"/>
        <w:tblCellMar>
          <w:top w:w="28" w:type="dxa"/>
          <w:left w:w="28" w:type="dxa"/>
          <w:bottom w:w="28" w:type="dxa"/>
          <w:right w:w="28" w:type="dxa"/>
        </w:tblCellMar>
      </w:tblPr>
      <w:tblGrid>
        <w:gridCol w:w="1195"/>
        <w:gridCol w:w="1051"/>
        <w:gridCol w:w="1054"/>
        <w:gridCol w:w="211"/>
        <w:gridCol w:w="511"/>
        <w:gridCol w:w="271"/>
        <w:gridCol w:w="109"/>
        <w:gridCol w:w="109"/>
        <w:gridCol w:w="109"/>
        <w:gridCol w:w="211"/>
        <w:gridCol w:w="511"/>
        <w:gridCol w:w="271"/>
        <w:gridCol w:w="109"/>
        <w:gridCol w:w="109"/>
        <w:gridCol w:w="109"/>
        <w:gridCol w:w="211"/>
        <w:gridCol w:w="481"/>
        <w:gridCol w:w="109"/>
        <w:gridCol w:w="109"/>
        <w:gridCol w:w="109"/>
        <w:gridCol w:w="109"/>
        <w:gridCol w:w="309"/>
        <w:gridCol w:w="309"/>
        <w:gridCol w:w="897"/>
      </w:tblGrid>
      <w:tr>
        <w:trPr/>
        <w:tc>
          <w:tcPr>
            <w:tcW w:w="1195"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change</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amortization expense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 percentage of revenues</w:t>
            </w:r>
          </w:p>
        </w:tc>
        <w:tc>
          <w:tcPr>
            <w:tcW w:w="72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05"/>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depreciation expense of $0.8 million was primarily due to foreign exchange gain, net of hedging during the six months ended June 30, 2023, compared to the six months ended June 30, 2022. The decrease in intangibles amortization expense of $0.3 million during the six months ended June 30, 2023, compared to the six months ended June 30, 2022 was primarily due to end of useful lives for certain intangible assets.</w:t>
      </w:r>
    </w:p>
    <w:p>
      <w:pPr>
        <w:pStyle w:val="TextBody"/>
        <w:bidi w:val="0"/>
        <w:spacing w:before="0" w:after="0"/>
        <w:ind w:left="0" w:right="0" w:firstLine="450"/>
        <w:jc w:val="both"/>
        <w:rPr/>
      </w:pPr>
      <w:r>
        <w:rPr/>
      </w:r>
    </w:p>
    <w:p>
      <w:pPr>
        <w:pStyle w:val="TextBody"/>
        <w:bidi w:val="0"/>
        <w:spacing w:lineRule="auto" w:line="288" w:before="0" w:after="0"/>
        <w:ind w:left="0" w:right="0" w:firstLine="460"/>
        <w:jc w:val="both"/>
        <w:rPr/>
      </w:pPr>
      <w:r>
        <w:rPr>
          <w:rFonts w:ascii="Times New Roman;sans-serif" w:hAnsi="Times New Roman;sans-serif"/>
          <w:b/>
          <w:i/>
          <w:color w:val="000000"/>
          <w:sz w:val="20"/>
        </w:rPr>
        <w:t>Income from Operations.</w:t>
      </w:r>
      <w:r>
        <w:rPr>
          <w:color w:val="000000"/>
        </w:rPr>
        <w:t xml:space="preserve"> </w:t>
      </w:r>
      <w:r>
        <w:rPr>
          <w:rFonts w:ascii="Times New Roman;sans-serif" w:hAnsi="Times New Roman;sans-serif"/>
          <w:b w:val="false"/>
          <w:color w:val="000000"/>
          <w:sz w:val="20"/>
        </w:rPr>
        <w:t>Income from operations increased by $33.3 million, or 36.5%, from $91.0 million for the six months ended June 30, 2022 to $124.3 million for the six months ended June 30, 2023, primarily due to higher revenues, partially offset by higher cost of revenues and higher SG&amp;A expenses during the six months ended June 30, 2023. As a percentage of revenues, income from operations increased from 13.5% for the six months ended June 30, 2022 to 15.4% for the six months ended June 30, 2023.</w:t>
      </w:r>
    </w:p>
    <w:p>
      <w:pPr>
        <w:pStyle w:val="TextBody"/>
        <w:bidi w:val="0"/>
        <w:spacing w:before="0" w:after="0"/>
        <w:jc w:val="both"/>
        <w:rPr/>
      </w:pPr>
      <w:r>
        <w:rPr/>
      </w:r>
    </w:p>
    <w:p>
      <w:pPr>
        <w:pStyle w:val="TextBody"/>
        <w:bidi w:val="0"/>
        <w:spacing w:lineRule="auto" w:line="288" w:before="0" w:after="0"/>
        <w:ind w:left="0" w:right="0" w:firstLine="450"/>
        <w:jc w:val="both"/>
        <w:rPr/>
      </w:pPr>
      <w:r>
        <w:rPr>
          <w:rFonts w:ascii="Times New Roman;sans-serif" w:hAnsi="Times New Roman;sans-serif"/>
          <w:b/>
          <w:i/>
          <w:color w:val="000000"/>
          <w:sz w:val="20"/>
        </w:rPr>
        <w:t xml:space="preserve">Foreign Exchange Gain, net. </w:t>
      </w:r>
      <w:r>
        <w:rPr>
          <w:rFonts w:ascii="Times New Roman;sans-serif" w:hAnsi="Times New Roman;sans-serif"/>
          <w:b w:val="false"/>
          <w:color w:val="000000"/>
          <w:sz w:val="20"/>
        </w:rPr>
        <w:t>Foreign exchange gains and losses are primarily attributable to the movement of the U.S. dollar against the Indian rupee, the Philippine peso, the U.K. pound sterling and the South African ZAR during the six months ended June 30, 2023, compared to the six months ended June 30, 2022. The average exchange rate of the U.S. dollar against the Indian rupee increased from 76.46 during the six months ended June 30, 2022 to 82.22 during the six months ended June 30, 2023. The average exchange rate of the U.S. dollar against the Philippine peso increased from 52.25 during the six months ended June 30, 2022 to 55.18 during the six months ended June 30, 2023. The average exchange rate of the U.K. pound sterling against the U.S. dollar decreased from 1.29 during the six months ended June 30, 2022 to 1.24 during the six months ended June 30, 2023. The average exchange rate of the U.S. dollar against the South African ZAR increased from 15.54 during the six months ended June 30, 2022 to 18.46 during the six months ended June 30, 2023.</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recorded a net foreign exchange gain, net of $3.2 million for the six months ended June 30, 2022, compared to the net foreign exchange gain, net of $0.4 million for the six months ended June 30, 2023.</w:t>
      </w:r>
    </w:p>
    <w:p>
      <w:pPr>
        <w:pStyle w:val="TextBody"/>
        <w:bidi w:val="0"/>
        <w:spacing w:before="0" w:after="0"/>
        <w:jc w:val="both"/>
        <w:rPr/>
      </w:pPr>
      <w:r>
        <w:rPr/>
      </w:r>
    </w:p>
    <w:p>
      <w:pPr>
        <w:pStyle w:val="TextBody"/>
        <w:bidi w:val="0"/>
        <w:spacing w:lineRule="auto" w:line="276" w:before="0" w:after="0"/>
        <w:ind w:left="0" w:right="0" w:firstLine="460"/>
        <w:jc w:val="both"/>
        <w:rPr/>
      </w:pPr>
      <w:r>
        <w:rPr>
          <w:rFonts w:ascii="Times New Roman;sans-serif" w:hAnsi="Times New Roman;sans-serif"/>
          <w:b/>
          <w:i/>
          <w:color w:val="000000"/>
          <w:sz w:val="20"/>
        </w:rPr>
        <w:t xml:space="preserve">Interest expense. </w:t>
      </w:r>
      <w:r>
        <w:rPr>
          <w:rFonts w:ascii="Times New Roman;sans-serif" w:hAnsi="Times New Roman;sans-serif"/>
          <w:b w:val="false"/>
          <w:color w:val="000000"/>
          <w:sz w:val="20"/>
        </w:rPr>
        <w:t xml:space="preserve">Interest expense increased from $2.4 million for the six months ended June 30, 2022 to $6.6 million for the six months ended June 30, 2023, primarily due to a higher effective interest rate of 6.1% during the six months ended June 30, 2023, compared to 1.7% during the six months ended June 30, 2022, partially offset by a lower average outstanding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972c7b333c94ee3bad0bd2154cbac49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balance under our revolving credit facility during the six months ended June 30, 2023, compared to the six months ended June 30, 2022.</w:t>
      </w:r>
    </w:p>
    <w:p>
      <w:pPr>
        <w:pStyle w:val="TextBody"/>
        <w:bidi w:val="0"/>
        <w:spacing w:before="0" w:after="0"/>
        <w:ind w:left="0" w:right="0" w:firstLine="460"/>
        <w:jc w:val="both"/>
        <w:rPr/>
      </w:pPr>
      <w:r>
        <w:rPr/>
      </w:r>
    </w:p>
    <w:p>
      <w:pPr>
        <w:pStyle w:val="TextBody"/>
        <w:bidi w:val="0"/>
        <w:spacing w:lineRule="auto" w:line="276" w:before="0" w:after="0"/>
        <w:ind w:left="0" w:right="0" w:firstLine="480"/>
        <w:jc w:val="both"/>
        <w:rPr>
          <w:rFonts w:ascii="Times New Roman;sans-serif" w:hAnsi="Times New Roman;sans-serif"/>
          <w:b/>
          <w:i/>
          <w:color w:val="000000"/>
          <w:sz w:val="20"/>
        </w:rPr>
      </w:pPr>
      <w:r>
        <w:rPr>
          <w:rFonts w:ascii="Times New Roman;sans-serif" w:hAnsi="Times New Roman;sans-serif"/>
          <w:b/>
          <w:i/>
          <w:color w:val="000000"/>
          <w:sz w:val="20"/>
        </w:rPr>
        <w:t>Other Income/(Loss), net.</w:t>
      </w:r>
    </w:p>
    <w:p>
      <w:pPr>
        <w:pStyle w:val="TextBody"/>
        <w:bidi w:val="0"/>
        <w:spacing w:before="0" w:after="0"/>
        <w:ind w:left="0" w:right="0" w:firstLine="480"/>
        <w:jc w:val="both"/>
        <w:rPr/>
      </w:pPr>
      <w:r>
        <w:rPr/>
      </w:r>
    </w:p>
    <w:tbl>
      <w:tblPr>
        <w:tblW w:w="8954" w:type="dxa"/>
        <w:jc w:val="left"/>
        <w:tblInd w:w="0" w:type="dxa"/>
        <w:tblLayout w:type="fixed"/>
        <w:tblCellMar>
          <w:top w:w="28" w:type="dxa"/>
          <w:left w:w="28" w:type="dxa"/>
          <w:bottom w:w="28" w:type="dxa"/>
          <w:right w:w="28" w:type="dxa"/>
        </w:tblCellMar>
      </w:tblPr>
      <w:tblGrid>
        <w:gridCol w:w="1462"/>
        <w:gridCol w:w="1285"/>
        <w:gridCol w:w="1288"/>
        <w:gridCol w:w="240"/>
        <w:gridCol w:w="462"/>
        <w:gridCol w:w="124"/>
        <w:gridCol w:w="124"/>
        <w:gridCol w:w="124"/>
        <w:gridCol w:w="124"/>
        <w:gridCol w:w="240"/>
        <w:gridCol w:w="462"/>
        <w:gridCol w:w="124"/>
        <w:gridCol w:w="109"/>
        <w:gridCol w:w="109"/>
        <w:gridCol w:w="109"/>
        <w:gridCol w:w="211"/>
        <w:gridCol w:w="406"/>
        <w:gridCol w:w="109"/>
        <w:gridCol w:w="109"/>
        <w:gridCol w:w="109"/>
        <w:gridCol w:w="109"/>
        <w:gridCol w:w="309"/>
        <w:gridCol w:w="309"/>
        <w:gridCol w:w="897"/>
      </w:tblGrid>
      <w:tr>
        <w:trPr/>
        <w:tc>
          <w:tcPr>
            <w:tcW w:w="1462"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change</w:t>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and mark-to-market on investments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46.5 </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dividend income</w:t>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52.2 </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160.0 </w:t>
            </w:r>
          </w:p>
        </w:tc>
        <w:tc>
          <w:tcPr>
            <w:tcW w:w="8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48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net increased by $3.6 million, from $2.2 million for the six months ended June 30, 2022 to $5.8 million for the six months ended June 30, 2023. The increase is primarily due to higher return on mutual fund investments of $0.8 million, higher interest income on our short-term and long-term investments of $1.5 million, higher dividend income on our investments in money market funds of $0.3 million during the six months ended June 30, 2023, partially offset by interest on income tax refunds of $0.7 million received during the six months ended June 30, 2022. There was also an increase of $0.4 million due to higher amortization of actuarial losses related to our employee benefit plans and an increase of $1.0 million due to change in fair value of contingent consideration liability related to our Clairvoyant acquisition during the six months ended June 30, 2022.</w:t>
      </w:r>
    </w:p>
    <w:p>
      <w:pPr>
        <w:pStyle w:val="TextBody"/>
        <w:bidi w:val="0"/>
        <w:spacing w:before="0" w:after="0"/>
        <w:ind w:left="0" w:right="0" w:firstLine="450"/>
        <w:jc w:val="both"/>
        <w:rPr/>
      </w:pPr>
      <w:r>
        <w:rPr/>
      </w:r>
    </w:p>
    <w:p>
      <w:pPr>
        <w:pStyle w:val="TextBody"/>
        <w:bidi w:val="0"/>
        <w:spacing w:lineRule="auto" w:line="268" w:before="0" w:after="0"/>
        <w:ind w:left="0" w:right="0" w:firstLine="460"/>
        <w:jc w:val="both"/>
        <w:rPr/>
      </w:pPr>
      <w:r>
        <w:rPr>
          <w:rFonts w:ascii="Times New Roman;sans-serif" w:hAnsi="Times New Roman;sans-serif"/>
          <w:b/>
          <w:i/>
          <w:color w:val="000000"/>
          <w:sz w:val="20"/>
        </w:rPr>
        <w:t>Income Tax Expense.</w:t>
      </w:r>
      <w:r>
        <w:rPr>
          <w:color w:val="000000"/>
        </w:rPr>
        <w:t xml:space="preserve"> </w:t>
      </w:r>
      <w:r>
        <w:rPr>
          <w:rFonts w:ascii="Times New Roman;sans-serif" w:hAnsi="Times New Roman;sans-serif"/>
          <w:b w:val="false"/>
          <w:color w:val="000000"/>
          <w:sz w:val="20"/>
        </w:rPr>
        <w:t>The effective tax rate decreased from 23.7% during the six months ended June 30, 2022 to 19.1% during the six months ended June 30, 2023. We recorded income tax expense of $23.6 million and $22.3 million for the six months ended June 30, 2023 and 2022, respectively. The increase in income tax expense was primarily as a result of higher profit during the six months ended June 30, 2023, compared to the six months ended June 30, 2022, and an increase in non-deductible expenses, partially offset by higher excess tax benefits related to stock-based compensation during the six months ended June 30, 2023, compared to the six months ended June 30, 2022.</w:t>
      </w:r>
    </w:p>
    <w:p>
      <w:pPr>
        <w:pStyle w:val="TextBody"/>
        <w:bidi w:val="0"/>
        <w:spacing w:before="0" w:after="0"/>
        <w:ind w:left="0" w:right="0" w:firstLine="460"/>
        <w:jc w:val="both"/>
        <w:rPr/>
      </w:pPr>
      <w:r>
        <w:rPr/>
      </w:r>
    </w:p>
    <w:p>
      <w:pPr>
        <w:pStyle w:val="TextBody"/>
        <w:bidi w:val="0"/>
        <w:spacing w:lineRule="auto" w:line="268" w:before="0" w:after="0"/>
        <w:ind w:left="0" w:right="0" w:firstLine="450"/>
        <w:jc w:val="both"/>
        <w:rPr/>
      </w:pPr>
      <w:r>
        <w:rPr>
          <w:rFonts w:ascii="Times New Roman;sans-serif" w:hAnsi="Times New Roman;sans-serif"/>
          <w:b/>
          <w:i/>
          <w:color w:val="000000"/>
          <w:sz w:val="20"/>
        </w:rPr>
        <w:t xml:space="preserve">Net Income. </w:t>
      </w:r>
      <w:r>
        <w:rPr>
          <w:rFonts w:ascii="Times New Roman;sans-serif" w:hAnsi="Times New Roman;sans-serif"/>
          <w:b w:val="false"/>
          <w:color w:val="000000"/>
          <w:sz w:val="20"/>
        </w:rPr>
        <w:t>Net income increased from $72.0 million for the six months ended June 30, 2022 to $100.4 million for the six months ended June 30, 2023, primarily due to increase in income from operations of $33.3 million and higher other income, net of $3.4 million, partially offset by higher interest expense of $4.2 million, lower foreign exchange gain, net of $2.8 million and higher income tax expense of $1.3 million. As a percentage of revenues, net income increased from 10.7% for the six months ended June 30, 2022 to 12.5% for the six months ended June 30,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972c7b333c94ee3bad0bd2154cbac49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pPr>
      <w:r>
        <w:rPr>
          <w:rFonts w:ascii="Times New Roman;sans-serif" w:hAnsi="Times New Roman;sans-serif"/>
          <w:b/>
          <w:i/>
          <w:color w:val="000000"/>
          <w:sz w:val="20"/>
        </w:rPr>
        <w:t>Liquidity</w:t>
      </w:r>
      <w:r>
        <w:rPr>
          <w:color w:val="000000"/>
        </w:rPr>
        <w:t xml:space="preserve"> </w:t>
      </w:r>
      <w:r>
        <w:rPr>
          <w:rFonts w:ascii="Times New Roman;sans-serif" w:hAnsi="Times New Roman;sans-serif"/>
          <w:b/>
          <w:i/>
          <w:color w:val="000000"/>
          <w:sz w:val="20"/>
        </w:rPr>
        <w:t>and Capital Resources</w:t>
      </w:r>
    </w:p>
    <w:tbl>
      <w:tblPr>
        <w:tblW w:w="6518" w:type="dxa"/>
        <w:jc w:val="left"/>
        <w:tblInd w:w="0" w:type="dxa"/>
        <w:tblLayout w:type="fixed"/>
        <w:tblCellMar>
          <w:top w:w="28" w:type="dxa"/>
          <w:left w:w="28" w:type="dxa"/>
          <w:bottom w:w="28" w:type="dxa"/>
          <w:right w:w="28" w:type="dxa"/>
        </w:tblCellMar>
      </w:tblPr>
      <w:tblGrid>
        <w:gridCol w:w="1548"/>
        <w:gridCol w:w="1359"/>
        <w:gridCol w:w="1367"/>
        <w:gridCol w:w="211"/>
        <w:gridCol w:w="616"/>
        <w:gridCol w:w="109"/>
        <w:gridCol w:w="109"/>
        <w:gridCol w:w="109"/>
        <w:gridCol w:w="109"/>
        <w:gridCol w:w="211"/>
        <w:gridCol w:w="616"/>
        <w:gridCol w:w="154"/>
      </w:tblGrid>
      <w:tr>
        <w:trPr/>
        <w:tc>
          <w:tcPr>
            <w:tcW w:w="1548"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Opening cash, cash equivalents and restricted cash</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by/(used for) investing activities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for financing activities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Closing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and 2022, we had $250.0 million and $266.0 million, respectively, in cash, cash equivalents and short-term investments, of which $224.0 million and $242.0 million, respectively, is located in foreign jurisdictions that upon distribution may be subject to withholding and other taxes. We periodically evaluate opportunities to distribute cash among our group entities to fund our operations, expand our business and make strategic acquisitions in the United States and other geographies, and as and when we decide to distribute, we may have to accrue additional taxes in accordance with local tax laws, rules and regulations in the relevant foreign jurisdictions. During the six months ended June 30, 2023, our subsidiaries in India, the United Kingdom and Australia repatriated $76.0 million (net of $4.0 million withholding taxes), $15.6 million and $9.1 million, respectively, to the United States. These distributions do not constitute a change in our permanent reinvestment assertion.</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pPr>
      <w:r>
        <w:rPr>
          <w:rFonts w:ascii="Times New Roman;sans-serif" w:hAnsi="Times New Roman;sans-serif"/>
          <w:b w:val="false"/>
          <w:i/>
          <w:color w:val="000000"/>
          <w:sz w:val="20"/>
        </w:rPr>
        <w:t>Operating Activities:</w:t>
      </w:r>
      <w:r>
        <w:rPr>
          <w:color w:val="000000"/>
        </w:rPr>
        <w:t xml:space="preserve"> </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was $63.6 million for the six months ended June 30, 2023 as compared to net cash provided by operating activities of $53.1 million for the six months ended June 30, 2022, reflecting our cash earnings and effective management of working capital needs. The major drivers contributing to the increase of $10.5 million year-over-year included the following:</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Increase in cash earnings including adjustments for non-cash and other items contributed higher cash flow of $29.0 million during the six months ended June 30, 2023 compared to the six months ended June 30, 2022. These adjustments comprise of deferred tax effects, depreciation and amortization of long-lived assets and intangibles acquired in business combinations, share-based employee compensation, unrealized foreign currency exchange gain/(loss), unrealized gain/(loss) on investments, among others.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Changes in accounts receivable, including advance billings, contributed higher cash flow of $19.1 million in the six months ended June 30, 2023 compared to the six months ended June 30, 2022. Collections in accounts receivable, including advance billings, was driven by revenue growth during the six months ended June 30, 2023. This was partially offset by increase in our days sales outstanding which was 63 days as of June 30, 2023 as compared to 60 days as of June 30, 2022.</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Higher income tax payments, net of refunds, contributed higher cash payouts of $39.0 million, partially offset by provision for income tax and changes in deferred tax assets and liabilities of $19.7 million during the six months ended June 30, 2023 compared to the six months ended June 30, 2022.</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Changes in other assets, accounts payables including other liabilities contributed higher cash payouts of $18.3 million during the six months ended June 30, 2023 compared to the six months ended June 30, 2022.</w:t>
      </w:r>
    </w:p>
    <w:p>
      <w:pPr>
        <w:pStyle w:val="TextBody"/>
        <w:bidi w:val="0"/>
        <w:spacing w:before="0" w:after="0"/>
        <w:jc w:val="left"/>
        <w:rPr/>
      </w:pPr>
      <w:r>
        <w:rPr/>
      </w:r>
    </w:p>
    <w:p>
      <w:pPr>
        <w:pStyle w:val="TextBody"/>
        <w:bidi w:val="0"/>
        <w:spacing w:lineRule="auto" w:line="268" w:before="0" w:after="0"/>
        <w:ind w:left="0" w:right="0" w:firstLine="450"/>
        <w:jc w:val="both"/>
        <w:rPr/>
      </w:pPr>
      <w:r>
        <w:rPr>
          <w:rFonts w:ascii="Times New Roman;sans-serif" w:hAnsi="Times New Roman;sans-serif"/>
          <w:b w:val="false"/>
          <w:i/>
          <w:color w:val="000000"/>
          <w:sz w:val="20"/>
        </w:rPr>
        <w:t xml:space="preserve">Investing Activities: </w:t>
      </w:r>
      <w:r>
        <w:rPr>
          <w:rFonts w:ascii="Times New Roman;sans-serif" w:hAnsi="Times New Roman;sans-serif"/>
          <w:b w:val="false"/>
          <w:color w:val="000000"/>
          <w:sz w:val="20"/>
        </w:rPr>
        <w:t>Cash provided by investing activities were $11.8 million for the six months ended June 30, 2023 as compared to cash used for investing activities of $41.0 million for the six months ended June 30, 2022. The increase in cash provided by investing activities of $52.8 million year-over-year is mainly due to higher net redemption of investments of $37.4 million during six months ended June 30, 2023 as compared to net purchase of investments of $13.5 million during the six months ended June 30, 2022. The increase was also due to acquisition-related payouts of $2.6 million during the six months ended June 30, 2022 with no corresponding payouts during the six months ended June 30, 2023.</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972c7b333c94ee3bad0bd2154cbac49_7">
        <w:r>
          <w:rPr>
            <w:rStyle w:val="InternetLink"/>
            <w:rFonts w:ascii="Times New Roman;sans-serif" w:hAnsi="Times New Roman;sans-serif"/>
            <w:b/>
            <w:color w:val="0000FF"/>
            <w:sz w:val="20"/>
            <w:u w:val="single"/>
          </w:rPr>
          <w:t>Table of Contents</w:t>
        </w:r>
      </w:hyperlink>
    </w:p>
    <w:p>
      <w:pPr>
        <w:pStyle w:val="TextBody"/>
        <w:bidi w:val="0"/>
        <w:spacing w:lineRule="auto" w:line="268" w:before="0" w:after="0"/>
        <w:ind w:left="0" w:right="0" w:firstLine="450"/>
        <w:jc w:val="both"/>
        <w:rPr/>
      </w:pPr>
      <w:r>
        <w:rPr>
          <w:rFonts w:ascii="Times New Roman;sans-serif" w:hAnsi="Times New Roman;sans-serif"/>
          <w:b w:val="false"/>
          <w:i/>
          <w:color w:val="000000"/>
          <w:sz w:val="20"/>
        </w:rPr>
        <w:t>Financing Activities:</w:t>
      </w:r>
      <w:r>
        <w:rPr>
          <w:color w:val="000000"/>
        </w:rPr>
        <w:t xml:space="preserve"> </w:t>
      </w:r>
      <w:r>
        <w:rPr>
          <w:rFonts w:ascii="Times New Roman;sans-serif" w:hAnsi="Times New Roman;sans-serif"/>
          <w:b w:val="false"/>
          <w:color w:val="000000"/>
          <w:sz w:val="20"/>
        </w:rPr>
        <w:t>Cash used for financing activities were $101.8 million during the six months ended June 30, 2023 as compared to cash used for financing activities of $35.3 million during the six months ended June 30, 2022. The increase in cash used of $66.5 million year-over-year was primarily due to net repayment of our borrowings under our revolving credit facility of $30.0 million during the six months ended June 30, 2023 as compared to net proceeds of our borrowings of $25.0 million during the six months ended June 30, 2022. The increase was also due to higher purchases of treasury stock by $10.4 million under our share repurchase program, payment of contingent consideration related to our Clairvoyant acquisition of $5.0 million during the six months ended June 30, 2023, partially offset by employees’ contributions under the employee stock purchase plan of $3.8 million during the six months ended June 30, 2023.</w:t>
      </w:r>
    </w:p>
    <w:p>
      <w:pPr>
        <w:pStyle w:val="TextBody"/>
        <w:bidi w:val="0"/>
        <w:spacing w:before="0" w:after="0"/>
        <w:ind w:left="0" w:right="0" w:firstLine="450"/>
        <w:jc w:val="both"/>
        <w:rPr/>
      </w:pPr>
      <w:r>
        <w:rPr/>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use cash from operating activities to maintain and expand our business by making investments, primarily related to building new digital capabilities and purchase telecommunications equipment and computer hardware and software in connection with managing client operations.</w:t>
      </w:r>
    </w:p>
    <w:p>
      <w:pPr>
        <w:pStyle w:val="TextBody"/>
        <w:bidi w:val="0"/>
        <w:spacing w:before="0" w:after="0"/>
        <w:jc w:val="both"/>
        <w:rPr/>
      </w:pPr>
      <w:r>
        <w:rPr/>
      </w:r>
    </w:p>
    <w:p>
      <w:pPr>
        <w:pStyle w:val="TextBody"/>
        <w:bidi w:val="0"/>
        <w:spacing w:lineRule="auto" w:line="276" w:before="0" w:after="0"/>
        <w:ind w:left="0" w:right="0" w:firstLine="450"/>
        <w:jc w:val="both"/>
        <w:rPr/>
      </w:pPr>
      <w:r>
        <w:rPr>
          <w:rFonts w:ascii="Times New Roman;sans-serif" w:hAnsi="Times New Roman;sans-serif"/>
          <w:b w:val="false"/>
          <w:color w:val="000000"/>
          <w:sz w:val="20"/>
          <w:shd w:fill="FFFFFF" w:val="clear"/>
        </w:rPr>
        <w:t xml:space="preserve">We incurred </w:t>
      </w:r>
      <w:r>
        <w:rPr>
          <w:rFonts w:ascii="Times New Roman;sans-serif" w:hAnsi="Times New Roman;sans-serif"/>
          <w:b w:val="false"/>
          <w:color w:val="000000"/>
          <w:sz w:val="20"/>
        </w:rPr>
        <w:t>$26.1 million</w:t>
      </w:r>
      <w:r>
        <w:rPr>
          <w:color w:val="000000"/>
          <w:shd w:fill="FFFFFF" w:val="clear"/>
        </w:rPr>
        <w:t xml:space="preserve"> </w:t>
      </w:r>
      <w:r>
        <w:rPr>
          <w:rFonts w:ascii="Times New Roman;sans-serif" w:hAnsi="Times New Roman;sans-serif"/>
          <w:b w:val="false"/>
          <w:color w:val="000000"/>
          <w:sz w:val="20"/>
          <w:shd w:fill="FFFFFF" w:val="clear"/>
        </w:rPr>
        <w:t>of capital expenditures during the six months ended June 30, 2023. We expect to incur total capital expenditures of between $47.0 million to $52.0 million in 2023, primarily to meet our growth requirements, including additions to our facilities as well as investments in technology applications, product development, digital technology, advanced automation, robotics and infrastructure.</w:t>
      </w:r>
    </w:p>
    <w:p>
      <w:pPr>
        <w:pStyle w:val="TextBody"/>
        <w:bidi w:val="0"/>
        <w:spacing w:before="0" w:after="0"/>
        <w:ind w:left="0" w:right="0" w:firstLine="450"/>
        <w:jc w:val="both"/>
        <w:rPr/>
      </w:pPr>
      <w:r>
        <w:rPr/>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any tax assessment orders that have been issued, or may be issued against us or our subsidiaries, we may be required to deposit additional amounts with the relevant authorities with respect to such assessment orders (see Note 25 - Commitments and Contingencies to our unaudited consolidated financial statements herein for further details).</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existing cash, cash equivalents and short-term investments and sources of liquidity will be sufficient to satisfy our cash requirements over the next 12 months. Our future cash requirements will depend on many factors, including our rate of revenue growth, our investments in strategic initiatives, applications or technologies, operation centers and acquisition of complementary businesses, continued stock repurchases under our board-authorized stock repurchase program, which may require the use of significant cash resources and/or additional financing. We anticipate that we will continue to rely upon cash from operating activities to finance most of our above mentioned requirements, although if we have significant growth through acquisitions, we may need to obtain additional financing.</w:t>
      </w:r>
    </w:p>
    <w:p>
      <w:pPr>
        <w:pStyle w:val="TextBody"/>
        <w:bidi w:val="0"/>
        <w:spacing w:before="0" w:after="0"/>
        <w:ind w:left="0" w:right="0" w:firstLine="450"/>
        <w:jc w:val="both"/>
        <w:rPr/>
      </w:pPr>
      <w:r>
        <w:rPr/>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we enter into contracts and commitments that obligate us to make payments in the future. These obligations include borrowings, including interest obligations, purchase commitments, operating and finance lease commitments, employee benefit payments under gratuity plans, payments for contingent consideration and uncertain tax positions. See Note 16 - Fair Value Measurements - Fair Value of Contingent Consideration, Note 18 - Borrowings, Note 21 - Leases and Note 25 - Commitments and Contingencies to our unaudited consolidated financial statements herein for further information on material cash requirements from known contractual and other obligations.</w:t>
      </w:r>
    </w:p>
    <w:p>
      <w:pPr>
        <w:pStyle w:val="TextBody"/>
        <w:bidi w:val="0"/>
        <w:spacing w:before="0" w:after="0"/>
        <w:ind w:left="0" w:right="0" w:firstLine="450"/>
        <w:jc w:val="both"/>
        <w:rPr/>
      </w:pPr>
      <w:r>
        <w:rPr/>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we provide standby letters of credit to third parties primarily for facility leases. As of June 30, 2023 and December 31, 2022, we had outstanding letters of credit of $0.5 million, each, that were not recognized in our consolidated balance sheets. These are unlikely to have, a current or future material effect on our financial condition, revenues or expenses, results of operations, liquidity, capital expenditures or capital resources. We had no other off-balance sheet arrangements or obligations.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Financing Arrangements (Debt Facility)</w:t>
      </w:r>
    </w:p>
    <w:p>
      <w:pPr>
        <w:pStyle w:val="TextBody"/>
        <w:bidi w:val="0"/>
        <w:spacing w:lineRule="auto" w:line="417" w:before="180" w:after="283"/>
        <w:ind w:left="0" w:right="0" w:firstLine="45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summarizes our debt position:</w:t>
      </w:r>
    </w:p>
    <w:tbl>
      <w:tblPr>
        <w:tblW w:w="7180" w:type="dxa"/>
        <w:jc w:val="left"/>
        <w:tblInd w:w="0" w:type="dxa"/>
        <w:tblLayout w:type="fixed"/>
        <w:tblCellMar>
          <w:top w:w="28" w:type="dxa"/>
          <w:left w:w="28" w:type="dxa"/>
          <w:bottom w:w="28" w:type="dxa"/>
          <w:right w:w="28" w:type="dxa"/>
        </w:tblCellMar>
      </w:tblPr>
      <w:tblGrid>
        <w:gridCol w:w="1227"/>
        <w:gridCol w:w="1080"/>
        <w:gridCol w:w="1083"/>
        <w:gridCol w:w="338"/>
        <w:gridCol w:w="987"/>
        <w:gridCol w:w="174"/>
        <w:gridCol w:w="109"/>
        <w:gridCol w:w="109"/>
        <w:gridCol w:w="109"/>
        <w:gridCol w:w="422"/>
        <w:gridCol w:w="1234"/>
        <w:gridCol w:w="308"/>
      </w:tblGrid>
      <w:tr>
        <w:trPr/>
        <w:tc>
          <w:tcPr>
            <w:tcW w:w="1227"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June 30,2023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2022</w:t>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Revolving credit facility</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borrowings</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borrowings</w:t>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borrowings</w:t>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See Note 18 - Borrowings to our unaudited consolidated financial statements herein for further details.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972c7b333c94ee3bad0bd2154cbac49_7">
        <w:r>
          <w:rPr>
            <w:rStyle w:val="InternetLink"/>
            <w:rFonts w:ascii="Times New Roman;sans-serif" w:hAnsi="Times New Roman;sans-serif"/>
            <w:b/>
            <w:color w:val="0000FF"/>
            <w:sz w:val="20"/>
            <w:u w:val="single"/>
          </w:rPr>
          <w:t>Table of Contents</w:t>
        </w:r>
      </w:hyperlink>
    </w:p>
    <w:p>
      <w:pPr>
        <w:pStyle w:val="TextBody"/>
        <w:bidi w:val="0"/>
        <w:spacing w:before="180" w:after="283"/>
        <w:ind w:left="0" w:right="0" w:firstLine="450"/>
        <w:jc w:val="both"/>
        <w:rPr/>
      </w:pPr>
      <w:r>
        <w:rPr/>
      </w:r>
    </w:p>
    <w:p>
      <w:pPr>
        <w:pStyle w:val="TextBody"/>
        <w:bidi w:val="0"/>
        <w:spacing w:lineRule="auto" w:line="288" w:before="180" w:after="283"/>
        <w:ind w:left="0" w:right="0" w:firstLine="450"/>
        <w:jc w:val="both"/>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For a description of recent accounting pronouncements, see Note 2 - Summary of Significant Accounting Policies - Recent Accounting Pronouncements to our unaudited consolidated financial statements contained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972c7b333c94ee3bad0bd2154cbac49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before="0" w:after="0"/>
        <w:ind w:left="0" w:right="0" w:firstLine="495"/>
        <w:jc w:val="left"/>
        <w:rPr/>
      </w:pPr>
      <w:r>
        <w:rPr/>
      </w:r>
    </w:p>
    <w:p>
      <w:pPr>
        <w:pStyle w:val="TextBody"/>
        <w:bidi w:val="0"/>
        <w:spacing w:lineRule="auto" w:line="26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30, 2023, there were no material changes in our market risk exposure. For a discussion of our market risk associated with exchange rate risk and interest rate risk, see Part II, Item 7A “Quantitative and Qualitative Disclosures About Market Risk” in our Annual Report on Form 10-K for the fiscal year ended December 31, 2022.</w:t>
      </w:r>
    </w:p>
    <w:p>
      <w:pPr>
        <w:pStyle w:val="TextBody"/>
        <w:bidi w:val="0"/>
        <w:spacing w:before="120" w:after="283"/>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before="120" w:after="283"/>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disclosure controls and procedures that are designed to ensure that information required to be disclosed in the reports the Company files or submits under the Securities Exchange Act of 1934, as amended (the “Exchange Act”) is recorded, processed, summarized and reported within the time periods specified in the U.S. Securities and Exchange Commission’s rules and forms, and that such information is accumulated and communicated to the Company’s management, including its Chief Executive Officer (“CEO”) and Chief Financial Officer (“CFO”), to allow timely decisions regarding required disclosure. In connection with the preparation of this Quarterly Report on Form 10-Q, the Company’s management carried out an evaluation, under the supervision and with the participation of the CEO and CFO, of the effectiveness and operation of the Company’s disclosure controls and procedures as of June 30, 2023. Based upon that evaluation, the CEO and CFO have concluded that the Company’s disclosure controls and procedures, as of June 30, 2023, were effective.</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before="0" w:after="0"/>
        <w:ind w:left="0" w:right="0" w:firstLine="540"/>
        <w:jc w:val="both"/>
        <w:rPr/>
      </w:pPr>
      <w:r>
        <w:rPr/>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30, 2023, there were no changes in our internal control over financial reporting (as defined in Rules 13a-15(f) and 15d-15(f) under the Exchange Act) that have materially affected, or are reasonably likely to materially affect, our internal control over financial reporting.</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II.     OTHER INFORMATION</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before="0" w:after="0"/>
        <w:jc w:val="left"/>
        <w:rPr/>
      </w:pPr>
      <w:r>
        <w:rPr/>
      </w:r>
    </w:p>
    <w:p>
      <w:pPr>
        <w:pStyle w:val="TextBody"/>
        <w:bidi w:val="0"/>
        <w:spacing w:lineRule="auto" w:line="288" w:before="0" w:after="0"/>
        <w:ind w:left="0" w:right="0" w:firstLine="450"/>
        <w:jc w:val="both"/>
        <w:rPr/>
      </w:pPr>
      <w:r>
        <w:rPr>
          <w:rFonts w:ascii="Times New Roman;sans-serif" w:hAnsi="Times New Roman;sans-serif"/>
          <w:b w:val="false"/>
          <w:color w:val="000000"/>
          <w:sz w:val="20"/>
        </w:rPr>
        <w:t>In the course of our normal business activities, various lawsuits, claims and proceedings may be instituted or asserted against us. Although there can be no assurance, we believe that the disposition of matters currently instituted or asserted will not have a material adverse effect on our consolidated financial position, results of operations or cash flows. See Note 25 - Commitments and Contingencies</w:t>
      </w:r>
      <w:r>
        <w:rPr>
          <w:color w:val="000000"/>
        </w:rPr>
        <w:t xml:space="preserve"> </w:t>
      </w:r>
      <w:r>
        <w:rPr>
          <w:rFonts w:ascii="Times New Roman;sans-serif" w:hAnsi="Times New Roman;sans-serif"/>
          <w:b w:val="false"/>
          <w:color w:val="000000"/>
          <w:sz w:val="20"/>
        </w:rPr>
        <w:t>to our unaudited consolidated financial statements contained herein for details regarding our tax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jc w:val="left"/>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have disclosed under the heading “Risk Factors” in our Annual Report on Form 10-K for the fiscal year ended December 31, 2022, a number of risks which may materially affect our business, financial condition or results of operations. You should carefully consider those risk factors and the other information set forth elsewhere in this Quarterly Report on Form 10-Q. You should be aware that these risk factors and other information may not describe every risk facing our Company. Additional risks and uncertainties not currently known to us may also materially adversely affect our business, financial condition and/or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Unregistered Sales of Equity Securities</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Use of Proceeds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972c7b333c94ee3bad0bd2154cbac49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Purchases of Equity Securities by the Issuer</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30, 2023, purchases of common stock were as follows:</w:t>
      </w:r>
    </w:p>
    <w:tbl>
      <w:tblPr>
        <w:tblW w:w="10205" w:type="dxa"/>
        <w:jc w:val="center"/>
        <w:tblInd w:w="0" w:type="dxa"/>
        <w:tblLayout w:type="fixed"/>
        <w:tblCellMar>
          <w:top w:w="28" w:type="dxa"/>
          <w:left w:w="28" w:type="dxa"/>
          <w:bottom w:w="28" w:type="dxa"/>
          <w:right w:w="28" w:type="dxa"/>
        </w:tblCellMar>
      </w:tblPr>
      <w:tblGrid>
        <w:gridCol w:w="349"/>
        <w:gridCol w:w="306"/>
        <w:gridCol w:w="310"/>
        <w:gridCol w:w="109"/>
        <w:gridCol w:w="109"/>
        <w:gridCol w:w="109"/>
        <w:gridCol w:w="490"/>
        <w:gridCol w:w="326"/>
        <w:gridCol w:w="130"/>
        <w:gridCol w:w="130"/>
        <w:gridCol w:w="130"/>
        <w:gridCol w:w="130"/>
        <w:gridCol w:w="261"/>
        <w:gridCol w:w="484"/>
        <w:gridCol w:w="130"/>
        <w:gridCol w:w="109"/>
        <w:gridCol w:w="109"/>
        <w:gridCol w:w="109"/>
        <w:gridCol w:w="494"/>
        <w:gridCol w:w="340"/>
        <w:gridCol w:w="316"/>
        <w:gridCol w:w="119"/>
        <w:gridCol w:w="119"/>
        <w:gridCol w:w="119"/>
        <w:gridCol w:w="231"/>
        <w:gridCol w:w="790"/>
        <w:gridCol w:w="119"/>
        <w:gridCol w:w="109"/>
        <w:gridCol w:w="109"/>
        <w:gridCol w:w="109"/>
        <w:gridCol w:w="544"/>
        <w:gridCol w:w="339"/>
        <w:gridCol w:w="341"/>
        <w:gridCol w:w="109"/>
        <w:gridCol w:w="109"/>
        <w:gridCol w:w="109"/>
        <w:gridCol w:w="250"/>
        <w:gridCol w:w="1407"/>
        <w:gridCol w:w="193"/>
      </w:tblGrid>
      <w:tr>
        <w:trPr/>
        <w:tc>
          <w:tcPr>
            <w:tcW w:w="34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9"/>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Shares Purchased </w:t>
              <w:br/>
              <w:t>from Employees in connection with satisfaction of Withholding Tax Obligations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9"/>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 Purchased as Part of Publicly Announced Programs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vMerge w:val="restart"/>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Number of Shares Purchased</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Approximate Dollar Value of Shares That May Yet Be Purchased Under the Programs</w:t>
            </w:r>
          </w:p>
        </w:tc>
      </w:tr>
      <w:tr>
        <w:trPr/>
        <w:tc>
          <w:tcPr>
            <w:tcW w:w="9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Period</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w:t>
              <w:br/>
              <w:t>Shares Purchased</w:t>
            </w:r>
          </w:p>
        </w:tc>
        <w:tc>
          <w:tcPr>
            <w:tcW w:w="390"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Average Price</w:t>
              <w:br/>
              <w:t>Paid per share</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w:t>
              <w:br/>
              <w:t>Shares Purchased</w:t>
            </w:r>
          </w:p>
        </w:tc>
        <w:tc>
          <w:tcPr>
            <w:tcW w:w="35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Average Price</w:t>
              <w:br/>
              <w:t>Paid per share</w:t>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1224"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1850"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r>
      <w:tr>
        <w:trPr/>
        <w:tc>
          <w:tcPr>
            <w:tcW w:w="9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April 1, 2023 through April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85,306 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85,306 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181,632,447 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May 1, 2023 through May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20,045 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178,580,926 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June 1, 2023 through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78,793 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78,793 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166,632,565 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184,144 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157.56 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184,144 </w:t>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ind w:left="0" w:right="0" w:firstLine="495"/>
        <w:jc w:val="both"/>
        <w:rPr/>
      </w:pPr>
      <w:r>
        <w:rPr/>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5, 2021, our board of directors authorized a $300 million common stock repurchase program beginning January 1, 2022 (the “2022 Repurchase Program”).</w:t>
      </w:r>
    </w:p>
    <w:p>
      <w:pPr>
        <w:pStyle w:val="TextBody"/>
        <w:bidi w:val="0"/>
        <w:spacing w:before="0" w:after="0"/>
        <w:jc w:val="left"/>
        <w:rPr/>
      </w:pPr>
      <w:r>
        <w:rPr/>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Under the 2022 Repurchase Program, shares may be purchased by us from time to time from the open market and through private transactions, or otherwise, as determined by our management as market conditions warrant. We have structured open market purchases under the 2022 Repurchase Program to comply with Rule 10b-18 under the Exchange Act. Repurchases may be discontinued at any time by management.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Rule 10b5-1 Trading Plans</w:t>
      </w:r>
    </w:p>
    <w:p>
      <w:pPr>
        <w:pStyle w:val="TextBody"/>
        <w:bidi w:val="0"/>
        <w:spacing w:before="0" w:after="0"/>
        <w:ind w:left="0" w:right="0" w:firstLine="45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30, 2023, no director or officer of the Company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972c7b333c94ee3bad0bd2154cbac49_7">
        <w:r>
          <w:rPr>
            <w:rStyle w:val="InternetLink"/>
            <w:rFonts w:ascii="Times New Roman;sans-serif" w:hAnsi="Times New Roman;sans-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ITEM 6.</w:t>
      </w:r>
      <w:r>
        <w:rPr>
          <w:color w:val="000000"/>
        </w:rPr>
        <w:t>    </w:t>
      </w:r>
      <w:r>
        <w:rPr>
          <w:rFonts w:ascii="Times New Roman;sans-serif" w:hAnsi="Times New Roman;sans-serif"/>
          <w:b/>
          <w:color w:val="000000"/>
          <w:sz w:val="20"/>
        </w:rPr>
        <w:t>Exhibits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exhibits are being filed as part of this report or incorporated by reference as indicated therein:</w:t>
      </w:r>
    </w:p>
    <w:tbl>
      <w:tblPr>
        <w:tblW w:w="10205" w:type="dxa"/>
        <w:jc w:val="left"/>
        <w:tblInd w:w="0" w:type="dxa"/>
        <w:tblLayout w:type="fixed"/>
        <w:tblCellMar>
          <w:top w:w="28" w:type="dxa"/>
          <w:left w:w="28" w:type="dxa"/>
          <w:bottom w:w="28" w:type="dxa"/>
          <w:right w:w="28" w:type="dxa"/>
        </w:tblCellMar>
      </w:tblPr>
      <w:tblGrid>
        <w:gridCol w:w="249"/>
        <w:gridCol w:w="203"/>
        <w:gridCol w:w="209"/>
        <w:gridCol w:w="109"/>
        <w:gridCol w:w="109"/>
        <w:gridCol w:w="109"/>
        <w:gridCol w:w="2764"/>
        <w:gridCol w:w="2668"/>
        <w:gridCol w:w="3785"/>
      </w:tblGrid>
      <w:tr>
        <w:trPr/>
        <w:tc>
          <w:tcPr>
            <w:tcW w:w="24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4" w:type="dxa"/>
            <w:tcBorders/>
            <w:vAlign w:val="center"/>
          </w:tcPr>
          <w:p>
            <w:pPr>
              <w:pStyle w:val="TableContents"/>
              <w:bidi w:val="0"/>
              <w:spacing w:before="0" w:after="283"/>
              <w:jc w:val="left"/>
              <w:rPr>
                <w:sz w:val="4"/>
                <w:szCs w:val="4"/>
              </w:rPr>
            </w:pPr>
            <w:r>
              <w:rPr>
                <w:sz w:val="4"/>
                <w:szCs w:val="4"/>
              </w:rPr>
            </w:r>
          </w:p>
        </w:tc>
        <w:tc>
          <w:tcPr>
            <w:tcW w:w="2668" w:type="dxa"/>
            <w:tcBorders/>
            <w:vAlign w:val="center"/>
          </w:tcPr>
          <w:p>
            <w:pPr>
              <w:pStyle w:val="TableContents"/>
              <w:bidi w:val="0"/>
              <w:spacing w:before="0" w:after="283"/>
              <w:jc w:val="left"/>
              <w:rPr>
                <w:sz w:val="4"/>
                <w:szCs w:val="4"/>
              </w:rPr>
            </w:pPr>
            <w:r>
              <w:rPr>
                <w:sz w:val="4"/>
                <w:szCs w:val="4"/>
              </w:rPr>
            </w:r>
          </w:p>
        </w:tc>
        <w:tc>
          <w:tcPr>
            <w:tcW w:w="3785"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ans-serif" w:hAnsi="Times New Roman;sans-serif"/>
                  <w:b w:val="false"/>
                  <w:color w:val="0000FF"/>
                  <w:sz w:val="20"/>
                  <w:u w:val="single"/>
                </w:rPr>
                <w:t>Amended and Restated Certificate of Incorporation of the Company, as in effect on the date hereof (incorporated by reference to Exhibit 3.1 of the Company’s Current Report on Form 8-K (File No. 1-33089) filed on October 25, 2006).</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ans-serif" w:hAnsi="Times New Roman;sans-serif"/>
                  <w:b w:val="false"/>
                  <w:color w:val="0000FF"/>
                  <w:sz w:val="20"/>
                  <w:u w:val="single"/>
                </w:rPr>
                <w:t>Certificate of Amendment to Amended and Restated Certificate of Incorporation of the Company (incorporated by reference to Annex A to the Company’s Definitive Proxy Statement on Schedule 14A (File No. 1-33089) filed on April 26, 2019).</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ans-serif" w:hAnsi="Times New Roman;sans-serif"/>
                  <w:b w:val="false"/>
                  <w:color w:val="0000FF"/>
                  <w:sz w:val="20"/>
                  <w:u w:val="single"/>
                </w:rPr>
                <w:t>Certificate of Amendment to Amended and Restated Certificate of Incorporation of the Company (incorporated by reference to Exhibit 3.3 of the Company’s Current Report on Form 8-K (File No. 1-33089) filed on June 21, 2023).</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ans-serif" w:hAnsi="Times New Roman;sans-serif"/>
                  <w:b w:val="false"/>
                  <w:color w:val="0000FF"/>
                  <w:sz w:val="20"/>
                  <w:u w:val="single"/>
                </w:rPr>
                <w:t>Sixth Amended and Restated By-laws of the Company (incorporated by reference to Exhibit 3.2 of the Company’s Current Report on Form 8-K (File No. 1-33089) filed on June 21, 2023).</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w:anchor="exls-ex101x06302023x10q.htm">
              <w:r>
                <w:rPr>
                  <w:rStyle w:val="InternetLink"/>
                  <w:rFonts w:ascii="Times New Roman;sans-serif" w:hAnsi="Times New Roman;sans-serif"/>
                  <w:b w:val="false"/>
                  <w:color w:val="0000FF"/>
                  <w:sz w:val="20"/>
                  <w:u w:val="single"/>
                </w:rPr>
                <w:t>Form of Option Agreement (applicable to U.S. Executive Officers) under the 2018 Omnibus Incentive Plan.</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ls-ex102x06302023x10q.htm">
              <w:r>
                <w:rPr>
                  <w:rStyle w:val="InternetLink"/>
                  <w:rFonts w:ascii="Times New Roman;sans-serif" w:hAnsi="Times New Roman;sans-serif"/>
                  <w:b w:val="false"/>
                  <w:color w:val="0000FF"/>
                  <w:sz w:val="20"/>
                  <w:u w:val="single"/>
                </w:rPr>
                <w:t>Form of Option Agreement (applicable to International Executive Officers) under the 2018 Omnibus Incentive Plan.</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ls-ex311x06302023x10q.htm">
              <w:r>
                <w:rPr>
                  <w:rStyle w:val="InternetLink"/>
                  <w:rFonts w:ascii="Times New Roman;sans-serif" w:hAnsi="Times New Roman;sans-serif"/>
                  <w:b w:val="false"/>
                  <w:color w:val="0000FF"/>
                  <w:sz w:val="20"/>
                  <w:u w:val="single"/>
                </w:rPr>
                <w:t>Certification of the Chief Executive Officer of ExlService Holdings, pursuant to Rule 13a-14(a) of the Exchange Act, as adopted pursuant to Section 302 of the Sarbanes-Oxley Act of 2002.</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ls-ex312x06302023x10q.htm">
              <w:r>
                <w:rPr>
                  <w:rStyle w:val="InternetLink"/>
                  <w:rFonts w:ascii="Times New Roman;sans-serif" w:hAnsi="Times New Roman;sans-serif"/>
                  <w:b w:val="false"/>
                  <w:color w:val="0000FF"/>
                  <w:sz w:val="20"/>
                  <w:u w:val="single"/>
                </w:rPr>
                <w:t>Certification of the Chief Financial Officer of ExlService Holdings, pursuant to Rule 13a-14(a) of the Exchange Act, as adopted pursuant to Section 302 of the Sarbanes-Oxley Act of 2002.</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ls-ex321x06302023x10q.htm">
              <w:r>
                <w:rPr>
                  <w:rStyle w:val="InternetLink"/>
                  <w:rFonts w:ascii="Times New Roman;sans-serif" w:hAnsi="Times New Roman;sans-serif"/>
                  <w:b w:val="false"/>
                  <w:color w:val="0000FF"/>
                  <w:sz w:val="20"/>
                  <w:u w:val="single"/>
                </w:rPr>
                <w:t>Certification of the Chief Executive Officer pursuant to Rule 13a-14(b) of the Exchange Act and 18 U.S.C. Section 1350, as adopted pursuant to Section 906 of the Sarbanes-Oxley Act of 2002.</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ls-ex322x06302023x10q.htm">
              <w:r>
                <w:rPr>
                  <w:rStyle w:val="InternetLink"/>
                  <w:rFonts w:ascii="Times New Roman;sans-serif" w:hAnsi="Times New Roman;sans-serif"/>
                  <w:b w:val="false"/>
                  <w:color w:val="0000FF"/>
                  <w:sz w:val="20"/>
                  <w:u w:val="single"/>
                </w:rPr>
                <w:t>Certification of the Chief Financial Officer pursuant to Rule 13a-14(b) of the Exchange Act and 18 U.S.C. Section 1350, as adopted pursuant to Section 906 of the Sarbanes-Oxley Act of 2002.</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w:t>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Scheme*</w:t>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w:t>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w:t>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w:t>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Extension Presentation Linkbase*</w:t>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r>
        <w:trPr/>
        <w:tc>
          <w:tcPr>
            <w:tcW w:w="66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exhibit will not be deemed “filed” for purposes of Section 18 of the Exchange Act, or otherwise subject to the liability of that section. Such exhibit will not be deemed to be incorporated by reference into any filing under the Securities Act or the Exchange Act, except to the extent that the Company specifically incorporates it by reference.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+Indicates management contract or compensatory plan required to be filed as an Exhibit.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c972c7b333c94ee3bad0bd2154cbac49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9047" w:type="dxa"/>
        <w:jc w:val="left"/>
        <w:tblInd w:w="0" w:type="dxa"/>
        <w:tblLayout w:type="fixed"/>
        <w:tblCellMar>
          <w:top w:w="28" w:type="dxa"/>
          <w:left w:w="28" w:type="dxa"/>
          <w:bottom w:w="28" w:type="dxa"/>
          <w:right w:w="28" w:type="dxa"/>
        </w:tblCellMar>
      </w:tblPr>
      <w:tblGrid>
        <w:gridCol w:w="618"/>
        <w:gridCol w:w="544"/>
        <w:gridCol w:w="547"/>
        <w:gridCol w:w="313"/>
        <w:gridCol w:w="313"/>
        <w:gridCol w:w="313"/>
        <w:gridCol w:w="313"/>
        <w:gridCol w:w="313"/>
        <w:gridCol w:w="313"/>
        <w:gridCol w:w="1572"/>
        <w:gridCol w:w="1572"/>
        <w:gridCol w:w="2316"/>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2316"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July 27, 2023</w:t>
            </w:r>
          </w:p>
        </w:tc>
        <w:tc>
          <w:tcPr>
            <w:tcW w:w="733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EXLSERVICE HOLDINGS, INC.</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t>
            </w:r>
            <w:r>
              <w:rPr>
                <w:rFonts w:ascii="Times New Roman;sans-serif" w:hAnsi="Times New Roman;sans-serif"/>
                <w:b w:val="false"/>
                <w:color w:val="000000"/>
                <w:sz w:val="16"/>
              </w:rPr>
              <w:t>S</w:t>
            </w:r>
            <w:r>
              <w:rPr>
                <w:rFonts w:ascii="Times New Roman;sans-serif" w:hAnsi="Times New Roman;sans-serif"/>
                <w:b w:val="false"/>
                <w:color w:val="000000"/>
                <w:sz w:val="20"/>
              </w:rPr>
              <w:t xml:space="preserve">/ </w:t>
            </w:r>
            <w:r>
              <w:rPr>
                <w:rFonts w:ascii="Times New Roman;sans-serif" w:hAnsi="Times New Roman;sans-serif"/>
                <w:b w:val="false"/>
                <w:color w:val="000000"/>
                <w:sz w:val="16"/>
              </w:rPr>
              <w:t>MAURIZIO NICOLELLI</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MAURIZIO NICOLELLI </w:t>
              <w:br/>
              <w:t>Chief Financial Officer</w:t>
              <w:br/>
              <w:t>(Duly Authorized Signatory, Principal Financial and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240"/>
        <w:jc w:val="right"/>
        <w:rPr>
          <w:rFonts w:ascii="Times New Roman;sans-serif" w:hAnsi="Times New Roman;sans-serif"/>
          <w:b/>
          <w:color w:val="000000"/>
          <w:sz w:val="24"/>
        </w:rPr>
      </w:pPr>
      <w:r>
        <w:rPr>
          <w:rFonts w:ascii="Times New Roman;sans-serif" w:hAnsi="Times New Roman;sans-serif"/>
          <w:b/>
          <w:color w:val="000000"/>
          <w:sz w:val="24"/>
        </w:rPr>
        <w:t>Exhibit 10.1</w:t>
      </w:r>
    </w:p>
    <w:p>
      <w:pPr>
        <w:pStyle w:val="TextBody"/>
        <w:bidi w:val="0"/>
        <w:spacing w:lineRule="auto" w:line="264" w:before="0" w:after="0"/>
        <w:jc w:val="center"/>
        <w:rPr>
          <w:rFonts w:ascii="Times New Roman;sans-serif" w:hAnsi="Times New Roman;sans-serif"/>
          <w:b/>
          <w:color w:val="000000"/>
          <w:sz w:val="24"/>
        </w:rPr>
      </w:pPr>
      <w:r>
        <w:rPr>
          <w:rFonts w:ascii="Times New Roman;sans-serif" w:hAnsi="Times New Roman;sans-serif"/>
          <w:b/>
          <w:color w:val="000000"/>
          <w:sz w:val="24"/>
        </w:rPr>
        <w:t>EXLSERVICE HOLDINGS, INC.</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2018 OMNIBUS INCENTIVE PLAN</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NONQUALIFIED STOCK OPTION AGREEMENT (U.S.)</w:t>
      </w:r>
    </w:p>
    <w:p>
      <w:pPr>
        <w:pStyle w:val="TextBody"/>
        <w:bidi w:val="0"/>
        <w:spacing w:before="0" w:after="0"/>
        <w:ind w:left="0" w:right="0" w:firstLine="979"/>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4"/>
        </w:rPr>
        <w:t>THIS OPTION AGREEMENT (the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is made, effective as of [INSERT DATE OF GRANT] (the “</w:t>
      </w:r>
      <w:r>
        <w:rPr>
          <w:rFonts w:ascii="Times New Roman;sans-serif" w:hAnsi="Times New Roman;sans-serif"/>
          <w:b w:val="false"/>
          <w:color w:val="000000"/>
          <w:sz w:val="24"/>
          <w:u w:val="single"/>
        </w:rPr>
        <w:t>Date of Grant</w:t>
      </w:r>
      <w:r>
        <w:rPr>
          <w:color w:val="000000"/>
        </w:rPr>
        <w:t>”</w:t>
      </w:r>
      <w:r>
        <w:rPr>
          <w:rFonts w:ascii="Times New Roman;sans-serif" w:hAnsi="Times New Roman;sans-serif"/>
          <w:b w:val="false"/>
          <w:color w:val="000000"/>
          <w:sz w:val="24"/>
        </w:rPr>
        <w:t>), by and between ExlService Holdings, Inc., a Delaware corporation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and _______[INSERT PARTICIPANT NAME] ____________ (“</w:t>
      </w:r>
      <w:r>
        <w:rPr>
          <w:rFonts w:ascii="Times New Roman;sans-serif" w:hAnsi="Times New Roman;sans-serif"/>
          <w:b w:val="false"/>
          <w:color w:val="000000"/>
          <w:sz w:val="24"/>
          <w:u w:val="single"/>
        </w:rPr>
        <w:t>Participant</w:t>
      </w:r>
      <w:r>
        <w:rPr>
          <w:color w:val="000000"/>
        </w:rPr>
        <w:t>”</w:t>
      </w:r>
      <w:r>
        <w:rPr>
          <w:rFonts w:ascii="Times New Roman;sans-serif" w:hAnsi="Times New Roman;sans-serif"/>
          <w:b w:val="false"/>
          <w:color w:val="000000"/>
          <w:sz w:val="24"/>
        </w:rPr>
        <w:t>).</w:t>
      </w:r>
    </w:p>
    <w:p>
      <w:pPr>
        <w:pStyle w:val="TextBody"/>
        <w:bidi w:val="0"/>
        <w:spacing w:before="0" w:after="0"/>
        <w:ind w:left="0" w:right="0" w:firstLine="979"/>
        <w:jc w:val="left"/>
        <w:rPr/>
      </w:pPr>
      <w:r>
        <w:rPr/>
      </w:r>
    </w:p>
    <w:p>
      <w:pPr>
        <w:pStyle w:val="TextBody"/>
        <w:bidi w:val="0"/>
        <w:spacing w:lineRule="auto" w:line="268" w:before="0" w:after="0"/>
        <w:ind w:left="0" w:right="0" w:firstLine="979"/>
        <w:jc w:val="both"/>
        <w:rPr/>
      </w:pPr>
      <w:r>
        <w:rPr>
          <w:rFonts w:ascii="Times New Roman;sans-serif" w:hAnsi="Times New Roman;sans-serif"/>
          <w:b w:val="false"/>
          <w:color w:val="000000"/>
          <w:sz w:val="24"/>
        </w:rPr>
        <w:t>WHEREAS, the Company has adopted the ExlService Holdings, Inc. 2018 Omnibus Incentive Plan (the “</w:t>
      </w:r>
      <w:r>
        <w:rPr>
          <w:rFonts w:ascii="Times New Roman;sans-serif" w:hAnsi="Times New Roman;sans-serif"/>
          <w:b w:val="false"/>
          <w:color w:val="000000"/>
          <w:sz w:val="24"/>
          <w:u w:val="single"/>
        </w:rPr>
        <w:t>Plan</w:t>
      </w:r>
      <w:r>
        <w:rPr>
          <w:color w:val="000000"/>
        </w:rPr>
        <w:t>”</w:t>
      </w:r>
      <w:r>
        <w:rPr>
          <w:rFonts w:ascii="Times New Roman;sans-serif" w:hAnsi="Times New Roman;sans-serif"/>
          <w:b w:val="false"/>
          <w:color w:val="000000"/>
          <w:sz w:val="24"/>
        </w:rPr>
        <w:t>), pursuant to which options may be granted to purchase shares of the Company’s Common Stock, par value $0.001 per share (“</w:t>
      </w:r>
      <w:r>
        <w:rPr>
          <w:rFonts w:ascii="Times New Roman;sans-serif" w:hAnsi="Times New Roman;sans-serif"/>
          <w:b w:val="false"/>
          <w:color w:val="000000"/>
          <w:sz w:val="24"/>
          <w:u w:val="single"/>
        </w:rPr>
        <w:t>Stock</w:t>
      </w:r>
      <w:r>
        <w:rPr>
          <w:color w:val="000000"/>
        </w:rPr>
        <w:t>”</w:t>
      </w:r>
      <w:r>
        <w:rPr>
          <w:rFonts w:ascii="Times New Roman;sans-serif" w:hAnsi="Times New Roman;sans-serif"/>
          <w:b w:val="false"/>
          <w:color w:val="000000"/>
          <w:sz w:val="24"/>
        </w:rPr>
        <w:t>); and</w:t>
      </w:r>
    </w:p>
    <w:p>
      <w:pPr>
        <w:pStyle w:val="TextBody"/>
        <w:bidi w:val="0"/>
        <w:spacing w:before="0" w:after="0"/>
        <w:ind w:left="0" w:right="0" w:firstLine="979"/>
        <w:jc w:val="both"/>
        <w:rPr/>
      </w:pPr>
      <w:r>
        <w:rPr/>
      </w:r>
    </w:p>
    <w:p>
      <w:pPr>
        <w:pStyle w:val="TextBody"/>
        <w:bidi w:val="0"/>
        <w:spacing w:lineRule="auto" w:line="268" w:before="0" w:after="0"/>
        <w:ind w:left="0" w:right="0" w:firstLine="979"/>
        <w:jc w:val="both"/>
        <w:rPr/>
      </w:pPr>
      <w:r>
        <w:rPr>
          <w:rFonts w:ascii="Times New Roman;sans-serif" w:hAnsi="Times New Roman;sans-serif"/>
          <w:b w:val="false"/>
          <w:color w:val="000000"/>
          <w:sz w:val="24"/>
        </w:rPr>
        <w:t>WHEREAS, the Compensation and Talent Management Committee of the Board of Directors of the Company (the “</w:t>
      </w:r>
      <w:r>
        <w:rPr>
          <w:rFonts w:ascii="Times New Roman;sans-serif" w:hAnsi="Times New Roman;sans-serif"/>
          <w:b w:val="false"/>
          <w:color w:val="000000"/>
          <w:sz w:val="24"/>
          <w:u w:val="single"/>
        </w:rPr>
        <w:t>Committee</w:t>
      </w:r>
      <w:r>
        <w:rPr>
          <w:color w:val="000000"/>
        </w:rPr>
        <w:t>”</w:t>
      </w:r>
      <w:r>
        <w:rPr>
          <w:rFonts w:ascii="Times New Roman;sans-serif" w:hAnsi="Times New Roman;sans-serif"/>
          <w:b w:val="false"/>
          <w:color w:val="000000"/>
          <w:sz w:val="24"/>
        </w:rPr>
        <w:t>) has determined that it is in the best interests of the Company and its stockholders to grant to Participant the stock option award as provided herein and subject to the terms set forth herein;</w:t>
      </w:r>
    </w:p>
    <w:p>
      <w:pPr>
        <w:pStyle w:val="TextBody"/>
        <w:bidi w:val="0"/>
        <w:spacing w:before="0" w:after="0"/>
        <w:ind w:left="0" w:right="0" w:firstLine="979"/>
        <w:jc w:val="both"/>
        <w:rPr/>
      </w:pPr>
      <w:r>
        <w:rPr/>
      </w:r>
    </w:p>
    <w:p>
      <w:pPr>
        <w:pStyle w:val="TextBody"/>
        <w:bidi w:val="0"/>
        <w:spacing w:lineRule="auto" w:line="268" w:before="0" w:after="0"/>
        <w:ind w:left="0" w:right="0" w:firstLine="979"/>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pStyle w:val="TextBody"/>
        <w:bidi w:val="0"/>
        <w:spacing w:before="0" w:after="0"/>
        <w:ind w:left="0" w:right="0" w:firstLine="979"/>
        <w:jc w:val="left"/>
        <w:rPr/>
      </w:pPr>
      <w:r>
        <w:rPr/>
      </w:r>
    </w:p>
    <w:p>
      <w:pPr>
        <w:pStyle w:val="TextBody"/>
        <w:bidi w:val="0"/>
        <w:spacing w:lineRule="auto" w:line="268" w:before="0" w:after="0"/>
        <w:ind w:left="0" w:right="0" w:firstLine="360"/>
        <w:jc w:val="both"/>
        <w:rPr/>
      </w:pPr>
      <w:r>
        <w:rPr>
          <w:rFonts w:ascii="Times New Roman;sans-serif" w:hAnsi="Times New Roman;sans-serif"/>
          <w:b w:val="false"/>
          <w:color w:val="000000"/>
          <w:sz w:val="24"/>
        </w:rPr>
        <w:t>1.</w:t>
      </w:r>
      <w:r>
        <w:rPr>
          <w:color w:val="000000"/>
        </w:rPr>
        <w:t xml:space="preserve"> </w:t>
      </w:r>
      <w:r>
        <w:rPr>
          <w:rFonts w:ascii="Times New Roman;sans-serif" w:hAnsi="Times New Roman;sans-serif"/>
          <w:b w:val="false"/>
          <w:color w:val="000000"/>
          <w:sz w:val="24"/>
          <w:u w:val="single"/>
        </w:rPr>
        <w:t>Grant of Option</w:t>
      </w:r>
      <w:r>
        <w:rPr>
          <w:rFonts w:ascii="Times New Roman;sans-serif" w:hAnsi="Times New Roman;sans-serif"/>
          <w:b w:val="false"/>
          <w:color w:val="000000"/>
          <w:sz w:val="24"/>
        </w:rPr>
        <w:t>.</w:t>
      </w:r>
    </w:p>
    <w:p>
      <w:pPr>
        <w:pStyle w:val="TextBody"/>
        <w:bidi w:val="0"/>
        <w:spacing w:before="0" w:after="0"/>
        <w:ind w:left="0" w:right="0" w:firstLine="720"/>
        <w:jc w:val="both"/>
        <w:rPr/>
      </w:pPr>
      <w:r>
        <w:rPr/>
      </w:r>
    </w:p>
    <w:p>
      <w:pPr>
        <w:pStyle w:val="TextBody"/>
        <w:bidi w:val="0"/>
        <w:spacing w:lineRule="auto" w:line="268" w:before="0" w:after="0"/>
        <w:ind w:left="0" w:right="0" w:firstLine="1080"/>
        <w:jc w:val="both"/>
        <w:rPr/>
      </w:pPr>
      <w:r>
        <w:rPr>
          <w:rFonts w:ascii="Times New Roman;sans-serif" w:hAnsi="Times New Roman;sans-serif"/>
          <w:b w:val="false"/>
          <w:color w:val="000000"/>
          <w:sz w:val="24"/>
        </w:rPr>
        <w:t>(a)</w:t>
      </w:r>
      <w:r>
        <w:rPr>
          <w:color w:val="000000"/>
        </w:rPr>
        <w:t xml:space="preserve"> </w:t>
      </w:r>
      <w:r>
        <w:rPr>
          <w:rFonts w:ascii="Times New Roman;sans-serif" w:hAnsi="Times New Roman;sans-serif"/>
          <w:b w:val="false"/>
          <w:color w:val="000000"/>
          <w:sz w:val="24"/>
          <w:u w:val="single"/>
        </w:rPr>
        <w:t>Grant</w:t>
      </w:r>
      <w:r>
        <w:rPr>
          <w:rFonts w:ascii="Times New Roman;sans-serif" w:hAnsi="Times New Roman;sans-serif"/>
          <w:b w:val="false"/>
          <w:color w:val="000000"/>
          <w:sz w:val="24"/>
        </w:rPr>
        <w:t>. The Company hereby grants to Participant an option (the “</w:t>
      </w:r>
      <w:r>
        <w:rPr>
          <w:rFonts w:ascii="Times New Roman;sans-serif" w:hAnsi="Times New Roman;sans-serif"/>
          <w:b w:val="false"/>
          <w:color w:val="000000"/>
          <w:sz w:val="24"/>
          <w:u w:val="single"/>
        </w:rPr>
        <w:t>Option</w:t>
      </w:r>
      <w:r>
        <w:rPr>
          <w:color w:val="000000"/>
        </w:rPr>
        <w:t>”</w:t>
      </w:r>
      <w:r>
        <w:rPr>
          <w:rFonts w:ascii="Times New Roman;sans-serif" w:hAnsi="Times New Roman;sans-serif"/>
          <w:b w:val="false"/>
          <w:color w:val="000000"/>
          <w:sz w:val="24"/>
        </w:rPr>
        <w:t>) to purchase [</w:t>
      </w:r>
      <w:r>
        <w:rPr>
          <w:color w:val="000000"/>
          <w:u w:val="single"/>
        </w:rPr>
        <w:t xml:space="preserve"> </w:t>
      </w:r>
      <w:r>
        <w:rPr>
          <w:rFonts w:ascii="Times New Roman;sans-serif" w:hAnsi="Times New Roman;sans-serif"/>
          <w:b w:val="false"/>
          <w:color w:val="000000"/>
          <w:sz w:val="24"/>
          <w:u w:val="single"/>
        </w:rPr>
        <w:t xml:space="preserve">. </w:t>
      </w:r>
      <w:r>
        <w:rPr>
          <w:rFonts w:ascii="Times New Roman;sans-serif" w:hAnsi="Times New Roman;sans-serif"/>
          <w:b w:val="false"/>
          <w:color w:val="000000"/>
          <w:sz w:val="24"/>
        </w:rPr>
        <w:t>] shares of Stock (such shares of Stock, the “</w:t>
      </w:r>
      <w:r>
        <w:rPr>
          <w:rFonts w:ascii="Times New Roman;sans-serif" w:hAnsi="Times New Roman;sans-serif"/>
          <w:b w:val="false"/>
          <w:color w:val="000000"/>
          <w:sz w:val="24"/>
          <w:u w:val="single"/>
        </w:rPr>
        <w:t>Option Shares</w:t>
      </w:r>
      <w:r>
        <w:rPr>
          <w:color w:val="000000"/>
        </w:rPr>
        <w:t>”</w:t>
      </w:r>
      <w:r>
        <w:rPr>
          <w:rFonts w:ascii="Times New Roman;sans-serif" w:hAnsi="Times New Roman;sans-serif"/>
          <w:b w:val="false"/>
          <w:color w:val="000000"/>
          <w:sz w:val="24"/>
        </w:rPr>
        <w:t>), on the terms and conditions set forth in this Agreement and as otherwise provided in the Plan. The Option is not intended to qualify as an incentive stock option within the meaning of Section 422 of the Code.</w:t>
      </w:r>
    </w:p>
    <w:p>
      <w:pPr>
        <w:pStyle w:val="TextBody"/>
        <w:bidi w:val="0"/>
        <w:spacing w:before="0" w:after="0"/>
        <w:ind w:left="0" w:right="0" w:firstLine="1440"/>
        <w:jc w:val="both"/>
        <w:rPr/>
      </w:pPr>
      <w:r>
        <w:rPr/>
      </w:r>
    </w:p>
    <w:p>
      <w:pPr>
        <w:pStyle w:val="TextBody"/>
        <w:bidi w:val="0"/>
        <w:spacing w:lineRule="auto" w:line="268" w:before="0" w:after="0"/>
        <w:ind w:left="0" w:right="0" w:firstLine="1080"/>
        <w:jc w:val="both"/>
        <w:rPr/>
      </w:pPr>
      <w:r>
        <w:rPr>
          <w:rFonts w:ascii="Times New Roman;sans-serif" w:hAnsi="Times New Roman;sans-serif"/>
          <w:b w:val="false"/>
          <w:color w:val="000000"/>
          <w:sz w:val="24"/>
        </w:rPr>
        <w:t>(b)</w:t>
      </w:r>
      <w:r>
        <w:rPr>
          <w:color w:val="000000"/>
        </w:rPr>
        <w:t xml:space="preserve"> </w:t>
      </w:r>
      <w:r>
        <w:rPr>
          <w:rFonts w:ascii="Times New Roman;sans-serif" w:hAnsi="Times New Roman;sans-serif"/>
          <w:b w:val="false"/>
          <w:color w:val="000000"/>
          <w:sz w:val="24"/>
          <w:u w:val="single"/>
        </w:rPr>
        <w:t>Incorporation by Reference, Etc.</w:t>
      </w:r>
      <w:r>
        <w:rPr>
          <w:color w:val="000000"/>
        </w:rPr>
        <w:t xml:space="preserve"> </w:t>
      </w:r>
      <w:r>
        <w:rPr>
          <w:rFonts w:ascii="Times New Roman;sans-serif" w:hAnsi="Times New Roman;sans-serif"/>
          <w:b w:val="false"/>
          <w:color w:val="000000"/>
          <w:sz w:val="24"/>
        </w:rPr>
        <w:t>The provisions of the Plan are hereby incorporated herein by reference. Except as otherwise expressly set forth herein, this Agreement shall be construed in accordance with the provisions of the Plan and any capitalized terms not otherwise defined in this Agreement shall have the definitions set forth in the Plan. The Committee shall have final authority to interpret and construe the Plan and this Agreement and to make any and all determinations under them, and its decision shall be binding and conclusive upon Participant and his legal representative in respect of any questions arising under the Plan or this Agreement.</w:t>
      </w:r>
    </w:p>
    <w:p>
      <w:pPr>
        <w:pStyle w:val="TextBody"/>
        <w:bidi w:val="0"/>
        <w:spacing w:before="0" w:after="0"/>
        <w:ind w:left="0" w:right="0" w:firstLine="1591"/>
        <w:jc w:val="left"/>
        <w:rPr/>
      </w:pPr>
      <w:r>
        <w:rPr/>
      </w:r>
    </w:p>
    <w:p>
      <w:pPr>
        <w:pStyle w:val="TextBody"/>
        <w:bidi w:val="0"/>
        <w:spacing w:lineRule="auto" w:line="268" w:before="0" w:after="0"/>
        <w:ind w:left="0" w:right="0" w:firstLine="360"/>
        <w:jc w:val="both"/>
        <w:rPr/>
      </w:pPr>
      <w:r>
        <w:rPr>
          <w:rFonts w:ascii="Times New Roman;sans-serif" w:hAnsi="Times New Roman;sans-serif"/>
          <w:b w:val="false"/>
          <w:color w:val="000000"/>
          <w:sz w:val="24"/>
        </w:rPr>
        <w:t xml:space="preserve">2. </w:t>
      </w:r>
      <w:r>
        <w:rPr>
          <w:rFonts w:ascii="Times New Roman;sans-serif" w:hAnsi="Times New Roman;sans-serif"/>
          <w:b w:val="false"/>
          <w:color w:val="000000"/>
          <w:sz w:val="24"/>
          <w:u w:val="single"/>
        </w:rPr>
        <w:t>Terms and Conditions</w:t>
      </w:r>
      <w:r>
        <w:rPr>
          <w:rFonts w:ascii="Times New Roman;sans-serif" w:hAnsi="Times New Roman;sans-serif"/>
          <w:b w:val="false"/>
          <w:color w:val="000000"/>
          <w:sz w:val="24"/>
        </w:rPr>
        <w:t>.</w:t>
      </w:r>
    </w:p>
    <w:p>
      <w:pPr>
        <w:pStyle w:val="TextBody"/>
        <w:bidi w:val="0"/>
        <w:ind w:left="0" w:right="0" w:firstLine="36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ind w:left="0" w:right="0" w:firstLine="108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Option Price</w:t>
      </w:r>
      <w:r>
        <w:rPr>
          <w:rFonts w:ascii="Times New Roman;sans-serif" w:hAnsi="Times New Roman;sans-serif"/>
          <w:b w:val="false"/>
          <w:color w:val="000000"/>
          <w:sz w:val="24"/>
        </w:rPr>
        <w:t>. The Option Price, being the price at which Participant shall be entitled to purchase the Option Shares upon the exercise of all or any portion of the Option, shall be $</w:t>
      </w:r>
      <w:r>
        <w:rPr>
          <w:color w:val="000000"/>
          <w:u w:val="single"/>
        </w:rPr>
        <w:t xml:space="preserve"> </w:t>
      </w:r>
      <w:r>
        <w:rPr>
          <w:rFonts w:ascii="Times New Roman;sans-serif" w:hAnsi="Times New Roman;sans-serif"/>
          <w:b w:val="false"/>
          <w:color w:val="000000"/>
          <w:sz w:val="24"/>
        </w:rPr>
        <w:t>per share.</w:t>
      </w:r>
    </w:p>
    <w:p>
      <w:pPr>
        <w:pStyle w:val="TextBody"/>
        <w:bidi w:val="0"/>
        <w:spacing w:before="0" w:after="0"/>
        <w:ind w:left="0" w:right="0" w:firstLine="1440"/>
        <w:jc w:val="both"/>
        <w:rPr/>
      </w:pPr>
      <w:r>
        <w:rPr/>
      </w:r>
    </w:p>
    <w:p>
      <w:pPr>
        <w:pStyle w:val="TextBody"/>
        <w:bidi w:val="0"/>
        <w:spacing w:lineRule="auto" w:line="268" w:before="0" w:after="0"/>
        <w:ind w:left="0" w:right="0" w:firstLine="108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Expiration Date</w:t>
      </w:r>
      <w:r>
        <w:rPr>
          <w:rFonts w:ascii="Times New Roman;sans-serif" w:hAnsi="Times New Roman;sans-serif"/>
          <w:b w:val="false"/>
          <w:color w:val="000000"/>
          <w:sz w:val="24"/>
        </w:rPr>
        <w:t>. Subject to Section 2(d) hereof, the Option shall expire at the end of the period commencing on the Date of Grant and ending at 11:59 p.m. Eastern Time (“</w:t>
      </w:r>
      <w:r>
        <w:rPr>
          <w:rFonts w:ascii="Times New Roman;sans-serif" w:hAnsi="Times New Roman;sans-serif"/>
          <w:b w:val="false"/>
          <w:color w:val="000000"/>
          <w:sz w:val="24"/>
          <w:u w:val="single"/>
        </w:rPr>
        <w:t>ET</w:t>
      </w:r>
      <w:r>
        <w:rPr>
          <w:color w:val="000000"/>
        </w:rPr>
        <w:t>”</w:t>
      </w:r>
      <w:r>
        <w:rPr>
          <w:rFonts w:ascii="Times New Roman;sans-serif" w:hAnsi="Times New Roman;sans-serif"/>
          <w:b w:val="false"/>
          <w:color w:val="000000"/>
          <w:sz w:val="24"/>
        </w:rPr>
        <w:t>) on the day preceding the [tenth] anniversary of the Date of Grant (the “</w:t>
      </w:r>
      <w:r>
        <w:rPr>
          <w:rFonts w:ascii="Times New Roman;sans-serif" w:hAnsi="Times New Roman;sans-serif"/>
          <w:b w:val="false"/>
          <w:color w:val="000000"/>
          <w:sz w:val="24"/>
          <w:u w:val="single"/>
        </w:rPr>
        <w:t>Option Period</w:t>
      </w:r>
      <w:r>
        <w:rPr>
          <w:color w:val="000000"/>
        </w:rPr>
        <w:t>”</w:t>
      </w:r>
      <w:r>
        <w:rPr>
          <w:rFonts w:ascii="Times New Roman;sans-serif" w:hAnsi="Times New Roman;sans-serif"/>
          <w:b w:val="false"/>
          <w:color w:val="000000"/>
          <w:sz w:val="24"/>
        </w:rPr>
        <w:t>).</w:t>
      </w:r>
    </w:p>
    <w:p>
      <w:pPr>
        <w:pStyle w:val="TextBody"/>
        <w:bidi w:val="0"/>
        <w:spacing w:before="0" w:after="0"/>
        <w:jc w:val="both"/>
        <w:rPr/>
      </w:pPr>
      <w:r>
        <w:rPr/>
      </w:r>
    </w:p>
    <w:p>
      <w:pPr>
        <w:pStyle w:val="TextBody"/>
        <w:bidi w:val="0"/>
        <w:spacing w:lineRule="auto" w:line="268" w:before="0" w:after="0"/>
        <w:ind w:left="0" w:right="0" w:firstLine="1080"/>
        <w:jc w:val="both"/>
        <w:rPr/>
      </w:pPr>
      <w:r>
        <w:rPr>
          <w:rFonts w:ascii="Times New Roman;sans-serif" w:hAnsi="Times New Roman;sans-serif"/>
          <w:b w:val="false"/>
          <w:color w:val="000000"/>
          <w:sz w:val="24"/>
          <w:u w:val="single"/>
        </w:rPr>
        <w:t>(c) Exercisability of the Option</w:t>
      </w:r>
      <w:r>
        <w:rPr>
          <w:rFonts w:ascii="Times New Roman;sans-serif" w:hAnsi="Times New Roman;sans-serif"/>
          <w:b w:val="false"/>
          <w:color w:val="000000"/>
          <w:sz w:val="24"/>
        </w:rPr>
        <w:t xml:space="preserve">. Except as may otherwise be provided herein, the Option shall become vested and exercisable as follows: </w:t>
      </w:r>
    </w:p>
    <w:p>
      <w:pPr>
        <w:pStyle w:val="TextBody"/>
        <w:bidi w:val="0"/>
        <w:spacing w:before="0" w:after="0"/>
        <w:jc w:val="left"/>
        <w:rPr/>
      </w:pPr>
      <w:r>
        <w:rPr/>
      </w:r>
    </w:p>
    <w:p>
      <w:pPr>
        <w:pStyle w:val="TextBody"/>
        <w:bidi w:val="0"/>
        <w:spacing w:lineRule="auto" w:line="268" w:before="0" w:after="0"/>
        <w:ind w:left="0" w:right="0" w:firstLine="360"/>
        <w:jc w:val="left"/>
        <w:rPr/>
      </w:pPr>
      <w:r>
        <w:rPr>
          <w:rFonts w:ascii="Times New Roman;sans-serif" w:hAnsi="Times New Roman;sans-serif"/>
          <w:b w:val="false"/>
          <w:color w:val="000000"/>
          <w:sz w:val="24"/>
        </w:rPr>
        <w:t xml:space="preserve">(A) (i) </w:t>
      </w:r>
      <w:r>
        <w:rPr>
          <w:rFonts w:ascii="Times New Roman;sans-serif" w:hAnsi="Times New Roman;sans-serif"/>
          <w:b w:val="false"/>
          <w:i/>
          <w:color w:val="000000"/>
          <w:sz w:val="24"/>
        </w:rPr>
        <w:t xml:space="preserve">Vesting Schedule. </w:t>
      </w:r>
      <w:r>
        <w:rPr>
          <w:rFonts w:ascii="Times New Roman;sans-serif" w:hAnsi="Times New Roman;sans-serif"/>
          <w:b w:val="false"/>
          <w:color w:val="000000"/>
          <w:sz w:val="24"/>
        </w:rPr>
        <w:t>the Option shall become vested as follows:</w:t>
      </w:r>
    </w:p>
    <w:p>
      <w:pPr>
        <w:pStyle w:val="TextBody"/>
        <w:bidi w:val="0"/>
        <w:spacing w:before="0" w:after="0"/>
        <w:jc w:val="left"/>
        <w:rPr/>
      </w:pPr>
      <w:r>
        <w:rPr/>
      </w:r>
    </w:p>
    <w:tbl>
      <w:tblPr>
        <w:tblW w:w="6255" w:type="dxa"/>
        <w:jc w:val="left"/>
        <w:tblInd w:w="0" w:type="dxa"/>
        <w:tblLayout w:type="fixed"/>
        <w:tblCellMar>
          <w:top w:w="28" w:type="dxa"/>
          <w:left w:w="28" w:type="dxa"/>
          <w:bottom w:w="28" w:type="dxa"/>
          <w:right w:w="28" w:type="dxa"/>
        </w:tblCellMar>
      </w:tblPr>
      <w:tblGrid>
        <w:gridCol w:w="1394"/>
        <w:gridCol w:w="1226"/>
        <w:gridCol w:w="1235"/>
        <w:gridCol w:w="702"/>
        <w:gridCol w:w="702"/>
        <w:gridCol w:w="996"/>
      </w:tblGrid>
      <w:tr>
        <w:trPr/>
        <w:tc>
          <w:tcPr>
            <w:tcW w:w="1394"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Percent of Stock Options Units Vesting</w:t>
            </w:r>
          </w:p>
        </w:tc>
        <w:tc>
          <w:tcPr>
            <w:tcW w:w="240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Vesting Date</w:t>
            </w:r>
          </w:p>
        </w:tc>
      </w:tr>
      <w:tr>
        <w:trPr/>
        <w:tc>
          <w:tcPr>
            <w:tcW w:w="38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tc>
        <w:tc>
          <w:tcPr>
            <w:tcW w:w="240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
              <w:jc w:val="center"/>
              <w:rPr/>
            </w:pPr>
            <w:r>
              <w:rPr>
                <w:rFonts w:ascii="Times New Roman;sans-serif" w:hAnsi="Times New Roman;sans-serif"/>
                <w:b w:val="false"/>
                <w:color w:val="000000"/>
                <w:sz w:val="24"/>
              </w:rPr>
              <w:t>[1</w:t>
            </w:r>
            <w:r>
              <w:rPr>
                <w:rFonts w:ascii="Times New Roman;sans-serif" w:hAnsi="Times New Roman;sans-serif"/>
                <w:b w:val="false"/>
                <w:color w:val="000000"/>
                <w:sz w:val="16"/>
              </w:rPr>
              <w:t>st</w:t>
            </w:r>
            <w:r>
              <w:rPr>
                <w:rFonts w:ascii="Times New Roman;sans-serif" w:hAnsi="Times New Roman;sans-serif"/>
                <w:b w:val="false"/>
                <w:color w:val="000000"/>
                <w:sz w:val="24"/>
              </w:rPr>
              <w:t>] Grant Anniversary</w:t>
            </w:r>
          </w:p>
        </w:tc>
      </w:tr>
      <w:tr>
        <w:trPr/>
        <w:tc>
          <w:tcPr>
            <w:tcW w:w="38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tc>
        <w:tc>
          <w:tcPr>
            <w:tcW w:w="240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
              <w:jc w:val="center"/>
              <w:rPr/>
            </w:pPr>
            <w:r>
              <w:rPr>
                <w:rFonts w:ascii="Times New Roman;sans-serif" w:hAnsi="Times New Roman;sans-serif"/>
                <w:b w:val="false"/>
                <w:color w:val="000000"/>
                <w:sz w:val="24"/>
              </w:rPr>
              <w:t>[2</w:t>
            </w:r>
            <w:r>
              <w:rPr>
                <w:rFonts w:ascii="Times New Roman;sans-serif" w:hAnsi="Times New Roman;sans-serif"/>
                <w:b w:val="false"/>
                <w:color w:val="000000"/>
                <w:sz w:val="16"/>
              </w:rPr>
              <w:t>nd</w:t>
            </w:r>
            <w:r>
              <w:rPr>
                <w:rFonts w:ascii="Times New Roman;sans-serif" w:hAnsi="Times New Roman;sans-serif"/>
                <w:b w:val="false"/>
                <w:color w:val="000000"/>
                <w:sz w:val="24"/>
              </w:rPr>
              <w:t>] Grant Anniversary</w:t>
            </w:r>
          </w:p>
        </w:tc>
      </w:tr>
      <w:tr>
        <w:trPr/>
        <w:tc>
          <w:tcPr>
            <w:tcW w:w="38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tc>
        <w:tc>
          <w:tcPr>
            <w:tcW w:w="240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
              <w:jc w:val="center"/>
              <w:rPr/>
            </w:pPr>
            <w:r>
              <w:rPr>
                <w:rFonts w:ascii="Times New Roman;sans-serif" w:hAnsi="Times New Roman;sans-serif"/>
                <w:b w:val="false"/>
                <w:color w:val="000000"/>
                <w:sz w:val="24"/>
              </w:rPr>
              <w:t>[3</w:t>
            </w:r>
            <w:r>
              <w:rPr>
                <w:rFonts w:ascii="Times New Roman;sans-serif" w:hAnsi="Times New Roman;sans-serif"/>
                <w:b w:val="false"/>
                <w:color w:val="000000"/>
                <w:sz w:val="16"/>
              </w:rPr>
              <w:t>rd</w:t>
            </w:r>
            <w:r>
              <w:rPr>
                <w:rFonts w:ascii="Times New Roman;sans-serif" w:hAnsi="Times New Roman;sans-serif"/>
                <w:b w:val="false"/>
                <w:color w:val="000000"/>
                <w:sz w:val="24"/>
              </w:rPr>
              <w:t>] Grant Anniversary</w:t>
            </w:r>
          </w:p>
        </w:tc>
      </w:tr>
      <w:tr>
        <w:trPr/>
        <w:tc>
          <w:tcPr>
            <w:tcW w:w="385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56"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tc>
        <w:tc>
          <w:tcPr>
            <w:tcW w:w="240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56" w:before="0" w:after="2"/>
              <w:jc w:val="center"/>
              <w:rPr/>
            </w:pPr>
            <w:r>
              <w:rPr>
                <w:rFonts w:ascii="Times New Roman;sans-serif" w:hAnsi="Times New Roman;sans-serif"/>
                <w:b w:val="false"/>
                <w:color w:val="000000"/>
                <w:sz w:val="24"/>
              </w:rPr>
              <w:t>[4</w:t>
            </w:r>
            <w:r>
              <w:rPr>
                <w:rFonts w:ascii="Times New Roman;sans-serif" w:hAnsi="Times New Roman;sans-serif"/>
                <w:b w:val="false"/>
                <w:color w:val="000000"/>
                <w:sz w:val="16"/>
              </w:rPr>
              <w:t>th</w:t>
            </w:r>
            <w:r>
              <w:rPr>
                <w:rFonts w:ascii="Times New Roman;sans-serif" w:hAnsi="Times New Roman;sans-serif"/>
                <w:b w:val="false"/>
                <w:color w:val="000000"/>
                <w:sz w:val="24"/>
              </w:rPr>
              <w:t>] Grant Anniversary</w:t>
            </w:r>
          </w:p>
        </w:tc>
      </w:tr>
    </w:tbl>
    <w:p>
      <w:pPr>
        <w:pStyle w:val="TextBody"/>
        <w:bidi w:val="0"/>
        <w:spacing w:before="0" w:after="0"/>
        <w:jc w:val="left"/>
        <w:rPr/>
      </w:pPr>
      <w:r>
        <w:rPr/>
      </w:r>
    </w:p>
    <w:p>
      <w:pPr>
        <w:pStyle w:val="TextBody"/>
        <w:bidi w:val="0"/>
        <w:spacing w:lineRule="auto" w:line="268" w:before="0" w:after="0"/>
        <w:ind w:left="0" w:right="0" w:firstLine="1800"/>
        <w:jc w:val="both"/>
        <w:rPr/>
      </w:pPr>
      <w:r>
        <w:rPr>
          <w:rFonts w:ascii="Times New Roman;sans-serif" w:hAnsi="Times New Roman;sans-serif"/>
          <w:b w:val="false"/>
          <w:color w:val="000000"/>
          <w:sz w:val="24"/>
        </w:rPr>
        <w:t xml:space="preserve">(ii) </w:t>
      </w:r>
      <w:r>
        <w:rPr>
          <w:rFonts w:ascii="Times New Roman;sans-serif" w:hAnsi="Times New Roman;sans-serif"/>
          <w:b w:val="false"/>
          <w:i/>
          <w:color w:val="000000"/>
          <w:sz w:val="24"/>
        </w:rPr>
        <w:t>Change in Control</w:t>
      </w:r>
      <w:r>
        <w:rPr>
          <w:rFonts w:ascii="Times New Roman;sans-serif" w:hAnsi="Times New Roman;sans-serif"/>
          <w:b w:val="false"/>
          <w:color w:val="000000"/>
          <w:sz w:val="24"/>
        </w:rPr>
        <w:t xml:space="preserve">. (A) Notwithstanding the foregoing, in the event that a “Change in Control” (which for purposes of this Agreement shall have the meaning set forth in the Plan as modified by the language at the end of this Section 2(c)) occurs at a time when any portion of the Option remains unvested, then effective upon the consummation of the Change in Control, the vesting of the portion of the Option that is not then fully vested shall accelerate such that any portion of the Option that would have become vested during the one-year period following the Change in Control shall become vested effective as of the consummation of the Change in Control. </w:t>
      </w:r>
    </w:p>
    <w:p>
      <w:pPr>
        <w:pStyle w:val="TextBody"/>
        <w:bidi w:val="0"/>
        <w:spacing w:before="0" w:after="0"/>
        <w:ind w:left="0" w:right="0" w:firstLine="2081"/>
        <w:jc w:val="both"/>
        <w:rPr/>
      </w:pPr>
      <w:r>
        <w:rPr/>
      </w:r>
    </w:p>
    <w:p>
      <w:pPr>
        <w:pStyle w:val="TextBody"/>
        <w:bidi w:val="0"/>
        <w:spacing w:lineRule="auto" w:line="268" w:before="0" w:after="0"/>
        <w:ind w:left="0" w:right="0" w:firstLine="27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In addition: (1) in the event that Participant’s employment by the Company is terminated by the Company without Cause (as defined in the Plan) (x) at any time following a Change in Control or (y) in specific contemplation of a Change in Control or (2) in the event Participant resigns with “Good Reason” (as defined below) at any time following a Change in Control, Participant shall, upon and subject to the execution within sixty (60) days following termination of employment (and non- revocation during any applicable revocation period) of a standard release of all employment-related claims against the Company and its Affiliates and each of their employees, officers and directors, be entitled to immediate vesting as of the termination date of any portion of the Option that is unvested as of the termination date. </w:t>
      </w:r>
    </w:p>
    <w:p>
      <w:pPr>
        <w:pStyle w:val="TextBody"/>
        <w:bidi w:val="0"/>
        <w:spacing w:lineRule="auto" w:line="268" w:before="0" w:after="0"/>
        <w:ind w:left="0" w:right="0" w:firstLine="180"/>
        <w:jc w:val="both"/>
        <w:rPr>
          <w:rFonts w:ascii="Times New Roman;sans-serif" w:hAnsi="Times New Roman;sans-serif"/>
          <w:b w:val="false"/>
          <w:color w:val="000000"/>
          <w:sz w:val="24"/>
        </w:rPr>
      </w:pPr>
      <w:r>
        <w:rPr>
          <w:rFonts w:ascii="Times New Roman;sans-serif" w:hAnsi="Times New Roman;sans-serif"/>
          <w:b w:val="false"/>
          <w:color w:val="000000"/>
          <w:sz w:val="24"/>
        </w:rPr>
        <w:t>(C) The term “Good Reason” shall have the meaning set forth in any employment, consulting or other agreement between the Company or an Affiliate and the Participant in effect on the date hereof, or, in the absence of such definition therein, the occurrence, without Participant’s prior written consent, of any of the following events:</w:t>
      </w:r>
    </w:p>
    <w:p>
      <w:pPr>
        <w:pStyle w:val="TextBody"/>
        <w:bidi w:val="0"/>
        <w:spacing w:before="0" w:after="0"/>
        <w:jc w:val="left"/>
        <w:rPr/>
      </w:pPr>
      <w:r>
        <w:rPr/>
      </w:r>
    </w:p>
    <w:p>
      <w:pPr>
        <w:pStyle w:val="TextBody"/>
        <w:bidi w:val="0"/>
        <w:spacing w:lineRule="auto" w:line="276"/>
        <w:ind w:left="0" w:right="0" w:firstLine="12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(1)a substantial reduction of Participant’s duties or responsibilities, or Participant being required to report to any person other than the Board or the Company’s Chief Executive Officer or President; provided that, if there is a Change </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in Control and Participant retains a similar title and similar duties with the Company or any entity that acquires the Company (or any affiliate or subsidiary of such entity) following such Change in Control, any change in Participant’s title shall not a constitute a significant reduction of Participant’s duties and authorities hereunder;</w:t>
      </w:r>
    </w:p>
    <w:p>
      <w:pPr>
        <w:pStyle w:val="TextBody"/>
        <w:bidi w:val="0"/>
        <w:spacing w:before="0" w:after="0"/>
        <w:ind w:left="0" w:right="0" w:firstLine="1620"/>
        <w:jc w:val="both"/>
        <w:rPr/>
      </w:pPr>
      <w:r>
        <w:rPr/>
      </w:r>
    </w:p>
    <w:p>
      <w:pPr>
        <w:pStyle w:val="TextBody"/>
        <w:bidi w:val="0"/>
        <w:spacing w:lineRule="auto" w:line="276" w:before="0" w:after="0"/>
        <w:ind w:left="0" w:right="0" w:firstLine="1260"/>
        <w:jc w:val="both"/>
        <w:rPr>
          <w:rFonts w:ascii="Times New Roman;sans-serif" w:hAnsi="Times New Roman;sans-serif"/>
          <w:b w:val="false"/>
          <w:color w:val="000000"/>
          <w:sz w:val="24"/>
        </w:rPr>
      </w:pPr>
      <w:r>
        <w:rPr>
          <w:rFonts w:ascii="Times New Roman;sans-serif" w:hAnsi="Times New Roman;sans-serif"/>
          <w:b w:val="false"/>
          <w:color w:val="000000"/>
          <w:sz w:val="24"/>
        </w:rPr>
        <w:t>(2)Participant’s job title is adversely changed, provided that if there is a Change in Control and Participant retains a similar title and similar duties with the Company or any entity that acquires the Company (or any affiliate or subsidiary of such entity) following such Change in Control, any change in Participant’s title shall not constitute a significant reduction of Participant’s duties and authorities hereunder;</w:t>
      </w:r>
    </w:p>
    <w:p>
      <w:pPr>
        <w:pStyle w:val="TextBody"/>
        <w:bidi w:val="0"/>
        <w:spacing w:before="0" w:after="0"/>
        <w:ind w:left="0" w:right="0" w:firstLine="1620"/>
        <w:jc w:val="both"/>
        <w:rPr/>
      </w:pPr>
      <w:r>
        <w:rPr/>
      </w:r>
    </w:p>
    <w:p>
      <w:pPr>
        <w:pStyle w:val="TextBody"/>
        <w:bidi w:val="0"/>
        <w:spacing w:lineRule="auto" w:line="276" w:before="0" w:after="0"/>
        <w:ind w:left="0" w:right="0" w:firstLine="1260"/>
        <w:jc w:val="both"/>
        <w:rPr>
          <w:rFonts w:ascii="Times New Roman;sans-serif" w:hAnsi="Times New Roman;sans-serif"/>
          <w:b w:val="false"/>
          <w:color w:val="000000"/>
          <w:sz w:val="24"/>
        </w:rPr>
      </w:pPr>
      <w:r>
        <w:rPr>
          <w:rFonts w:ascii="Times New Roman;sans-serif" w:hAnsi="Times New Roman;sans-serif"/>
          <w:b w:val="false"/>
          <w:color w:val="000000"/>
          <w:sz w:val="24"/>
        </w:rPr>
        <w:t>(3)following a Change in Control, a change in the office or location where Participant is based of more than thirty (30) miles, which new location is more than thirty (30) miles from Participant’s primary residence; or</w:t>
      </w:r>
    </w:p>
    <w:p>
      <w:pPr>
        <w:pStyle w:val="TextBody"/>
        <w:bidi w:val="0"/>
        <w:spacing w:before="0" w:after="0"/>
        <w:ind w:left="0" w:right="0" w:firstLine="1620"/>
        <w:jc w:val="both"/>
        <w:rPr/>
      </w:pPr>
      <w:r>
        <w:rPr/>
      </w:r>
    </w:p>
    <w:p>
      <w:pPr>
        <w:pStyle w:val="TextBody"/>
        <w:bidi w:val="0"/>
        <w:spacing w:lineRule="auto" w:line="276" w:before="0" w:after="0"/>
        <w:ind w:left="0" w:right="0" w:firstLine="1260"/>
        <w:jc w:val="both"/>
        <w:rPr>
          <w:rFonts w:ascii="Times New Roman;sans-serif" w:hAnsi="Times New Roman;sans-serif"/>
          <w:b w:val="false"/>
          <w:color w:val="000000"/>
          <w:sz w:val="24"/>
        </w:rPr>
      </w:pPr>
      <w:r>
        <w:rPr>
          <w:rFonts w:ascii="Times New Roman;sans-serif" w:hAnsi="Times New Roman;sans-serif"/>
          <w:b w:val="false"/>
          <w:color w:val="000000"/>
          <w:sz w:val="24"/>
        </w:rPr>
        <w:t>(4)following a Change in Control, a breach by the Company of any material term of any employment, consulting, or similar agreement between the Company and Participant;</w:t>
      </w:r>
    </w:p>
    <w:p>
      <w:pPr>
        <w:pStyle w:val="TextBody"/>
        <w:bidi w:val="0"/>
        <w:spacing w:before="0" w:after="0"/>
        <w:jc w:val="left"/>
        <w:rPr/>
      </w:pPr>
      <w:r>
        <w:rPr/>
      </w:r>
    </w:p>
    <w:p>
      <w:pPr>
        <w:pStyle w:val="TextBody"/>
        <w:bidi w:val="0"/>
        <w:spacing w:lineRule="auto" w:line="268" w:before="0" w:after="0"/>
        <w:ind w:left="0" w:right="0" w:firstLine="540"/>
        <w:jc w:val="both"/>
        <w:rPr>
          <w:rFonts w:ascii="Times New Roman;sans-serif" w:hAnsi="Times New Roman;sans-serif"/>
          <w:b w:val="false"/>
          <w:color w:val="000000"/>
          <w:sz w:val="24"/>
        </w:rPr>
      </w:pPr>
      <w:r>
        <w:rPr>
          <w:rFonts w:ascii="Times New Roman;sans-serif" w:hAnsi="Times New Roman;sans-serif"/>
          <w:b w:val="false"/>
          <w:color w:val="000000"/>
          <w:sz w:val="24"/>
        </w:rPr>
        <w:t>provided that, a termination by Participant with Good Reason shall be effective only if, within thirty (30) days following Participant’s first becoming aware of the circumstances giving rise to Good Reason, Participant delivers a “notice of termination for Good Reason” to the Company, and the Company within fifteen (15) days following its receipt of such notification has failed to cure the circumstances giving rise to Good Reason.</w:t>
      </w:r>
    </w:p>
    <w:p>
      <w:pPr>
        <w:pStyle w:val="TextBody"/>
        <w:bidi w:val="0"/>
        <w:spacing w:before="0" w:after="0"/>
        <w:ind w:left="0" w:right="0" w:firstLine="1440"/>
        <w:jc w:val="left"/>
        <w:rPr/>
      </w:pPr>
      <w:r>
        <w:rPr/>
      </w:r>
    </w:p>
    <w:p>
      <w:pPr>
        <w:pStyle w:val="TextBody"/>
        <w:bidi w:val="0"/>
        <w:spacing w:lineRule="auto" w:line="268" w:before="0" w:after="0"/>
        <w:ind w:left="0" w:right="0" w:firstLine="2081"/>
        <w:jc w:val="both"/>
        <w:rPr/>
      </w:pPr>
      <w:r>
        <w:rPr>
          <w:rFonts w:ascii="Times New Roman;sans-serif" w:hAnsi="Times New Roman;sans-serif"/>
          <w:b w:val="false"/>
          <w:color w:val="000000"/>
          <w:sz w:val="24"/>
        </w:rPr>
        <w:t xml:space="preserve">(iii) </w:t>
      </w:r>
      <w:r>
        <w:rPr>
          <w:rFonts w:ascii="Times New Roman;sans-serif" w:hAnsi="Times New Roman;sans-serif"/>
          <w:b w:val="false"/>
          <w:i/>
          <w:color w:val="000000"/>
          <w:sz w:val="24"/>
        </w:rPr>
        <w:t>Death</w:t>
      </w:r>
      <w:r>
        <w:rPr>
          <w:rFonts w:ascii="Times New Roman;sans-serif" w:hAnsi="Times New Roman;sans-serif"/>
          <w:b w:val="false"/>
          <w:color w:val="000000"/>
          <w:sz w:val="24"/>
        </w:rPr>
        <w:t>. Notwithstanding the foregoing, in the event that Participant’s employment with the Company is terminated due to Participant’s death at a time when any portion of the Option remains unvested, the portion of the Option that is unvested shall become immediately vested effective as of the date of Participant’s death.</w:t>
      </w:r>
    </w:p>
    <w:p>
      <w:pPr>
        <w:pStyle w:val="TextBody"/>
        <w:bidi w:val="0"/>
        <w:spacing w:before="0" w:after="0"/>
        <w:ind w:left="0" w:right="0" w:firstLine="2081"/>
        <w:jc w:val="both"/>
        <w:rPr/>
      </w:pPr>
      <w:r>
        <w:rPr/>
      </w:r>
    </w:p>
    <w:p>
      <w:pPr>
        <w:pStyle w:val="TextBody"/>
        <w:bidi w:val="0"/>
        <w:spacing w:lineRule="auto" w:line="268" w:before="0" w:after="0"/>
        <w:ind w:left="0" w:right="0" w:firstLine="2081"/>
        <w:jc w:val="both"/>
        <w:rPr/>
      </w:pPr>
      <w:r>
        <w:rPr>
          <w:rFonts w:ascii="Times New Roman;sans-serif" w:hAnsi="Times New Roman;sans-serif"/>
          <w:b w:val="false"/>
          <w:color w:val="000000"/>
          <w:sz w:val="24"/>
        </w:rPr>
        <w:t xml:space="preserve">(iv) </w:t>
      </w:r>
      <w:r>
        <w:rPr>
          <w:rFonts w:ascii="Times New Roman;sans-serif" w:hAnsi="Times New Roman;sans-serif"/>
          <w:b w:val="false"/>
          <w:i/>
          <w:color w:val="000000"/>
          <w:sz w:val="24"/>
          <w:u w:val="single"/>
        </w:rPr>
        <w:t>Retirement</w:t>
      </w:r>
      <w:r>
        <w:rPr>
          <w:rFonts w:ascii="Times New Roman;sans-serif" w:hAnsi="Times New Roman;sans-serif"/>
          <w:b w:val="false"/>
          <w:color w:val="000000"/>
          <w:sz w:val="24"/>
        </w:rPr>
        <w:t>. Notwithstanding the foregoing, and assuming that such Option has been outstanding for at least six (6) months from the Date of Grant, in the event that Participant’s employment with the Company (or its Affiliates) is terminated, other than by the Company (or its Affiliates) for Cause (as defined in the Plan),</w:t>
      </w:r>
    </w:p>
    <w:p>
      <w:pPr>
        <w:pStyle w:val="TextBody"/>
        <w:bidi w:val="0"/>
        <w:spacing w:before="0" w:after="0"/>
        <w:ind w:left="0" w:right="0" w:firstLine="2081"/>
        <w:jc w:val="both"/>
        <w:rPr/>
      </w:pPr>
      <w:r>
        <w:rPr/>
      </w:r>
    </w:p>
    <w:p>
      <w:pPr>
        <w:pStyle w:val="TextBody"/>
        <w:bidi w:val="0"/>
        <w:spacing w:lineRule="auto" w:line="268" w:before="0" w:after="0"/>
        <w:ind w:left="0" w:right="0" w:firstLine="2801"/>
        <w:jc w:val="both"/>
        <w:rPr>
          <w:rFonts w:ascii="Times New Roman;sans-serif" w:hAnsi="Times New Roman;sans-serif"/>
          <w:b w:val="false"/>
          <w:color w:val="000000"/>
          <w:sz w:val="24"/>
        </w:rPr>
      </w:pPr>
      <w:r>
        <w:rPr>
          <w:rFonts w:ascii="Times New Roman;sans-serif" w:hAnsi="Times New Roman;sans-serif"/>
          <w:b w:val="false"/>
          <w:color w:val="000000"/>
          <w:sz w:val="24"/>
        </w:rPr>
        <w:t>(1) after having attained age sixty (60) with at least ten (10) years of service with the Company (or its Affiliates) at a time when any portion of the Option remains unvested, then one-hundred percent (100%) of that portion of Participant’s Option (and only that portion) that is scheduled to vest within the next twelve (12) months shall become immediately vested as of the date Participant terminates employment, and any remaining unvested portion of the Option shall be immediately forfeited; and</w:t>
      </w:r>
    </w:p>
    <w:p>
      <w:pPr>
        <w:pStyle w:val="TextBody"/>
        <w:bidi w:val="0"/>
        <w:spacing w:before="0" w:after="0"/>
        <w:ind w:left="0" w:right="0" w:firstLine="2801"/>
        <w:jc w:val="left"/>
        <w:rPr/>
      </w:pPr>
      <w:r>
        <w:rPr/>
      </w:r>
    </w:p>
    <w:p>
      <w:pPr>
        <w:pStyle w:val="TextBody"/>
        <w:bidi w:val="0"/>
        <w:spacing w:lineRule="auto" w:line="268"/>
        <w:ind w:left="0" w:right="0" w:firstLine="2801"/>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(2) after having attained age sixty (60) with at least five (5) years and less than ten (10) years of service with the Company (or its Affiliates), at a time when any portion of the Option remains unvested, then the applicable percentage of the Participant’s </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jc w:val="both"/>
        <w:rPr/>
      </w:pPr>
      <w:r>
        <w:rPr>
          <w:rFonts w:ascii="Times New Roman;sans-serif" w:hAnsi="Times New Roman;sans-serif"/>
          <w:b w:val="false"/>
          <w:color w:val="000000"/>
          <w:sz w:val="24"/>
        </w:rPr>
        <w:t>Option (and only that portion) that is scheduled to vest within the next twelve (12) months, as described below (the “</w:t>
      </w:r>
      <w:r>
        <w:rPr>
          <w:rFonts w:ascii="Times New Roman;sans-serif" w:hAnsi="Times New Roman;sans-serif"/>
          <w:b w:val="false"/>
          <w:color w:val="000000"/>
          <w:sz w:val="24"/>
          <w:u w:val="single"/>
        </w:rPr>
        <w:t>Prorated Percentage</w:t>
      </w:r>
      <w:r>
        <w:rPr>
          <w:color w:val="000000"/>
        </w:rPr>
        <w:t>”</w:t>
      </w:r>
      <w:r>
        <w:rPr>
          <w:rFonts w:ascii="Times New Roman;sans-serif" w:hAnsi="Times New Roman;sans-serif"/>
          <w:b w:val="false"/>
          <w:color w:val="000000"/>
          <w:sz w:val="24"/>
        </w:rPr>
        <w:t>), shall become immediately vested as of the date the Participant terminates employment, and any remaining unvested portion of the Option shall be immediately forfeited.</w:t>
      </w:r>
    </w:p>
    <w:p>
      <w:pPr>
        <w:pStyle w:val="TextBody"/>
        <w:bidi w:val="0"/>
        <w:spacing w:before="0" w:after="0"/>
        <w:ind w:left="0" w:right="0" w:firstLine="2801"/>
        <w:jc w:val="both"/>
        <w:rPr/>
      </w:pPr>
      <w:r>
        <w:rPr/>
      </w:r>
    </w:p>
    <w:tbl>
      <w:tblPr>
        <w:tblW w:w="7150" w:type="dxa"/>
        <w:jc w:val="left"/>
        <w:tblInd w:w="0" w:type="dxa"/>
        <w:tblLayout w:type="fixed"/>
        <w:tblCellMar>
          <w:top w:w="28" w:type="dxa"/>
          <w:left w:w="28" w:type="dxa"/>
          <w:bottom w:w="28" w:type="dxa"/>
          <w:right w:w="28" w:type="dxa"/>
        </w:tblCellMar>
      </w:tblPr>
      <w:tblGrid>
        <w:gridCol w:w="1592"/>
        <w:gridCol w:w="1397"/>
        <w:gridCol w:w="1401"/>
        <w:gridCol w:w="808"/>
        <w:gridCol w:w="808"/>
        <w:gridCol w:w="1144"/>
      </w:tblGrid>
      <w:tr>
        <w:trPr/>
        <w:tc>
          <w:tcPr>
            <w:tcW w:w="1592"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r>
      <w:tr>
        <w:trPr/>
        <w:tc>
          <w:tcPr>
            <w:tcW w:w="43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
              <w:ind w:left="0" w:right="0" w:firstLine="720"/>
              <w:jc w:val="center"/>
              <w:rPr>
                <w:rFonts w:ascii="Times New Roman;sans-serif" w:hAnsi="Times New Roman;sans-serif"/>
                <w:b w:val="false"/>
                <w:color w:val="000000"/>
                <w:sz w:val="24"/>
              </w:rPr>
            </w:pPr>
            <w:r>
              <w:rPr>
                <w:rFonts w:ascii="Times New Roman;sans-serif" w:hAnsi="Times New Roman;sans-serif"/>
                <w:b w:val="false"/>
                <w:color w:val="000000"/>
                <w:sz w:val="24"/>
              </w:rPr>
              <w:t>Completed Years of Service:</w:t>
            </w:r>
          </w:p>
          <w:p>
            <w:pPr>
              <w:pStyle w:val="TableContents"/>
              <w:bidi w:val="0"/>
              <w:spacing w:lineRule="auto" w:line="268" w:before="0" w:after="2"/>
              <w:ind w:left="0" w:right="0" w:firstLine="720"/>
              <w:jc w:val="center"/>
              <w:rPr>
                <w:rFonts w:ascii="Times New Roman;sans-serif" w:hAnsi="Times New Roman;sans-serif"/>
                <w:b w:val="false"/>
                <w:color w:val="000000"/>
                <w:sz w:val="24"/>
              </w:rPr>
            </w:pPr>
            <w:r>
              <w:rPr>
                <w:rFonts w:ascii="Times New Roman;sans-serif" w:hAnsi="Times New Roman;sans-serif"/>
                <w:b w:val="false"/>
                <w:color w:val="000000"/>
                <w:sz w:val="24"/>
              </w:rPr>
              <w:t>At least</w:t>
            </w:r>
          </w:p>
        </w:tc>
        <w:tc>
          <w:tcPr>
            <w:tcW w:w="276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Prorated Percentage</w:t>
            </w:r>
          </w:p>
        </w:tc>
      </w:tr>
      <w:tr>
        <w:trPr/>
        <w:tc>
          <w:tcPr>
            <w:tcW w:w="43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2801"/>
              <w:jc w:val="center"/>
              <w:rPr>
                <w:rFonts w:ascii="Times New Roman;sans-serif" w:hAnsi="Times New Roman;sans-serif"/>
                <w:b w:val="false"/>
                <w:color w:val="000000"/>
                <w:sz w:val="24"/>
              </w:rPr>
            </w:pPr>
            <w:r>
              <w:rPr>
                <w:rFonts w:ascii="Times New Roman;sans-serif" w:hAnsi="Times New Roman;sans-serif"/>
                <w:b w:val="false"/>
                <w:color w:val="000000"/>
                <w:sz w:val="24"/>
              </w:rPr>
              <w:t>Five (5) years</w:t>
            </w:r>
          </w:p>
        </w:tc>
        <w:tc>
          <w:tcPr>
            <w:tcW w:w="276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ind w:left="0" w:right="0" w:firstLine="720"/>
              <w:jc w:val="center"/>
              <w:rPr>
                <w:rFonts w:ascii="Times New Roman;sans-serif" w:hAnsi="Times New Roman;sans-serif"/>
                <w:b w:val="false"/>
                <w:color w:val="000000"/>
                <w:sz w:val="24"/>
              </w:rPr>
            </w:pPr>
            <w:r>
              <w:rPr>
                <w:rFonts w:ascii="Times New Roman;sans-serif" w:hAnsi="Times New Roman;sans-serif"/>
                <w:b w:val="false"/>
                <w:color w:val="000000"/>
                <w:sz w:val="24"/>
              </w:rPr>
              <w:t>50%</w:t>
            </w:r>
          </w:p>
        </w:tc>
      </w:tr>
      <w:tr>
        <w:trPr/>
        <w:tc>
          <w:tcPr>
            <w:tcW w:w="43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2801"/>
              <w:jc w:val="center"/>
              <w:rPr>
                <w:rFonts w:ascii="Times New Roman;sans-serif" w:hAnsi="Times New Roman;sans-serif"/>
                <w:b w:val="false"/>
                <w:color w:val="000000"/>
                <w:sz w:val="24"/>
              </w:rPr>
            </w:pPr>
            <w:r>
              <w:rPr>
                <w:rFonts w:ascii="Times New Roman;sans-serif" w:hAnsi="Times New Roman;sans-serif"/>
                <w:b w:val="false"/>
                <w:color w:val="000000"/>
                <w:sz w:val="24"/>
              </w:rPr>
              <w:t>Six (6) years</w:t>
            </w:r>
          </w:p>
        </w:tc>
        <w:tc>
          <w:tcPr>
            <w:tcW w:w="276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ind w:left="0" w:right="0" w:firstLine="720"/>
              <w:jc w:val="center"/>
              <w:rPr>
                <w:rFonts w:ascii="Times New Roman;sans-serif" w:hAnsi="Times New Roman;sans-serif"/>
                <w:b w:val="false"/>
                <w:color w:val="000000"/>
                <w:sz w:val="24"/>
              </w:rPr>
            </w:pPr>
            <w:r>
              <w:rPr>
                <w:rFonts w:ascii="Times New Roman;sans-serif" w:hAnsi="Times New Roman;sans-serif"/>
                <w:b w:val="false"/>
                <w:color w:val="000000"/>
                <w:sz w:val="24"/>
              </w:rPr>
              <w:t>60%</w:t>
            </w:r>
          </w:p>
        </w:tc>
      </w:tr>
      <w:tr>
        <w:trPr/>
        <w:tc>
          <w:tcPr>
            <w:tcW w:w="43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2801"/>
              <w:jc w:val="center"/>
              <w:rPr>
                <w:rFonts w:ascii="Times New Roman;sans-serif" w:hAnsi="Times New Roman;sans-serif"/>
                <w:b w:val="false"/>
                <w:color w:val="000000"/>
                <w:sz w:val="24"/>
              </w:rPr>
            </w:pPr>
            <w:r>
              <w:rPr>
                <w:rFonts w:ascii="Times New Roman;sans-serif" w:hAnsi="Times New Roman;sans-serif"/>
                <w:b w:val="false"/>
                <w:color w:val="000000"/>
                <w:sz w:val="24"/>
              </w:rPr>
              <w:t>Seven (7) years</w:t>
            </w:r>
          </w:p>
        </w:tc>
        <w:tc>
          <w:tcPr>
            <w:tcW w:w="276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ind w:left="0" w:right="0" w:firstLine="720"/>
              <w:jc w:val="center"/>
              <w:rPr>
                <w:rFonts w:ascii="Times New Roman;sans-serif" w:hAnsi="Times New Roman;sans-serif"/>
                <w:b w:val="false"/>
                <w:color w:val="000000"/>
                <w:sz w:val="24"/>
              </w:rPr>
            </w:pPr>
            <w:r>
              <w:rPr>
                <w:rFonts w:ascii="Times New Roman;sans-serif" w:hAnsi="Times New Roman;sans-serif"/>
                <w:b w:val="false"/>
                <w:color w:val="000000"/>
                <w:sz w:val="24"/>
              </w:rPr>
              <w:t>70%</w:t>
            </w:r>
          </w:p>
        </w:tc>
      </w:tr>
      <w:tr>
        <w:trPr/>
        <w:tc>
          <w:tcPr>
            <w:tcW w:w="43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2801"/>
              <w:jc w:val="center"/>
              <w:rPr>
                <w:rFonts w:ascii="Times New Roman;sans-serif" w:hAnsi="Times New Roman;sans-serif"/>
                <w:b w:val="false"/>
                <w:color w:val="000000"/>
                <w:sz w:val="24"/>
              </w:rPr>
            </w:pPr>
            <w:r>
              <w:rPr>
                <w:rFonts w:ascii="Times New Roman;sans-serif" w:hAnsi="Times New Roman;sans-serif"/>
                <w:b w:val="false"/>
                <w:color w:val="000000"/>
                <w:sz w:val="24"/>
              </w:rPr>
              <w:t>Eight (8) years</w:t>
            </w:r>
          </w:p>
        </w:tc>
        <w:tc>
          <w:tcPr>
            <w:tcW w:w="276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ind w:left="0" w:right="0" w:firstLine="720"/>
              <w:jc w:val="center"/>
              <w:rPr>
                <w:rFonts w:ascii="Times New Roman;sans-serif" w:hAnsi="Times New Roman;sans-serif"/>
                <w:b w:val="false"/>
                <w:color w:val="000000"/>
                <w:sz w:val="24"/>
              </w:rPr>
            </w:pPr>
            <w:r>
              <w:rPr>
                <w:rFonts w:ascii="Times New Roman;sans-serif" w:hAnsi="Times New Roman;sans-serif"/>
                <w:b w:val="false"/>
                <w:color w:val="000000"/>
                <w:sz w:val="24"/>
              </w:rPr>
              <w:t>80%</w:t>
            </w:r>
          </w:p>
        </w:tc>
      </w:tr>
      <w:tr>
        <w:trPr/>
        <w:tc>
          <w:tcPr>
            <w:tcW w:w="439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ind w:left="0" w:right="0" w:firstLine="2801"/>
              <w:jc w:val="center"/>
              <w:rPr>
                <w:rFonts w:ascii="Times New Roman;sans-serif" w:hAnsi="Times New Roman;sans-serif"/>
                <w:b w:val="false"/>
                <w:color w:val="000000"/>
                <w:sz w:val="24"/>
              </w:rPr>
            </w:pPr>
            <w:r>
              <w:rPr>
                <w:rFonts w:ascii="Times New Roman;sans-serif" w:hAnsi="Times New Roman;sans-serif"/>
                <w:b w:val="false"/>
                <w:color w:val="000000"/>
                <w:sz w:val="24"/>
              </w:rPr>
              <w:t>Nine (9) years</w:t>
            </w:r>
          </w:p>
        </w:tc>
        <w:tc>
          <w:tcPr>
            <w:tcW w:w="276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90%</w:t>
            </w:r>
          </w:p>
        </w:tc>
      </w:tr>
    </w:tbl>
    <w:p>
      <w:pPr>
        <w:pStyle w:val="TextBody"/>
        <w:bidi w:val="0"/>
        <w:spacing w:before="0" w:after="0"/>
        <w:jc w:val="left"/>
        <w:rPr/>
      </w:pPr>
      <w:r>
        <w:rPr/>
      </w:r>
    </w:p>
    <w:p>
      <w:pPr>
        <w:pStyle w:val="TextBody"/>
        <w:bidi w:val="0"/>
        <w:spacing w:lineRule="auto" w:line="268" w:before="0" w:after="0"/>
        <w:ind w:left="0" w:right="0" w:firstLine="2801"/>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For purposes of this Section 2(c)(iv), years of service with the Company (or its Affiliates) does not include tenure at any organization acquired by the Company (or its Affiliates) prior to the closing date of such acquisition. </w:t>
      </w:r>
    </w:p>
    <w:p>
      <w:pPr>
        <w:pStyle w:val="TextBody"/>
        <w:bidi w:val="0"/>
        <w:spacing w:before="0" w:after="0"/>
        <w:ind w:left="0" w:right="0" w:firstLine="2801"/>
        <w:jc w:val="both"/>
        <w:rPr/>
      </w:pPr>
      <w:r>
        <w:rPr/>
      </w:r>
    </w:p>
    <w:p>
      <w:pPr>
        <w:pStyle w:val="TextBody"/>
        <w:bidi w:val="0"/>
        <w:spacing w:lineRule="auto" w:line="268" w:before="0" w:after="0"/>
        <w:ind w:left="0" w:right="0" w:firstLine="2081"/>
        <w:jc w:val="both"/>
        <w:rPr/>
      </w:pPr>
      <w:r>
        <w:rPr>
          <w:rFonts w:ascii="Times New Roman;sans-serif" w:hAnsi="Times New Roman;sans-serif"/>
          <w:b w:val="false"/>
          <w:color w:val="000000"/>
          <w:sz w:val="24"/>
        </w:rPr>
        <w:t xml:space="preserve">(v) </w:t>
      </w:r>
      <w:r>
        <w:rPr>
          <w:rFonts w:ascii="Times New Roman;sans-serif" w:hAnsi="Times New Roman;sans-serif"/>
          <w:b w:val="false"/>
          <w:i/>
          <w:color w:val="000000"/>
          <w:sz w:val="24"/>
        </w:rPr>
        <w:t>Special 409A Rule.</w:t>
      </w:r>
      <w:r>
        <w:rPr>
          <w:color w:val="000000"/>
        </w:rPr>
        <w:t xml:space="preserve"> </w:t>
      </w:r>
      <w:r>
        <w:rPr>
          <w:rFonts w:ascii="Times New Roman;sans-serif" w:hAnsi="Times New Roman;sans-serif"/>
          <w:b w:val="false"/>
          <w:color w:val="000000"/>
          <w:sz w:val="24"/>
        </w:rPr>
        <w:t>Notwithstanding anything to the contrary in this Section 3, to the extent necessary to comply with Section 409A of the Code, a Change in Control hereunder shall not give rise to any acceleration of the vesting of any portion of an Award hereunder unless such event satisfies the definition of a change in the ownership or effective control of a corporation, or a change in the ownership of a substantial portion of the assets of a corporation pursuant to Section 409A of the Code and any Treasury Regulations promulgated thereunder.</w:t>
      </w:r>
    </w:p>
    <w:p>
      <w:pPr>
        <w:pStyle w:val="TextBody"/>
        <w:bidi w:val="0"/>
        <w:spacing w:before="0" w:after="0"/>
        <w:ind w:left="0" w:right="0" w:firstLine="2081"/>
        <w:jc w:val="both"/>
        <w:rPr/>
      </w:pPr>
      <w:r>
        <w:rPr/>
      </w:r>
    </w:p>
    <w:p>
      <w:pPr>
        <w:pStyle w:val="TextBody"/>
        <w:bidi w:val="0"/>
        <w:spacing w:lineRule="auto" w:line="268" w:before="0" w:after="0"/>
        <w:ind w:left="0" w:right="0" w:firstLine="1591"/>
        <w:jc w:val="both"/>
        <w:rPr/>
      </w:pPr>
      <w:r>
        <w:rPr>
          <w:rFonts w:ascii="Times New Roman;sans-serif" w:hAnsi="Times New Roman;sans-serif"/>
          <w:b w:val="false"/>
          <w:color w:val="000000"/>
          <w:sz w:val="24"/>
        </w:rPr>
        <w:t xml:space="preserve">(d) </w:t>
      </w:r>
      <w:r>
        <w:rPr>
          <w:rFonts w:ascii="Times New Roman;sans-serif" w:hAnsi="Times New Roman;sans-serif"/>
          <w:b w:val="false"/>
          <w:color w:val="000000"/>
          <w:sz w:val="24"/>
          <w:u w:val="single"/>
        </w:rPr>
        <w:t>Exercise of the Option</w:t>
      </w:r>
      <w:r>
        <w:rPr>
          <w:rFonts w:ascii="Times New Roman;sans-serif" w:hAnsi="Times New Roman;sans-serif"/>
          <w:b w:val="false"/>
          <w:i/>
          <w:color w:val="000000"/>
          <w:sz w:val="24"/>
        </w:rPr>
        <w:t xml:space="preserve">. </w:t>
      </w:r>
      <w:r>
        <w:rPr>
          <w:rFonts w:ascii="Times New Roman;sans-serif" w:hAnsi="Times New Roman;sans-serif"/>
          <w:b w:val="false"/>
          <w:color w:val="000000"/>
          <w:sz w:val="24"/>
        </w:rPr>
        <w:t xml:space="preserve">The Option may be exercised only by written notice, substantially in the form attached hereto as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(or a successor form provided by the Committee, or over the current plan administrator’s website) delivered in person or by mail in accordance with Section 3(b) hereof and accompanied by payment of the Option Price. The Option Price shall be paid by Participant to the Company by (A) cash, certified check, or transfer over the current plan administrator’s website or such other means as may be approved by the Committee or (B) means of a net exercise whereby the number of Option Shares received by Participant shall equal the excess, if any, of (x) the number of Option Shares that would have been received by Participant upon such exercise had Participant paid the purchase price for the Option Shares in cash over (y) a number of Option Shares, the aggregate Fair Market Value of which is equal to the aggregate purchase price that would have been paid as determined pursuant to the immediately preceding clause (x).</w:t>
      </w:r>
    </w:p>
    <w:p>
      <w:pPr>
        <w:pStyle w:val="TextBody"/>
        <w:bidi w:val="0"/>
        <w:spacing w:before="0" w:after="0"/>
        <w:ind w:left="0" w:right="0" w:firstLine="1591"/>
        <w:jc w:val="left"/>
        <w:rPr/>
      </w:pPr>
      <w:r>
        <w:rPr/>
      </w:r>
    </w:p>
    <w:p>
      <w:pPr>
        <w:pStyle w:val="TextBody"/>
        <w:bidi w:val="0"/>
        <w:spacing w:lineRule="auto" w:line="268"/>
        <w:ind w:left="0" w:right="0" w:firstLine="1591"/>
        <w:jc w:val="both"/>
        <w:rPr/>
      </w:pPr>
      <w:r>
        <w:rPr>
          <w:rFonts w:ascii="Times New Roman;sans-serif" w:hAnsi="Times New Roman;sans-serif"/>
          <w:b w:val="false"/>
          <w:color w:val="000000"/>
          <w:sz w:val="24"/>
        </w:rPr>
        <w:t xml:space="preserve">(e) </w:t>
      </w:r>
      <w:r>
        <w:rPr>
          <w:rFonts w:ascii="Times New Roman;sans-serif" w:hAnsi="Times New Roman;sans-serif"/>
          <w:b w:val="false"/>
          <w:color w:val="000000"/>
          <w:sz w:val="24"/>
          <w:u w:val="single"/>
        </w:rPr>
        <w:t>Forfeiture</w:t>
      </w:r>
      <w:r>
        <w:rPr>
          <w:rFonts w:ascii="Times New Roman;sans-serif" w:hAnsi="Times New Roman;sans-serif"/>
          <w:b w:val="false"/>
          <w:color w:val="000000"/>
          <w:sz w:val="24"/>
        </w:rPr>
        <w:t xml:space="preserve">. Except as otherwise provided in this Agreement, the Plan, or as set forth in any employment, consulting or other agreement between the Company or an Affiliate and the Participant in effect on the date hereof, in the event that Participant ceases to be employed by the Company or its Affiliates for any reason, the unvested portion of the Option shall expire upon such cessation of employment and the vested portion of the Option (to the extent then outstanding) shall expire at 11:59 p.m., ET on the earlier of (i) the last day of the Option Period or (ii) the date that is ninety (90) days after the date of such termination. In such event, the vested portion of the Option shall remain exercisable by Participant until its </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expiration. In addition, the Option and any Option Shares shall be subject to cancellation, forfeiture or recoupment as determined by the Committee upon the occurrence of a violation of material Company policies, misstatement of financial or other material information about the Company, fraud, misconduct, breach of noncompetition, confidentiality, nonsolicitation, noninterference, corporate property protection, or other agreements that may apply to the Participant, or other conduct by the Participant that the Committee determines is detrimental to the business or reputation of the Company and its Affiliates, including facts and circumstances discovered after termination of service.</w:t>
      </w:r>
    </w:p>
    <w:p>
      <w:pPr>
        <w:pStyle w:val="TextBody"/>
        <w:bidi w:val="0"/>
        <w:spacing w:before="0" w:after="0"/>
        <w:ind w:left="0" w:right="0" w:firstLine="1591"/>
        <w:jc w:val="both"/>
        <w:rPr/>
      </w:pPr>
      <w:r>
        <w:rPr/>
      </w:r>
    </w:p>
    <w:p>
      <w:pPr>
        <w:pStyle w:val="TextBody"/>
        <w:bidi w:val="0"/>
        <w:spacing w:lineRule="auto" w:line="268" w:before="0" w:after="0"/>
        <w:ind w:left="0" w:right="0" w:firstLine="1591"/>
        <w:jc w:val="both"/>
        <w:rPr/>
      </w:pPr>
      <w:r>
        <w:rPr>
          <w:rFonts w:ascii="Times New Roman;sans-serif" w:hAnsi="Times New Roman;sans-serif"/>
          <w:b w:val="false"/>
          <w:color w:val="000000"/>
          <w:sz w:val="24"/>
        </w:rPr>
        <w:t xml:space="preserve">(f) </w:t>
      </w:r>
      <w:r>
        <w:rPr>
          <w:rFonts w:ascii="Times New Roman;sans-serif" w:hAnsi="Times New Roman;sans-serif"/>
          <w:b w:val="false"/>
          <w:color w:val="000000"/>
          <w:sz w:val="24"/>
          <w:u w:val="single"/>
        </w:rPr>
        <w:t>Compliance with Legal Requirements</w:t>
      </w:r>
      <w:r>
        <w:rPr>
          <w:rFonts w:ascii="Times New Roman;sans-serif" w:hAnsi="Times New Roman;sans-serif"/>
          <w:b w:val="false"/>
          <w:color w:val="000000"/>
          <w:sz w:val="24"/>
        </w:rPr>
        <w:t>. The granting and exercising of the Option, and any other obligations of the Company under this Agreement, shall be subject to all applicable federal and state laws, rules and regulations and to such approvals by any regulatory or governmental agency as may be required. The Committee, in its sole discretion, may postpone the issuance or delivery of Option Shares as the Committee may consider appropriate and may require Participant to make such representations and furnish such information as it may consider appropriate in connection with the issuance or delivery of Option Shares in compliance with applicable laws, rules and regulations.</w:t>
      </w:r>
    </w:p>
    <w:p>
      <w:pPr>
        <w:pStyle w:val="TextBody"/>
        <w:bidi w:val="0"/>
        <w:spacing w:before="0" w:after="0"/>
        <w:ind w:left="0" w:right="0" w:firstLine="1591"/>
        <w:jc w:val="both"/>
        <w:rPr/>
      </w:pPr>
      <w:r>
        <w:rPr/>
      </w:r>
    </w:p>
    <w:p>
      <w:pPr>
        <w:pStyle w:val="TextBody"/>
        <w:bidi w:val="0"/>
        <w:spacing w:lineRule="auto" w:line="268" w:before="0" w:after="0"/>
        <w:ind w:left="0" w:right="0" w:firstLine="1591"/>
        <w:jc w:val="both"/>
        <w:rPr/>
      </w:pPr>
      <w:r>
        <w:rPr>
          <w:rFonts w:ascii="Times New Roman;sans-serif" w:hAnsi="Times New Roman;sans-serif"/>
          <w:b w:val="false"/>
          <w:color w:val="000000"/>
          <w:sz w:val="24"/>
        </w:rPr>
        <w:t xml:space="preserve">(g) </w:t>
      </w:r>
      <w:r>
        <w:rPr>
          <w:rFonts w:ascii="Times New Roman;sans-serif" w:hAnsi="Times New Roman;sans-serif"/>
          <w:b w:val="false"/>
          <w:color w:val="000000"/>
          <w:sz w:val="24"/>
          <w:u w:val="single"/>
        </w:rPr>
        <w:t>Restrictions</w:t>
      </w:r>
      <w:r>
        <w:rPr>
          <w:rFonts w:ascii="Times New Roman;sans-serif" w:hAnsi="Times New Roman;sans-serif"/>
          <w:b w:val="false"/>
          <w:color w:val="000000"/>
          <w:sz w:val="24"/>
        </w:rPr>
        <w:t xml:space="preserve">. The Option may not be sold, pledged or otherwise transferred (other than by will or the laws of descent and distribution) and may not be subject to lien, garnishment, attachment or other legal process. </w:t>
      </w:r>
    </w:p>
    <w:p>
      <w:pPr>
        <w:pStyle w:val="TextBody"/>
        <w:bidi w:val="0"/>
        <w:spacing w:before="0" w:after="0"/>
        <w:ind w:left="0" w:right="0" w:firstLine="1591"/>
        <w:jc w:val="both"/>
        <w:rPr/>
      </w:pPr>
      <w:r>
        <w:rPr/>
      </w:r>
    </w:p>
    <w:p>
      <w:pPr>
        <w:pStyle w:val="TextBody"/>
        <w:bidi w:val="0"/>
        <w:spacing w:lineRule="auto" w:line="268" w:before="0" w:after="0"/>
        <w:ind w:left="0" w:right="0" w:firstLine="1591"/>
        <w:jc w:val="both"/>
        <w:rPr/>
      </w:pPr>
      <w:r>
        <w:rPr>
          <w:rFonts w:ascii="Times New Roman;sans-serif" w:hAnsi="Times New Roman;sans-serif"/>
          <w:b w:val="false"/>
          <w:color w:val="000000"/>
          <w:sz w:val="24"/>
        </w:rPr>
        <w:t xml:space="preserve">(h) </w:t>
      </w:r>
      <w:r>
        <w:rPr>
          <w:rFonts w:ascii="Times New Roman;sans-serif" w:hAnsi="Times New Roman;sans-serif"/>
          <w:b w:val="false"/>
          <w:color w:val="000000"/>
          <w:sz w:val="24"/>
          <w:u w:val="single"/>
        </w:rPr>
        <w:t>Rights as Stockholder</w:t>
      </w:r>
      <w:r>
        <w:rPr>
          <w:rFonts w:ascii="Times New Roman;sans-serif" w:hAnsi="Times New Roman;sans-serif"/>
          <w:b w:val="false"/>
          <w:color w:val="000000"/>
          <w:sz w:val="24"/>
        </w:rPr>
        <w:t>. Participant shall not be deemed for any purpose to be the owner of any shares of Stock subject to this Option unless, until and to the extent that (i) this Option shall have been exercised pursuant to its terms (ii) the Company shall have issued and delivered to Participant the Option Shares and (iii) Participant’s name shall have been entered as a stockholder of record with respect to such Option Shares on the books of the Company.</w:t>
      </w:r>
    </w:p>
    <w:p>
      <w:pPr>
        <w:pStyle w:val="TextBody"/>
        <w:bidi w:val="0"/>
        <w:spacing w:before="0" w:after="0"/>
        <w:ind w:left="0" w:right="0" w:firstLine="1591"/>
        <w:jc w:val="both"/>
        <w:rPr/>
      </w:pPr>
      <w:r>
        <w:rPr/>
      </w:r>
    </w:p>
    <w:p>
      <w:pPr>
        <w:pStyle w:val="TextBody"/>
        <w:bidi w:val="0"/>
        <w:spacing w:lineRule="auto" w:line="268" w:before="0" w:after="0"/>
        <w:ind w:left="0" w:right="0" w:firstLine="1591"/>
        <w:jc w:val="both"/>
        <w:rPr/>
      </w:pPr>
      <w:r>
        <w:rPr>
          <w:rFonts w:ascii="Times New Roman;sans-serif" w:hAnsi="Times New Roman;sans-serif"/>
          <w:b w:val="false"/>
          <w:color w:val="000000"/>
          <w:sz w:val="24"/>
        </w:rPr>
        <w:t xml:space="preserve">(i) </w:t>
      </w:r>
      <w:r>
        <w:rPr>
          <w:rFonts w:ascii="Times New Roman;sans-serif" w:hAnsi="Times New Roman;sans-serif"/>
          <w:b w:val="false"/>
          <w:color w:val="000000"/>
          <w:sz w:val="24"/>
          <w:u w:val="single"/>
        </w:rPr>
        <w:t>Taxes and Withholding</w:t>
      </w:r>
      <w:r>
        <w:rPr>
          <w:rFonts w:ascii="Times New Roman;sans-serif" w:hAnsi="Times New Roman;sans-serif"/>
          <w:b w:val="false"/>
          <w:color w:val="000000"/>
          <w:sz w:val="24"/>
        </w:rPr>
        <w:t>. Prior to the delivery of a certificate or certificates representing the Option Shares, Participant must pay to the Company in the form of a certified check or wire transfer any such additional amount as the Company determines that it is required to withhold under applicable federal, state or local tax laws in respect of the exercise or the transfer of Option Shares; provided that the Participant may elect to satisfy such tax withholding obligation by having the Company withhold from the transfer of Option Shares that number of Option Shares having a Fair Market Value equal to the amount of such withholding; provided, further, that the number of Option Shares that may be so withheld by the Company shall be limited to that number of Option Shares having an aggregate Fair Market Value on the date of such withholding equal to the aggregate amount of the Participant’s income, payroll and social tax liabilities based upon the applicable minimum withholding rates.</w:t>
      </w:r>
    </w:p>
    <w:p>
      <w:pPr>
        <w:pStyle w:val="TextBody"/>
        <w:bidi w:val="0"/>
        <w:spacing w:before="0" w:after="0"/>
        <w:ind w:left="0" w:right="0" w:firstLine="1591"/>
        <w:jc w:val="both"/>
        <w:rPr/>
      </w:pPr>
      <w:r>
        <w:rPr/>
      </w:r>
    </w:p>
    <w:p>
      <w:pPr>
        <w:pStyle w:val="TextBody"/>
        <w:bidi w:val="0"/>
        <w:spacing w:lineRule="auto" w:line="268" w:before="0" w:after="0"/>
        <w:ind w:left="0" w:right="0" w:firstLine="979"/>
        <w:jc w:val="both"/>
        <w:rPr/>
      </w:pPr>
      <w:r>
        <w:rPr>
          <w:rFonts w:ascii="Times New Roman;sans-serif" w:hAnsi="Times New Roman;sans-serif"/>
          <w:b w:val="false"/>
          <w:color w:val="000000"/>
          <w:sz w:val="24"/>
        </w:rPr>
        <w:t xml:space="preserve">3. </w:t>
      </w:r>
      <w:r>
        <w:rPr>
          <w:rFonts w:ascii="Times New Roman;sans-serif" w:hAnsi="Times New Roman;sans-serif"/>
          <w:b w:val="false"/>
          <w:color w:val="000000"/>
          <w:sz w:val="24"/>
          <w:u w:val="single"/>
        </w:rPr>
        <w:t>Miscellaneous</w:t>
      </w:r>
      <w:r>
        <w:rPr>
          <w:rFonts w:ascii="Times New Roman;sans-serif" w:hAnsi="Times New Roman;sans-serif"/>
          <w:b w:val="false"/>
          <w:color w:val="000000"/>
          <w:sz w:val="24"/>
        </w:rPr>
        <w:t>.</w:t>
      </w:r>
    </w:p>
    <w:p>
      <w:pPr>
        <w:pStyle w:val="TextBody"/>
        <w:bidi w:val="0"/>
        <w:spacing w:lineRule="auto" w:line="268"/>
        <w:ind w:left="0" w:right="0" w:firstLine="1591"/>
        <w:jc w:val="both"/>
        <w:rPr/>
      </w:pPr>
      <w:r>
        <w:rPr>
          <w:rFonts w:ascii="Times New Roman;sans-serif" w:hAnsi="Times New Roman;sans-serif"/>
          <w:b w:val="false"/>
          <w:color w:val="000000"/>
          <w:sz w:val="24"/>
        </w:rPr>
        <w:t xml:space="preserve">(a) </w:t>
      </w:r>
      <w:r>
        <w:rPr>
          <w:rFonts w:ascii="Times New Roman;sans-serif" w:hAnsi="Times New Roman;sans-serif"/>
          <w:b w:val="false"/>
          <w:color w:val="000000"/>
          <w:sz w:val="24"/>
          <w:u w:val="single"/>
        </w:rPr>
        <w:t>Waiver</w:t>
      </w:r>
      <w:r>
        <w:rPr>
          <w:rFonts w:ascii="Times New Roman;sans-serif" w:hAnsi="Times New Roman;sans-serif"/>
          <w:b w:val="false"/>
          <w:color w:val="000000"/>
          <w:sz w:val="24"/>
        </w:rPr>
        <w:t>. Any right of the Company contained in this Agreement may be waived in writing by the Committee.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ind w:left="0" w:right="0" w:firstLine="1591"/>
        <w:jc w:val="both"/>
        <w:rPr/>
      </w:pPr>
      <w:r>
        <w:rPr>
          <w:rFonts w:ascii="Times New Roman;sans-serif" w:hAnsi="Times New Roman;sans-serif"/>
          <w:b w:val="false"/>
          <w:color w:val="000000"/>
          <w:sz w:val="24"/>
        </w:rPr>
        <w:t xml:space="preserve">(b) </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All notices, demands and other communications provided for or permitted hereunder shall be made in writing and shall be by registered or certified first-class mail, return receipt requested, telecopier, courier service or personal delivery:</w:t>
      </w:r>
    </w:p>
    <w:p>
      <w:pPr>
        <w:pStyle w:val="TextBody"/>
        <w:bidi w:val="0"/>
        <w:spacing w:before="0" w:after="0"/>
        <w:ind w:left="0" w:right="0" w:firstLine="1591"/>
        <w:jc w:val="both"/>
        <w:rPr/>
      </w:pPr>
      <w:r>
        <w:rPr/>
      </w:r>
    </w:p>
    <w:p>
      <w:pPr>
        <w:pStyle w:val="TextBody"/>
        <w:bidi w:val="0"/>
        <w:spacing w:lineRule="auto" w:line="268" w:before="0" w:after="0"/>
        <w:ind w:left="0" w:right="0" w:firstLine="2081"/>
        <w:jc w:val="left"/>
        <w:rPr>
          <w:rFonts w:ascii="Times New Roman;sans-serif" w:hAnsi="Times New Roman;sans-serif"/>
          <w:b w:val="false"/>
          <w:color w:val="000000"/>
          <w:sz w:val="24"/>
        </w:rPr>
      </w:pPr>
      <w:r>
        <w:rPr>
          <w:rFonts w:ascii="Times New Roman;sans-serif" w:hAnsi="Times New Roman;sans-serif"/>
          <w:b w:val="false"/>
          <w:color w:val="000000"/>
          <w:sz w:val="24"/>
        </w:rPr>
        <w:t>if to the Company:</w:t>
      </w:r>
    </w:p>
    <w:p>
      <w:pPr>
        <w:pStyle w:val="TextBody"/>
        <w:bidi w:val="0"/>
        <w:spacing w:lineRule="auto" w:line="268" w:before="0" w:after="0"/>
        <w:ind w:left="0" w:right="0" w:firstLine="2081"/>
        <w:jc w:val="left"/>
        <w:rPr>
          <w:rFonts w:ascii="Times New Roman;sans-serif" w:hAnsi="Times New Roman;sans-serif"/>
          <w:b w:val="false"/>
          <w:color w:val="000000"/>
          <w:sz w:val="24"/>
        </w:rPr>
      </w:pPr>
      <w:r>
        <w:rPr>
          <w:rFonts w:ascii="Times New Roman;sans-serif" w:hAnsi="Times New Roman;sans-serif"/>
          <w:b w:val="false"/>
          <w:color w:val="000000"/>
          <w:sz w:val="24"/>
        </w:rPr>
        <w:t>ExlService Holdings, Inc.</w:t>
      </w:r>
    </w:p>
    <w:p>
      <w:pPr>
        <w:pStyle w:val="TextBody"/>
        <w:bidi w:val="0"/>
        <w:spacing w:lineRule="auto" w:line="268" w:before="0" w:after="0"/>
        <w:ind w:left="0" w:right="0" w:firstLine="2081"/>
        <w:jc w:val="left"/>
        <w:rPr>
          <w:rFonts w:ascii="Times New Roman;sans-serif" w:hAnsi="Times New Roman;sans-serif"/>
          <w:b w:val="false"/>
          <w:color w:val="000000"/>
          <w:sz w:val="24"/>
        </w:rPr>
      </w:pPr>
      <w:r>
        <w:rPr>
          <w:rFonts w:ascii="Times New Roman;sans-serif" w:hAnsi="Times New Roman;sans-serif"/>
          <w:b w:val="false"/>
          <w:color w:val="000000"/>
          <w:sz w:val="24"/>
        </w:rPr>
        <w:t>320 Park Avenue, 29th Floor</w:t>
      </w:r>
    </w:p>
    <w:p>
      <w:pPr>
        <w:pStyle w:val="TextBody"/>
        <w:bidi w:val="0"/>
        <w:spacing w:lineRule="auto" w:line="268" w:before="0" w:after="0"/>
        <w:ind w:left="0" w:right="0" w:firstLine="2081"/>
        <w:jc w:val="left"/>
        <w:rPr>
          <w:rFonts w:ascii="Times New Roman;sans-serif" w:hAnsi="Times New Roman;sans-serif"/>
          <w:b w:val="false"/>
          <w:color w:val="000000"/>
          <w:sz w:val="24"/>
        </w:rPr>
      </w:pPr>
      <w:r>
        <w:rPr>
          <w:rFonts w:ascii="Times New Roman;sans-serif" w:hAnsi="Times New Roman;sans-serif"/>
          <w:b w:val="false"/>
          <w:color w:val="000000"/>
          <w:sz w:val="24"/>
        </w:rPr>
        <w:t>New York, NY 10022</w:t>
      </w:r>
    </w:p>
    <w:p>
      <w:pPr>
        <w:pStyle w:val="TextBody"/>
        <w:bidi w:val="0"/>
        <w:spacing w:before="0" w:after="0"/>
        <w:jc w:val="left"/>
        <w:rPr/>
      </w:pPr>
      <w:r>
        <w:rPr/>
      </w:r>
    </w:p>
    <w:p>
      <w:pPr>
        <w:pStyle w:val="TextBody"/>
        <w:bidi w:val="0"/>
        <w:spacing w:lineRule="auto" w:line="268" w:before="0" w:after="0"/>
        <w:ind w:left="0" w:right="0" w:firstLine="2081"/>
        <w:jc w:val="left"/>
        <w:rPr>
          <w:rFonts w:ascii="Times New Roman;sans-serif" w:hAnsi="Times New Roman;sans-serif"/>
          <w:b w:val="false"/>
          <w:color w:val="000000"/>
          <w:sz w:val="24"/>
        </w:rPr>
      </w:pPr>
      <w:r>
        <w:rPr>
          <w:rFonts w:ascii="Times New Roman;sans-serif" w:hAnsi="Times New Roman;sans-serif"/>
          <w:b w:val="false"/>
          <w:color w:val="000000"/>
          <w:sz w:val="24"/>
        </w:rPr>
        <w:t>Attention: General Counsel</w:t>
      </w:r>
    </w:p>
    <w:p>
      <w:pPr>
        <w:pStyle w:val="TextBody"/>
        <w:bidi w:val="0"/>
        <w:spacing w:before="0" w:after="0"/>
        <w:ind w:left="0" w:right="0" w:firstLine="2081"/>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if to the Participant: at the Participant’s last known address on file with the Company.</w:t>
      </w:r>
    </w:p>
    <w:p>
      <w:pPr>
        <w:pStyle w:val="TextBody"/>
        <w:bidi w:val="0"/>
        <w:spacing w:before="0" w:after="0"/>
        <w:jc w:val="left"/>
        <w:rPr/>
      </w:pPr>
      <w:r>
        <w:rPr/>
      </w:r>
    </w:p>
    <w:p>
      <w:pPr>
        <w:pStyle w:val="TextBody"/>
        <w:bidi w:val="0"/>
        <w:spacing w:lineRule="auto" w:line="268" w:before="0" w:after="0"/>
        <w:ind w:left="0" w:right="0" w:firstLine="2081"/>
        <w:jc w:val="both"/>
        <w:rPr>
          <w:rFonts w:ascii="Times New Roman;sans-serif" w:hAnsi="Times New Roman;sans-serif"/>
          <w:b w:val="false"/>
          <w:color w:val="000000"/>
          <w:sz w:val="24"/>
        </w:rPr>
      </w:pPr>
      <w:r>
        <w:rPr>
          <w:rFonts w:ascii="Times New Roman;sans-serif" w:hAnsi="Times New Roman;sans-serif"/>
          <w:b w:val="false"/>
          <w:color w:val="000000"/>
          <w:sz w:val="24"/>
        </w:rPr>
        <w:t>All such notices, demands and other communications shall be deemed to have been duly given when delivered by hand, if personally delivered; when delivered by courier, if delivered by commercial courier service; five (5) business days after being deposited in the mail, postage prepaid, if mailed; and when receipt is mechanically acknowledged, if telecopied.</w:t>
      </w:r>
    </w:p>
    <w:p>
      <w:pPr>
        <w:pStyle w:val="TextBody"/>
        <w:bidi w:val="0"/>
        <w:spacing w:before="0" w:after="0"/>
        <w:jc w:val="left"/>
        <w:rPr/>
      </w:pPr>
      <w:r>
        <w:rPr/>
      </w:r>
    </w:p>
    <w:p>
      <w:pPr>
        <w:pStyle w:val="TextBody"/>
        <w:bidi w:val="0"/>
        <w:spacing w:lineRule="auto" w:line="268" w:before="0" w:after="0"/>
        <w:ind w:left="0" w:right="0" w:firstLine="1591"/>
        <w:jc w:val="both"/>
        <w:rPr/>
      </w:pPr>
      <w:r>
        <w:rPr>
          <w:rFonts w:ascii="Times New Roman;sans-serif" w:hAnsi="Times New Roman;sans-serif"/>
          <w:b w:val="false"/>
          <w:color w:val="000000"/>
          <w:sz w:val="24"/>
        </w:rPr>
        <w:t xml:space="preserve">(c) </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pStyle w:val="TextBody"/>
        <w:bidi w:val="0"/>
        <w:spacing w:before="0" w:after="0"/>
        <w:ind w:left="0" w:right="0" w:firstLine="1591"/>
        <w:jc w:val="both"/>
        <w:rPr/>
      </w:pPr>
      <w:r>
        <w:rPr/>
      </w:r>
    </w:p>
    <w:p>
      <w:pPr>
        <w:pStyle w:val="TextBody"/>
        <w:bidi w:val="0"/>
        <w:spacing w:lineRule="auto" w:line="268" w:before="0" w:after="0"/>
        <w:ind w:left="0" w:right="0" w:firstLine="1591"/>
        <w:jc w:val="both"/>
        <w:rPr/>
      </w:pPr>
      <w:r>
        <w:rPr>
          <w:rFonts w:ascii="Times New Roman;sans-serif" w:hAnsi="Times New Roman;sans-serif"/>
          <w:b w:val="false"/>
          <w:color w:val="000000"/>
          <w:sz w:val="24"/>
        </w:rPr>
        <w:t xml:space="preserve">(d) </w:t>
      </w:r>
      <w:r>
        <w:rPr>
          <w:rFonts w:ascii="Times New Roman;sans-serif" w:hAnsi="Times New Roman;sans-serif"/>
          <w:b w:val="false"/>
          <w:color w:val="000000"/>
          <w:sz w:val="24"/>
          <w:u w:val="single"/>
        </w:rPr>
        <w:t>No Rights to Employment</w:t>
      </w:r>
      <w:r>
        <w:rPr>
          <w:rFonts w:ascii="Times New Roman;sans-serif" w:hAnsi="Times New Roman;sans-serif"/>
          <w:b w:val="false"/>
          <w:color w:val="000000"/>
          <w:sz w:val="24"/>
        </w:rPr>
        <w:t>. Nothing contained in this Agreement shall be construed as giving Participant any right to be retained, in any position, as an employee, consultant or director of the Company or its Affiliates or shall interfere with or restrict in any way the right of the Company or its Affiliates, which are hereby expressly reserved, to remove, terminate or discharge Participant at any time for any reason whatsoever.</w:t>
      </w:r>
    </w:p>
    <w:p>
      <w:pPr>
        <w:pStyle w:val="TextBody"/>
        <w:bidi w:val="0"/>
        <w:spacing w:before="0" w:after="0"/>
        <w:ind w:left="0" w:right="0" w:firstLine="1591"/>
        <w:jc w:val="both"/>
        <w:rPr/>
      </w:pPr>
      <w:r>
        <w:rPr/>
      </w:r>
    </w:p>
    <w:p>
      <w:pPr>
        <w:pStyle w:val="TextBody"/>
        <w:bidi w:val="0"/>
        <w:spacing w:lineRule="auto" w:line="268" w:before="0" w:after="0"/>
        <w:ind w:left="0" w:right="0" w:firstLine="1591"/>
        <w:jc w:val="both"/>
        <w:rPr/>
      </w:pPr>
      <w:r>
        <w:rPr>
          <w:rFonts w:ascii="Times New Roman;sans-serif" w:hAnsi="Times New Roman;sans-serif"/>
          <w:b w:val="false"/>
          <w:color w:val="000000"/>
          <w:sz w:val="24"/>
        </w:rPr>
        <w:t xml:space="preserve">(e) </w:t>
      </w:r>
      <w:r>
        <w:rPr>
          <w:rFonts w:ascii="Times New Roman;sans-serif" w:hAnsi="Times New Roman;sans-serif"/>
          <w:b w:val="false"/>
          <w:color w:val="000000"/>
          <w:sz w:val="24"/>
          <w:u w:val="single"/>
        </w:rPr>
        <w:t>Modifications</w:t>
      </w:r>
      <w:r>
        <w:rPr>
          <w:rFonts w:ascii="Times New Roman;sans-serif" w:hAnsi="Times New Roman;sans-serif"/>
          <w:b w:val="false"/>
          <w:color w:val="000000"/>
          <w:sz w:val="24"/>
        </w:rPr>
        <w:t>. No change, modification or waiver of any provision of this Agreement shall be valid unless the same be in writing and signed by the parties hereto.</w:t>
      </w:r>
    </w:p>
    <w:p>
      <w:pPr>
        <w:pStyle w:val="TextBody"/>
        <w:bidi w:val="0"/>
        <w:spacing w:before="0" w:after="0"/>
        <w:ind w:left="0" w:right="0" w:firstLine="1591"/>
        <w:jc w:val="both"/>
        <w:rPr/>
      </w:pPr>
      <w:r>
        <w:rPr/>
      </w:r>
    </w:p>
    <w:p>
      <w:pPr>
        <w:pStyle w:val="TextBody"/>
        <w:bidi w:val="0"/>
        <w:spacing w:lineRule="auto" w:line="268" w:before="0" w:after="0"/>
        <w:ind w:left="0" w:right="0" w:firstLine="1591"/>
        <w:jc w:val="both"/>
        <w:rPr/>
      </w:pPr>
      <w:r>
        <w:rPr>
          <w:rFonts w:ascii="Times New Roman;sans-serif" w:hAnsi="Times New Roman;sans-serif"/>
          <w:b w:val="false"/>
          <w:color w:val="000000"/>
          <w:sz w:val="24"/>
        </w:rPr>
        <w:t xml:space="preserve">(f) </w:t>
      </w:r>
      <w:r>
        <w:rPr>
          <w:rFonts w:ascii="Times New Roman;sans-serif" w:hAnsi="Times New Roman;sans-serif"/>
          <w:b w:val="false"/>
          <w:color w:val="000000"/>
          <w:sz w:val="24"/>
          <w:u w:val="single"/>
        </w:rPr>
        <w:t>Bound by Plan</w:t>
      </w:r>
      <w:r>
        <w:rPr>
          <w:rFonts w:ascii="Times New Roman;sans-serif" w:hAnsi="Times New Roman;sans-serif"/>
          <w:b w:val="false"/>
          <w:color w:val="000000"/>
          <w:sz w:val="24"/>
        </w:rPr>
        <w:t>. By signing this Agreement, Participant acknowledges that he has received a copy of the Plan and has had an opportunity to review the Plan and agrees to be bound by all the terms and provisions of the Plan.</w:t>
      </w:r>
    </w:p>
    <w:p>
      <w:pPr>
        <w:pStyle w:val="TextBody"/>
        <w:bidi w:val="0"/>
        <w:spacing w:before="0" w:after="0"/>
        <w:ind w:left="0" w:right="0" w:firstLine="1591"/>
        <w:jc w:val="both"/>
        <w:rPr/>
      </w:pPr>
      <w:r>
        <w:rPr/>
      </w:r>
    </w:p>
    <w:p>
      <w:pPr>
        <w:pStyle w:val="TextBody"/>
        <w:bidi w:val="0"/>
        <w:spacing w:lineRule="auto" w:line="268" w:before="0" w:after="0"/>
        <w:ind w:left="0" w:right="0" w:firstLine="1591"/>
        <w:jc w:val="both"/>
        <w:rPr/>
      </w:pPr>
      <w:r>
        <w:rPr>
          <w:rFonts w:ascii="Times New Roman;sans-serif" w:hAnsi="Times New Roman;sans-serif"/>
          <w:b w:val="false"/>
          <w:color w:val="000000"/>
          <w:sz w:val="24"/>
        </w:rPr>
        <w:t xml:space="preserve">(g) </w:t>
      </w:r>
      <w:r>
        <w:rPr>
          <w:rFonts w:ascii="Times New Roman;sans-serif" w:hAnsi="Times New Roman;sans-serif"/>
          <w:b w:val="false"/>
          <w:color w:val="000000"/>
          <w:sz w:val="24"/>
          <w:u w:val="single"/>
        </w:rPr>
        <w:t>Beneficiary</w:t>
      </w:r>
      <w:r>
        <w:rPr>
          <w:rFonts w:ascii="Times New Roman;sans-serif" w:hAnsi="Times New Roman;sans-serif"/>
          <w:b w:val="false"/>
          <w:color w:val="000000"/>
          <w:sz w:val="24"/>
        </w:rPr>
        <w:t>. The Participant may file with the Committee a written designation of a beneficiary on such form as may be prescribed by the Committee and may, from time to time, amend or revoke such designation. If no designated beneficiary survives the Participant, the Participant’s estate shall be deemed to be the Participant’s beneficiary.</w:t>
      </w:r>
    </w:p>
    <w:p>
      <w:pPr>
        <w:pStyle w:val="TextBody"/>
        <w:bidi w:val="0"/>
        <w:spacing w:before="0" w:after="0"/>
        <w:ind w:left="0" w:right="0" w:firstLine="1591"/>
        <w:jc w:val="both"/>
        <w:rPr/>
      </w:pPr>
      <w:r>
        <w:rPr/>
      </w:r>
    </w:p>
    <w:p>
      <w:pPr>
        <w:pStyle w:val="TextBody"/>
        <w:bidi w:val="0"/>
        <w:spacing w:lineRule="auto" w:line="268" w:before="0" w:after="0"/>
        <w:ind w:left="0" w:right="0" w:firstLine="1591"/>
        <w:jc w:val="both"/>
        <w:rPr/>
      </w:pPr>
      <w:r>
        <w:rPr>
          <w:rFonts w:ascii="Times New Roman;sans-serif" w:hAnsi="Times New Roman;sans-serif"/>
          <w:b w:val="false"/>
          <w:color w:val="000000"/>
          <w:sz w:val="24"/>
        </w:rPr>
        <w:t xml:space="preserve">(h) </w:t>
      </w:r>
      <w:r>
        <w:rPr>
          <w:rFonts w:ascii="Times New Roman;sans-serif" w:hAnsi="Times New Roman;sans-serif"/>
          <w:b w:val="false"/>
          <w:color w:val="000000"/>
          <w:sz w:val="24"/>
          <w:u w:val="single"/>
        </w:rPr>
        <w:t>Successors</w:t>
      </w:r>
      <w:r>
        <w:rPr>
          <w:rFonts w:ascii="Times New Roman;sans-serif" w:hAnsi="Times New Roman;sans-serif"/>
          <w:b w:val="false"/>
          <w:color w:val="000000"/>
          <w:sz w:val="24"/>
        </w:rPr>
        <w:t>. The terms of this Agreement shall be binding upon and inure to the benefit of the Company and its successors and assigns, and of Participant and the beneficiaries, executors, administrators, heirs and successors of Participant.</w:t>
      </w:r>
    </w:p>
    <w:p>
      <w:pPr>
        <w:pStyle w:val="TextBody"/>
        <w:bidi w:val="0"/>
        <w:ind w:left="0" w:right="0" w:firstLine="1591"/>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ind w:left="0" w:right="0" w:firstLine="1591"/>
        <w:jc w:val="both"/>
        <w:rPr/>
      </w:pPr>
      <w:r>
        <w:rPr>
          <w:rFonts w:ascii="Times New Roman;sans-serif" w:hAnsi="Times New Roman;sans-serif"/>
          <w:b w:val="false"/>
          <w:color w:val="000000"/>
          <w:sz w:val="24"/>
        </w:rPr>
        <w:t xml:space="preserve">(i) </w:t>
      </w:r>
      <w:r>
        <w:rPr>
          <w:rFonts w:ascii="Times New Roman;sans-serif" w:hAnsi="Times New Roman;sans-serif"/>
          <w:b w:val="false"/>
          <w:color w:val="000000"/>
          <w:sz w:val="24"/>
          <w:u w:val="single"/>
        </w:rPr>
        <w:t>Entire Agreement</w:t>
      </w:r>
      <w:r>
        <w:rPr>
          <w:rFonts w:ascii="Times New Roman;sans-serif" w:hAnsi="Times New Roman;sans-serif"/>
          <w:b w:val="false"/>
          <w:color w:val="000000"/>
          <w:sz w:val="24"/>
        </w:rPr>
        <w:t>. This Agreement and the Plan contain the entire agreement and understanding of the parties hereto with respect to the subject matter contained herein and supersede all prior communications, representations and negotiations in respect thereto. Except as set forth in Section 16(b) of the Plan, no change, modification or waiver of any provision of this Agreement shall be valid unless the same be in writing and signed by the parties hereto.</w:t>
      </w:r>
    </w:p>
    <w:p>
      <w:pPr>
        <w:pStyle w:val="TextBody"/>
        <w:bidi w:val="0"/>
        <w:spacing w:lineRule="auto" w:line="268" w:before="0" w:after="0"/>
        <w:ind w:left="0" w:right="0" w:firstLine="1591"/>
        <w:jc w:val="both"/>
        <w:rPr/>
      </w:pPr>
      <w:r>
        <w:rPr>
          <w:rFonts w:ascii="Times New Roman;sans-serif" w:hAnsi="Times New Roman;sans-serif"/>
          <w:b w:val="false"/>
          <w:color w:val="000000"/>
          <w:sz w:val="24"/>
        </w:rPr>
        <w:t xml:space="preserve">(j) </w:t>
      </w:r>
      <w:r>
        <w:rPr>
          <w:rFonts w:ascii="Times New Roman;sans-serif" w:hAnsi="Times New Roman;sans-serif"/>
          <w:b w:val="false"/>
          <w:color w:val="000000"/>
          <w:sz w:val="24"/>
          <w:u w:val="single"/>
        </w:rPr>
        <w:t>Governing Law</w:t>
      </w:r>
      <w:r>
        <w:rPr>
          <w:rFonts w:ascii="Times New Roman;sans-serif" w:hAnsi="Times New Roman;sans-serif"/>
          <w:b w:val="false"/>
          <w:color w:val="000000"/>
          <w:sz w:val="24"/>
        </w:rPr>
        <w:t xml:space="preserve">. This Agreement shall be construed and interpreted in accordance with the laws of the State of Delaware without regard to principles of conflicts of law thereof, or principles of conflicts of laws of any other jurisdiction which could cause the application of the laws of any jurisdiction other than the State of Delaware. </w:t>
      </w:r>
    </w:p>
    <w:p>
      <w:pPr>
        <w:pStyle w:val="TextBody"/>
        <w:bidi w:val="0"/>
        <w:spacing w:before="0" w:after="0"/>
        <w:ind w:left="0" w:right="0" w:firstLine="1591"/>
        <w:jc w:val="both"/>
        <w:rPr/>
      </w:pPr>
      <w:r>
        <w:rPr/>
      </w:r>
    </w:p>
    <w:p>
      <w:pPr>
        <w:pStyle w:val="TextBody"/>
        <w:bidi w:val="0"/>
        <w:spacing w:lineRule="auto" w:line="268" w:before="0" w:after="0"/>
        <w:ind w:left="0" w:right="0" w:firstLine="1591"/>
        <w:jc w:val="both"/>
        <w:rPr/>
      </w:pPr>
      <w:r>
        <w:rPr>
          <w:rFonts w:ascii="Times New Roman;sans-serif" w:hAnsi="Times New Roman;sans-serif"/>
          <w:b w:val="false"/>
          <w:color w:val="000000"/>
          <w:sz w:val="24"/>
        </w:rPr>
        <w:t xml:space="preserve">(k) </w:t>
      </w:r>
      <w:r>
        <w:rPr>
          <w:rFonts w:ascii="Times New Roman;sans-serif" w:hAnsi="Times New Roman;sans-serif"/>
          <w:b w:val="false"/>
          <w:color w:val="000000"/>
          <w:sz w:val="24"/>
          <w:u w:val="single"/>
        </w:rPr>
        <w:t>Dispute Resolution and Arbitration</w:t>
      </w:r>
      <w:r>
        <w:rPr>
          <w:rFonts w:ascii="Times New Roman;sans-serif" w:hAnsi="Times New Roman;sans-serif"/>
          <w:b w:val="false"/>
          <w:color w:val="000000"/>
          <w:sz w:val="24"/>
        </w:rPr>
        <w:t xml:space="preserve">. This Agreement is subject to the Dispute Resolution and Arbitration provisions in the Participant’s employment agreement with the Company. </w:t>
      </w:r>
    </w:p>
    <w:p>
      <w:pPr>
        <w:pStyle w:val="TextBody"/>
        <w:bidi w:val="0"/>
        <w:spacing w:lineRule="auto" w:line="268" w:before="0" w:after="0"/>
        <w:ind w:left="0" w:right="0" w:firstLine="1591"/>
        <w:jc w:val="both"/>
        <w:rPr/>
      </w:pPr>
      <w:r>
        <w:rPr>
          <w:rFonts w:ascii="Times New Roman;sans-serif" w:hAnsi="Times New Roman;sans-serif"/>
          <w:b w:val="false"/>
          <w:color w:val="000000"/>
          <w:sz w:val="24"/>
        </w:rPr>
        <w:t xml:space="preserve">(l) </w:t>
      </w:r>
      <w:r>
        <w:rPr>
          <w:rFonts w:ascii="Times New Roman;sans-serif" w:hAnsi="Times New Roman;sans-serif"/>
          <w:b w:val="false"/>
          <w:color w:val="000000"/>
          <w:sz w:val="24"/>
          <w:u w:val="single"/>
        </w:rPr>
        <w:t>Electronic Delivery and Acceptance</w:t>
      </w:r>
      <w:r>
        <w:rPr>
          <w:rFonts w:ascii="Times New Roman;sans-serif" w:hAnsi="Times New Roman;sans-serif"/>
          <w:b w:val="false"/>
          <w:color w:val="000000"/>
          <w:sz w:val="24"/>
        </w:rPr>
        <w:t>. The Company has decided to deliver documents related to current or future participation in the Plan by electronic means and to request Participant’s consent to participate in the Plan by electronic means. Participant hereby consents to receive such documents by electronic delivery and agrees to participate in the Plan through the current plan administrator’s on-line system, or any other on-line system or electronic means that the Company may decide, in its sole discretion, to use in the future.</w:t>
      </w:r>
    </w:p>
    <w:p>
      <w:pPr>
        <w:pStyle w:val="TextBody"/>
        <w:bidi w:val="0"/>
        <w:spacing w:before="0" w:after="0"/>
        <w:ind w:left="0" w:right="0" w:firstLine="1591"/>
        <w:jc w:val="both"/>
        <w:rPr/>
      </w:pPr>
      <w:r>
        <w:rPr/>
      </w:r>
    </w:p>
    <w:p>
      <w:pPr>
        <w:pStyle w:val="TextBody"/>
        <w:bidi w:val="0"/>
        <w:spacing w:lineRule="auto" w:line="268" w:before="0" w:after="0"/>
        <w:ind w:left="0" w:right="0" w:firstLine="1591"/>
        <w:jc w:val="both"/>
        <w:rPr/>
      </w:pPr>
      <w:r>
        <w:rPr>
          <w:rFonts w:ascii="Times New Roman;sans-serif" w:hAnsi="Times New Roman;sans-serif"/>
          <w:b w:val="false"/>
          <w:color w:val="000000"/>
          <w:sz w:val="24"/>
        </w:rPr>
        <w:t xml:space="preserve">(m) </w:t>
      </w:r>
      <w:r>
        <w:rPr>
          <w:rFonts w:ascii="Times New Roman;sans-serif" w:hAnsi="Times New Roman;sans-serif"/>
          <w:b w:val="false"/>
          <w:color w:val="000000"/>
          <w:sz w:val="24"/>
          <w:u w:val="single"/>
        </w:rPr>
        <w:t>Headings</w:t>
      </w:r>
      <w:r>
        <w:rPr>
          <w:rFonts w:ascii="Times New Roman;sans-serif" w:hAnsi="Times New Roman;sans-serif"/>
          <w:b w:val="false"/>
          <w:color w:val="000000"/>
          <w:sz w:val="24"/>
        </w:rPr>
        <w:t>. The headings of the Sections hereof are provided for convenience only and are not to serve as a basis for interpretation or construction, and shall not constitute a part, of this Agreement.</w:t>
      </w:r>
    </w:p>
    <w:p>
      <w:pPr>
        <w:pStyle w:val="TextBody"/>
        <w:bidi w:val="0"/>
        <w:spacing w:before="0" w:after="0"/>
        <w:jc w:val="both"/>
        <w:rPr/>
      </w:pPr>
      <w:r>
        <w:rPr/>
      </w:r>
    </w:p>
    <w:p>
      <w:pPr>
        <w:pStyle w:val="TextBody"/>
        <w:bidi w:val="0"/>
        <w:spacing w:lineRule="auto" w:line="268" w:before="0" w:after="0"/>
        <w:ind w:left="0" w:right="0" w:firstLine="1591"/>
        <w:jc w:val="both"/>
        <w:rPr/>
      </w:pPr>
      <w:r>
        <w:rPr>
          <w:rFonts w:ascii="Times New Roman;sans-serif" w:hAnsi="Times New Roman;sans-serif"/>
          <w:b w:val="false"/>
          <w:color w:val="000000"/>
          <w:sz w:val="24"/>
        </w:rPr>
        <w:t xml:space="preserve">(n) </w:t>
      </w:r>
      <w:r>
        <w:rPr>
          <w:rFonts w:ascii="Times New Roman;sans-serif" w:hAnsi="Times New Roman;sans-serif"/>
          <w:b w:val="false"/>
          <w:color w:val="000000"/>
          <w:sz w:val="24"/>
          <w:u w:val="single"/>
        </w:rPr>
        <w:t>Signature in Counterparts</w:t>
      </w:r>
      <w:r>
        <w:rPr>
          <w:rFonts w:ascii="Times New Roman;sans-serif" w:hAnsi="Times New Roman;sans-serif"/>
          <w:b w:val="false"/>
          <w:color w:val="000000"/>
          <w:sz w:val="24"/>
        </w:rPr>
        <w:t>. This Agreement may be signed in counterparts, each of which shall be an original, with the same effect as if the signatures thereto and hereto were upon the same instrument.</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i/>
          <w:color w:val="000000"/>
          <w:sz w:val="24"/>
          <w:u w:val="single"/>
        </w:rPr>
      </w:pPr>
      <w:r>
        <w:rPr>
          <w:rFonts w:ascii="Times New Roman;sans-serif" w:hAnsi="Times New Roman;sans-serif"/>
          <w:b/>
          <w:i/>
          <w:color w:val="000000"/>
          <w:sz w:val="24"/>
          <w:u w:val="single"/>
        </w:rPr>
        <w:t>PLEASE NOTE: Participant’s designation/election via the current plan administrator’s website that Participant has read and accepted the terms of this Agreement and the terms and conditions of the Plan is considered Participant’s electronic signature and Participant’s express consent to this Agreement and the terms and conditions set forth in the Plan.</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i/>
          <w:color w:val="000000"/>
          <w:sz w:val="24"/>
        </w:rPr>
      </w:pPr>
      <w:r>
        <w:rPr>
          <w:rFonts w:ascii="Times New Roman;sans-serif" w:hAnsi="Times New Roman;sans-serif"/>
          <w:b/>
          <w:i/>
          <w:color w:val="000000"/>
          <w:sz w:val="24"/>
        </w:rPr>
        <w:t>[Remainder of page intentionally left blank; signature page to follow]</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ind w:left="0" w:right="0" w:firstLine="979"/>
        <w:jc w:val="left"/>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hereto have executed this Agreement as of the day first written above.</w:t>
      </w:r>
    </w:p>
    <w:p>
      <w:pPr>
        <w:pStyle w:val="TextBody"/>
        <w:bidi w:val="0"/>
        <w:spacing w:before="0" w:after="0"/>
        <w:jc w:val="left"/>
        <w:rPr/>
      </w:pPr>
      <w:r>
        <w:rPr/>
      </w:r>
    </w:p>
    <w:p>
      <w:pPr>
        <w:pStyle w:val="TextBody"/>
        <w:bidi w:val="0"/>
        <w:spacing w:lineRule="auto" w:line="268" w:before="0" w:after="0"/>
        <w:ind w:left="0" w:right="0" w:firstLine="4320"/>
        <w:jc w:val="left"/>
        <w:rPr>
          <w:rFonts w:ascii="Times New Roman;sans-serif" w:hAnsi="Times New Roman;sans-serif"/>
          <w:b w:val="false"/>
          <w:color w:val="000000"/>
          <w:sz w:val="24"/>
        </w:rPr>
      </w:pPr>
      <w:r>
        <w:rPr>
          <w:rFonts w:ascii="Times New Roman;sans-serif" w:hAnsi="Times New Roman;sans-serif"/>
          <w:b w:val="false"/>
          <w:color w:val="000000"/>
          <w:sz w:val="24"/>
        </w:rPr>
        <w:t>ExlService Holdings, Inc.</w:t>
      </w:r>
    </w:p>
    <w:p>
      <w:pPr>
        <w:pStyle w:val="TextBody"/>
        <w:bidi w:val="0"/>
        <w:spacing w:before="0" w:after="0"/>
        <w:ind w:left="0" w:right="0" w:firstLine="4320"/>
        <w:jc w:val="left"/>
        <w:rPr/>
      </w:pPr>
      <w:r>
        <w:rPr/>
      </w:r>
    </w:p>
    <w:p>
      <w:pPr>
        <w:pStyle w:val="TextBody"/>
        <w:bidi w:val="0"/>
        <w:spacing w:lineRule="auto" w:line="268" w:before="0" w:after="0"/>
        <w:ind w:left="0" w:right="0" w:firstLine="4320"/>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p>
      <w:pPr>
        <w:pStyle w:val="TextBody"/>
        <w:bidi w:val="0"/>
        <w:spacing w:lineRule="auto" w:line="268" w:before="0" w:after="0"/>
        <w:ind w:left="0" w:right="0" w:firstLine="4320"/>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p>
      <w:pPr>
        <w:pStyle w:val="TextBody"/>
        <w:bidi w:val="0"/>
        <w:spacing w:before="0" w:after="0"/>
        <w:ind w:left="0" w:right="0" w:firstLine="4320"/>
        <w:jc w:val="left"/>
        <w:rPr/>
      </w:pPr>
      <w:r>
        <w:rPr/>
      </w:r>
    </w:p>
    <w:p>
      <w:pPr>
        <w:pStyle w:val="TextBody"/>
        <w:bidi w:val="0"/>
        <w:spacing w:lineRule="auto" w:line="268" w:before="0" w:after="0"/>
        <w:ind w:left="0" w:right="0" w:firstLine="43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Participant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i/>
          <w:color w:val="000000"/>
          <w:sz w:val="24"/>
        </w:rPr>
      </w:pPr>
      <w:r>
        <w:rPr>
          <w:rFonts w:ascii="Times New Roman;sans-serif" w:hAnsi="Times New Roman;sans-serif"/>
          <w:b/>
          <w:i/>
          <w:color w:val="000000"/>
          <w:sz w:val="24"/>
        </w:rPr>
        <w:t>[Signature Page to Nonqualified Stock Option Agreement]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jc w:val="right"/>
        <w:rPr>
          <w:rFonts w:ascii="Times New Roman;sans-serif" w:hAnsi="Times New Roman;sans-serif"/>
          <w:b/>
          <w:color w:val="000000"/>
          <w:sz w:val="24"/>
        </w:rPr>
      </w:pPr>
      <w:r>
        <w:rPr>
          <w:rFonts w:ascii="Times New Roman;sans-serif" w:hAnsi="Times New Roman;sans-serif"/>
          <w:b/>
          <w:color w:val="000000"/>
          <w:sz w:val="24"/>
        </w:rPr>
        <w:t>Exhibit A</w: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NOTICE OF OPTION EXERCISE</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PURSUANT TO THE EXLSERVICE HOLDINGS, INC. 2018 OMNIBUS INCENTIVE PLAN</w:t>
      </w:r>
    </w:p>
    <w:p>
      <w:pPr>
        <w:pStyle w:val="TextBody"/>
        <w:bidi w:val="0"/>
        <w:spacing w:before="0" w:after="0"/>
        <w:jc w:val="center"/>
        <w:rPr/>
      </w:pPr>
      <w:r>
        <w:rPr/>
      </w:r>
    </w:p>
    <w:p>
      <w:pPr>
        <w:pStyle w:val="TextBody"/>
        <w:bidi w:val="0"/>
        <w:spacing w:lineRule="auto" w:line="268" w:before="0" w:after="0"/>
        <w:jc w:val="both"/>
        <w:rPr/>
      </w:pPr>
      <w:r>
        <w:rPr>
          <w:rFonts w:ascii="Times New Roman;sans-serif" w:hAnsi="Times New Roman;sans-serif"/>
          <w:b w:val="false"/>
          <w:color w:val="000000"/>
          <w:sz w:val="24"/>
        </w:rPr>
        <w:t>To exercise your option to purchase shares of ExlService Holdings, Inc.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common stock (“</w:t>
      </w:r>
      <w:r>
        <w:rPr>
          <w:rFonts w:ascii="Times New Roman;sans-serif" w:hAnsi="Times New Roman;sans-serif"/>
          <w:b w:val="false"/>
          <w:color w:val="000000"/>
          <w:sz w:val="24"/>
          <w:u w:val="single"/>
        </w:rPr>
        <w:t>Shares</w:t>
      </w:r>
      <w:r>
        <w:rPr>
          <w:color w:val="000000"/>
        </w:rPr>
        <w:t>”</w:t>
      </w:r>
      <w:r>
        <w:rPr>
          <w:rFonts w:ascii="Times New Roman;sans-serif" w:hAnsi="Times New Roman;sans-serif"/>
          <w:b w:val="false"/>
          <w:color w:val="000000"/>
          <w:sz w:val="24"/>
        </w:rPr>
        <w:t xml:space="preserve">), please </w:t>
      </w:r>
      <w:r>
        <w:rPr>
          <w:rFonts w:ascii="Times New Roman;sans-serif" w:hAnsi="Times New Roman;sans-serif"/>
          <w:b/>
          <w:color w:val="000000"/>
          <w:sz w:val="24"/>
        </w:rPr>
        <w:t>fill out this form and return it to the Corporate Secretary of the Company</w:t>
      </w:r>
      <w:r>
        <w:rPr>
          <w:rFonts w:ascii="Times New Roman;sans-serif" w:hAnsi="Times New Roman;sans-serif"/>
          <w:b w:val="false"/>
          <w:color w:val="000000"/>
          <w:sz w:val="24"/>
        </w:rPr>
        <w:t>.</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4"/>
        </w:rPr>
        <w:t>I hereby exercise my right to purchase Shares under the option granted to me pursuant to the Nonqualified Stock Option Agreement between myself and the Company, dated as of , 20</w:t>
      </w:r>
      <w:r>
        <w:rPr>
          <w:color w:val="000000"/>
          <w:u w:val="single"/>
        </w:rPr>
        <w:t xml:space="preserve"> </w:t>
      </w:r>
      <w:r>
        <w:rPr>
          <w:rFonts w:ascii="Times New Roman;sans-serif" w:hAnsi="Times New Roman;sans-serif"/>
          <w:b w:val="false"/>
          <w:color w:val="000000"/>
          <w:sz w:val="24"/>
        </w:rPr>
        <w:t>. I am vested in my option as to the Shares being purchased hereunder.</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color w:val="000000"/>
          <w:sz w:val="24"/>
          <w:u w:val="single"/>
        </w:rPr>
        <w:t>Payment of Exercise Price</w:t>
      </w:r>
      <w:r>
        <w:rPr>
          <w:rFonts w:ascii="Times New Roman;sans-serif" w:hAnsi="Times New Roman;sans-serif"/>
          <w:b w:val="false"/>
          <w:color w:val="000000"/>
          <w:sz w:val="24"/>
        </w:rPr>
        <w:t>. The per-Share exercise price of the option is $</w:t>
      </w:r>
      <w:r>
        <w:rPr>
          <w:color w:val="000000"/>
          <w:u w:val="single"/>
        </w:rPr>
        <w:t xml:space="preserve"> </w:t>
      </w:r>
      <w:r>
        <w:rPr>
          <w:rFonts w:ascii="Times New Roman;sans-serif" w:hAnsi="Times New Roman;sans-serif"/>
          <w:b w:val="false"/>
          <w:color w:val="000000"/>
          <w:sz w:val="24"/>
        </w:rPr>
        <w:t>. The total exercise price for the Shares I am purchasing is $</w:t>
      </w:r>
      <w:r>
        <w:rPr>
          <w:color w:val="000000"/>
          <w:u w:val="single"/>
        </w:rPr>
        <w:t xml:space="preserve"> </w:t>
      </w:r>
      <w:r>
        <w:rPr>
          <w:rFonts w:ascii="Times New Roman;sans-serif" w:hAnsi="Times New Roman;sans-serif"/>
          <w:b w:val="false"/>
          <w:color w:val="000000"/>
          <w:sz w:val="24"/>
        </w:rPr>
        <w:t xml:space="preserve">. I elect to pay that total exercise price by one of the following methods </w:t>
      </w:r>
      <w:r>
        <w:rPr>
          <w:rFonts w:ascii="Times New Roman;sans-serif" w:hAnsi="Times New Roman;sans-serif"/>
          <w:b/>
          <w:color w:val="000000"/>
          <w:sz w:val="24"/>
        </w:rPr>
        <w:t>[CHECK ONE]</w:t>
      </w:r>
      <w:r>
        <w:rPr>
          <w:rFonts w:ascii="Times New Roman;sans-serif" w:hAnsi="Times New Roman;sans-serif"/>
          <w:b w:val="false"/>
          <w:color w:val="000000"/>
          <w:sz w:val="24"/>
        </w:rPr>
        <w:t>:</w:t>
      </w:r>
    </w:p>
    <w:p>
      <w:pPr>
        <w:pStyle w:val="TextBody"/>
        <w:bidi w:val="0"/>
        <w:spacing w:lineRule="auto" w:line="276" w:before="0" w:after="0"/>
        <w:ind w:left="0" w:right="0" w:firstLine="90"/>
        <w:jc w:val="both"/>
        <w:rPr>
          <w:rFonts w:ascii="Times New Roman;sans-serif" w:hAnsi="Times New Roman;sans-serif"/>
          <w:b w:val="false"/>
          <w:color w:val="000000"/>
          <w:sz w:val="24"/>
        </w:rPr>
      </w:pPr>
      <w:r>
        <w:rPr>
          <w:rFonts w:ascii="Times New Roman;sans-serif" w:hAnsi="Times New Roman;sans-serif"/>
          <w:b w:val="false"/>
          <w:color w:val="000000"/>
          <w:sz w:val="24"/>
        </w:rPr>
        <w:t>_______ By certified check, which is enclosed, or transfer over the current plan administrator’s website.</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_______ By the “net exercise” method described in Section 2(c)(d) of the Stock Option Agreement. I understand that the Company will withhold a number of Shares having a value equal to the total exercise price.</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color w:val="000000"/>
          <w:sz w:val="24"/>
          <w:u w:val="single"/>
        </w:rPr>
        <w:t>Tax Withholding</w:t>
      </w:r>
      <w:r>
        <w:rPr>
          <w:rFonts w:ascii="Times New Roman;sans-serif" w:hAnsi="Times New Roman;sans-serif"/>
          <w:b w:val="false"/>
          <w:color w:val="000000"/>
          <w:sz w:val="24"/>
        </w:rPr>
        <w:t>. Required payroll taxes and income tax withholding in connection with this option exercise total $</w:t>
      </w:r>
      <w:r>
        <w:rPr>
          <w:color w:val="000000"/>
          <w:u w:val="single"/>
        </w:rPr>
        <w:t xml:space="preserve"> </w:t>
      </w:r>
      <w:r>
        <w:rPr>
          <w:rFonts w:ascii="Times New Roman;sans-serif" w:hAnsi="Times New Roman;sans-serif"/>
          <w:b w:val="false"/>
          <w:color w:val="000000"/>
          <w:sz w:val="24"/>
        </w:rPr>
        <w:t xml:space="preserve">. I elect to pay that withholding by one of the following methods </w:t>
      </w:r>
      <w:r>
        <w:rPr>
          <w:rFonts w:ascii="Times New Roman;sans-serif" w:hAnsi="Times New Roman;sans-serif"/>
          <w:b/>
          <w:color w:val="000000"/>
          <w:sz w:val="24"/>
        </w:rPr>
        <w:t>[CHECK ONE]</w:t>
      </w:r>
      <w:r>
        <w:rPr>
          <w:rFonts w:ascii="Times New Roman;sans-serif" w:hAnsi="Times New Roman;sans-serif"/>
          <w:b w:val="false"/>
          <w:color w:val="000000"/>
          <w:sz w:val="24"/>
        </w:rPr>
        <w:t>:</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_______ By certified check, which is enclosed</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_______ By Company withholding of the transfer of Option Shares equal to the Tax Withholding amount.</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 understand that this option exercise is not effective unless and until this Notice of Option Exercise is enclosed, along with any necessary certified checks. I hereby represent that, to the best of my knowledge and belief, I am legally entitled to exercise this option.</w: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_____________________________________________________________________________</w:t>
      </w:r>
    </w:p>
    <w:tbl>
      <w:tblPr>
        <w:tblW w:w="2893" w:type="dxa"/>
        <w:jc w:val="left"/>
        <w:tblInd w:w="0" w:type="dxa"/>
        <w:tblLayout w:type="fixed"/>
        <w:tblCellMar>
          <w:top w:w="28" w:type="dxa"/>
          <w:left w:w="28" w:type="dxa"/>
          <w:bottom w:w="28" w:type="dxa"/>
          <w:right w:w="28" w:type="dxa"/>
        </w:tblCellMar>
      </w:tblPr>
      <w:tblGrid>
        <w:gridCol w:w="559"/>
        <w:gridCol w:w="492"/>
        <w:gridCol w:w="493"/>
        <w:gridCol w:w="395"/>
        <w:gridCol w:w="395"/>
        <w:gridCol w:w="559"/>
      </w:tblGrid>
      <w:tr>
        <w:trPr/>
        <w:tc>
          <w:tcPr>
            <w:tcW w:w="55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Signature:</w:t>
            </w:r>
          </w:p>
        </w:tc>
        <w:tc>
          <w:tcPr>
            <w:tcW w:w="134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__________</w:t>
            </w:r>
          </w:p>
        </w:tc>
      </w:tr>
      <w:tr>
        <w:trPr/>
        <w:tc>
          <w:tcPr>
            <w:tcW w:w="1544"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Printed Name:</w:t>
            </w:r>
          </w:p>
        </w:tc>
        <w:tc>
          <w:tcPr>
            <w:tcW w:w="134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__________</w:t>
            </w:r>
          </w:p>
        </w:tc>
      </w:tr>
      <w:tr>
        <w:trPr/>
        <w:tc>
          <w:tcPr>
            <w:tcW w:w="1544"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Social Security</w:t>
              <w:br/>
              <w:t>Number:</w:t>
            </w:r>
          </w:p>
        </w:tc>
        <w:tc>
          <w:tcPr>
            <w:tcW w:w="134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__________</w:t>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w:t>
            </w:r>
          </w:p>
        </w:tc>
        <w:tc>
          <w:tcPr>
            <w:tcW w:w="134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__________</w:t>
            </w:r>
          </w:p>
        </w:tc>
      </w:tr>
    </w:tbl>
    <w:p>
      <w:pPr>
        <w:pStyle w:val="TextBody"/>
        <w:bidi w:val="0"/>
        <w:spacing w:lineRule="auto" w:line="268"/>
        <w:jc w:val="both"/>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_____________________________________________________________________________</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right"/>
        <w:rPr>
          <w:rFonts w:ascii="Times New Roman;sans-serif" w:hAnsi="Times New Roman;sans-serif"/>
          <w:b/>
          <w:color w:val="000000"/>
          <w:sz w:val="24"/>
        </w:rPr>
      </w:pPr>
      <w:r>
        <w:rPr>
          <w:rFonts w:ascii="Times New Roman;sans-serif" w:hAnsi="Times New Roman;sans-serif"/>
          <w:b/>
          <w:color w:val="000000"/>
          <w:sz w:val="24"/>
        </w:rPr>
        <w:t>Exhibit 10.2</w:t>
      </w:r>
    </w:p>
    <w:p>
      <w:pPr>
        <w:pStyle w:val="TextBody"/>
        <w:bidi w:val="0"/>
        <w:spacing w:lineRule="auto" w:line="264" w:before="0" w:after="2"/>
        <w:jc w:val="center"/>
        <w:rPr>
          <w:rFonts w:ascii="Times New Roman;sans-serif" w:hAnsi="Times New Roman;sans-serif"/>
          <w:b/>
          <w:color w:val="000000"/>
          <w:sz w:val="24"/>
        </w:rPr>
      </w:pPr>
      <w:r>
        <w:rPr>
          <w:rFonts w:ascii="Times New Roman;sans-serif" w:hAnsi="Times New Roman;sans-serif"/>
          <w:b/>
          <w:color w:val="000000"/>
          <w:sz w:val="24"/>
        </w:rPr>
        <w:t>EXLSERVICE HOLDINGS, INC.</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2018 OMNIBUS INCENTIVE PLAN</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NONQUALIFIED STOCK OPTION AGREEMENT (International)</w:t>
      </w:r>
    </w:p>
    <w:p>
      <w:pPr>
        <w:pStyle w:val="TextBody"/>
        <w:bidi w:val="0"/>
        <w:spacing w:before="0" w:after="0"/>
        <w:ind w:left="0" w:right="0" w:firstLine="979"/>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4"/>
        </w:rPr>
        <w:t>THIS OPTION AGREEMENT (the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is made, effective as of [INSERT DATE OF GRANT] (the “</w:t>
      </w:r>
      <w:r>
        <w:rPr>
          <w:rFonts w:ascii="Times New Roman;sans-serif" w:hAnsi="Times New Roman;sans-serif"/>
          <w:b w:val="false"/>
          <w:color w:val="000000"/>
          <w:sz w:val="24"/>
          <w:u w:val="single"/>
        </w:rPr>
        <w:t>Date of Grant</w:t>
      </w:r>
      <w:r>
        <w:rPr>
          <w:color w:val="000000"/>
        </w:rPr>
        <w:t>”</w:t>
      </w:r>
      <w:r>
        <w:rPr>
          <w:rFonts w:ascii="Times New Roman;sans-serif" w:hAnsi="Times New Roman;sans-serif"/>
          <w:b w:val="false"/>
          <w:color w:val="000000"/>
          <w:sz w:val="24"/>
        </w:rPr>
        <w:t>), by and between ExlService Holdings, Inc., a Delaware corporation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and _______[INSERT PARTICIPANT NAME] ____________ (“</w:t>
      </w:r>
      <w:r>
        <w:rPr>
          <w:rFonts w:ascii="Times New Roman;sans-serif" w:hAnsi="Times New Roman;sans-serif"/>
          <w:b w:val="false"/>
          <w:color w:val="000000"/>
          <w:sz w:val="24"/>
          <w:u w:val="single"/>
        </w:rPr>
        <w:t>Participant</w:t>
      </w:r>
      <w:r>
        <w:rPr>
          <w:color w:val="000000"/>
        </w:rPr>
        <w:t>”</w:t>
      </w:r>
      <w:r>
        <w:rPr>
          <w:rFonts w:ascii="Times New Roman;sans-serif" w:hAnsi="Times New Roman;sans-serif"/>
          <w:b w:val="false"/>
          <w:color w:val="000000"/>
          <w:sz w:val="24"/>
        </w:rPr>
        <w:t>).</w:t>
      </w:r>
    </w:p>
    <w:p>
      <w:pPr>
        <w:pStyle w:val="TextBody"/>
        <w:bidi w:val="0"/>
        <w:spacing w:before="0" w:after="0"/>
        <w:ind w:left="0" w:right="0" w:firstLine="979"/>
        <w:jc w:val="left"/>
        <w:rPr/>
      </w:pPr>
      <w:r>
        <w:rPr/>
      </w:r>
    </w:p>
    <w:p>
      <w:pPr>
        <w:pStyle w:val="TextBody"/>
        <w:bidi w:val="0"/>
        <w:spacing w:lineRule="auto" w:line="268" w:before="0" w:after="0"/>
        <w:ind w:left="0" w:right="0" w:firstLine="979"/>
        <w:jc w:val="both"/>
        <w:rPr/>
      </w:pPr>
      <w:r>
        <w:rPr>
          <w:rFonts w:ascii="Times New Roman;sans-serif" w:hAnsi="Times New Roman;sans-serif"/>
          <w:b w:val="false"/>
          <w:color w:val="000000"/>
          <w:sz w:val="24"/>
        </w:rPr>
        <w:t>WHEREAS, the Company has adopted the ExlService Holdings, Inc. 2018 Omnibus Incentive Plan (the “</w:t>
      </w:r>
      <w:r>
        <w:rPr>
          <w:rFonts w:ascii="Times New Roman;sans-serif" w:hAnsi="Times New Roman;sans-serif"/>
          <w:b w:val="false"/>
          <w:color w:val="000000"/>
          <w:sz w:val="24"/>
          <w:u w:val="single"/>
        </w:rPr>
        <w:t>Plan</w:t>
      </w:r>
      <w:r>
        <w:rPr>
          <w:color w:val="000000"/>
        </w:rPr>
        <w:t>”</w:t>
      </w:r>
      <w:r>
        <w:rPr>
          <w:rFonts w:ascii="Times New Roman;sans-serif" w:hAnsi="Times New Roman;sans-serif"/>
          <w:b w:val="false"/>
          <w:color w:val="000000"/>
          <w:sz w:val="24"/>
        </w:rPr>
        <w:t>), pursuant to which options may be granted to purchase shares of the Company’s Common Stock, par value $0.001 per share (“</w:t>
      </w:r>
      <w:r>
        <w:rPr>
          <w:rFonts w:ascii="Times New Roman;sans-serif" w:hAnsi="Times New Roman;sans-serif"/>
          <w:b w:val="false"/>
          <w:color w:val="000000"/>
          <w:sz w:val="24"/>
          <w:u w:val="single"/>
        </w:rPr>
        <w:t>Stock</w:t>
      </w:r>
      <w:r>
        <w:rPr>
          <w:color w:val="000000"/>
        </w:rPr>
        <w:t>”</w:t>
      </w:r>
      <w:r>
        <w:rPr>
          <w:rFonts w:ascii="Times New Roman;sans-serif" w:hAnsi="Times New Roman;sans-serif"/>
          <w:b w:val="false"/>
          <w:color w:val="000000"/>
          <w:sz w:val="24"/>
        </w:rPr>
        <w:t>); and</w:t>
      </w:r>
    </w:p>
    <w:p>
      <w:pPr>
        <w:pStyle w:val="TextBody"/>
        <w:bidi w:val="0"/>
        <w:spacing w:before="0" w:after="0"/>
        <w:ind w:left="0" w:right="0" w:firstLine="979"/>
        <w:jc w:val="both"/>
        <w:rPr/>
      </w:pPr>
      <w:r>
        <w:rPr/>
      </w:r>
    </w:p>
    <w:p>
      <w:pPr>
        <w:pStyle w:val="TextBody"/>
        <w:bidi w:val="0"/>
        <w:spacing w:lineRule="auto" w:line="268" w:before="0" w:after="0"/>
        <w:ind w:left="0" w:right="0" w:firstLine="979"/>
        <w:jc w:val="both"/>
        <w:rPr/>
      </w:pPr>
      <w:r>
        <w:rPr>
          <w:rFonts w:ascii="Times New Roman;sans-serif" w:hAnsi="Times New Roman;sans-serif"/>
          <w:b w:val="false"/>
          <w:color w:val="000000"/>
          <w:sz w:val="24"/>
        </w:rPr>
        <w:t>WHEREAS, the Compensation and Talent Management Committee of the Board of Directors of the Company (the “</w:t>
      </w:r>
      <w:r>
        <w:rPr>
          <w:rFonts w:ascii="Times New Roman;sans-serif" w:hAnsi="Times New Roman;sans-serif"/>
          <w:b w:val="false"/>
          <w:color w:val="000000"/>
          <w:sz w:val="24"/>
          <w:u w:val="single"/>
        </w:rPr>
        <w:t>Committee</w:t>
      </w:r>
      <w:r>
        <w:rPr>
          <w:color w:val="000000"/>
        </w:rPr>
        <w:t>”</w:t>
      </w:r>
      <w:r>
        <w:rPr>
          <w:rFonts w:ascii="Times New Roman;sans-serif" w:hAnsi="Times New Roman;sans-serif"/>
          <w:b w:val="false"/>
          <w:color w:val="000000"/>
          <w:sz w:val="24"/>
        </w:rPr>
        <w:t>) has determined that it is in the best interests of the Company and its stockholders to grant to Participant the stock option award as provided herein and subject to the terms set forth herein;</w:t>
      </w:r>
    </w:p>
    <w:p>
      <w:pPr>
        <w:pStyle w:val="TextBody"/>
        <w:bidi w:val="0"/>
        <w:spacing w:before="0" w:after="0"/>
        <w:ind w:left="0" w:right="0" w:firstLine="979"/>
        <w:jc w:val="both"/>
        <w:rPr/>
      </w:pPr>
      <w:r>
        <w:rPr/>
      </w:r>
    </w:p>
    <w:p>
      <w:pPr>
        <w:pStyle w:val="TextBody"/>
        <w:bidi w:val="0"/>
        <w:spacing w:lineRule="auto" w:line="268" w:before="0" w:after="0"/>
        <w:ind w:left="0" w:right="0" w:firstLine="979"/>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pStyle w:val="TextBody"/>
        <w:bidi w:val="0"/>
        <w:spacing w:before="0" w:after="0"/>
        <w:ind w:left="0" w:right="0" w:firstLine="979"/>
        <w:jc w:val="left"/>
        <w:rPr/>
      </w:pPr>
      <w:r>
        <w:rPr/>
      </w:r>
    </w:p>
    <w:p>
      <w:pPr>
        <w:pStyle w:val="TextBody"/>
        <w:bidi w:val="0"/>
        <w:spacing w:lineRule="auto" w:line="268" w:before="0" w:after="0"/>
        <w:ind w:left="0" w:right="0" w:firstLine="360"/>
        <w:jc w:val="both"/>
        <w:rPr/>
      </w:pPr>
      <w:r>
        <w:rPr>
          <w:rFonts w:ascii="Times New Roman;sans-serif" w:hAnsi="Times New Roman;sans-serif"/>
          <w:b w:val="false"/>
          <w:color w:val="000000"/>
          <w:sz w:val="24"/>
        </w:rPr>
        <w:t>1.</w:t>
      </w:r>
      <w:r>
        <w:rPr>
          <w:color w:val="000000"/>
        </w:rPr>
        <w:t xml:space="preserve"> </w:t>
      </w:r>
      <w:r>
        <w:rPr>
          <w:rFonts w:ascii="Times New Roman;sans-serif" w:hAnsi="Times New Roman;sans-serif"/>
          <w:b w:val="false"/>
          <w:color w:val="000000"/>
          <w:sz w:val="24"/>
          <w:u w:val="single"/>
        </w:rPr>
        <w:t>Grant of Option</w:t>
      </w:r>
      <w:r>
        <w:rPr>
          <w:rFonts w:ascii="Times New Roman;sans-serif" w:hAnsi="Times New Roman;sans-serif"/>
          <w:b w:val="false"/>
          <w:color w:val="000000"/>
          <w:sz w:val="24"/>
        </w:rPr>
        <w:t>.</w:t>
      </w:r>
    </w:p>
    <w:p>
      <w:pPr>
        <w:pStyle w:val="TextBody"/>
        <w:bidi w:val="0"/>
        <w:spacing w:before="0" w:after="0"/>
        <w:ind w:left="0" w:right="0" w:firstLine="720"/>
        <w:jc w:val="both"/>
        <w:rPr/>
      </w:pPr>
      <w:r>
        <w:rPr/>
      </w:r>
    </w:p>
    <w:p>
      <w:pPr>
        <w:pStyle w:val="TextBody"/>
        <w:bidi w:val="0"/>
        <w:spacing w:lineRule="auto" w:line="268" w:before="0" w:after="0"/>
        <w:ind w:left="0" w:right="0" w:firstLine="1080"/>
        <w:jc w:val="both"/>
        <w:rPr/>
      </w:pPr>
      <w:r>
        <w:rPr>
          <w:rFonts w:ascii="Times New Roman;sans-serif" w:hAnsi="Times New Roman;sans-serif"/>
          <w:b w:val="false"/>
          <w:color w:val="000000"/>
          <w:sz w:val="24"/>
        </w:rPr>
        <w:t>(a)</w:t>
      </w:r>
      <w:r>
        <w:rPr>
          <w:color w:val="000000"/>
        </w:rPr>
        <w:t xml:space="preserve"> </w:t>
      </w:r>
      <w:r>
        <w:rPr>
          <w:rFonts w:ascii="Times New Roman;sans-serif" w:hAnsi="Times New Roman;sans-serif"/>
          <w:b w:val="false"/>
          <w:color w:val="000000"/>
          <w:sz w:val="24"/>
          <w:u w:val="single"/>
        </w:rPr>
        <w:t>Grant</w:t>
      </w:r>
      <w:r>
        <w:rPr>
          <w:rFonts w:ascii="Times New Roman;sans-serif" w:hAnsi="Times New Roman;sans-serif"/>
          <w:b w:val="false"/>
          <w:color w:val="000000"/>
          <w:sz w:val="24"/>
        </w:rPr>
        <w:t>. The Company hereby grants to Participant an option (the “</w:t>
      </w:r>
      <w:r>
        <w:rPr>
          <w:rFonts w:ascii="Times New Roman;sans-serif" w:hAnsi="Times New Roman;sans-serif"/>
          <w:b w:val="false"/>
          <w:color w:val="000000"/>
          <w:sz w:val="24"/>
          <w:u w:val="single"/>
        </w:rPr>
        <w:t>Option</w:t>
      </w:r>
      <w:r>
        <w:rPr>
          <w:color w:val="000000"/>
        </w:rPr>
        <w:t>”</w:t>
      </w:r>
      <w:r>
        <w:rPr>
          <w:rFonts w:ascii="Times New Roman;sans-serif" w:hAnsi="Times New Roman;sans-serif"/>
          <w:b w:val="false"/>
          <w:color w:val="000000"/>
          <w:sz w:val="24"/>
        </w:rPr>
        <w:t>) to purchase [</w:t>
      </w:r>
      <w:r>
        <w:rPr>
          <w:color w:val="000000"/>
          <w:u w:val="single"/>
        </w:rPr>
        <w:t xml:space="preserve"> </w:t>
      </w:r>
      <w:r>
        <w:rPr>
          <w:rFonts w:ascii="Times New Roman;sans-serif" w:hAnsi="Times New Roman;sans-serif"/>
          <w:b w:val="false"/>
          <w:color w:val="000000"/>
          <w:sz w:val="24"/>
          <w:u w:val="single"/>
        </w:rPr>
        <w:t xml:space="preserve">. </w:t>
      </w:r>
      <w:r>
        <w:rPr>
          <w:rFonts w:ascii="Times New Roman;sans-serif" w:hAnsi="Times New Roman;sans-serif"/>
          <w:b w:val="false"/>
          <w:color w:val="000000"/>
          <w:sz w:val="24"/>
        </w:rPr>
        <w:t>] shares of Stock (such shares of Stock, the “</w:t>
      </w:r>
      <w:r>
        <w:rPr>
          <w:rFonts w:ascii="Times New Roman;sans-serif" w:hAnsi="Times New Roman;sans-serif"/>
          <w:b w:val="false"/>
          <w:color w:val="000000"/>
          <w:sz w:val="24"/>
          <w:u w:val="single"/>
        </w:rPr>
        <w:t>Option Shares</w:t>
      </w:r>
      <w:r>
        <w:rPr>
          <w:color w:val="000000"/>
        </w:rPr>
        <w:t>”</w:t>
      </w:r>
      <w:r>
        <w:rPr>
          <w:rFonts w:ascii="Times New Roman;sans-serif" w:hAnsi="Times New Roman;sans-serif"/>
          <w:b w:val="false"/>
          <w:color w:val="000000"/>
          <w:sz w:val="24"/>
        </w:rPr>
        <w:t>), on the terms and conditions set forth in this Agreement and as otherwise provided in the Plan. The Option is not intended to qualify as an incentive stock option within the meaning of Section 422 of the Code.</w:t>
      </w:r>
    </w:p>
    <w:p>
      <w:pPr>
        <w:pStyle w:val="TextBody"/>
        <w:bidi w:val="0"/>
        <w:spacing w:before="0" w:after="0"/>
        <w:ind w:left="0" w:right="0" w:firstLine="1440"/>
        <w:jc w:val="both"/>
        <w:rPr/>
      </w:pPr>
      <w:r>
        <w:rPr/>
      </w:r>
    </w:p>
    <w:p>
      <w:pPr>
        <w:pStyle w:val="TextBody"/>
        <w:bidi w:val="0"/>
        <w:spacing w:lineRule="auto" w:line="268" w:before="0" w:after="0"/>
        <w:ind w:left="0" w:right="0" w:firstLine="1080"/>
        <w:jc w:val="both"/>
        <w:rPr/>
      </w:pPr>
      <w:r>
        <w:rPr>
          <w:rFonts w:ascii="Times New Roman;sans-serif" w:hAnsi="Times New Roman;sans-serif"/>
          <w:b w:val="false"/>
          <w:color w:val="000000"/>
          <w:sz w:val="24"/>
        </w:rPr>
        <w:t>(b)</w:t>
      </w:r>
      <w:r>
        <w:rPr>
          <w:color w:val="000000"/>
        </w:rPr>
        <w:t xml:space="preserve"> </w:t>
      </w:r>
      <w:r>
        <w:rPr>
          <w:rFonts w:ascii="Times New Roman;sans-serif" w:hAnsi="Times New Roman;sans-serif"/>
          <w:b w:val="false"/>
          <w:color w:val="000000"/>
          <w:sz w:val="24"/>
          <w:u w:val="single"/>
        </w:rPr>
        <w:t>Incorporation by Reference, Etc.</w:t>
      </w:r>
      <w:r>
        <w:rPr>
          <w:color w:val="000000"/>
        </w:rPr>
        <w:t xml:space="preserve"> </w:t>
      </w:r>
      <w:r>
        <w:rPr>
          <w:rFonts w:ascii="Times New Roman;sans-serif" w:hAnsi="Times New Roman;sans-serif"/>
          <w:b w:val="false"/>
          <w:color w:val="000000"/>
          <w:sz w:val="24"/>
        </w:rPr>
        <w:t>The provisions of the Plan are hereby incorporated herein by reference. Except as otherwise expressly set forth herein, this Agreement shall be construed in accordance with the provisions of the Plan and any capitalized terms not otherwise defined in this Agreement shall have the definitions set forth in the Plan. The Committee shall have final authority to interpret and construe the Plan and this Agreement and to make any and all determinations under them, and its decision shall be binding and conclusive upon Participant and his legal representative in respect of any questions arising under the Plan or this Agreement.</w:t>
      </w:r>
    </w:p>
    <w:p>
      <w:pPr>
        <w:pStyle w:val="TextBody"/>
        <w:bidi w:val="0"/>
        <w:spacing w:before="0" w:after="0"/>
        <w:ind w:left="0" w:right="0" w:firstLine="1591"/>
        <w:jc w:val="left"/>
        <w:rPr/>
      </w:pPr>
      <w:r>
        <w:rPr/>
      </w:r>
    </w:p>
    <w:p>
      <w:pPr>
        <w:pStyle w:val="TextBody"/>
        <w:bidi w:val="0"/>
        <w:spacing w:lineRule="auto" w:line="268" w:before="0" w:after="0"/>
        <w:ind w:left="0" w:right="0" w:firstLine="360"/>
        <w:jc w:val="both"/>
        <w:rPr/>
      </w:pPr>
      <w:r>
        <w:rPr>
          <w:rFonts w:ascii="Times New Roman;sans-serif" w:hAnsi="Times New Roman;sans-serif"/>
          <w:b w:val="false"/>
          <w:color w:val="000000"/>
          <w:sz w:val="24"/>
        </w:rPr>
        <w:t xml:space="preserve">2. </w:t>
      </w:r>
      <w:r>
        <w:rPr>
          <w:rFonts w:ascii="Times New Roman;sans-serif" w:hAnsi="Times New Roman;sans-serif"/>
          <w:b w:val="false"/>
          <w:color w:val="000000"/>
          <w:sz w:val="24"/>
          <w:u w:val="single"/>
        </w:rPr>
        <w:t>Terms and Conditions</w:t>
      </w:r>
      <w:r>
        <w:rPr>
          <w:rFonts w:ascii="Times New Roman;sans-serif" w:hAnsi="Times New Roman;sans-serif"/>
          <w:b w:val="false"/>
          <w:color w:val="000000"/>
          <w:sz w:val="24"/>
        </w:rPr>
        <w:t>.</w:t>
      </w:r>
    </w:p>
    <w:p>
      <w:pPr>
        <w:pStyle w:val="TextBody"/>
        <w:bidi w:val="0"/>
        <w:ind w:left="0" w:right="0" w:firstLine="36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ind w:left="0" w:right="0" w:firstLine="108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Option Price</w:t>
      </w:r>
      <w:r>
        <w:rPr>
          <w:rFonts w:ascii="Times New Roman;sans-serif" w:hAnsi="Times New Roman;sans-serif"/>
          <w:b w:val="false"/>
          <w:color w:val="000000"/>
          <w:sz w:val="24"/>
        </w:rPr>
        <w:t>. The Option Price, being the price at which Participant shall be entitled to purchase the Option Shares upon the exercise of all or any portion of the Option, shall be $</w:t>
      </w:r>
      <w:r>
        <w:rPr>
          <w:color w:val="000000"/>
          <w:u w:val="single"/>
        </w:rPr>
        <w:t xml:space="preserve"> </w:t>
      </w:r>
      <w:r>
        <w:rPr>
          <w:rFonts w:ascii="Times New Roman;sans-serif" w:hAnsi="Times New Roman;sans-serif"/>
          <w:b w:val="false"/>
          <w:color w:val="000000"/>
          <w:sz w:val="24"/>
        </w:rPr>
        <w:t>per share.</w:t>
      </w:r>
    </w:p>
    <w:p>
      <w:pPr>
        <w:pStyle w:val="TextBody"/>
        <w:bidi w:val="0"/>
        <w:spacing w:before="0" w:after="0"/>
        <w:ind w:left="0" w:right="0" w:firstLine="1440"/>
        <w:jc w:val="both"/>
        <w:rPr/>
      </w:pPr>
      <w:r>
        <w:rPr/>
      </w:r>
    </w:p>
    <w:p>
      <w:pPr>
        <w:pStyle w:val="TextBody"/>
        <w:bidi w:val="0"/>
        <w:spacing w:lineRule="auto" w:line="268" w:before="0" w:after="0"/>
        <w:ind w:left="0" w:right="0" w:firstLine="108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Expiration Date</w:t>
      </w:r>
      <w:r>
        <w:rPr>
          <w:rFonts w:ascii="Times New Roman;sans-serif" w:hAnsi="Times New Roman;sans-serif"/>
          <w:b w:val="false"/>
          <w:color w:val="000000"/>
          <w:sz w:val="24"/>
        </w:rPr>
        <w:t>. Subject to Section 2(d) hereof, the Option shall expire at the end of the period commencing on the Date of Grant and ending at 11:59 p.m. Eastern Time (“</w:t>
      </w:r>
      <w:r>
        <w:rPr>
          <w:rFonts w:ascii="Times New Roman;sans-serif" w:hAnsi="Times New Roman;sans-serif"/>
          <w:b w:val="false"/>
          <w:color w:val="000000"/>
          <w:sz w:val="24"/>
          <w:u w:val="single"/>
        </w:rPr>
        <w:t>ET</w:t>
      </w:r>
      <w:r>
        <w:rPr>
          <w:color w:val="000000"/>
        </w:rPr>
        <w:t>”</w:t>
      </w:r>
      <w:r>
        <w:rPr>
          <w:rFonts w:ascii="Times New Roman;sans-serif" w:hAnsi="Times New Roman;sans-serif"/>
          <w:b w:val="false"/>
          <w:color w:val="000000"/>
          <w:sz w:val="24"/>
        </w:rPr>
        <w:t>) on the day preceding the [tenth] anniversary of the Date of Grant (the “</w:t>
      </w:r>
      <w:r>
        <w:rPr>
          <w:rFonts w:ascii="Times New Roman;sans-serif" w:hAnsi="Times New Roman;sans-serif"/>
          <w:b w:val="false"/>
          <w:color w:val="000000"/>
          <w:sz w:val="24"/>
          <w:u w:val="single"/>
        </w:rPr>
        <w:t>Option Period</w:t>
      </w:r>
      <w:r>
        <w:rPr>
          <w:color w:val="000000"/>
        </w:rPr>
        <w:t>”</w:t>
      </w:r>
      <w:r>
        <w:rPr>
          <w:rFonts w:ascii="Times New Roman;sans-serif" w:hAnsi="Times New Roman;sans-serif"/>
          <w:b w:val="false"/>
          <w:color w:val="000000"/>
          <w:sz w:val="24"/>
        </w:rPr>
        <w:t>).</w:t>
      </w:r>
    </w:p>
    <w:p>
      <w:pPr>
        <w:pStyle w:val="TextBody"/>
        <w:bidi w:val="0"/>
        <w:spacing w:before="0" w:after="0"/>
        <w:jc w:val="both"/>
        <w:rPr/>
      </w:pPr>
      <w:r>
        <w:rPr/>
      </w:r>
    </w:p>
    <w:p>
      <w:pPr>
        <w:pStyle w:val="TextBody"/>
        <w:bidi w:val="0"/>
        <w:spacing w:lineRule="auto" w:line="268" w:before="0" w:after="0"/>
        <w:ind w:left="0" w:right="0" w:firstLine="1080"/>
        <w:jc w:val="both"/>
        <w:rPr/>
      </w:pPr>
      <w:r>
        <w:rPr>
          <w:rFonts w:ascii="Times New Roman;sans-serif" w:hAnsi="Times New Roman;sans-serif"/>
          <w:b w:val="false"/>
          <w:color w:val="000000"/>
          <w:sz w:val="24"/>
          <w:u w:val="single"/>
        </w:rPr>
        <w:t>(c) Exercisability of the Option</w:t>
      </w:r>
      <w:r>
        <w:rPr>
          <w:rFonts w:ascii="Times New Roman;sans-serif" w:hAnsi="Times New Roman;sans-serif"/>
          <w:b w:val="false"/>
          <w:color w:val="000000"/>
          <w:sz w:val="24"/>
        </w:rPr>
        <w:t xml:space="preserve">. Except as may otherwise be provided herein, the Option shall become vested and exercisable as follows: </w:t>
      </w:r>
    </w:p>
    <w:p>
      <w:pPr>
        <w:pStyle w:val="TextBody"/>
        <w:bidi w:val="0"/>
        <w:spacing w:before="0" w:after="0"/>
        <w:jc w:val="left"/>
        <w:rPr/>
      </w:pPr>
      <w:r>
        <w:rPr/>
      </w:r>
    </w:p>
    <w:p>
      <w:pPr>
        <w:pStyle w:val="TextBody"/>
        <w:bidi w:val="0"/>
        <w:spacing w:lineRule="auto" w:line="268" w:before="0" w:after="0"/>
        <w:ind w:left="0" w:right="0" w:firstLine="360"/>
        <w:jc w:val="left"/>
        <w:rPr/>
      </w:pPr>
      <w:r>
        <w:rPr>
          <w:rFonts w:ascii="Times New Roman;sans-serif" w:hAnsi="Times New Roman;sans-serif"/>
          <w:b w:val="false"/>
          <w:color w:val="000000"/>
          <w:sz w:val="24"/>
        </w:rPr>
        <w:t xml:space="preserve">(A) (i) </w:t>
      </w:r>
      <w:r>
        <w:rPr>
          <w:rFonts w:ascii="Times New Roman;sans-serif" w:hAnsi="Times New Roman;sans-serif"/>
          <w:b w:val="false"/>
          <w:i/>
          <w:color w:val="000000"/>
          <w:sz w:val="24"/>
        </w:rPr>
        <w:t xml:space="preserve">Vesting Schedule. </w:t>
      </w:r>
      <w:r>
        <w:rPr>
          <w:rFonts w:ascii="Times New Roman;sans-serif" w:hAnsi="Times New Roman;sans-serif"/>
          <w:b w:val="false"/>
          <w:color w:val="000000"/>
          <w:sz w:val="24"/>
        </w:rPr>
        <w:t>the Option shall become vested as follows:</w:t>
      </w:r>
    </w:p>
    <w:p>
      <w:pPr>
        <w:pStyle w:val="TextBody"/>
        <w:bidi w:val="0"/>
        <w:spacing w:before="0" w:after="0"/>
        <w:jc w:val="left"/>
        <w:rPr/>
      </w:pPr>
      <w:r>
        <w:rPr/>
      </w:r>
    </w:p>
    <w:tbl>
      <w:tblPr>
        <w:tblW w:w="6255" w:type="dxa"/>
        <w:jc w:val="left"/>
        <w:tblInd w:w="0" w:type="dxa"/>
        <w:tblLayout w:type="fixed"/>
        <w:tblCellMar>
          <w:top w:w="28" w:type="dxa"/>
          <w:left w:w="28" w:type="dxa"/>
          <w:bottom w:w="28" w:type="dxa"/>
          <w:right w:w="28" w:type="dxa"/>
        </w:tblCellMar>
      </w:tblPr>
      <w:tblGrid>
        <w:gridCol w:w="1394"/>
        <w:gridCol w:w="1226"/>
        <w:gridCol w:w="1235"/>
        <w:gridCol w:w="702"/>
        <w:gridCol w:w="702"/>
        <w:gridCol w:w="996"/>
      </w:tblGrid>
      <w:tr>
        <w:trPr/>
        <w:tc>
          <w:tcPr>
            <w:tcW w:w="1394"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Percent of Stock Options Units Vesting</w:t>
            </w:r>
          </w:p>
        </w:tc>
        <w:tc>
          <w:tcPr>
            <w:tcW w:w="240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Vesting Date</w:t>
            </w:r>
          </w:p>
        </w:tc>
      </w:tr>
      <w:tr>
        <w:trPr/>
        <w:tc>
          <w:tcPr>
            <w:tcW w:w="38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tc>
        <w:tc>
          <w:tcPr>
            <w:tcW w:w="240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
              <w:jc w:val="center"/>
              <w:rPr/>
            </w:pPr>
            <w:r>
              <w:rPr>
                <w:rFonts w:ascii="Times New Roman;sans-serif" w:hAnsi="Times New Roman;sans-serif"/>
                <w:b w:val="false"/>
                <w:color w:val="000000"/>
                <w:sz w:val="24"/>
              </w:rPr>
              <w:t>[1</w:t>
            </w:r>
            <w:r>
              <w:rPr>
                <w:rFonts w:ascii="Times New Roman;sans-serif" w:hAnsi="Times New Roman;sans-serif"/>
                <w:b w:val="false"/>
                <w:color w:val="000000"/>
                <w:sz w:val="16"/>
              </w:rPr>
              <w:t>st</w:t>
            </w:r>
            <w:r>
              <w:rPr>
                <w:rFonts w:ascii="Times New Roman;sans-serif" w:hAnsi="Times New Roman;sans-serif"/>
                <w:b w:val="false"/>
                <w:color w:val="000000"/>
                <w:sz w:val="24"/>
              </w:rPr>
              <w:t>] Grant Anniversary</w:t>
            </w:r>
          </w:p>
        </w:tc>
      </w:tr>
      <w:tr>
        <w:trPr/>
        <w:tc>
          <w:tcPr>
            <w:tcW w:w="38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tc>
        <w:tc>
          <w:tcPr>
            <w:tcW w:w="240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
              <w:jc w:val="center"/>
              <w:rPr/>
            </w:pPr>
            <w:r>
              <w:rPr>
                <w:rFonts w:ascii="Times New Roman;sans-serif" w:hAnsi="Times New Roman;sans-serif"/>
                <w:b w:val="false"/>
                <w:color w:val="000000"/>
                <w:sz w:val="24"/>
              </w:rPr>
              <w:t>[2</w:t>
            </w:r>
            <w:r>
              <w:rPr>
                <w:rFonts w:ascii="Times New Roman;sans-serif" w:hAnsi="Times New Roman;sans-serif"/>
                <w:b w:val="false"/>
                <w:color w:val="000000"/>
                <w:sz w:val="16"/>
              </w:rPr>
              <w:t>nd</w:t>
            </w:r>
            <w:r>
              <w:rPr>
                <w:rFonts w:ascii="Times New Roman;sans-serif" w:hAnsi="Times New Roman;sans-serif"/>
                <w:b w:val="false"/>
                <w:color w:val="000000"/>
                <w:sz w:val="24"/>
              </w:rPr>
              <w:t>] Grant Anniversary</w:t>
            </w:r>
          </w:p>
        </w:tc>
      </w:tr>
      <w:tr>
        <w:trPr/>
        <w:tc>
          <w:tcPr>
            <w:tcW w:w="38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6"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tc>
        <w:tc>
          <w:tcPr>
            <w:tcW w:w="240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6" w:before="0" w:after="2"/>
              <w:jc w:val="center"/>
              <w:rPr/>
            </w:pPr>
            <w:r>
              <w:rPr>
                <w:rFonts w:ascii="Times New Roman;sans-serif" w:hAnsi="Times New Roman;sans-serif"/>
                <w:b w:val="false"/>
                <w:color w:val="000000"/>
                <w:sz w:val="24"/>
              </w:rPr>
              <w:t>[3</w:t>
            </w:r>
            <w:r>
              <w:rPr>
                <w:rFonts w:ascii="Times New Roman;sans-serif" w:hAnsi="Times New Roman;sans-serif"/>
                <w:b w:val="false"/>
                <w:color w:val="000000"/>
                <w:sz w:val="16"/>
              </w:rPr>
              <w:t>rd</w:t>
            </w:r>
            <w:r>
              <w:rPr>
                <w:rFonts w:ascii="Times New Roman;sans-serif" w:hAnsi="Times New Roman;sans-serif"/>
                <w:b w:val="false"/>
                <w:color w:val="000000"/>
                <w:sz w:val="24"/>
              </w:rPr>
              <w:t>] Grant Anniversary</w:t>
            </w:r>
          </w:p>
        </w:tc>
      </w:tr>
      <w:tr>
        <w:trPr/>
        <w:tc>
          <w:tcPr>
            <w:tcW w:w="385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56"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tc>
        <w:tc>
          <w:tcPr>
            <w:tcW w:w="240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56" w:before="0" w:after="2"/>
              <w:jc w:val="center"/>
              <w:rPr/>
            </w:pPr>
            <w:r>
              <w:rPr>
                <w:rFonts w:ascii="Times New Roman;sans-serif" w:hAnsi="Times New Roman;sans-serif"/>
                <w:b w:val="false"/>
                <w:color w:val="000000"/>
                <w:sz w:val="24"/>
              </w:rPr>
              <w:t>[4</w:t>
            </w:r>
            <w:r>
              <w:rPr>
                <w:rFonts w:ascii="Times New Roman;sans-serif" w:hAnsi="Times New Roman;sans-serif"/>
                <w:b w:val="false"/>
                <w:color w:val="000000"/>
                <w:sz w:val="16"/>
              </w:rPr>
              <w:t>th</w:t>
            </w:r>
            <w:r>
              <w:rPr>
                <w:rFonts w:ascii="Times New Roman;sans-serif" w:hAnsi="Times New Roman;sans-serif"/>
                <w:b w:val="false"/>
                <w:color w:val="000000"/>
                <w:sz w:val="24"/>
              </w:rPr>
              <w:t>] Grant Anniversary</w:t>
            </w:r>
          </w:p>
        </w:tc>
      </w:tr>
    </w:tbl>
    <w:p>
      <w:pPr>
        <w:pStyle w:val="TextBody"/>
        <w:bidi w:val="0"/>
        <w:spacing w:before="0" w:after="0"/>
        <w:jc w:val="left"/>
        <w:rPr/>
      </w:pPr>
      <w:r>
        <w:rPr/>
      </w:r>
    </w:p>
    <w:p>
      <w:pPr>
        <w:pStyle w:val="TextBody"/>
        <w:bidi w:val="0"/>
        <w:spacing w:lineRule="auto" w:line="268" w:before="0" w:after="0"/>
        <w:ind w:left="0" w:right="0" w:firstLine="1800"/>
        <w:jc w:val="both"/>
        <w:rPr/>
      </w:pPr>
      <w:r>
        <w:rPr>
          <w:rFonts w:ascii="Times New Roman;sans-serif" w:hAnsi="Times New Roman;sans-serif"/>
          <w:b w:val="false"/>
          <w:color w:val="000000"/>
          <w:sz w:val="24"/>
        </w:rPr>
        <w:t xml:space="preserve">(ii) </w:t>
      </w:r>
      <w:r>
        <w:rPr>
          <w:rFonts w:ascii="Times New Roman;sans-serif" w:hAnsi="Times New Roman;sans-serif"/>
          <w:b w:val="false"/>
          <w:i/>
          <w:color w:val="000000"/>
          <w:sz w:val="24"/>
        </w:rPr>
        <w:t>Change in Control</w:t>
      </w:r>
      <w:r>
        <w:rPr>
          <w:rFonts w:ascii="Times New Roman;sans-serif" w:hAnsi="Times New Roman;sans-serif"/>
          <w:b w:val="false"/>
          <w:color w:val="000000"/>
          <w:sz w:val="24"/>
        </w:rPr>
        <w:t xml:space="preserve">. (A) Notwithstanding the foregoing, in the event that a “Change in Control” (which for purposes of this Agreement shall have the meaning set forth in the Plan as modified by the language at the end of this Section 2(c)) occurs at a time when any portion of the Option remains unvested, then effective upon the consummation of the Change in Control, the vesting of the portion of the Option that is not then fully vested shall accelerate such that any portion of the Option that would have become vested during the one-year period following the Change in Control shall become vested effective as of the consummation of the Change in Control. </w:t>
      </w:r>
    </w:p>
    <w:p>
      <w:pPr>
        <w:pStyle w:val="TextBody"/>
        <w:bidi w:val="0"/>
        <w:spacing w:before="0" w:after="0"/>
        <w:ind w:left="0" w:right="0" w:firstLine="2081"/>
        <w:jc w:val="both"/>
        <w:rPr/>
      </w:pPr>
      <w:r>
        <w:rPr/>
      </w:r>
    </w:p>
    <w:p>
      <w:pPr>
        <w:pStyle w:val="TextBody"/>
        <w:bidi w:val="0"/>
        <w:spacing w:lineRule="auto" w:line="268" w:before="0" w:after="0"/>
        <w:ind w:left="0" w:right="0" w:firstLine="27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In addition: (1) in the event that Participant’s employment by the Company is terminated by the Company without Cause (as defined in the Plan) (x) at any time following a Change in Control or (y) in specific contemplation of a Change in Control or (2) in the event Participant resigns with “Good Reason” (as defined below) at any time following a Change in Control, Participant shall, upon and subject to the execution within sixty (60) days following termination of employment (and non- revocation during any applicable revocation period) of a standard release of all employment-related claims against the Company and its Affiliates and each of their employees, officers and directors, be entitled to immediate vesting as of the termination date of any portion of the Option that is unvested as of the termination date. </w:t>
      </w:r>
    </w:p>
    <w:p>
      <w:pPr>
        <w:pStyle w:val="TextBody"/>
        <w:bidi w:val="0"/>
        <w:spacing w:lineRule="auto" w:line="268" w:before="0" w:after="0"/>
        <w:ind w:left="0" w:right="0" w:firstLine="180"/>
        <w:jc w:val="both"/>
        <w:rPr>
          <w:rFonts w:ascii="Times New Roman;sans-serif" w:hAnsi="Times New Roman;sans-serif"/>
          <w:b w:val="false"/>
          <w:color w:val="000000"/>
          <w:sz w:val="24"/>
        </w:rPr>
      </w:pPr>
      <w:r>
        <w:rPr>
          <w:rFonts w:ascii="Times New Roman;sans-serif" w:hAnsi="Times New Roman;sans-serif"/>
          <w:b w:val="false"/>
          <w:color w:val="000000"/>
          <w:sz w:val="24"/>
        </w:rPr>
        <w:t>(C) The term “Good Reason” shall have the meaning set forth in any employment, consulting or other agreement between the Company or an Affiliate and the Participant in effect on the date hereof, or, in the absence of such definition therein, the occurrence, without Participant’s prior written consent, of any of the following events:</w:t>
      </w:r>
    </w:p>
    <w:p>
      <w:pPr>
        <w:pStyle w:val="TextBody"/>
        <w:bidi w:val="0"/>
        <w:spacing w:before="0" w:after="0"/>
        <w:jc w:val="left"/>
        <w:rPr/>
      </w:pPr>
      <w:r>
        <w:rPr/>
      </w:r>
    </w:p>
    <w:p>
      <w:pPr>
        <w:pStyle w:val="TextBody"/>
        <w:bidi w:val="0"/>
        <w:spacing w:lineRule="auto" w:line="276"/>
        <w:ind w:left="0" w:right="0" w:firstLine="12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(1)a substantial reduction of Participant’s duties or responsibilities, or Participant being required to report to any person other than the Board or the Company’s Chief Executive Officer or President; provided that, if there is a Change </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in Control and Participant retains a similar title and similar duties with the Company or any entity that acquires the Company (or any affiliate or subsidiary of such entity) following such Change in Control, any change in Participant’s title shall not a constitute a significant reduction of Participant’s duties and authorities hereunder;</w:t>
      </w:r>
    </w:p>
    <w:p>
      <w:pPr>
        <w:pStyle w:val="TextBody"/>
        <w:bidi w:val="0"/>
        <w:spacing w:lineRule="auto" w:line="276" w:before="0" w:after="0"/>
        <w:ind w:left="0" w:right="0" w:firstLine="1260"/>
        <w:jc w:val="both"/>
        <w:rPr>
          <w:rFonts w:ascii="Times New Roman;sans-serif" w:hAnsi="Times New Roman;sans-serif"/>
          <w:b w:val="false"/>
          <w:color w:val="000000"/>
          <w:sz w:val="24"/>
        </w:rPr>
      </w:pPr>
      <w:r>
        <w:rPr>
          <w:rFonts w:ascii="Times New Roman;sans-serif" w:hAnsi="Times New Roman;sans-serif"/>
          <w:b w:val="false"/>
          <w:color w:val="000000"/>
          <w:sz w:val="24"/>
        </w:rPr>
        <w:t>(2)Participant’s job title is adversely changed, provided that if there is a Change in Control and Participant retains a similar title and similar duties with the Company or any entity that acquires the Company (or any affiliate or subsidiary of such entity) following such Change in Control, any change in Participant’s title shall not constitute a significant reduction of Participant’s duties and authorities hereunder;</w:t>
      </w:r>
    </w:p>
    <w:p>
      <w:pPr>
        <w:pStyle w:val="TextBody"/>
        <w:bidi w:val="0"/>
        <w:spacing w:before="0" w:after="0"/>
        <w:ind w:left="0" w:right="0" w:firstLine="1620"/>
        <w:jc w:val="both"/>
        <w:rPr/>
      </w:pPr>
      <w:r>
        <w:rPr/>
      </w:r>
    </w:p>
    <w:p>
      <w:pPr>
        <w:pStyle w:val="TextBody"/>
        <w:bidi w:val="0"/>
        <w:spacing w:lineRule="auto" w:line="276" w:before="0" w:after="0"/>
        <w:ind w:left="0" w:right="0" w:firstLine="1260"/>
        <w:jc w:val="both"/>
        <w:rPr>
          <w:rFonts w:ascii="Times New Roman;sans-serif" w:hAnsi="Times New Roman;sans-serif"/>
          <w:b w:val="false"/>
          <w:color w:val="000000"/>
          <w:sz w:val="24"/>
        </w:rPr>
      </w:pPr>
      <w:r>
        <w:rPr>
          <w:rFonts w:ascii="Times New Roman;sans-serif" w:hAnsi="Times New Roman;sans-serif"/>
          <w:b w:val="false"/>
          <w:color w:val="000000"/>
          <w:sz w:val="24"/>
        </w:rPr>
        <w:t>(3)following a Change in Control, a change in the office or location where Participant is based of more than thirty (30) miles, which new location is more than thirty (30) miles from Participant’s primary residence; or</w:t>
      </w:r>
    </w:p>
    <w:p>
      <w:pPr>
        <w:pStyle w:val="TextBody"/>
        <w:bidi w:val="0"/>
        <w:spacing w:before="0" w:after="0"/>
        <w:ind w:left="0" w:right="0" w:firstLine="1620"/>
        <w:jc w:val="both"/>
        <w:rPr/>
      </w:pPr>
      <w:r>
        <w:rPr/>
      </w:r>
    </w:p>
    <w:p>
      <w:pPr>
        <w:pStyle w:val="TextBody"/>
        <w:bidi w:val="0"/>
        <w:spacing w:lineRule="auto" w:line="276" w:before="0" w:after="0"/>
        <w:ind w:left="0" w:right="0" w:firstLine="1260"/>
        <w:jc w:val="both"/>
        <w:rPr>
          <w:rFonts w:ascii="Times New Roman;sans-serif" w:hAnsi="Times New Roman;sans-serif"/>
          <w:b w:val="false"/>
          <w:color w:val="000000"/>
          <w:sz w:val="24"/>
        </w:rPr>
      </w:pPr>
      <w:r>
        <w:rPr>
          <w:rFonts w:ascii="Times New Roman;sans-serif" w:hAnsi="Times New Roman;sans-serif"/>
          <w:b w:val="false"/>
          <w:color w:val="000000"/>
          <w:sz w:val="24"/>
        </w:rPr>
        <w:t>(4)following a Change in Control, a breach by the Company of any material term of any employment, consulting, or similar agreement between the Company and Participant;</w:t>
      </w:r>
    </w:p>
    <w:p>
      <w:pPr>
        <w:pStyle w:val="TextBody"/>
        <w:bidi w:val="0"/>
        <w:spacing w:before="0" w:after="0"/>
        <w:jc w:val="left"/>
        <w:rPr/>
      </w:pPr>
      <w:r>
        <w:rPr/>
      </w:r>
    </w:p>
    <w:p>
      <w:pPr>
        <w:pStyle w:val="TextBody"/>
        <w:bidi w:val="0"/>
        <w:spacing w:lineRule="auto" w:line="268" w:before="0" w:after="0"/>
        <w:ind w:left="0" w:right="0" w:firstLine="540"/>
        <w:jc w:val="both"/>
        <w:rPr>
          <w:rFonts w:ascii="Times New Roman;sans-serif" w:hAnsi="Times New Roman;sans-serif"/>
          <w:b w:val="false"/>
          <w:color w:val="000000"/>
          <w:sz w:val="24"/>
        </w:rPr>
      </w:pPr>
      <w:r>
        <w:rPr>
          <w:rFonts w:ascii="Times New Roman;sans-serif" w:hAnsi="Times New Roman;sans-serif"/>
          <w:b w:val="false"/>
          <w:color w:val="000000"/>
          <w:sz w:val="24"/>
        </w:rPr>
        <w:t>provided that, a termination by Participant with Good Reason shall be effective only if, within thirty (30) days following Participant’s first becoming aware of the circumstances giving rise to Good Reason, Participant delivers a “notice of termination for Good Reason” to the Company, and the Company within fifteen (15) days following its receipt of such notification has failed to cure the circumstances giving rise to Good Reason.</w:t>
      </w:r>
    </w:p>
    <w:p>
      <w:pPr>
        <w:pStyle w:val="TextBody"/>
        <w:bidi w:val="0"/>
        <w:spacing w:before="0" w:after="0"/>
        <w:ind w:left="0" w:right="0" w:firstLine="1440"/>
        <w:jc w:val="left"/>
        <w:rPr/>
      </w:pPr>
      <w:r>
        <w:rPr/>
      </w:r>
    </w:p>
    <w:p>
      <w:pPr>
        <w:pStyle w:val="TextBody"/>
        <w:bidi w:val="0"/>
        <w:spacing w:lineRule="auto" w:line="268" w:before="0" w:after="0"/>
        <w:ind w:left="0" w:right="0" w:firstLine="2081"/>
        <w:jc w:val="both"/>
        <w:rPr/>
      </w:pPr>
      <w:r>
        <w:rPr>
          <w:rFonts w:ascii="Times New Roman;sans-serif" w:hAnsi="Times New Roman;sans-serif"/>
          <w:b w:val="false"/>
          <w:color w:val="000000"/>
          <w:sz w:val="24"/>
        </w:rPr>
        <w:t xml:space="preserve">(iii) </w:t>
      </w:r>
      <w:r>
        <w:rPr>
          <w:rFonts w:ascii="Times New Roman;sans-serif" w:hAnsi="Times New Roman;sans-serif"/>
          <w:b w:val="false"/>
          <w:i/>
          <w:color w:val="000000"/>
          <w:sz w:val="24"/>
        </w:rPr>
        <w:t>Death</w:t>
      </w:r>
      <w:r>
        <w:rPr>
          <w:rFonts w:ascii="Times New Roman;sans-serif" w:hAnsi="Times New Roman;sans-serif"/>
          <w:b w:val="false"/>
          <w:color w:val="000000"/>
          <w:sz w:val="24"/>
        </w:rPr>
        <w:t>. Notwithstanding the foregoing, in the event that Participant’s employment with the Company is terminated due to Participant’s death at a time when any portion of the Option remains unvested, the portion of the Option that is unvested shall become immediately vested effective as of the date of Participant’s death.</w:t>
      </w:r>
    </w:p>
    <w:p>
      <w:pPr>
        <w:pStyle w:val="TextBody"/>
        <w:bidi w:val="0"/>
        <w:spacing w:before="0" w:after="0"/>
        <w:ind w:left="0" w:right="0" w:firstLine="2081"/>
        <w:jc w:val="both"/>
        <w:rPr/>
      </w:pPr>
      <w:r>
        <w:rPr/>
      </w:r>
    </w:p>
    <w:p>
      <w:pPr>
        <w:pStyle w:val="TextBody"/>
        <w:bidi w:val="0"/>
        <w:spacing w:lineRule="auto" w:line="268" w:before="0" w:after="0"/>
        <w:ind w:left="0" w:right="0" w:firstLine="2081"/>
        <w:jc w:val="both"/>
        <w:rPr/>
      </w:pPr>
      <w:r>
        <w:rPr>
          <w:rFonts w:ascii="Times New Roman;sans-serif" w:hAnsi="Times New Roman;sans-serif"/>
          <w:b w:val="false"/>
          <w:color w:val="000000"/>
          <w:sz w:val="24"/>
        </w:rPr>
        <w:t xml:space="preserve">(iv) </w:t>
      </w:r>
      <w:r>
        <w:rPr>
          <w:rFonts w:ascii="Times New Roman;sans-serif" w:hAnsi="Times New Roman;sans-serif"/>
          <w:b w:val="false"/>
          <w:i/>
          <w:color w:val="000000"/>
          <w:sz w:val="24"/>
          <w:u w:val="single"/>
        </w:rPr>
        <w:t>Retirement</w:t>
      </w:r>
      <w:r>
        <w:rPr>
          <w:rFonts w:ascii="Times New Roman;sans-serif" w:hAnsi="Times New Roman;sans-serif"/>
          <w:b w:val="false"/>
          <w:color w:val="000000"/>
          <w:sz w:val="24"/>
        </w:rPr>
        <w:t>. Notwithstanding the foregoing, and assuming that such Option has been outstanding for at least six (6) months from the Date of Grant, in the event that Participant’s employment with the Company (or its Affiliates) is terminated, other than by the Company (or its Affiliates) for Cause (as defined in the Plan),</w:t>
      </w:r>
    </w:p>
    <w:p>
      <w:pPr>
        <w:pStyle w:val="TextBody"/>
        <w:bidi w:val="0"/>
        <w:spacing w:before="0" w:after="0"/>
        <w:ind w:left="0" w:right="0" w:firstLine="2081"/>
        <w:jc w:val="both"/>
        <w:rPr/>
      </w:pPr>
      <w:r>
        <w:rPr/>
      </w:r>
    </w:p>
    <w:p>
      <w:pPr>
        <w:pStyle w:val="TextBody"/>
        <w:bidi w:val="0"/>
        <w:spacing w:lineRule="auto" w:line="268" w:before="0" w:after="0"/>
        <w:ind w:left="0" w:right="0" w:firstLine="2801"/>
        <w:jc w:val="both"/>
        <w:rPr>
          <w:rFonts w:ascii="Times New Roman;sans-serif" w:hAnsi="Times New Roman;sans-serif"/>
          <w:b w:val="false"/>
          <w:color w:val="000000"/>
          <w:sz w:val="24"/>
        </w:rPr>
      </w:pPr>
      <w:r>
        <w:rPr>
          <w:rFonts w:ascii="Times New Roman;sans-serif" w:hAnsi="Times New Roman;sans-serif"/>
          <w:b w:val="false"/>
          <w:color w:val="000000"/>
          <w:sz w:val="24"/>
        </w:rPr>
        <w:t>(1) after having attained age sixty (60) with at least ten (10) years of service with the Company (or its Affiliates) at a time when any portion of the Option remains unvested, then one-hundred percent (100%) of that portion of Participant’s Option (and only that portion) that is scheduled to vest within the next twelve (12) months shall become immediately vested as of the date Participant terminates employment, and any remaining unvested portion of the Option shall be immediately forfeited; and</w:t>
      </w:r>
    </w:p>
    <w:p>
      <w:pPr>
        <w:pStyle w:val="TextBody"/>
        <w:bidi w:val="0"/>
        <w:spacing w:before="0" w:after="0"/>
        <w:ind w:left="0" w:right="0" w:firstLine="2801"/>
        <w:jc w:val="left"/>
        <w:rPr/>
      </w:pPr>
      <w:r>
        <w:rPr/>
      </w:r>
    </w:p>
    <w:p>
      <w:pPr>
        <w:pStyle w:val="TextBody"/>
        <w:bidi w:val="0"/>
        <w:spacing w:lineRule="auto" w:line="268"/>
        <w:ind w:left="0" w:right="0" w:firstLine="2801"/>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(2) after having attained age sixty (60) with at least five (5) years and less than ten (10) years of service with the Company (or its Affiliates), at a time when any portion of the Option remains unvested, then the applicable percentage of the Participant’s Option (and only that portion) that is scheduled to vest within the next twelve (12) months, as </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jc w:val="both"/>
        <w:rPr/>
      </w:pPr>
      <w:r>
        <w:rPr>
          <w:rFonts w:ascii="Times New Roman;sans-serif" w:hAnsi="Times New Roman;sans-serif"/>
          <w:b w:val="false"/>
          <w:color w:val="000000"/>
          <w:sz w:val="24"/>
        </w:rPr>
        <w:t>described below (the “</w:t>
      </w:r>
      <w:r>
        <w:rPr>
          <w:rFonts w:ascii="Times New Roman;sans-serif" w:hAnsi="Times New Roman;sans-serif"/>
          <w:b w:val="false"/>
          <w:color w:val="000000"/>
          <w:sz w:val="24"/>
          <w:u w:val="single"/>
        </w:rPr>
        <w:t>Prorated Percentage</w:t>
      </w:r>
      <w:r>
        <w:rPr>
          <w:color w:val="000000"/>
        </w:rPr>
        <w:t>”</w:t>
      </w:r>
      <w:r>
        <w:rPr>
          <w:rFonts w:ascii="Times New Roman;sans-serif" w:hAnsi="Times New Roman;sans-serif"/>
          <w:b w:val="false"/>
          <w:color w:val="000000"/>
          <w:sz w:val="24"/>
        </w:rPr>
        <w:t>), shall become immediately vested as of the date the Participant terminates employment, and any remaining unvested portion of the Option shall be immediately forfeited.</w:t>
      </w:r>
    </w:p>
    <w:p>
      <w:pPr>
        <w:pStyle w:val="TextBody"/>
        <w:bidi w:val="0"/>
        <w:spacing w:before="0" w:after="0"/>
        <w:ind w:left="0" w:right="0" w:firstLine="2801"/>
        <w:jc w:val="both"/>
        <w:rPr/>
      </w:pPr>
      <w:r>
        <w:rPr/>
      </w:r>
    </w:p>
    <w:tbl>
      <w:tblPr>
        <w:tblW w:w="7150" w:type="dxa"/>
        <w:jc w:val="left"/>
        <w:tblInd w:w="0" w:type="dxa"/>
        <w:tblLayout w:type="fixed"/>
        <w:tblCellMar>
          <w:top w:w="28" w:type="dxa"/>
          <w:left w:w="28" w:type="dxa"/>
          <w:bottom w:w="28" w:type="dxa"/>
          <w:right w:w="28" w:type="dxa"/>
        </w:tblCellMar>
      </w:tblPr>
      <w:tblGrid>
        <w:gridCol w:w="1592"/>
        <w:gridCol w:w="1397"/>
        <w:gridCol w:w="1401"/>
        <w:gridCol w:w="808"/>
        <w:gridCol w:w="808"/>
        <w:gridCol w:w="1144"/>
      </w:tblGrid>
      <w:tr>
        <w:trPr/>
        <w:tc>
          <w:tcPr>
            <w:tcW w:w="1592"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r>
      <w:tr>
        <w:trPr/>
        <w:tc>
          <w:tcPr>
            <w:tcW w:w="43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
              <w:ind w:left="0" w:right="0" w:firstLine="720"/>
              <w:jc w:val="center"/>
              <w:rPr>
                <w:rFonts w:ascii="Times New Roman;sans-serif" w:hAnsi="Times New Roman;sans-serif"/>
                <w:b w:val="false"/>
                <w:color w:val="000000"/>
                <w:sz w:val="24"/>
              </w:rPr>
            </w:pPr>
            <w:r>
              <w:rPr>
                <w:rFonts w:ascii="Times New Roman;sans-serif" w:hAnsi="Times New Roman;sans-serif"/>
                <w:b w:val="false"/>
                <w:color w:val="000000"/>
                <w:sz w:val="24"/>
              </w:rPr>
              <w:t>Completed Years of Service:</w:t>
            </w:r>
          </w:p>
          <w:p>
            <w:pPr>
              <w:pStyle w:val="TableContents"/>
              <w:bidi w:val="0"/>
              <w:spacing w:lineRule="auto" w:line="268" w:before="0" w:after="2"/>
              <w:ind w:left="0" w:right="0" w:firstLine="720"/>
              <w:jc w:val="center"/>
              <w:rPr>
                <w:rFonts w:ascii="Times New Roman;sans-serif" w:hAnsi="Times New Roman;sans-serif"/>
                <w:b w:val="false"/>
                <w:color w:val="000000"/>
                <w:sz w:val="24"/>
              </w:rPr>
            </w:pPr>
            <w:r>
              <w:rPr>
                <w:rFonts w:ascii="Times New Roman;sans-serif" w:hAnsi="Times New Roman;sans-serif"/>
                <w:b w:val="false"/>
                <w:color w:val="000000"/>
                <w:sz w:val="24"/>
              </w:rPr>
              <w:t>At least</w:t>
            </w:r>
          </w:p>
        </w:tc>
        <w:tc>
          <w:tcPr>
            <w:tcW w:w="276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Prorated Percentage</w:t>
            </w:r>
          </w:p>
        </w:tc>
      </w:tr>
      <w:tr>
        <w:trPr/>
        <w:tc>
          <w:tcPr>
            <w:tcW w:w="43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2801"/>
              <w:jc w:val="center"/>
              <w:rPr>
                <w:rFonts w:ascii="Times New Roman;sans-serif" w:hAnsi="Times New Roman;sans-serif"/>
                <w:b w:val="false"/>
                <w:color w:val="000000"/>
                <w:sz w:val="24"/>
              </w:rPr>
            </w:pPr>
            <w:r>
              <w:rPr>
                <w:rFonts w:ascii="Times New Roman;sans-serif" w:hAnsi="Times New Roman;sans-serif"/>
                <w:b w:val="false"/>
                <w:color w:val="000000"/>
                <w:sz w:val="24"/>
              </w:rPr>
              <w:t>Five (5) years</w:t>
            </w:r>
          </w:p>
        </w:tc>
        <w:tc>
          <w:tcPr>
            <w:tcW w:w="276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ind w:left="0" w:right="0" w:firstLine="720"/>
              <w:jc w:val="center"/>
              <w:rPr>
                <w:rFonts w:ascii="Times New Roman;sans-serif" w:hAnsi="Times New Roman;sans-serif"/>
                <w:b w:val="false"/>
                <w:color w:val="000000"/>
                <w:sz w:val="24"/>
              </w:rPr>
            </w:pPr>
            <w:r>
              <w:rPr>
                <w:rFonts w:ascii="Times New Roman;sans-serif" w:hAnsi="Times New Roman;sans-serif"/>
                <w:b w:val="false"/>
                <w:color w:val="000000"/>
                <w:sz w:val="24"/>
              </w:rPr>
              <w:t>50%</w:t>
            </w:r>
          </w:p>
        </w:tc>
      </w:tr>
      <w:tr>
        <w:trPr/>
        <w:tc>
          <w:tcPr>
            <w:tcW w:w="43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2801"/>
              <w:jc w:val="center"/>
              <w:rPr>
                <w:rFonts w:ascii="Times New Roman;sans-serif" w:hAnsi="Times New Roman;sans-serif"/>
                <w:b w:val="false"/>
                <w:color w:val="000000"/>
                <w:sz w:val="24"/>
              </w:rPr>
            </w:pPr>
            <w:r>
              <w:rPr>
                <w:rFonts w:ascii="Times New Roman;sans-serif" w:hAnsi="Times New Roman;sans-serif"/>
                <w:b w:val="false"/>
                <w:color w:val="000000"/>
                <w:sz w:val="24"/>
              </w:rPr>
              <w:t>Six (6) years</w:t>
            </w:r>
          </w:p>
        </w:tc>
        <w:tc>
          <w:tcPr>
            <w:tcW w:w="276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ind w:left="0" w:right="0" w:firstLine="720"/>
              <w:jc w:val="center"/>
              <w:rPr>
                <w:rFonts w:ascii="Times New Roman;sans-serif" w:hAnsi="Times New Roman;sans-serif"/>
                <w:b w:val="false"/>
                <w:color w:val="000000"/>
                <w:sz w:val="24"/>
              </w:rPr>
            </w:pPr>
            <w:r>
              <w:rPr>
                <w:rFonts w:ascii="Times New Roman;sans-serif" w:hAnsi="Times New Roman;sans-serif"/>
                <w:b w:val="false"/>
                <w:color w:val="000000"/>
                <w:sz w:val="24"/>
              </w:rPr>
              <w:t>60%</w:t>
            </w:r>
          </w:p>
        </w:tc>
      </w:tr>
      <w:tr>
        <w:trPr/>
        <w:tc>
          <w:tcPr>
            <w:tcW w:w="43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2801"/>
              <w:jc w:val="center"/>
              <w:rPr>
                <w:rFonts w:ascii="Times New Roman;sans-serif" w:hAnsi="Times New Roman;sans-serif"/>
                <w:b w:val="false"/>
                <w:color w:val="000000"/>
                <w:sz w:val="24"/>
              </w:rPr>
            </w:pPr>
            <w:r>
              <w:rPr>
                <w:rFonts w:ascii="Times New Roman;sans-serif" w:hAnsi="Times New Roman;sans-serif"/>
                <w:b w:val="false"/>
                <w:color w:val="000000"/>
                <w:sz w:val="24"/>
              </w:rPr>
              <w:t>Seven (7) years</w:t>
            </w:r>
          </w:p>
        </w:tc>
        <w:tc>
          <w:tcPr>
            <w:tcW w:w="276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ind w:left="0" w:right="0" w:firstLine="720"/>
              <w:jc w:val="center"/>
              <w:rPr>
                <w:rFonts w:ascii="Times New Roman;sans-serif" w:hAnsi="Times New Roman;sans-serif"/>
                <w:b w:val="false"/>
                <w:color w:val="000000"/>
                <w:sz w:val="24"/>
              </w:rPr>
            </w:pPr>
            <w:r>
              <w:rPr>
                <w:rFonts w:ascii="Times New Roman;sans-serif" w:hAnsi="Times New Roman;sans-serif"/>
                <w:b w:val="false"/>
                <w:color w:val="000000"/>
                <w:sz w:val="24"/>
              </w:rPr>
              <w:t>70%</w:t>
            </w:r>
          </w:p>
        </w:tc>
      </w:tr>
      <w:tr>
        <w:trPr/>
        <w:tc>
          <w:tcPr>
            <w:tcW w:w="43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2801"/>
              <w:jc w:val="center"/>
              <w:rPr>
                <w:rFonts w:ascii="Times New Roman;sans-serif" w:hAnsi="Times New Roman;sans-serif"/>
                <w:b w:val="false"/>
                <w:color w:val="000000"/>
                <w:sz w:val="24"/>
              </w:rPr>
            </w:pPr>
            <w:r>
              <w:rPr>
                <w:rFonts w:ascii="Times New Roman;sans-serif" w:hAnsi="Times New Roman;sans-serif"/>
                <w:b w:val="false"/>
                <w:color w:val="000000"/>
                <w:sz w:val="24"/>
              </w:rPr>
              <w:t>Eight (8) years</w:t>
            </w:r>
          </w:p>
        </w:tc>
        <w:tc>
          <w:tcPr>
            <w:tcW w:w="276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ind w:left="0" w:right="0" w:firstLine="720"/>
              <w:jc w:val="center"/>
              <w:rPr>
                <w:rFonts w:ascii="Times New Roman;sans-serif" w:hAnsi="Times New Roman;sans-serif"/>
                <w:b w:val="false"/>
                <w:color w:val="000000"/>
                <w:sz w:val="24"/>
              </w:rPr>
            </w:pPr>
            <w:r>
              <w:rPr>
                <w:rFonts w:ascii="Times New Roman;sans-serif" w:hAnsi="Times New Roman;sans-serif"/>
                <w:b w:val="false"/>
                <w:color w:val="000000"/>
                <w:sz w:val="24"/>
              </w:rPr>
              <w:t>80%</w:t>
            </w:r>
          </w:p>
        </w:tc>
      </w:tr>
      <w:tr>
        <w:trPr/>
        <w:tc>
          <w:tcPr>
            <w:tcW w:w="439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ind w:left="0" w:right="0" w:firstLine="2801"/>
              <w:jc w:val="center"/>
              <w:rPr>
                <w:rFonts w:ascii="Times New Roman;sans-serif" w:hAnsi="Times New Roman;sans-serif"/>
                <w:b w:val="false"/>
                <w:color w:val="000000"/>
                <w:sz w:val="24"/>
              </w:rPr>
            </w:pPr>
            <w:r>
              <w:rPr>
                <w:rFonts w:ascii="Times New Roman;sans-serif" w:hAnsi="Times New Roman;sans-serif"/>
                <w:b w:val="false"/>
                <w:color w:val="000000"/>
                <w:sz w:val="24"/>
              </w:rPr>
              <w:t>Nine (9) years</w:t>
            </w:r>
          </w:p>
        </w:tc>
        <w:tc>
          <w:tcPr>
            <w:tcW w:w="276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90%</w:t>
            </w:r>
          </w:p>
        </w:tc>
      </w:tr>
    </w:tbl>
    <w:p>
      <w:pPr>
        <w:pStyle w:val="TextBody"/>
        <w:bidi w:val="0"/>
        <w:spacing w:before="0" w:after="0"/>
        <w:jc w:val="left"/>
        <w:rPr/>
      </w:pPr>
      <w:r>
        <w:rPr/>
      </w:r>
    </w:p>
    <w:p>
      <w:pPr>
        <w:pStyle w:val="TextBody"/>
        <w:bidi w:val="0"/>
        <w:spacing w:lineRule="auto" w:line="268" w:before="0" w:after="0"/>
        <w:ind w:left="0" w:right="0" w:firstLine="2801"/>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For purposes of this Section 2(c)(iv), years of service with the Company (or its Affiliates) does not include tenure at any organization acquired by the Company (or its Affiliates) prior to the closing date of such acquisition. </w:t>
      </w:r>
    </w:p>
    <w:p>
      <w:pPr>
        <w:pStyle w:val="TextBody"/>
        <w:bidi w:val="0"/>
        <w:spacing w:before="0" w:after="0"/>
        <w:ind w:left="0" w:right="0" w:firstLine="2801"/>
        <w:jc w:val="both"/>
        <w:rPr/>
      </w:pPr>
      <w:r>
        <w:rPr/>
      </w:r>
    </w:p>
    <w:p>
      <w:pPr>
        <w:pStyle w:val="TextBody"/>
        <w:bidi w:val="0"/>
        <w:spacing w:lineRule="auto" w:line="268" w:before="0" w:after="0"/>
        <w:ind w:left="0" w:right="0" w:firstLine="2081"/>
        <w:jc w:val="both"/>
        <w:rPr/>
      </w:pPr>
      <w:r>
        <w:rPr>
          <w:rFonts w:ascii="Times New Roman;sans-serif" w:hAnsi="Times New Roman;sans-serif"/>
          <w:b w:val="false"/>
          <w:color w:val="000000"/>
          <w:sz w:val="24"/>
        </w:rPr>
        <w:t xml:space="preserve">(v) </w:t>
      </w:r>
      <w:r>
        <w:rPr>
          <w:rFonts w:ascii="Times New Roman;sans-serif" w:hAnsi="Times New Roman;sans-serif"/>
          <w:b w:val="false"/>
          <w:i/>
          <w:color w:val="000000"/>
          <w:sz w:val="24"/>
        </w:rPr>
        <w:t>Special 409A Rule.</w:t>
      </w:r>
      <w:r>
        <w:rPr>
          <w:color w:val="000000"/>
        </w:rPr>
        <w:t xml:space="preserve"> </w:t>
      </w:r>
      <w:r>
        <w:rPr>
          <w:rFonts w:ascii="Times New Roman;sans-serif" w:hAnsi="Times New Roman;sans-serif"/>
          <w:b w:val="false"/>
          <w:color w:val="000000"/>
          <w:sz w:val="24"/>
        </w:rPr>
        <w:t>Notwithstanding anything to the contrary in this Section 3, to the extent necessary to comply with Section 409A of the Code, a Change in Control hereunder shall not give rise to any acceleration of the vesting of any portion of an Award hereunder unless such event satisfies the definition of a change in the ownership or effective control of a corporation, or a change in the ownership of a substantial portion of the assets of a corporation pursuant to Section 409A of the Code and any Treasury Regulations promulgated thereunder.</w:t>
      </w:r>
    </w:p>
    <w:p>
      <w:pPr>
        <w:pStyle w:val="TextBody"/>
        <w:bidi w:val="0"/>
        <w:spacing w:before="0" w:after="0"/>
        <w:ind w:left="0" w:right="0" w:firstLine="2081"/>
        <w:jc w:val="both"/>
        <w:rPr/>
      </w:pPr>
      <w:r>
        <w:rPr/>
      </w:r>
    </w:p>
    <w:p>
      <w:pPr>
        <w:pStyle w:val="TextBody"/>
        <w:bidi w:val="0"/>
        <w:spacing w:lineRule="auto" w:line="268" w:before="0" w:after="0"/>
        <w:ind w:left="0" w:right="0" w:firstLine="1591"/>
        <w:jc w:val="both"/>
        <w:rPr/>
      </w:pPr>
      <w:r>
        <w:rPr>
          <w:rFonts w:ascii="Times New Roman;sans-serif" w:hAnsi="Times New Roman;sans-serif"/>
          <w:b w:val="false"/>
          <w:color w:val="000000"/>
          <w:sz w:val="24"/>
        </w:rPr>
        <w:t xml:space="preserve">(d) </w:t>
      </w:r>
      <w:r>
        <w:rPr>
          <w:rFonts w:ascii="Times New Roman;sans-serif" w:hAnsi="Times New Roman;sans-serif"/>
          <w:b w:val="false"/>
          <w:color w:val="000000"/>
          <w:sz w:val="24"/>
          <w:u w:val="single"/>
        </w:rPr>
        <w:t>Exercise of the Option</w:t>
      </w:r>
      <w:r>
        <w:rPr>
          <w:rFonts w:ascii="Times New Roman;sans-serif" w:hAnsi="Times New Roman;sans-serif"/>
          <w:b w:val="false"/>
          <w:i/>
          <w:color w:val="000000"/>
          <w:sz w:val="24"/>
        </w:rPr>
        <w:t xml:space="preserve">. </w:t>
      </w:r>
      <w:r>
        <w:rPr>
          <w:rFonts w:ascii="Times New Roman;sans-serif" w:hAnsi="Times New Roman;sans-serif"/>
          <w:b w:val="false"/>
          <w:color w:val="000000"/>
          <w:sz w:val="24"/>
        </w:rPr>
        <w:t xml:space="preserve">The Option may be exercised only by written notice, substantially in the form attached hereto as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(or a successor form provided by the Committee, or over the current plan administrator’s website) delivered in person or by mail in accordance with Section 3(b) hereof and accompanied by payment of the Option Price. The Option Price shall be paid by Participant to the Company by (A) cash, certified check, or transfer over the current plan administrator’s website or such other means as may be approved by the Committee or (B) means of a net exercise whereby the number of Option Shares received by Participant shall equal the excess, if any, of (x) the number of Option Shares that would have been received by Participant upon such exercise had Participant paid the purchase price for the Option Shares in cash over (y) a number of Option Shares, the aggregate Fair Market Value of which is equal to the aggregate purchase price that would have been paid as determined pursuant to the immediately preceding clause (x).</w:t>
      </w:r>
    </w:p>
    <w:p>
      <w:pPr>
        <w:pStyle w:val="TextBody"/>
        <w:bidi w:val="0"/>
        <w:spacing w:before="0" w:after="0"/>
        <w:ind w:left="0" w:right="0" w:firstLine="1591"/>
        <w:jc w:val="left"/>
        <w:rPr/>
      </w:pPr>
      <w:r>
        <w:rPr/>
      </w:r>
    </w:p>
    <w:p>
      <w:pPr>
        <w:pStyle w:val="TextBody"/>
        <w:bidi w:val="0"/>
        <w:spacing w:lineRule="auto" w:line="268"/>
        <w:ind w:left="0" w:right="0" w:firstLine="1591"/>
        <w:jc w:val="both"/>
        <w:rPr/>
      </w:pPr>
      <w:r>
        <w:rPr>
          <w:rFonts w:ascii="Times New Roman;sans-serif" w:hAnsi="Times New Roman;sans-serif"/>
          <w:b w:val="false"/>
          <w:color w:val="000000"/>
          <w:sz w:val="24"/>
        </w:rPr>
        <w:t xml:space="preserve">(e) </w:t>
      </w:r>
      <w:r>
        <w:rPr>
          <w:rFonts w:ascii="Times New Roman;sans-serif" w:hAnsi="Times New Roman;sans-serif"/>
          <w:b w:val="false"/>
          <w:color w:val="000000"/>
          <w:sz w:val="24"/>
          <w:u w:val="single"/>
        </w:rPr>
        <w:t>Forfeiture</w:t>
      </w:r>
      <w:r>
        <w:rPr>
          <w:rFonts w:ascii="Times New Roman;sans-serif" w:hAnsi="Times New Roman;sans-serif"/>
          <w:b w:val="false"/>
          <w:color w:val="000000"/>
          <w:sz w:val="24"/>
        </w:rPr>
        <w:t xml:space="preserve">. Except as otherwise provided in this Agreement, the Plan, or as set forth in any employment, consulting or other agreement between the Company or an Affiliate and the Participant in effect on the date hereof, in the event that Participant ceases to be employed by the Company or its Affiliates for any reason, the unvested portion of the Option shall expire upon such cessation of employment and the vested portion of the Option (to the extent then outstanding) shall expire at 11:59 p.m., ET on the earlier of (i) the last day of the Option Period or (ii) the date that is ninety (90) days after the date of such termination. In such event, the vested portion of the Option shall remain exercisable by Participant until its expiration. In addition, the Option and any Option Shares shall be subject to cancellation, </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forfeiture or recoupment as determined by the Committee upon the occurrence of a violation of material Company policies, misstatement of financial or other material information about the Company, fraud, misconduct, breach of noncompetition, confidentiality, nonsolicitation, noninterference, corporate property protection, or other agreements that may apply to the Participant, or other conduct by the Participant that the Committee determines is detrimental to the business or reputation of the Company and its Affiliates, including facts and circumstances discovered after termination of service.</w:t>
      </w:r>
    </w:p>
    <w:p>
      <w:pPr>
        <w:pStyle w:val="TextBody"/>
        <w:bidi w:val="0"/>
        <w:spacing w:before="0" w:after="0"/>
        <w:ind w:left="0" w:right="0" w:firstLine="1591"/>
        <w:jc w:val="both"/>
        <w:rPr/>
      </w:pPr>
      <w:r>
        <w:rPr/>
      </w:r>
    </w:p>
    <w:p>
      <w:pPr>
        <w:pStyle w:val="TextBody"/>
        <w:bidi w:val="0"/>
        <w:spacing w:lineRule="auto" w:line="268" w:before="0" w:after="0"/>
        <w:ind w:left="0" w:right="0" w:firstLine="1591"/>
        <w:jc w:val="both"/>
        <w:rPr/>
      </w:pPr>
      <w:r>
        <w:rPr>
          <w:rFonts w:ascii="Times New Roman;sans-serif" w:hAnsi="Times New Roman;sans-serif"/>
          <w:b w:val="false"/>
          <w:color w:val="000000"/>
          <w:sz w:val="24"/>
        </w:rPr>
        <w:t xml:space="preserve">(f) </w:t>
      </w:r>
      <w:r>
        <w:rPr>
          <w:rFonts w:ascii="Times New Roman;sans-serif" w:hAnsi="Times New Roman;sans-serif"/>
          <w:b w:val="false"/>
          <w:color w:val="000000"/>
          <w:sz w:val="24"/>
          <w:u w:val="single"/>
        </w:rPr>
        <w:t>Compliance with Legal Requirements</w:t>
      </w:r>
      <w:r>
        <w:rPr>
          <w:rFonts w:ascii="Times New Roman;sans-serif" w:hAnsi="Times New Roman;sans-serif"/>
          <w:b w:val="false"/>
          <w:color w:val="000000"/>
          <w:sz w:val="24"/>
        </w:rPr>
        <w:t>. The granting and exercising of the Option, and any other obligations of the Company under this Agreement, shall be subject to all applicable federal and state laws, rules and regulations and to such approvals by any regulatory or governmental agency as may be required. The Committee, in its sole discretion, may postpone the issuance or delivery of Option Shares as the Committee may consider appropriate and may require Participant to make such representations and furnish such information as it may consider appropriate in connection with the issuance or delivery of Option Shares in compliance with applicable laws, rules and regulations.</w:t>
      </w:r>
    </w:p>
    <w:p>
      <w:pPr>
        <w:pStyle w:val="TextBody"/>
        <w:bidi w:val="0"/>
        <w:spacing w:before="0" w:after="0"/>
        <w:ind w:left="0" w:right="0" w:firstLine="1591"/>
        <w:jc w:val="both"/>
        <w:rPr/>
      </w:pPr>
      <w:r>
        <w:rPr/>
      </w:r>
    </w:p>
    <w:p>
      <w:pPr>
        <w:pStyle w:val="TextBody"/>
        <w:bidi w:val="0"/>
        <w:spacing w:lineRule="auto" w:line="268" w:before="0" w:after="0"/>
        <w:ind w:left="0" w:right="0" w:firstLine="1591"/>
        <w:jc w:val="both"/>
        <w:rPr/>
      </w:pPr>
      <w:r>
        <w:rPr>
          <w:rFonts w:ascii="Times New Roman;sans-serif" w:hAnsi="Times New Roman;sans-serif"/>
          <w:b w:val="false"/>
          <w:color w:val="000000"/>
          <w:sz w:val="24"/>
        </w:rPr>
        <w:t xml:space="preserve">(g) </w:t>
      </w:r>
      <w:r>
        <w:rPr>
          <w:rFonts w:ascii="Times New Roman;sans-serif" w:hAnsi="Times New Roman;sans-serif"/>
          <w:b w:val="false"/>
          <w:color w:val="000000"/>
          <w:sz w:val="24"/>
          <w:u w:val="single"/>
        </w:rPr>
        <w:t>Restrictions</w:t>
      </w:r>
      <w:r>
        <w:rPr>
          <w:rFonts w:ascii="Times New Roman;sans-serif" w:hAnsi="Times New Roman;sans-serif"/>
          <w:b w:val="false"/>
          <w:color w:val="000000"/>
          <w:sz w:val="24"/>
        </w:rPr>
        <w:t xml:space="preserve">. The Option may not be sold, pledged or otherwise transferred (other than by will or the laws of descent and distribution) and may not be subject to lien, garnishment, attachment or other legal process. </w:t>
      </w:r>
    </w:p>
    <w:p>
      <w:pPr>
        <w:pStyle w:val="TextBody"/>
        <w:bidi w:val="0"/>
        <w:spacing w:before="0" w:after="0"/>
        <w:ind w:left="0" w:right="0" w:firstLine="1591"/>
        <w:jc w:val="both"/>
        <w:rPr/>
      </w:pPr>
      <w:r>
        <w:rPr/>
      </w:r>
    </w:p>
    <w:p>
      <w:pPr>
        <w:pStyle w:val="TextBody"/>
        <w:bidi w:val="0"/>
        <w:spacing w:lineRule="auto" w:line="268" w:before="0" w:after="0"/>
        <w:ind w:left="0" w:right="0" w:firstLine="1591"/>
        <w:jc w:val="both"/>
        <w:rPr/>
      </w:pPr>
      <w:r>
        <w:rPr>
          <w:rFonts w:ascii="Times New Roman;sans-serif" w:hAnsi="Times New Roman;sans-serif"/>
          <w:b w:val="false"/>
          <w:color w:val="000000"/>
          <w:sz w:val="24"/>
        </w:rPr>
        <w:t xml:space="preserve">(h) </w:t>
      </w:r>
      <w:r>
        <w:rPr>
          <w:rFonts w:ascii="Times New Roman;sans-serif" w:hAnsi="Times New Roman;sans-serif"/>
          <w:b w:val="false"/>
          <w:color w:val="000000"/>
          <w:sz w:val="24"/>
          <w:u w:val="single"/>
        </w:rPr>
        <w:t>Rights as Stockholder</w:t>
      </w:r>
      <w:r>
        <w:rPr>
          <w:rFonts w:ascii="Times New Roman;sans-serif" w:hAnsi="Times New Roman;sans-serif"/>
          <w:b w:val="false"/>
          <w:color w:val="000000"/>
          <w:sz w:val="24"/>
        </w:rPr>
        <w:t>. Participant shall not be deemed for any purpose to be the owner of any shares of Stock subject to this Option unless, until and to the extent that (i) this Option shall have been exercised pursuant to its terms (ii) the Company shall have issued and delivered to Participant the Option Shares and (iii) Participant’s name shall have been entered as a stockholder of record with respect to such Option Shares on the books of the Company.</w:t>
      </w:r>
    </w:p>
    <w:p>
      <w:pPr>
        <w:pStyle w:val="TextBody"/>
        <w:bidi w:val="0"/>
        <w:spacing w:before="0" w:after="0"/>
        <w:ind w:left="0" w:right="0" w:firstLine="1591"/>
        <w:jc w:val="both"/>
        <w:rPr/>
      </w:pPr>
      <w:r>
        <w:rPr/>
      </w:r>
    </w:p>
    <w:p>
      <w:pPr>
        <w:pStyle w:val="TextBody"/>
        <w:bidi w:val="0"/>
        <w:spacing w:lineRule="auto" w:line="268" w:before="0" w:after="0"/>
        <w:ind w:left="0" w:right="0" w:firstLine="1591"/>
        <w:jc w:val="both"/>
        <w:rPr/>
      </w:pPr>
      <w:r>
        <w:rPr>
          <w:rFonts w:ascii="Times New Roman;sans-serif" w:hAnsi="Times New Roman;sans-serif"/>
          <w:b w:val="false"/>
          <w:color w:val="000000"/>
          <w:sz w:val="24"/>
        </w:rPr>
        <w:t xml:space="preserve">(i) </w:t>
      </w:r>
      <w:r>
        <w:rPr>
          <w:rFonts w:ascii="Times New Roman;sans-serif" w:hAnsi="Times New Roman;sans-serif"/>
          <w:b w:val="false"/>
          <w:color w:val="000000"/>
          <w:sz w:val="24"/>
          <w:u w:val="single"/>
        </w:rPr>
        <w:t>Taxes and Withholding</w:t>
      </w:r>
      <w:r>
        <w:rPr>
          <w:rFonts w:ascii="Times New Roman;sans-serif" w:hAnsi="Times New Roman;sans-serif"/>
          <w:b w:val="false"/>
          <w:color w:val="000000"/>
          <w:sz w:val="24"/>
        </w:rPr>
        <w:t>. Regardless of any action the Company or the Participant’s employer (the “Employer”) takes with respect to any or all income tax, social insurance, payroll tax, payment on account or other tax-related items related to the Participant’s participation in the Plan and legally applicable to the Participant or deemed by the Company or the Employer to be an appropriate charge to the Participant even if technically due by the Company or the Employer (“Tax-Related Items”), the Participant acknowledges that the ultimate liability for all Tax-Related Items is and remains the Participant’s responsibility and may exceed the amount actually withheld by the Company or the Employer. The Participant further acknowledges that the Company and/or the Employer (1) make no representations or undertakings regarding the treatment of any Tax-Related Items in connection with any aspect of the Option, including, but not limited to, the grant, vesting or settlement of the Option, the issuance of Option Shares upon vesting/settlement of the Option, the subsequent sale of Option Shares acquired pursuant to such issuance and the receipt of any dividends and/or any dividend equivalents; and (2) do not commit to and are under no obligation to structure the terms of the grant or any aspect of the Option to reduce or eliminate the Participant’s liability for Tax-Related Items or achieve any particular tax result. Further, if the Participant has become subject to tax in more than one jurisdiction between the date of grant and the date of any relevant taxable event, the Participant acknowledges that the Company and/or the Employer (or former employer, as applicable) may be required to withhold or account for Tax-Related Items in more than one jurisdiction.</w:t>
      </w:r>
    </w:p>
    <w:p>
      <w:pPr>
        <w:pStyle w:val="TextBody"/>
        <w:bidi w:val="0"/>
        <w:ind w:left="0" w:right="0" w:firstLine="1591"/>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Upon the settlement of the Award in accordance with Section 4(a) hereof in Option Shares, the Participant shall be required, as a condition of such settlement, to pay to the Company by check or wire transfer the amount of any income, payroll, or social tax withholding that the Company determines is required; provided that the Participant may elect to satisfy such tax withholding obligation by having the Company withhold from the settlement that number of Option Shares having a Fair Market Value equal to the amount of such withholding. To avoid negative accounting treatment, the Company may withhold or account for Tax-Related Items by considering applicable minimum statutory withholding amounts or other applicable withholding rates. If the obligation for Tax-Related Items is satisfied by withholding in Option Shares, for tax purposes, the Participant is deemed to have been issued the full number of Shares subject to the vested portion of the Option, notwithstanding that a number of the Option Shares are held back solely for the purpose of paying the Tax-Related Items due as a result of any aspect of the Participant’s participation in the Plan.</w:t>
      </w:r>
    </w:p>
    <w:p>
      <w:pPr>
        <w:pStyle w:val="TextBody"/>
        <w:bidi w:val="0"/>
        <w:spacing w:before="0" w:after="0"/>
        <w:ind w:left="0" w:right="0" w:firstLine="1591"/>
        <w:jc w:val="both"/>
        <w:rPr/>
      </w:pPr>
      <w:r>
        <w:rPr/>
      </w:r>
    </w:p>
    <w:p>
      <w:pPr>
        <w:pStyle w:val="TextBody"/>
        <w:bidi w:val="0"/>
        <w:spacing w:lineRule="auto" w:line="268" w:before="0" w:after="0"/>
        <w:ind w:left="0" w:right="0" w:firstLine="979"/>
        <w:jc w:val="both"/>
        <w:rPr/>
      </w:pPr>
      <w:r>
        <w:rPr>
          <w:rFonts w:ascii="Times New Roman;sans-serif" w:hAnsi="Times New Roman;sans-serif"/>
          <w:b w:val="false"/>
          <w:color w:val="000000"/>
          <w:sz w:val="24"/>
        </w:rPr>
        <w:t xml:space="preserve">3. </w:t>
      </w:r>
      <w:r>
        <w:rPr>
          <w:rFonts w:ascii="Times New Roman;sans-serif" w:hAnsi="Times New Roman;sans-serif"/>
          <w:b w:val="false"/>
          <w:color w:val="000000"/>
          <w:sz w:val="24"/>
          <w:u w:val="single"/>
        </w:rPr>
        <w:t>Miscellaneous</w:t>
      </w:r>
      <w:r>
        <w:rPr>
          <w:rFonts w:ascii="Times New Roman;sans-serif" w:hAnsi="Times New Roman;sans-serif"/>
          <w:b w:val="false"/>
          <w:color w:val="000000"/>
          <w:sz w:val="24"/>
        </w:rPr>
        <w:t>.</w:t>
      </w:r>
    </w:p>
    <w:p>
      <w:pPr>
        <w:pStyle w:val="TextBody"/>
        <w:bidi w:val="0"/>
        <w:spacing w:lineRule="auto" w:line="268" w:before="0" w:after="0"/>
        <w:ind w:left="0" w:right="0" w:firstLine="1591"/>
        <w:jc w:val="both"/>
        <w:rPr/>
      </w:pPr>
      <w:r>
        <w:rPr>
          <w:rFonts w:ascii="Times New Roman;sans-serif" w:hAnsi="Times New Roman;sans-serif"/>
          <w:b w:val="false"/>
          <w:color w:val="000000"/>
          <w:sz w:val="24"/>
        </w:rPr>
        <w:t xml:space="preserve">(a) </w:t>
      </w:r>
      <w:r>
        <w:rPr>
          <w:rFonts w:ascii="Times New Roman;sans-serif" w:hAnsi="Times New Roman;sans-serif"/>
          <w:b w:val="false"/>
          <w:color w:val="000000"/>
          <w:sz w:val="24"/>
          <w:u w:val="single"/>
        </w:rPr>
        <w:t>Waiver</w:t>
      </w:r>
      <w:r>
        <w:rPr>
          <w:rFonts w:ascii="Times New Roman;sans-serif" w:hAnsi="Times New Roman;sans-serif"/>
          <w:b w:val="false"/>
          <w:color w:val="000000"/>
          <w:sz w:val="24"/>
        </w:rPr>
        <w:t>. Any right of the Company contained in this Agreement may be waived in writing by the Committee.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pStyle w:val="TextBody"/>
        <w:bidi w:val="0"/>
        <w:spacing w:lineRule="auto" w:line="268" w:before="0" w:after="0"/>
        <w:ind w:left="0" w:right="0" w:firstLine="1591"/>
        <w:jc w:val="both"/>
        <w:rPr/>
      </w:pPr>
      <w:r>
        <w:rPr>
          <w:rFonts w:ascii="Times New Roman;sans-serif" w:hAnsi="Times New Roman;sans-serif"/>
          <w:b w:val="false"/>
          <w:color w:val="000000"/>
          <w:sz w:val="24"/>
        </w:rPr>
        <w:t xml:space="preserve">(b) </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All notices, demands and other communications provided for or permitted hereunder shall be made in writing and shall be by registered or certified first-class mail, return receipt requested, telecopier, courier service or personal delivery:</w:t>
      </w:r>
    </w:p>
    <w:p>
      <w:pPr>
        <w:pStyle w:val="TextBody"/>
        <w:bidi w:val="0"/>
        <w:spacing w:before="0" w:after="0"/>
        <w:ind w:left="0" w:right="0" w:firstLine="1591"/>
        <w:jc w:val="both"/>
        <w:rPr/>
      </w:pPr>
      <w:r>
        <w:rPr/>
      </w:r>
    </w:p>
    <w:p>
      <w:pPr>
        <w:pStyle w:val="TextBody"/>
        <w:bidi w:val="0"/>
        <w:spacing w:lineRule="auto" w:line="268" w:before="0" w:after="0"/>
        <w:ind w:left="0" w:right="0" w:firstLine="2081"/>
        <w:jc w:val="left"/>
        <w:rPr>
          <w:rFonts w:ascii="Times New Roman;sans-serif" w:hAnsi="Times New Roman;sans-serif"/>
          <w:b w:val="false"/>
          <w:color w:val="000000"/>
          <w:sz w:val="24"/>
        </w:rPr>
      </w:pPr>
      <w:r>
        <w:rPr>
          <w:rFonts w:ascii="Times New Roman;sans-serif" w:hAnsi="Times New Roman;sans-serif"/>
          <w:b w:val="false"/>
          <w:color w:val="000000"/>
          <w:sz w:val="24"/>
        </w:rPr>
        <w:t>if to the Company:</w:t>
      </w:r>
    </w:p>
    <w:p>
      <w:pPr>
        <w:pStyle w:val="TextBody"/>
        <w:bidi w:val="0"/>
        <w:spacing w:lineRule="auto" w:line="268" w:before="0" w:after="0"/>
        <w:ind w:left="0" w:right="0" w:firstLine="2081"/>
        <w:jc w:val="left"/>
        <w:rPr>
          <w:rFonts w:ascii="Times New Roman;sans-serif" w:hAnsi="Times New Roman;sans-serif"/>
          <w:b w:val="false"/>
          <w:color w:val="000000"/>
          <w:sz w:val="24"/>
        </w:rPr>
      </w:pPr>
      <w:r>
        <w:rPr>
          <w:rFonts w:ascii="Times New Roman;sans-serif" w:hAnsi="Times New Roman;sans-serif"/>
          <w:b w:val="false"/>
          <w:color w:val="000000"/>
          <w:sz w:val="24"/>
        </w:rPr>
        <w:t>ExlService Holdings, Inc.</w:t>
      </w:r>
    </w:p>
    <w:p>
      <w:pPr>
        <w:pStyle w:val="TextBody"/>
        <w:bidi w:val="0"/>
        <w:spacing w:lineRule="auto" w:line="268" w:before="0" w:after="0"/>
        <w:ind w:left="0" w:right="0" w:firstLine="2081"/>
        <w:jc w:val="left"/>
        <w:rPr>
          <w:rFonts w:ascii="Times New Roman;sans-serif" w:hAnsi="Times New Roman;sans-serif"/>
          <w:b w:val="false"/>
          <w:color w:val="000000"/>
          <w:sz w:val="24"/>
        </w:rPr>
      </w:pPr>
      <w:r>
        <w:rPr>
          <w:rFonts w:ascii="Times New Roman;sans-serif" w:hAnsi="Times New Roman;sans-serif"/>
          <w:b w:val="false"/>
          <w:color w:val="000000"/>
          <w:sz w:val="24"/>
        </w:rPr>
        <w:t>320 Park Avenue, 29th Floor</w:t>
      </w:r>
    </w:p>
    <w:p>
      <w:pPr>
        <w:pStyle w:val="TextBody"/>
        <w:bidi w:val="0"/>
        <w:spacing w:lineRule="auto" w:line="268" w:before="0" w:after="0"/>
        <w:ind w:left="0" w:right="0" w:firstLine="2081"/>
        <w:jc w:val="left"/>
        <w:rPr>
          <w:rFonts w:ascii="Times New Roman;sans-serif" w:hAnsi="Times New Roman;sans-serif"/>
          <w:b w:val="false"/>
          <w:color w:val="000000"/>
          <w:sz w:val="24"/>
        </w:rPr>
      </w:pPr>
      <w:r>
        <w:rPr>
          <w:rFonts w:ascii="Times New Roman;sans-serif" w:hAnsi="Times New Roman;sans-serif"/>
          <w:b w:val="false"/>
          <w:color w:val="000000"/>
          <w:sz w:val="24"/>
        </w:rPr>
        <w:t>New York, NY 10022</w:t>
      </w:r>
    </w:p>
    <w:p>
      <w:pPr>
        <w:pStyle w:val="TextBody"/>
        <w:bidi w:val="0"/>
        <w:spacing w:before="0" w:after="0"/>
        <w:jc w:val="left"/>
        <w:rPr/>
      </w:pPr>
      <w:r>
        <w:rPr/>
      </w:r>
    </w:p>
    <w:p>
      <w:pPr>
        <w:pStyle w:val="TextBody"/>
        <w:bidi w:val="0"/>
        <w:spacing w:lineRule="auto" w:line="268" w:before="0" w:after="0"/>
        <w:ind w:left="0" w:right="0" w:firstLine="2081"/>
        <w:jc w:val="left"/>
        <w:rPr>
          <w:rFonts w:ascii="Times New Roman;sans-serif" w:hAnsi="Times New Roman;sans-serif"/>
          <w:b w:val="false"/>
          <w:color w:val="000000"/>
          <w:sz w:val="24"/>
        </w:rPr>
      </w:pPr>
      <w:r>
        <w:rPr>
          <w:rFonts w:ascii="Times New Roman;sans-serif" w:hAnsi="Times New Roman;sans-serif"/>
          <w:b w:val="false"/>
          <w:color w:val="000000"/>
          <w:sz w:val="24"/>
        </w:rPr>
        <w:t>Attention: General Counsel</w:t>
      </w:r>
    </w:p>
    <w:p>
      <w:pPr>
        <w:pStyle w:val="TextBody"/>
        <w:bidi w:val="0"/>
        <w:spacing w:before="0" w:after="0"/>
        <w:ind w:left="0" w:right="0" w:firstLine="2081"/>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if to the Participant: at the Participant’s last known address on file with the Company.</w:t>
      </w:r>
    </w:p>
    <w:p>
      <w:pPr>
        <w:pStyle w:val="TextBody"/>
        <w:bidi w:val="0"/>
        <w:spacing w:before="0" w:after="0"/>
        <w:jc w:val="left"/>
        <w:rPr/>
      </w:pPr>
      <w:r>
        <w:rPr/>
      </w:r>
    </w:p>
    <w:p>
      <w:pPr>
        <w:pStyle w:val="TextBody"/>
        <w:bidi w:val="0"/>
        <w:spacing w:lineRule="auto" w:line="268" w:before="0" w:after="0"/>
        <w:ind w:left="0" w:right="0" w:firstLine="2081"/>
        <w:jc w:val="both"/>
        <w:rPr>
          <w:rFonts w:ascii="Times New Roman;sans-serif" w:hAnsi="Times New Roman;sans-serif"/>
          <w:b w:val="false"/>
          <w:color w:val="000000"/>
          <w:sz w:val="24"/>
        </w:rPr>
      </w:pPr>
      <w:r>
        <w:rPr>
          <w:rFonts w:ascii="Times New Roman;sans-serif" w:hAnsi="Times New Roman;sans-serif"/>
          <w:b w:val="false"/>
          <w:color w:val="000000"/>
          <w:sz w:val="24"/>
        </w:rPr>
        <w:t>All such notices, demands and other communications shall be deemed to have been duly given when delivered by hand, if personally delivered; when delivered by courier, if delivered by commercial courier service; five (5) business days after being deposited in the mail, postage prepaid, if mailed; and when receipt is mechanically acknowledged, if telecopied.</w:t>
      </w:r>
    </w:p>
    <w:p>
      <w:pPr>
        <w:pStyle w:val="TextBody"/>
        <w:bidi w:val="0"/>
        <w:spacing w:before="0" w:after="0"/>
        <w:jc w:val="left"/>
        <w:rPr/>
      </w:pPr>
      <w:r>
        <w:rPr/>
      </w:r>
    </w:p>
    <w:p>
      <w:pPr>
        <w:pStyle w:val="TextBody"/>
        <w:bidi w:val="0"/>
        <w:spacing w:lineRule="auto" w:line="268" w:before="0" w:after="0"/>
        <w:ind w:left="0" w:right="0" w:firstLine="1591"/>
        <w:jc w:val="both"/>
        <w:rPr/>
      </w:pPr>
      <w:r>
        <w:rPr>
          <w:rFonts w:ascii="Times New Roman;sans-serif" w:hAnsi="Times New Roman;sans-serif"/>
          <w:b w:val="false"/>
          <w:color w:val="000000"/>
          <w:sz w:val="24"/>
        </w:rPr>
        <w:t xml:space="preserve">(c) </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pStyle w:val="TextBody"/>
        <w:bidi w:val="0"/>
        <w:ind w:left="0" w:right="0" w:firstLine="1591"/>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ind w:left="0" w:right="0" w:firstLine="1591"/>
        <w:jc w:val="both"/>
        <w:rPr/>
      </w:pPr>
      <w:r>
        <w:rPr>
          <w:rFonts w:ascii="Times New Roman;sans-serif" w:hAnsi="Times New Roman;sans-serif"/>
          <w:b w:val="false"/>
          <w:color w:val="000000"/>
          <w:sz w:val="24"/>
        </w:rPr>
        <w:t xml:space="preserve">(d) </w:t>
      </w:r>
      <w:r>
        <w:rPr>
          <w:rFonts w:ascii="Times New Roman;sans-serif" w:hAnsi="Times New Roman;sans-serif"/>
          <w:b w:val="false"/>
          <w:color w:val="000000"/>
          <w:sz w:val="24"/>
          <w:u w:val="single"/>
        </w:rPr>
        <w:t>No Rights to Employment</w:t>
      </w:r>
      <w:r>
        <w:rPr>
          <w:rFonts w:ascii="Times New Roman;sans-serif" w:hAnsi="Times New Roman;sans-serif"/>
          <w:b w:val="false"/>
          <w:color w:val="000000"/>
          <w:sz w:val="24"/>
        </w:rPr>
        <w:t>. Nothing contained in this Agreement shall be construed as giving the Participant any right to be retained, in any position, as an employee, consultant or director of the Company or its Affiliates or shall interfere with or restrict in any way the right of the Company or its Affiliates, which are hereby expressly reserved, to remove, terminate or discharge the Participant at any time for any reason whatsoever.</w:t>
      </w:r>
    </w:p>
    <w:p>
      <w:pPr>
        <w:pStyle w:val="TextBody"/>
        <w:bidi w:val="0"/>
        <w:spacing w:before="0" w:after="0"/>
        <w:ind w:left="0" w:right="0" w:firstLine="1591"/>
        <w:jc w:val="both"/>
        <w:rPr/>
      </w:pPr>
      <w:r>
        <w:rPr/>
      </w:r>
    </w:p>
    <w:p>
      <w:pPr>
        <w:pStyle w:val="TextBody"/>
        <w:bidi w:val="0"/>
        <w:spacing w:lineRule="auto" w:line="268" w:before="0" w:after="0"/>
        <w:ind w:left="0" w:right="0" w:firstLine="1591"/>
        <w:jc w:val="both"/>
        <w:rPr/>
      </w:pPr>
      <w:r>
        <w:rPr>
          <w:rFonts w:ascii="Times New Roman;sans-serif" w:hAnsi="Times New Roman;sans-serif"/>
          <w:b w:val="false"/>
          <w:color w:val="000000"/>
          <w:sz w:val="24"/>
        </w:rPr>
        <w:t xml:space="preserve">(e) </w:t>
      </w:r>
      <w:r>
        <w:rPr>
          <w:rFonts w:ascii="Times New Roman;sans-serif" w:hAnsi="Times New Roman;sans-serif"/>
          <w:b w:val="false"/>
          <w:color w:val="000000"/>
          <w:sz w:val="24"/>
          <w:u w:val="single"/>
        </w:rPr>
        <w:t>Modifications</w:t>
      </w:r>
      <w:r>
        <w:rPr>
          <w:rFonts w:ascii="Times New Roman;sans-serif" w:hAnsi="Times New Roman;sans-serif"/>
          <w:b w:val="false"/>
          <w:color w:val="000000"/>
          <w:sz w:val="24"/>
        </w:rPr>
        <w:t>. No change, modification or waiver of any provision of this Agreement shall be valid unless the same be in writing and signed by the parties hereto.</w:t>
      </w:r>
    </w:p>
    <w:p>
      <w:pPr>
        <w:pStyle w:val="TextBody"/>
        <w:bidi w:val="0"/>
        <w:spacing w:before="0" w:after="0"/>
        <w:ind w:left="0" w:right="0" w:firstLine="1591"/>
        <w:jc w:val="both"/>
        <w:rPr/>
      </w:pPr>
      <w:r>
        <w:rPr/>
      </w:r>
    </w:p>
    <w:p>
      <w:pPr>
        <w:pStyle w:val="TextBody"/>
        <w:bidi w:val="0"/>
        <w:spacing w:lineRule="auto" w:line="268" w:before="0" w:after="0"/>
        <w:ind w:left="0" w:right="0" w:firstLine="1591"/>
        <w:jc w:val="both"/>
        <w:rPr/>
      </w:pPr>
      <w:r>
        <w:rPr>
          <w:rFonts w:ascii="Times New Roman;sans-serif" w:hAnsi="Times New Roman;sans-serif"/>
          <w:b w:val="false"/>
          <w:color w:val="000000"/>
          <w:sz w:val="24"/>
        </w:rPr>
        <w:t xml:space="preserve">(f) </w:t>
      </w:r>
      <w:r>
        <w:rPr>
          <w:rFonts w:ascii="Times New Roman;sans-serif" w:hAnsi="Times New Roman;sans-serif"/>
          <w:b w:val="false"/>
          <w:color w:val="000000"/>
          <w:sz w:val="24"/>
          <w:u w:val="single"/>
        </w:rPr>
        <w:t>Beneficiary</w:t>
      </w:r>
      <w:r>
        <w:rPr>
          <w:rFonts w:ascii="Times New Roman;sans-serif" w:hAnsi="Times New Roman;sans-serif"/>
          <w:b w:val="false"/>
          <w:color w:val="000000"/>
          <w:sz w:val="24"/>
        </w:rPr>
        <w:t>. The Participant may file with the Committee a written designation of a beneficiary on such form as may be prescribed by the Committee and may, from time to time, amend or revoke such designation. If no designated beneficiary survives the Participant, the Participant’s estate shall be deemed to be the Participant’s beneficiary.</w:t>
      </w:r>
    </w:p>
    <w:p>
      <w:pPr>
        <w:pStyle w:val="TextBody"/>
        <w:bidi w:val="0"/>
        <w:spacing w:before="0" w:after="0"/>
        <w:ind w:left="0" w:right="0" w:firstLine="1591"/>
        <w:jc w:val="both"/>
        <w:rPr/>
      </w:pPr>
      <w:r>
        <w:rPr/>
      </w:r>
    </w:p>
    <w:p>
      <w:pPr>
        <w:pStyle w:val="TextBody"/>
        <w:bidi w:val="0"/>
        <w:spacing w:lineRule="auto" w:line="268" w:before="0" w:after="0"/>
        <w:ind w:left="0" w:right="0" w:firstLine="1591"/>
        <w:jc w:val="both"/>
        <w:rPr/>
      </w:pPr>
      <w:r>
        <w:rPr>
          <w:rFonts w:ascii="Times New Roman;sans-serif" w:hAnsi="Times New Roman;sans-serif"/>
          <w:b w:val="false"/>
          <w:color w:val="000000"/>
          <w:sz w:val="24"/>
        </w:rPr>
        <w:t xml:space="preserve">(g) </w:t>
      </w:r>
      <w:r>
        <w:rPr>
          <w:rFonts w:ascii="Times New Roman;sans-serif" w:hAnsi="Times New Roman;sans-serif"/>
          <w:b w:val="false"/>
          <w:color w:val="000000"/>
          <w:sz w:val="24"/>
          <w:u w:val="single"/>
        </w:rPr>
        <w:t>Successors</w:t>
      </w:r>
      <w:r>
        <w:rPr>
          <w:rFonts w:ascii="Times New Roman;sans-serif" w:hAnsi="Times New Roman;sans-serif"/>
          <w:b w:val="false"/>
          <w:color w:val="000000"/>
          <w:sz w:val="24"/>
        </w:rPr>
        <w:t>. The terms of this Agreement shall be binding upon and inure to the benefit of the Company and its successors and assigns, and of the Participant and the beneficiaries, executors, administrators, heirs and successors of the Participant.</w:t>
      </w:r>
    </w:p>
    <w:p>
      <w:pPr>
        <w:pStyle w:val="TextBody"/>
        <w:bidi w:val="0"/>
        <w:spacing w:before="0" w:after="0"/>
        <w:ind w:left="0" w:right="0" w:firstLine="1591"/>
        <w:jc w:val="left"/>
        <w:rPr/>
      </w:pPr>
      <w:r>
        <w:rPr/>
      </w:r>
    </w:p>
    <w:p>
      <w:pPr>
        <w:pStyle w:val="TextBody"/>
        <w:bidi w:val="0"/>
        <w:spacing w:lineRule="auto" w:line="268" w:before="0" w:after="0"/>
        <w:ind w:left="0" w:right="0" w:firstLine="1591"/>
        <w:jc w:val="both"/>
        <w:rPr/>
      </w:pPr>
      <w:r>
        <w:rPr>
          <w:rFonts w:ascii="Times New Roman;sans-serif" w:hAnsi="Times New Roman;sans-serif"/>
          <w:b w:val="false"/>
          <w:color w:val="000000"/>
          <w:sz w:val="24"/>
        </w:rPr>
        <w:t xml:space="preserve">(h) </w:t>
      </w:r>
      <w:r>
        <w:rPr>
          <w:rFonts w:ascii="Times New Roman;sans-serif" w:hAnsi="Times New Roman;sans-serif"/>
          <w:b/>
          <w:i/>
          <w:color w:val="000000"/>
          <w:sz w:val="24"/>
        </w:rPr>
        <w:t>Personal Data. The Participant hereby explicitly and unambiguously consents to the collection, use and transfer, in electronic or other form, of the Participant’s personal data as described in this Agreement by and among, as applicable, the Employer, the Company and any Affiliate of the Company for the exclusive purpose of implementing, administering and managing the Participant’s participation in the Plan.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 xml:space="preserve">The Participant understands that the Company and the Employer may hold certain personal information about the Participant, including, but not limited to, the Participant’s name, home address and telephone number, date of birth, social insurance or other identification number, salary, nationality, job title, any Shares or directorships held in the Company, details of all Options or any other entitlement to Shares awarded, canceled, exercised, vested, unvested or outstanding in the Participant’s favor, for the exclusive purpose of implementing, administering and managing the Plan (“Data”). </w:t>
      </w:r>
    </w:p>
    <w:p>
      <w:pPr>
        <w:pStyle w:val="TextBody"/>
        <w:bidi w:val="0"/>
        <w:spacing w:before="0" w:after="0"/>
        <w:jc w:val="left"/>
        <w:rPr/>
      </w:pPr>
      <w:r>
        <w:rPr/>
      </w:r>
    </w:p>
    <w:p>
      <w:pPr>
        <w:pStyle w:val="TextBody"/>
        <w:bidi w:val="0"/>
        <w:spacing w:lineRule="auto" w:line="288"/>
        <w:jc w:val="both"/>
        <w:rPr>
          <w:rFonts w:ascii="Times New Roman;sans-serif" w:hAnsi="Times New Roman;sans-serif"/>
          <w:b/>
          <w:i/>
          <w:color w:val="000000"/>
          <w:sz w:val="24"/>
        </w:rPr>
      </w:pPr>
      <w:r>
        <w:rPr>
          <w:rFonts w:ascii="Times New Roman;sans-serif" w:hAnsi="Times New Roman;sans-serif"/>
          <w:b/>
          <w:i/>
          <w:color w:val="000000"/>
          <w:sz w:val="24"/>
        </w:rPr>
        <w:t xml:space="preserve">The Participant understands that Data will be transferred to any third party assisting the Company with the implementation, administration and management of the Plan. The Participant understands that the recipients of the Data may be located in the Participant’s country, or elsewhere, and that the recipients’ country may have different data privacy laws and protections than the Participant’s country. The Participant understands that the Participant may request a list with the names and addresses of any potential recipients of the Data by contacting the Participant’s local human resources representative. The Participant authorizes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Participant’s participation in the Plan. The Participant understands that Data will be held only as long as is necessary to implement, administer and manage the Participant’s participation in the Plan. The Participant understands that the Participant may, at any time, view Data, request additional </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i/>
          <w:color w:val="000000"/>
          <w:sz w:val="24"/>
        </w:rPr>
      </w:pPr>
      <w:r>
        <w:rPr>
          <w:rFonts w:ascii="Times New Roman;sans-serif" w:hAnsi="Times New Roman;sans-serif"/>
          <w:b/>
          <w:i/>
          <w:color w:val="000000"/>
          <w:sz w:val="24"/>
        </w:rPr>
        <w:t>information about the storage and processing of Data, require any necessary amendments to Data or refuse or withdraw the consents herein, in any case without cost, by contacting in writing the Participant’s local human resources representative. The Participant understands, however, that refusal or withdrawal of consent may affect the Participant’s ability to participate in the Plan. For more information on the consequences of the Participant’s refusal to consent or withdrawal of consent, the Participant understands that the Participant may contact the Participant’s local human resources representative.</w:t>
      </w:r>
    </w:p>
    <w:p>
      <w:pPr>
        <w:pStyle w:val="TextBody"/>
        <w:bidi w:val="0"/>
        <w:spacing w:before="0" w:after="0"/>
        <w:jc w:val="left"/>
        <w:rPr/>
      </w:pPr>
      <w:r>
        <w:rPr/>
      </w:r>
    </w:p>
    <w:p>
      <w:pPr>
        <w:pStyle w:val="TextBody"/>
        <w:bidi w:val="0"/>
        <w:spacing w:lineRule="auto" w:line="268" w:before="0" w:after="0"/>
        <w:ind w:left="0" w:right="0" w:firstLine="1591"/>
        <w:jc w:val="left"/>
        <w:rPr/>
      </w:pPr>
      <w:r>
        <w:rPr>
          <w:rFonts w:ascii="Times New Roman;sans-serif" w:hAnsi="Times New Roman;sans-serif"/>
          <w:b w:val="false"/>
          <w:color w:val="000000"/>
          <w:sz w:val="24"/>
        </w:rPr>
        <w:t xml:space="preserve">(i) </w:t>
      </w:r>
      <w:r>
        <w:rPr>
          <w:rFonts w:ascii="Times New Roman;sans-serif" w:hAnsi="Times New Roman;sans-serif"/>
          <w:b w:val="false"/>
          <w:color w:val="000000"/>
          <w:sz w:val="24"/>
          <w:u w:val="single"/>
        </w:rPr>
        <w:t>Nature of Grant</w:t>
      </w:r>
      <w:r>
        <w:rPr>
          <w:rFonts w:ascii="Times New Roman;sans-serif" w:hAnsi="Times New Roman;sans-serif"/>
          <w:b w:val="false"/>
          <w:color w:val="000000"/>
          <w:sz w:val="24"/>
        </w:rPr>
        <w:t xml:space="preserve">. By signing the Agreement, the Participant acknowledges and agrees that: </w:t>
      </w:r>
    </w:p>
    <w:p>
      <w:pPr>
        <w:pStyle w:val="TextBody"/>
        <w:bidi w:val="0"/>
        <w:spacing w:before="0" w:after="0"/>
        <w:jc w:val="left"/>
        <w:rPr/>
      </w:pPr>
      <w:r>
        <w:rPr/>
      </w:r>
    </w:p>
    <w:p>
      <w:pPr>
        <w:pStyle w:val="TextBody"/>
        <w:bidi w:val="0"/>
        <w:spacing w:lineRule="auto" w:line="268" w:before="0" w:after="0"/>
        <w:ind w:left="0" w:right="0" w:firstLine="1350"/>
        <w:jc w:val="both"/>
        <w:rPr/>
      </w:pPr>
      <w:r>
        <w:rPr>
          <w:rFonts w:ascii="Arial;sans-serif" w:hAnsi="Arial;sans-serif"/>
          <w:b w:val="false"/>
          <w:color w:val="000000"/>
          <w:sz w:val="22"/>
        </w:rPr>
        <w:t>i.</w:t>
      </w:r>
      <w:r>
        <w:rPr>
          <w:rFonts w:ascii="Times New Roman;sans-serif" w:hAnsi="Times New Roman;sans-serif"/>
          <w:b w:val="false"/>
          <w:color w:val="000000"/>
          <w:sz w:val="24"/>
        </w:rPr>
        <w:t>the Plan is established voluntarily by the Company, it is discretionary in nature, and it may be modified, amended, suspended or terminated by the Company at any time;</w:t>
      </w:r>
    </w:p>
    <w:p>
      <w:pPr>
        <w:pStyle w:val="TextBody"/>
        <w:bidi w:val="0"/>
        <w:spacing w:lineRule="auto" w:line="268" w:before="0" w:after="0"/>
        <w:ind w:left="0" w:right="0" w:firstLine="1350"/>
        <w:jc w:val="both"/>
        <w:rPr/>
      </w:pPr>
      <w:r>
        <w:rPr>
          <w:rFonts w:ascii="Arial;sans-serif" w:hAnsi="Arial;sans-serif"/>
          <w:b w:val="false"/>
          <w:color w:val="000000"/>
          <w:sz w:val="22"/>
        </w:rPr>
        <w:t>ii.</w:t>
      </w:r>
      <w:r>
        <w:rPr>
          <w:rFonts w:ascii="Times New Roman;sans-serif" w:hAnsi="Times New Roman;sans-serif"/>
          <w:b w:val="false"/>
          <w:color w:val="000000"/>
          <w:sz w:val="24"/>
        </w:rPr>
        <w:t>the grant of the Option is voluntary and occasional and does not create any contractual or other right to receive future grants of Options, or benefits in lieu of Options, even if Options have been granted repeatedly in the past;</w:t>
      </w:r>
    </w:p>
    <w:p>
      <w:pPr>
        <w:pStyle w:val="TextBody"/>
        <w:bidi w:val="0"/>
        <w:spacing w:before="0" w:after="0"/>
        <w:ind w:left="0" w:right="0" w:firstLine="1710"/>
        <w:jc w:val="both"/>
        <w:rPr/>
      </w:pPr>
      <w:r>
        <w:rPr/>
      </w:r>
    </w:p>
    <w:p>
      <w:pPr>
        <w:pStyle w:val="TextBody"/>
        <w:bidi w:val="0"/>
        <w:spacing w:lineRule="auto" w:line="268" w:before="0" w:after="0"/>
        <w:ind w:left="0" w:right="0" w:firstLine="1350"/>
        <w:jc w:val="both"/>
        <w:rPr/>
      </w:pPr>
      <w:r>
        <w:rPr>
          <w:rFonts w:ascii="Arial;sans-serif" w:hAnsi="Arial;sans-serif"/>
          <w:b w:val="false"/>
          <w:color w:val="000000"/>
          <w:sz w:val="22"/>
        </w:rPr>
        <w:t>iii.</w:t>
      </w:r>
      <w:r>
        <w:rPr>
          <w:rFonts w:ascii="Times New Roman;sans-serif" w:hAnsi="Times New Roman;sans-serif"/>
          <w:b w:val="false"/>
          <w:color w:val="000000"/>
          <w:sz w:val="24"/>
        </w:rPr>
        <w:t>all decisions with respect to future grants, if any, will be at the sole discretion of the Company;</w:t>
      </w:r>
    </w:p>
    <w:p>
      <w:pPr>
        <w:pStyle w:val="TextBody"/>
        <w:bidi w:val="0"/>
        <w:spacing w:before="0" w:after="0"/>
        <w:ind w:left="0" w:right="0" w:firstLine="1710"/>
        <w:jc w:val="both"/>
        <w:rPr/>
      </w:pPr>
      <w:r>
        <w:rPr/>
      </w:r>
    </w:p>
    <w:p>
      <w:pPr>
        <w:pStyle w:val="TextBody"/>
        <w:bidi w:val="0"/>
        <w:spacing w:lineRule="auto" w:line="268" w:before="0" w:after="0"/>
        <w:ind w:left="0" w:right="0" w:firstLine="1350"/>
        <w:jc w:val="both"/>
        <w:rPr/>
      </w:pPr>
      <w:r>
        <w:rPr>
          <w:rFonts w:ascii="Arial;sans-serif" w:hAnsi="Arial;sans-serif"/>
          <w:b w:val="false"/>
          <w:color w:val="000000"/>
          <w:sz w:val="22"/>
        </w:rPr>
        <w:t>iv.</w:t>
      </w:r>
      <w:r>
        <w:rPr>
          <w:rFonts w:ascii="Times New Roman;sans-serif" w:hAnsi="Times New Roman;sans-serif"/>
          <w:b w:val="false"/>
          <w:color w:val="000000"/>
          <w:sz w:val="24"/>
        </w:rPr>
        <w:t>the Participant’s participation in the Plan is voluntary;</w:t>
      </w:r>
    </w:p>
    <w:p>
      <w:pPr>
        <w:pStyle w:val="TextBody"/>
        <w:bidi w:val="0"/>
        <w:spacing w:before="0" w:after="0"/>
        <w:ind w:left="0" w:right="0" w:firstLine="1710"/>
        <w:jc w:val="both"/>
        <w:rPr/>
      </w:pPr>
      <w:r>
        <w:rPr/>
      </w:r>
    </w:p>
    <w:p>
      <w:pPr>
        <w:pStyle w:val="TextBody"/>
        <w:bidi w:val="0"/>
        <w:spacing w:lineRule="auto" w:line="268" w:before="0" w:after="0"/>
        <w:ind w:left="0" w:right="0" w:firstLine="1350"/>
        <w:jc w:val="both"/>
        <w:rPr/>
      </w:pPr>
      <w:r>
        <w:rPr>
          <w:rFonts w:ascii="Arial;sans-serif" w:hAnsi="Arial;sans-serif"/>
          <w:b w:val="false"/>
          <w:color w:val="000000"/>
          <w:sz w:val="22"/>
        </w:rPr>
        <w:t>v.</w:t>
      </w:r>
      <w:r>
        <w:rPr>
          <w:rFonts w:ascii="Times New Roman;sans-serif" w:hAnsi="Times New Roman;sans-serif"/>
          <w:b w:val="false"/>
          <w:color w:val="000000"/>
          <w:sz w:val="24"/>
        </w:rPr>
        <w:t>the Participant’s participation in the Plan shall not create a right to any employment with the Employer and shall not interfere with the ability of the Employer to terminate the Participant’s employment relationship, if any, at any time;</w:t>
      </w:r>
    </w:p>
    <w:p>
      <w:pPr>
        <w:pStyle w:val="TextBody"/>
        <w:bidi w:val="0"/>
        <w:spacing w:before="0" w:after="0"/>
        <w:ind w:left="0" w:right="0" w:firstLine="1710"/>
        <w:jc w:val="both"/>
        <w:rPr/>
      </w:pPr>
      <w:r>
        <w:rPr/>
      </w:r>
    </w:p>
    <w:p>
      <w:pPr>
        <w:pStyle w:val="TextBody"/>
        <w:bidi w:val="0"/>
        <w:spacing w:lineRule="auto" w:line="268" w:before="0" w:after="0"/>
        <w:ind w:left="0" w:right="0" w:firstLine="1350"/>
        <w:jc w:val="both"/>
        <w:rPr/>
      </w:pPr>
      <w:r>
        <w:rPr>
          <w:rFonts w:ascii="Arial;sans-serif" w:hAnsi="Arial;sans-serif"/>
          <w:b w:val="false"/>
          <w:color w:val="000000"/>
          <w:sz w:val="22"/>
        </w:rPr>
        <w:t>vi.</w:t>
      </w:r>
      <w:r>
        <w:rPr>
          <w:rFonts w:ascii="Times New Roman;sans-serif" w:hAnsi="Times New Roman;sans-serif"/>
          <w:b w:val="false"/>
          <w:color w:val="000000"/>
          <w:sz w:val="24"/>
        </w:rPr>
        <w:t xml:space="preserve">the Option and the Option Shares subject to the Option are an extraordinary item that does not constitute compensation of any kind for services of any kind rendered to the Company or the Employer, and which is outside the scope of the Participant’s employment or service contract, if any; </w:t>
      </w:r>
    </w:p>
    <w:p>
      <w:pPr>
        <w:pStyle w:val="TextBody"/>
        <w:bidi w:val="0"/>
        <w:spacing w:before="0" w:after="0"/>
        <w:ind w:left="0" w:right="0" w:firstLine="1710"/>
        <w:jc w:val="both"/>
        <w:rPr/>
      </w:pPr>
      <w:r>
        <w:rPr/>
      </w:r>
    </w:p>
    <w:p>
      <w:pPr>
        <w:pStyle w:val="TextBody"/>
        <w:bidi w:val="0"/>
        <w:spacing w:lineRule="auto" w:line="268" w:before="0" w:after="0"/>
        <w:ind w:left="0" w:right="0" w:firstLine="1350"/>
        <w:jc w:val="both"/>
        <w:rPr/>
      </w:pPr>
      <w:r>
        <w:rPr>
          <w:rFonts w:ascii="Arial;sans-serif" w:hAnsi="Arial;sans-serif"/>
          <w:b w:val="false"/>
          <w:color w:val="000000"/>
          <w:sz w:val="22"/>
        </w:rPr>
        <w:t>vii.</w:t>
      </w:r>
      <w:r>
        <w:rPr>
          <w:rFonts w:ascii="Times New Roman;sans-serif" w:hAnsi="Times New Roman;sans-serif"/>
          <w:b w:val="false"/>
          <w:color w:val="000000"/>
          <w:sz w:val="24"/>
        </w:rPr>
        <w:t>the Option and the Option Shares subject to the Option are not intended to replace any pension rights or compensation;</w:t>
      </w:r>
    </w:p>
    <w:p>
      <w:pPr>
        <w:pStyle w:val="TextBody"/>
        <w:bidi w:val="0"/>
        <w:spacing w:before="0" w:after="0"/>
        <w:ind w:left="0" w:right="0" w:firstLine="1710"/>
        <w:jc w:val="both"/>
        <w:rPr/>
      </w:pPr>
      <w:r>
        <w:rPr/>
      </w:r>
    </w:p>
    <w:p>
      <w:pPr>
        <w:pStyle w:val="TextBody"/>
        <w:bidi w:val="0"/>
        <w:spacing w:lineRule="auto" w:line="268" w:before="0" w:after="0"/>
        <w:ind w:left="0" w:right="0" w:firstLine="1350"/>
        <w:jc w:val="both"/>
        <w:rPr/>
      </w:pPr>
      <w:r>
        <w:rPr>
          <w:rFonts w:ascii="Arial;sans-serif" w:hAnsi="Arial;sans-serif"/>
          <w:b w:val="false"/>
          <w:color w:val="000000"/>
          <w:sz w:val="22"/>
        </w:rPr>
        <w:t>viii.</w:t>
      </w:r>
      <w:r>
        <w:rPr>
          <w:rFonts w:ascii="Times New Roman;sans-serif" w:hAnsi="Times New Roman;sans-serif"/>
          <w:b w:val="false"/>
          <w:color w:val="000000"/>
          <w:sz w:val="24"/>
        </w:rPr>
        <w:t>the Option and the Option Shares subject to the Option are not part of normal or expected compensation or salary for any purposes, including, but not limited to, calculating any severance, resignation, termination, redundancy, dismissal, end of service payments, bonuses, long-service awards, pension or retirement or welfare benefits or similar payments and in no event should be considered as compensation for, or relating in any way to, past services for the Company, the Employer or any Affiliate of the Company;</w:t>
      </w:r>
    </w:p>
    <w:p>
      <w:pPr>
        <w:pStyle w:val="TextBody"/>
        <w:bidi w:val="0"/>
        <w:spacing w:before="0" w:after="0"/>
        <w:ind w:left="0" w:right="0" w:firstLine="1710"/>
        <w:jc w:val="both"/>
        <w:rPr/>
      </w:pPr>
      <w:r>
        <w:rPr/>
      </w:r>
    </w:p>
    <w:p>
      <w:pPr>
        <w:pStyle w:val="TextBody"/>
        <w:bidi w:val="0"/>
        <w:spacing w:lineRule="auto" w:line="268" w:before="0" w:after="0"/>
        <w:ind w:left="0" w:right="0" w:firstLine="1350"/>
        <w:jc w:val="both"/>
        <w:rPr/>
      </w:pPr>
      <w:r>
        <w:rPr>
          <w:rFonts w:ascii="Arial;sans-serif" w:hAnsi="Arial;sans-serif"/>
          <w:b w:val="false"/>
          <w:color w:val="000000"/>
          <w:sz w:val="22"/>
        </w:rPr>
        <w:t>ix.</w:t>
      </w:r>
      <w:r>
        <w:rPr>
          <w:rFonts w:ascii="Times New Roman;sans-serif" w:hAnsi="Times New Roman;sans-serif"/>
          <w:b w:val="false"/>
          <w:color w:val="000000"/>
          <w:sz w:val="24"/>
        </w:rPr>
        <w:t>the future value of the Option Shares is unknown and cannot be predicted with certainty;</w:t>
      </w:r>
    </w:p>
    <w:p>
      <w:pPr>
        <w:pStyle w:val="TextBody"/>
        <w:bidi w:val="0"/>
        <w:spacing w:lineRule="auto" w:line="268"/>
        <w:ind w:left="0" w:right="0" w:firstLine="1350"/>
        <w:jc w:val="both"/>
        <w:rPr/>
      </w:pPr>
      <w:r>
        <w:rPr>
          <w:rFonts w:ascii="Arial;sans-serif" w:hAnsi="Arial;sans-serif"/>
          <w:b w:val="false"/>
          <w:color w:val="000000"/>
          <w:sz w:val="22"/>
        </w:rPr>
        <w:t>x.</w:t>
      </w:r>
      <w:r>
        <w:rPr>
          <w:rFonts w:ascii="Times New Roman;sans-serif" w:hAnsi="Times New Roman;sans-serif"/>
          <w:b w:val="false"/>
          <w:color w:val="000000"/>
          <w:sz w:val="24"/>
        </w:rPr>
        <w:t xml:space="preserve">in consideration of the grant of the Option, no claim or entitlement to compensation or damages shall arise from forfeiture of the Option resulting from termination of the Participant’s employment (for any reason whatsoever and whether or not in breach of </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local labor laws) and the Participant irrevocably releases the Company and the Employer from any such claim that may arise; if, notwithstanding the foregoing, any such claim is found by a court of competent jurisdiction to have arisen, the Participant shall be deemed irrevocably to have waived the Participant’s right to pursue or seek remedy for any such claim or entitlement;</w:t>
      </w:r>
    </w:p>
    <w:p>
      <w:pPr>
        <w:pStyle w:val="TextBody"/>
        <w:bidi w:val="0"/>
        <w:spacing w:before="0" w:after="0"/>
        <w:ind w:left="0" w:right="0" w:firstLine="1710"/>
        <w:jc w:val="both"/>
        <w:rPr/>
      </w:pPr>
      <w:r>
        <w:rPr/>
      </w:r>
    </w:p>
    <w:p>
      <w:pPr>
        <w:pStyle w:val="TextBody"/>
        <w:bidi w:val="0"/>
        <w:spacing w:lineRule="auto" w:line="268" w:before="0" w:after="0"/>
        <w:ind w:left="0" w:right="0" w:firstLine="1350"/>
        <w:jc w:val="both"/>
        <w:rPr/>
      </w:pPr>
      <w:r>
        <w:rPr>
          <w:rFonts w:ascii="Arial;sans-serif" w:hAnsi="Arial;sans-serif"/>
          <w:b w:val="false"/>
          <w:color w:val="000000"/>
          <w:sz w:val="22"/>
        </w:rPr>
        <w:t>xi.</w:t>
      </w:r>
      <w:r>
        <w:rPr>
          <w:rFonts w:ascii="Times New Roman;sans-serif" w:hAnsi="Times New Roman;sans-serif"/>
          <w:b w:val="false"/>
          <w:color w:val="000000"/>
          <w:sz w:val="24"/>
        </w:rPr>
        <w:t>in the event of termination of the Participant’s employment (whether or not in breach of local labor laws), the Participant’s right to receive Option under the Plan and to vest in such Option, if any, will terminate effective as of the date that the Participant is no longer actively providing services and will not be extended by any notice period mandated under local law (e.g., active service would not include a period of “garden leave” or similar period pursuant to local law); the Committee shall have the exclusive discretion to determine when the Participant is no longer actively employed for purposes of the Option; and</w:t>
      </w:r>
    </w:p>
    <w:p>
      <w:pPr>
        <w:pStyle w:val="TextBody"/>
        <w:bidi w:val="0"/>
        <w:spacing w:before="0" w:after="0"/>
        <w:ind w:left="0" w:right="0" w:firstLine="1710"/>
        <w:jc w:val="both"/>
        <w:rPr/>
      </w:pPr>
      <w:r>
        <w:rPr/>
      </w:r>
    </w:p>
    <w:p>
      <w:pPr>
        <w:pStyle w:val="TextBody"/>
        <w:bidi w:val="0"/>
        <w:spacing w:lineRule="auto" w:line="268" w:before="0" w:after="0"/>
        <w:ind w:left="0" w:right="0" w:firstLine="1350"/>
        <w:jc w:val="both"/>
        <w:rPr/>
      </w:pPr>
      <w:r>
        <w:rPr>
          <w:rFonts w:ascii="Arial;sans-serif" w:hAnsi="Arial;sans-serif"/>
          <w:b w:val="false"/>
          <w:color w:val="000000"/>
          <w:sz w:val="22"/>
        </w:rPr>
        <w:t>xii.</w:t>
      </w:r>
      <w:r>
        <w:rPr>
          <w:rFonts w:ascii="Times New Roman;sans-serif" w:hAnsi="Times New Roman;sans-serif"/>
          <w:b w:val="false"/>
          <w:color w:val="000000"/>
          <w:sz w:val="24"/>
        </w:rPr>
        <w:t>the Option and the benefits under the Plan, if any, will not automatically transfer to another company in the case of a merger, take-over or transfer of liability.</w:t>
      </w:r>
    </w:p>
    <w:p>
      <w:pPr>
        <w:pStyle w:val="TextBody"/>
        <w:bidi w:val="0"/>
        <w:spacing w:before="0" w:after="0"/>
        <w:jc w:val="left"/>
        <w:rPr/>
      </w:pPr>
      <w:r>
        <w:rPr/>
      </w:r>
    </w:p>
    <w:p>
      <w:pPr>
        <w:pStyle w:val="TextBody"/>
        <w:bidi w:val="0"/>
        <w:spacing w:lineRule="auto" w:line="268" w:before="0" w:after="0"/>
        <w:ind w:left="0" w:right="0" w:firstLine="1591"/>
        <w:jc w:val="both"/>
        <w:rPr/>
      </w:pPr>
      <w:r>
        <w:rPr>
          <w:rFonts w:ascii="Times New Roman;sans-serif" w:hAnsi="Times New Roman;sans-serif"/>
          <w:b w:val="false"/>
          <w:color w:val="000000"/>
          <w:sz w:val="24"/>
        </w:rPr>
        <w:t xml:space="preserve">(j) </w:t>
      </w:r>
      <w:r>
        <w:rPr>
          <w:rFonts w:ascii="Times New Roman;sans-serif" w:hAnsi="Times New Roman;sans-serif"/>
          <w:b w:val="false"/>
          <w:color w:val="000000"/>
          <w:sz w:val="24"/>
          <w:u w:val="single"/>
        </w:rPr>
        <w:t>Language</w:t>
      </w:r>
      <w:r>
        <w:rPr>
          <w:rFonts w:ascii="Times New Roman;sans-serif" w:hAnsi="Times New Roman;sans-serif"/>
          <w:b w:val="false"/>
          <w:color w:val="000000"/>
          <w:sz w:val="24"/>
        </w:rPr>
        <w:t>. If the Participant has received this Agreement or any other document related to the Plan translated into a language other than English and if the meaning of the translated version is different than the English version, the English version will control.</w:t>
      </w:r>
    </w:p>
    <w:p>
      <w:pPr>
        <w:pStyle w:val="TextBody"/>
        <w:bidi w:val="0"/>
        <w:spacing w:before="0" w:after="0"/>
        <w:jc w:val="left"/>
        <w:rPr/>
      </w:pPr>
      <w:r>
        <w:rPr/>
      </w:r>
    </w:p>
    <w:p>
      <w:pPr>
        <w:pStyle w:val="TextBody"/>
        <w:bidi w:val="0"/>
        <w:spacing w:lineRule="auto" w:line="268" w:before="0" w:after="0"/>
        <w:ind w:left="0" w:right="0" w:firstLine="1591"/>
        <w:jc w:val="both"/>
        <w:rPr/>
      </w:pPr>
      <w:r>
        <w:rPr>
          <w:rFonts w:ascii="Times New Roman;sans-serif" w:hAnsi="Times New Roman;sans-serif"/>
          <w:b w:val="false"/>
          <w:color w:val="000000"/>
          <w:sz w:val="24"/>
        </w:rPr>
        <w:t xml:space="preserve">(k) </w:t>
      </w:r>
      <w:r>
        <w:rPr>
          <w:rFonts w:ascii="Times New Roman;sans-serif" w:hAnsi="Times New Roman;sans-serif"/>
          <w:b w:val="false"/>
          <w:color w:val="000000"/>
          <w:sz w:val="24"/>
          <w:u w:val="single"/>
        </w:rPr>
        <w:t>Bound by Plan</w:t>
      </w:r>
      <w:r>
        <w:rPr>
          <w:rFonts w:ascii="Times New Roman;sans-serif" w:hAnsi="Times New Roman;sans-serif"/>
          <w:b w:val="false"/>
          <w:color w:val="000000"/>
          <w:sz w:val="24"/>
        </w:rPr>
        <w:t>. By signing this Agreement, the Participant acknowledges that he has received a copy of the Plan and has had an opportunity to review the Plan and agrees to be bound by all the terms and provisions of the Plan.</w:t>
      </w:r>
    </w:p>
    <w:p>
      <w:pPr>
        <w:pStyle w:val="TextBody"/>
        <w:bidi w:val="0"/>
        <w:spacing w:lineRule="auto" w:line="268" w:before="0" w:after="0"/>
        <w:ind w:left="0" w:right="0" w:firstLine="1591"/>
        <w:jc w:val="both"/>
        <w:rPr/>
      </w:pPr>
      <w:r>
        <w:rPr>
          <w:rFonts w:ascii="Times New Roman;sans-serif" w:hAnsi="Times New Roman;sans-serif"/>
          <w:b w:val="false"/>
          <w:color w:val="000000"/>
          <w:sz w:val="24"/>
        </w:rPr>
        <w:t xml:space="preserve">(l) </w:t>
      </w:r>
      <w:r>
        <w:rPr>
          <w:rFonts w:ascii="Times New Roman;sans-serif" w:hAnsi="Times New Roman;sans-serif"/>
          <w:b w:val="false"/>
          <w:color w:val="000000"/>
          <w:sz w:val="24"/>
          <w:u w:val="single"/>
        </w:rPr>
        <w:t>Electronic Delivery and Acceptance</w:t>
      </w:r>
      <w:r>
        <w:rPr>
          <w:rFonts w:ascii="Times New Roman;sans-serif" w:hAnsi="Times New Roman;sans-serif"/>
          <w:b w:val="false"/>
          <w:color w:val="000000"/>
          <w:sz w:val="24"/>
        </w:rPr>
        <w:t>. The Company has decided to deliver documents related to current or future participation in the Plan by electronic means and to request Participant’s consent to participate in the Plan by electronic means. Participant hereby consents to receive such documents by electronic delivery and agrees to participate in the Plan through the current plan administrator’s on-line system, or any other on-line system or electronic means that the Company may decide, in its sole discretion, to use in the future.</w:t>
      </w:r>
    </w:p>
    <w:p>
      <w:pPr>
        <w:pStyle w:val="TextBody"/>
        <w:bidi w:val="0"/>
        <w:spacing w:before="0" w:after="0"/>
        <w:ind w:left="0" w:right="0" w:firstLine="1591"/>
        <w:jc w:val="both"/>
        <w:rPr/>
      </w:pPr>
      <w:r>
        <w:rPr/>
      </w:r>
    </w:p>
    <w:p>
      <w:pPr>
        <w:pStyle w:val="TextBody"/>
        <w:bidi w:val="0"/>
        <w:spacing w:lineRule="auto" w:line="268" w:before="0" w:after="0"/>
        <w:ind w:left="0" w:right="0" w:firstLine="1591"/>
        <w:jc w:val="both"/>
        <w:rPr/>
      </w:pPr>
      <w:r>
        <w:rPr>
          <w:rFonts w:ascii="Times New Roman;sans-serif" w:hAnsi="Times New Roman;sans-serif"/>
          <w:b w:val="false"/>
          <w:color w:val="000000"/>
          <w:sz w:val="24"/>
        </w:rPr>
        <w:t xml:space="preserve">(m) </w:t>
      </w:r>
      <w:r>
        <w:rPr>
          <w:rFonts w:ascii="Times New Roman;sans-serif" w:hAnsi="Times New Roman;sans-serif"/>
          <w:b w:val="false"/>
          <w:color w:val="000000"/>
          <w:sz w:val="24"/>
          <w:u w:val="single"/>
        </w:rPr>
        <w:t>Entire Agreement</w:t>
      </w:r>
      <w:r>
        <w:rPr>
          <w:rFonts w:ascii="Times New Roman;sans-serif" w:hAnsi="Times New Roman;sans-serif"/>
          <w:b w:val="false"/>
          <w:color w:val="000000"/>
          <w:sz w:val="24"/>
        </w:rPr>
        <w:t>. This Agreement and the Appendix hereto, and the Plan contain the entire agreement and understanding of the parties hereto with respect to the subject matter contained herein and supersede all prior communications, representations and negotiations in respect thereto. Except as set forth in Section 16(b) of the Plan, no change, modification or waiver of any provision of this Agreement shall be valid unless the same is in writing and signed by the parties hereto.</w:t>
      </w:r>
    </w:p>
    <w:p>
      <w:pPr>
        <w:pStyle w:val="TextBody"/>
        <w:bidi w:val="0"/>
        <w:spacing w:before="0" w:after="0"/>
        <w:jc w:val="left"/>
        <w:rPr/>
      </w:pPr>
      <w:r>
        <w:rPr/>
      </w:r>
    </w:p>
    <w:p>
      <w:pPr>
        <w:pStyle w:val="TextBody"/>
        <w:bidi w:val="0"/>
        <w:spacing w:lineRule="auto" w:line="268" w:before="0" w:after="0"/>
        <w:ind w:left="0" w:right="0" w:firstLine="1591"/>
        <w:jc w:val="both"/>
        <w:rPr/>
      </w:pPr>
      <w:r>
        <w:rPr>
          <w:rFonts w:ascii="Times New Roman;sans-serif" w:hAnsi="Times New Roman;sans-serif"/>
          <w:b w:val="false"/>
          <w:color w:val="000000"/>
          <w:sz w:val="24"/>
        </w:rPr>
        <w:t xml:space="preserve">(n) </w:t>
      </w:r>
      <w:r>
        <w:rPr>
          <w:rFonts w:ascii="Times New Roman;sans-serif" w:hAnsi="Times New Roman;sans-serif"/>
          <w:b w:val="false"/>
          <w:color w:val="000000"/>
          <w:sz w:val="24"/>
          <w:u w:val="single"/>
        </w:rPr>
        <w:t>Appendix</w:t>
      </w:r>
      <w:r>
        <w:rPr>
          <w:rFonts w:ascii="Times New Roman;sans-serif" w:hAnsi="Times New Roman;sans-serif"/>
          <w:b w:val="false"/>
          <w:color w:val="000000"/>
          <w:sz w:val="24"/>
        </w:rPr>
        <w:t>. Notwithstanding any provision herein, the Participant’s participation in the Plan shall be subject to any special terms and conditions as set forth in the appendix for the Participant’s country of residence, if any (the “</w:t>
      </w:r>
      <w:r>
        <w:rPr>
          <w:rFonts w:ascii="Times New Roman;sans-serif" w:hAnsi="Times New Roman;sans-serif"/>
          <w:b w:val="false"/>
          <w:color w:val="000000"/>
          <w:sz w:val="24"/>
          <w:u w:val="single"/>
        </w:rPr>
        <w:t>Appendix</w:t>
      </w:r>
      <w:r>
        <w:rPr>
          <w:color w:val="000000"/>
        </w:rPr>
        <w:t>”</w:t>
      </w:r>
      <w:r>
        <w:rPr>
          <w:rFonts w:ascii="Times New Roman;sans-serif" w:hAnsi="Times New Roman;sans-serif"/>
          <w:b w:val="false"/>
          <w:color w:val="000000"/>
          <w:sz w:val="24"/>
        </w:rPr>
        <w:t xml:space="preserve">). Moreover, if the Participant relocates to one of the countries included in the Appendix, the special terms and conditions for such country will apply to the Participant, to the extent the Company determines that the application of such terms and conditions is necessary or advisable in order to comply with local law or facilitate the administration of the Plan. The Appendix constitutes part of this Agreement. </w:t>
      </w:r>
    </w:p>
    <w:p>
      <w:pPr>
        <w:pStyle w:val="TextBody"/>
        <w:bidi w:val="0"/>
        <w:ind w:left="0" w:right="0" w:firstLine="1591"/>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ind w:left="0" w:right="0" w:firstLine="1591"/>
        <w:jc w:val="both"/>
        <w:rPr/>
      </w:pPr>
      <w:r>
        <w:rPr>
          <w:rFonts w:ascii="Times New Roman;sans-serif" w:hAnsi="Times New Roman;sans-serif"/>
          <w:b w:val="false"/>
          <w:color w:val="000000"/>
          <w:sz w:val="24"/>
        </w:rPr>
        <w:t xml:space="preserve">(o) </w:t>
      </w:r>
      <w:r>
        <w:rPr>
          <w:rFonts w:ascii="Times New Roman;sans-serif" w:hAnsi="Times New Roman;sans-serif"/>
          <w:b w:val="false"/>
          <w:color w:val="000000"/>
          <w:sz w:val="24"/>
          <w:u w:val="single"/>
        </w:rPr>
        <w:t>Imposition of Other Requirements</w:t>
      </w:r>
      <w:r>
        <w:rPr>
          <w:rFonts w:ascii="Times New Roman;sans-serif" w:hAnsi="Times New Roman;sans-serif"/>
          <w:b w:val="false"/>
          <w:color w:val="000000"/>
          <w:sz w:val="24"/>
        </w:rPr>
        <w:t>. The Company reserves the right to impose other requirements on the Participant’s participation in the Plan, on the Option and on any Option Shares acquired under the Plan, to the extent the Company determines it is necessary or advisable in order to comply with local law or facilitate the administration of the Plan, and to require the Participant to sign any additional agreements or undertakings that may be necessary to accomplish the foregoing.</w:t>
      </w:r>
    </w:p>
    <w:p>
      <w:pPr>
        <w:pStyle w:val="TextBody"/>
        <w:bidi w:val="0"/>
        <w:spacing w:before="0" w:after="0"/>
        <w:jc w:val="left"/>
        <w:rPr/>
      </w:pPr>
      <w:r>
        <w:rPr/>
      </w:r>
    </w:p>
    <w:p>
      <w:pPr>
        <w:pStyle w:val="TextBody"/>
        <w:bidi w:val="0"/>
        <w:spacing w:lineRule="auto" w:line="268" w:before="0" w:after="0"/>
        <w:ind w:left="0" w:right="0" w:firstLine="1591"/>
        <w:jc w:val="both"/>
        <w:rPr/>
      </w:pPr>
      <w:r>
        <w:rPr>
          <w:rFonts w:ascii="Times New Roman;sans-serif" w:hAnsi="Times New Roman;sans-serif"/>
          <w:b w:val="false"/>
          <w:color w:val="000000"/>
          <w:sz w:val="24"/>
        </w:rPr>
        <w:t xml:space="preserve">(p) </w:t>
      </w:r>
      <w:r>
        <w:rPr>
          <w:rFonts w:ascii="Times New Roman;sans-serif" w:hAnsi="Times New Roman;sans-serif"/>
          <w:b w:val="false"/>
          <w:color w:val="000000"/>
          <w:sz w:val="24"/>
          <w:u w:val="single"/>
        </w:rPr>
        <w:t xml:space="preserve">Governing Law </w:t>
      </w:r>
      <w:r>
        <w:rPr>
          <w:rFonts w:ascii="Times New Roman;sans-serif" w:hAnsi="Times New Roman;sans-serif"/>
          <w:b w:val="false"/>
          <w:color w:val="000000"/>
          <w:sz w:val="24"/>
        </w:rPr>
        <w:t>and</w:t>
      </w:r>
      <w:r>
        <w:rPr>
          <w:color w:val="000000"/>
          <w:u w:val="single"/>
        </w:rPr>
        <w:t xml:space="preserve"> </w:t>
      </w:r>
      <w:r>
        <w:rPr>
          <w:rFonts w:ascii="Times New Roman;sans-serif" w:hAnsi="Times New Roman;sans-serif"/>
          <w:b w:val="false"/>
          <w:color w:val="000000"/>
          <w:sz w:val="24"/>
          <w:u w:val="single"/>
        </w:rPr>
        <w:t>Venue</w:t>
      </w:r>
      <w:r>
        <w:rPr>
          <w:rFonts w:ascii="Times New Roman;sans-serif" w:hAnsi="Times New Roman;sans-serif"/>
          <w:b w:val="false"/>
          <w:color w:val="000000"/>
          <w:sz w:val="24"/>
        </w:rPr>
        <w:t>. This Agreement shall be construed and interpreted in accordance with the laws of the State of Delaware without regard to principles of conflicts of law thereof, or principles of conflicts of laws of any other jurisdiction which could cause the application of the laws of any jurisdiction other than the State of Delaware. For purposes of litigating any dispute that arises directly or indirectly from the relationship of the parties evidenced by the Option or this Agreement, the parties hereby submit to and consent to the exclusive jurisdiction of the State of New York, and agree that such litigation shall be conducted only in the courts of the State of New York, or the federal courts for the United States for the Southern District of New York, and no other courts, where this grant is made and/or to be performed.</w:t>
      </w:r>
    </w:p>
    <w:p>
      <w:pPr>
        <w:pStyle w:val="TextBody"/>
        <w:bidi w:val="0"/>
        <w:spacing w:before="0" w:after="0"/>
        <w:jc w:val="left"/>
        <w:rPr/>
      </w:pPr>
      <w:r>
        <w:rPr/>
      </w:r>
    </w:p>
    <w:p>
      <w:pPr>
        <w:pStyle w:val="TextBody"/>
        <w:bidi w:val="0"/>
        <w:spacing w:lineRule="auto" w:line="268" w:before="0" w:after="0"/>
        <w:ind w:left="0" w:right="0" w:firstLine="1591"/>
        <w:jc w:val="both"/>
        <w:rPr/>
      </w:pPr>
      <w:r>
        <w:rPr>
          <w:rFonts w:ascii="Times New Roman;sans-serif" w:hAnsi="Times New Roman;sans-serif"/>
          <w:b w:val="false"/>
          <w:color w:val="000000"/>
          <w:sz w:val="24"/>
        </w:rPr>
        <w:t xml:space="preserve">(q) </w:t>
      </w:r>
      <w:r>
        <w:rPr>
          <w:rFonts w:ascii="Times New Roman;sans-serif" w:hAnsi="Times New Roman;sans-serif"/>
          <w:b w:val="false"/>
          <w:color w:val="000000"/>
          <w:sz w:val="24"/>
          <w:u w:val="single"/>
        </w:rPr>
        <w:t>JURY TRIAL WAIVER</w:t>
      </w:r>
      <w:r>
        <w:rPr>
          <w:rFonts w:ascii="Times New Roman;sans-serif" w:hAnsi="Times New Roman;sans-serif"/>
          <w:b w:val="false"/>
          <w:color w:val="000000"/>
          <w:sz w:val="24"/>
        </w:rPr>
        <w:t>. THE PARTIES EXPRESSLY AND KNOWINGLY WAIVE ANY RIGHT TO A JURY TRIAL IN THE EVENT ANY ACTION ARISING UNDER OR IN CONNECTION WITH THIS AGREEMENT IS LITIGATED OR HEARD IN ANY COURT.</w:t>
      </w:r>
    </w:p>
    <w:p>
      <w:pPr>
        <w:pStyle w:val="TextBody"/>
        <w:bidi w:val="0"/>
        <w:spacing w:before="0" w:after="0"/>
        <w:ind w:left="0" w:right="0" w:firstLine="1591"/>
        <w:jc w:val="left"/>
        <w:rPr/>
      </w:pPr>
      <w:r>
        <w:rPr/>
      </w:r>
    </w:p>
    <w:p>
      <w:pPr>
        <w:pStyle w:val="TextBody"/>
        <w:bidi w:val="0"/>
        <w:spacing w:lineRule="auto" w:line="268" w:before="0" w:after="0"/>
        <w:ind w:left="0" w:right="0" w:firstLine="1591"/>
        <w:jc w:val="both"/>
        <w:rPr/>
      </w:pPr>
      <w:r>
        <w:rPr>
          <w:rFonts w:ascii="Times New Roman;sans-serif" w:hAnsi="Times New Roman;sans-serif"/>
          <w:b w:val="false"/>
          <w:color w:val="000000"/>
          <w:sz w:val="24"/>
        </w:rPr>
        <w:t xml:space="preserve">(r) </w:t>
      </w:r>
      <w:r>
        <w:rPr>
          <w:rFonts w:ascii="Times New Roman;sans-serif" w:hAnsi="Times New Roman;sans-serif"/>
          <w:b w:val="false"/>
          <w:color w:val="000000"/>
          <w:sz w:val="24"/>
          <w:u w:val="single"/>
        </w:rPr>
        <w:t>Headings</w:t>
      </w:r>
      <w:r>
        <w:rPr>
          <w:rFonts w:ascii="Times New Roman;sans-serif" w:hAnsi="Times New Roman;sans-serif"/>
          <w:b w:val="false"/>
          <w:color w:val="000000"/>
          <w:sz w:val="24"/>
        </w:rPr>
        <w:t>. The headings of the Sections hereof are provided for convenience only and are not to serve as a basis for interpretation or construction, and shall not constitute a part, of this Agreement.</w:t>
      </w:r>
    </w:p>
    <w:p>
      <w:pPr>
        <w:pStyle w:val="TextBody"/>
        <w:bidi w:val="0"/>
        <w:spacing w:before="0" w:after="0"/>
        <w:jc w:val="both"/>
        <w:rPr/>
      </w:pPr>
      <w:r>
        <w:rPr/>
      </w:r>
    </w:p>
    <w:p>
      <w:pPr>
        <w:pStyle w:val="TextBody"/>
        <w:bidi w:val="0"/>
        <w:spacing w:lineRule="auto" w:line="268" w:before="0" w:after="0"/>
        <w:ind w:left="0" w:right="0" w:firstLine="1591"/>
        <w:jc w:val="both"/>
        <w:rPr/>
      </w:pPr>
      <w:r>
        <w:rPr>
          <w:rFonts w:ascii="Times New Roman;sans-serif" w:hAnsi="Times New Roman;sans-serif"/>
          <w:b w:val="false"/>
          <w:color w:val="000000"/>
          <w:sz w:val="24"/>
        </w:rPr>
        <w:t xml:space="preserve">(s) </w:t>
      </w:r>
      <w:r>
        <w:rPr>
          <w:rFonts w:ascii="Times New Roman;sans-serif" w:hAnsi="Times New Roman;sans-serif"/>
          <w:b w:val="false"/>
          <w:color w:val="000000"/>
          <w:sz w:val="24"/>
          <w:u w:val="single"/>
        </w:rPr>
        <w:t>Signature in Counterparts</w:t>
      </w:r>
      <w:r>
        <w:rPr>
          <w:rFonts w:ascii="Times New Roman;sans-serif" w:hAnsi="Times New Roman;sans-serif"/>
          <w:b w:val="false"/>
          <w:color w:val="000000"/>
          <w:sz w:val="24"/>
        </w:rPr>
        <w:t>. This Agreement may be signed in counterparts, each of which shall be an original, with the same effect as if the signatures thereto and hereto were upon the same instrument.</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i/>
          <w:color w:val="000000"/>
          <w:sz w:val="24"/>
          <w:u w:val="single"/>
        </w:rPr>
      </w:pPr>
      <w:r>
        <w:rPr>
          <w:rFonts w:ascii="Times New Roman;sans-serif" w:hAnsi="Times New Roman;sans-serif"/>
          <w:b/>
          <w:i/>
          <w:color w:val="000000"/>
          <w:sz w:val="24"/>
          <w:u w:val="single"/>
        </w:rPr>
        <w:t>PLEASE NOTE: Participant’s designation/election via the current plan administrator’s website that Participant has read and accepted the terms of this Agreement and the terms and conditions of the Plan is considered Participant’s electronic signature and Participant’s express consent to this Agreement and the terms and conditions set forth in the Plan.</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i/>
          <w:color w:val="000000"/>
          <w:sz w:val="24"/>
        </w:rPr>
      </w:pPr>
      <w:r>
        <w:rPr>
          <w:rFonts w:ascii="Times New Roman;sans-serif" w:hAnsi="Times New Roman;sans-serif"/>
          <w:b/>
          <w:i/>
          <w:color w:val="000000"/>
          <w:sz w:val="24"/>
        </w:rPr>
        <w:t>[Remainder of page intentionally left blank; signature page to follow]</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hereto have executed this Agreement as of the day first written above.</w:t>
      </w:r>
    </w:p>
    <w:p>
      <w:pPr>
        <w:pStyle w:val="TextBody"/>
        <w:bidi w:val="0"/>
        <w:spacing w:before="0" w:after="0"/>
        <w:jc w:val="left"/>
        <w:rPr/>
      </w:pPr>
      <w:r>
        <w:rPr/>
      </w:r>
    </w:p>
    <w:p>
      <w:pPr>
        <w:pStyle w:val="TextBody"/>
        <w:bidi w:val="0"/>
        <w:spacing w:lineRule="auto" w:line="268" w:before="0" w:after="0"/>
        <w:ind w:left="0" w:right="0" w:firstLine="4320"/>
        <w:jc w:val="left"/>
        <w:rPr>
          <w:rFonts w:ascii="Times New Roman;sans-serif" w:hAnsi="Times New Roman;sans-serif"/>
          <w:b w:val="false"/>
          <w:color w:val="000000"/>
          <w:sz w:val="24"/>
        </w:rPr>
      </w:pPr>
      <w:r>
        <w:rPr>
          <w:rFonts w:ascii="Times New Roman;sans-serif" w:hAnsi="Times New Roman;sans-serif"/>
          <w:b w:val="false"/>
          <w:color w:val="000000"/>
          <w:sz w:val="24"/>
        </w:rPr>
        <w:t>ExlService Holdings, Inc.</w:t>
      </w:r>
    </w:p>
    <w:p>
      <w:pPr>
        <w:pStyle w:val="TextBody"/>
        <w:bidi w:val="0"/>
        <w:spacing w:before="0" w:after="0"/>
        <w:ind w:left="0" w:right="0" w:firstLine="4320"/>
        <w:jc w:val="left"/>
        <w:rPr/>
      </w:pPr>
      <w:r>
        <w:rPr/>
      </w:r>
    </w:p>
    <w:p>
      <w:pPr>
        <w:pStyle w:val="TextBody"/>
        <w:bidi w:val="0"/>
        <w:spacing w:lineRule="auto" w:line="268" w:before="0" w:after="0"/>
        <w:ind w:left="0" w:right="0" w:firstLine="4320"/>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p>
      <w:pPr>
        <w:pStyle w:val="TextBody"/>
        <w:bidi w:val="0"/>
        <w:spacing w:lineRule="auto" w:line="268" w:before="0" w:after="0"/>
        <w:ind w:left="0" w:right="0" w:firstLine="4320"/>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p>
      <w:pPr>
        <w:pStyle w:val="TextBody"/>
        <w:bidi w:val="0"/>
        <w:spacing w:before="0" w:after="0"/>
        <w:ind w:left="0" w:right="0" w:firstLine="4320"/>
        <w:jc w:val="left"/>
        <w:rPr/>
      </w:pPr>
      <w:r>
        <w:rPr/>
      </w:r>
    </w:p>
    <w:p>
      <w:pPr>
        <w:pStyle w:val="TextBody"/>
        <w:bidi w:val="0"/>
        <w:spacing w:lineRule="auto" w:line="268" w:before="0" w:after="0"/>
        <w:ind w:left="0" w:right="0" w:firstLine="43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Participant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i/>
          <w:color w:val="000000"/>
          <w:sz w:val="24"/>
        </w:rPr>
      </w:pPr>
      <w:r>
        <w:rPr>
          <w:rFonts w:ascii="Times New Roman;sans-serif" w:hAnsi="Times New Roman;sans-serif"/>
          <w:b/>
          <w:i/>
          <w:color w:val="000000"/>
          <w:sz w:val="24"/>
        </w:rPr>
        <w:t>[Signature Page to Nonqualified Stock Option Agreement]</w: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jc w:val="right"/>
        <w:rPr>
          <w:rFonts w:ascii="Times New Roman;sans-serif" w:hAnsi="Times New Roman;sans-serif"/>
          <w:b/>
          <w:color w:val="000000"/>
          <w:sz w:val="24"/>
        </w:rPr>
      </w:pPr>
      <w:r>
        <w:rPr>
          <w:rFonts w:ascii="Times New Roman;sans-serif" w:hAnsi="Times New Roman;sans-serif"/>
          <w:b/>
          <w:color w:val="000000"/>
          <w:sz w:val="24"/>
        </w:rPr>
        <w:t>Exhibit A</w: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NOTICE OF OPTION EXERCISE</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PURSUANT TO THE EXLSERVICE HOLDINGS, INC. 2018 OMNIBUS INCENTIVE PLAN</w:t>
      </w:r>
    </w:p>
    <w:p>
      <w:pPr>
        <w:pStyle w:val="TextBody"/>
        <w:bidi w:val="0"/>
        <w:spacing w:before="0" w:after="0"/>
        <w:jc w:val="center"/>
        <w:rPr/>
      </w:pPr>
      <w:r>
        <w:rPr/>
      </w:r>
    </w:p>
    <w:p>
      <w:pPr>
        <w:pStyle w:val="TextBody"/>
        <w:bidi w:val="0"/>
        <w:spacing w:lineRule="auto" w:line="268" w:before="0" w:after="0"/>
        <w:jc w:val="both"/>
        <w:rPr/>
      </w:pPr>
      <w:r>
        <w:rPr>
          <w:rFonts w:ascii="Times New Roman;sans-serif" w:hAnsi="Times New Roman;sans-serif"/>
          <w:b w:val="false"/>
          <w:color w:val="000000"/>
          <w:sz w:val="24"/>
        </w:rPr>
        <w:t>To exercise your option to purchase shares of ExlService Holdings, Inc.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common stock (“</w:t>
      </w:r>
      <w:r>
        <w:rPr>
          <w:rFonts w:ascii="Times New Roman;sans-serif" w:hAnsi="Times New Roman;sans-serif"/>
          <w:b w:val="false"/>
          <w:color w:val="000000"/>
          <w:sz w:val="24"/>
          <w:u w:val="single"/>
        </w:rPr>
        <w:t>Shares</w:t>
      </w:r>
      <w:r>
        <w:rPr>
          <w:color w:val="000000"/>
        </w:rPr>
        <w:t>”</w:t>
      </w:r>
      <w:r>
        <w:rPr>
          <w:rFonts w:ascii="Times New Roman;sans-serif" w:hAnsi="Times New Roman;sans-serif"/>
          <w:b w:val="false"/>
          <w:color w:val="000000"/>
          <w:sz w:val="24"/>
        </w:rPr>
        <w:t xml:space="preserve">), please </w:t>
      </w:r>
      <w:r>
        <w:rPr>
          <w:rFonts w:ascii="Times New Roman;sans-serif" w:hAnsi="Times New Roman;sans-serif"/>
          <w:b/>
          <w:color w:val="000000"/>
          <w:sz w:val="24"/>
        </w:rPr>
        <w:t>fill out this form and return it to the Corporate Secretary of the Company</w:t>
      </w:r>
      <w:r>
        <w:rPr>
          <w:rFonts w:ascii="Times New Roman;sans-serif" w:hAnsi="Times New Roman;sans-serif"/>
          <w:b w:val="false"/>
          <w:color w:val="000000"/>
          <w:sz w:val="24"/>
        </w:rPr>
        <w:t>.</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4"/>
        </w:rPr>
        <w:t>I hereby exercise my right to purchase Shares under the option granted to me pursuant to the Nonqualified Stock Option Agreement between myself and the Company, dated as of , 20</w:t>
      </w:r>
      <w:r>
        <w:rPr>
          <w:color w:val="000000"/>
          <w:u w:val="single"/>
        </w:rPr>
        <w:t xml:space="preserve"> </w:t>
      </w:r>
      <w:r>
        <w:rPr>
          <w:rFonts w:ascii="Times New Roman;sans-serif" w:hAnsi="Times New Roman;sans-serif"/>
          <w:b w:val="false"/>
          <w:color w:val="000000"/>
          <w:sz w:val="24"/>
        </w:rPr>
        <w:t>. I am vested in my option as to the Shares being purchased hereunder.</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color w:val="000000"/>
          <w:sz w:val="24"/>
          <w:u w:val="single"/>
        </w:rPr>
        <w:t>Payment of Exercise Price</w:t>
      </w:r>
      <w:r>
        <w:rPr>
          <w:rFonts w:ascii="Times New Roman;sans-serif" w:hAnsi="Times New Roman;sans-serif"/>
          <w:b w:val="false"/>
          <w:color w:val="000000"/>
          <w:sz w:val="24"/>
        </w:rPr>
        <w:t>. The per-Share exercise price of the option is $</w:t>
      </w:r>
      <w:r>
        <w:rPr>
          <w:color w:val="000000"/>
          <w:u w:val="single"/>
        </w:rPr>
        <w:t xml:space="preserve"> </w:t>
      </w:r>
      <w:r>
        <w:rPr>
          <w:rFonts w:ascii="Times New Roman;sans-serif" w:hAnsi="Times New Roman;sans-serif"/>
          <w:b w:val="false"/>
          <w:color w:val="000000"/>
          <w:sz w:val="24"/>
        </w:rPr>
        <w:t>. The total exercise price for the Shares I am purchasing is $</w:t>
      </w:r>
      <w:r>
        <w:rPr>
          <w:color w:val="000000"/>
          <w:u w:val="single"/>
        </w:rPr>
        <w:t xml:space="preserve"> </w:t>
      </w:r>
      <w:r>
        <w:rPr>
          <w:rFonts w:ascii="Times New Roman;sans-serif" w:hAnsi="Times New Roman;sans-serif"/>
          <w:b w:val="false"/>
          <w:color w:val="000000"/>
          <w:sz w:val="24"/>
        </w:rPr>
        <w:t xml:space="preserve">. I elect to pay that total exercise price by one of the following methods </w:t>
      </w:r>
      <w:r>
        <w:rPr>
          <w:rFonts w:ascii="Times New Roman;sans-serif" w:hAnsi="Times New Roman;sans-serif"/>
          <w:b/>
          <w:color w:val="000000"/>
          <w:sz w:val="24"/>
        </w:rPr>
        <w:t>[CHECK ONE]</w:t>
      </w:r>
      <w:r>
        <w:rPr>
          <w:rFonts w:ascii="Times New Roman;sans-serif" w:hAnsi="Times New Roman;sans-serif"/>
          <w:b w:val="false"/>
          <w:color w:val="000000"/>
          <w:sz w:val="24"/>
        </w:rPr>
        <w:t>:</w:t>
      </w:r>
    </w:p>
    <w:p>
      <w:pPr>
        <w:pStyle w:val="TextBody"/>
        <w:bidi w:val="0"/>
        <w:spacing w:lineRule="auto" w:line="276" w:before="0" w:after="0"/>
        <w:ind w:left="0" w:right="0" w:firstLine="90"/>
        <w:jc w:val="both"/>
        <w:rPr>
          <w:rFonts w:ascii="Times New Roman;sans-serif" w:hAnsi="Times New Roman;sans-serif"/>
          <w:b w:val="false"/>
          <w:color w:val="000000"/>
          <w:sz w:val="24"/>
        </w:rPr>
      </w:pPr>
      <w:r>
        <w:rPr>
          <w:rFonts w:ascii="Times New Roman;sans-serif" w:hAnsi="Times New Roman;sans-serif"/>
          <w:b w:val="false"/>
          <w:color w:val="000000"/>
          <w:sz w:val="24"/>
        </w:rPr>
        <w:t>_______ By certified check, which is enclosed, or transfer over the current plan administrator’s website.</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_______ By the “net exercise” method described in Section 2(c)(d) of the Stock Option Agreement. I understand that the Company will withhold a number of Shares having a value equal to the total exercise price.</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color w:val="000000"/>
          <w:sz w:val="24"/>
          <w:u w:val="single"/>
        </w:rPr>
        <w:t>Tax Withholding</w:t>
      </w:r>
      <w:r>
        <w:rPr>
          <w:rFonts w:ascii="Times New Roman;sans-serif" w:hAnsi="Times New Roman;sans-serif"/>
          <w:b w:val="false"/>
          <w:color w:val="000000"/>
          <w:sz w:val="24"/>
        </w:rPr>
        <w:t>. Required payroll taxes and income tax withholding in connection with this option exercise total $</w:t>
      </w:r>
      <w:r>
        <w:rPr>
          <w:color w:val="000000"/>
          <w:u w:val="single"/>
        </w:rPr>
        <w:t xml:space="preserve"> </w:t>
      </w:r>
      <w:r>
        <w:rPr>
          <w:rFonts w:ascii="Times New Roman;sans-serif" w:hAnsi="Times New Roman;sans-serif"/>
          <w:b w:val="false"/>
          <w:color w:val="000000"/>
          <w:sz w:val="24"/>
        </w:rPr>
        <w:t xml:space="preserve">. I elect to pay that withholding by one of the following methods </w:t>
      </w:r>
      <w:r>
        <w:rPr>
          <w:rFonts w:ascii="Times New Roman;sans-serif" w:hAnsi="Times New Roman;sans-serif"/>
          <w:b/>
          <w:color w:val="000000"/>
          <w:sz w:val="24"/>
        </w:rPr>
        <w:t>[CHECK ONE]</w:t>
      </w:r>
      <w:r>
        <w:rPr>
          <w:rFonts w:ascii="Times New Roman;sans-serif" w:hAnsi="Times New Roman;sans-serif"/>
          <w:b w:val="false"/>
          <w:color w:val="000000"/>
          <w:sz w:val="24"/>
        </w:rPr>
        <w:t>:</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_______ By certified check, which is enclosed</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_______ By Company withholding of the transfer of Option Shares equal to the Tax Withholding amount.</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 understand that this option exercise is not effective unless and until this Notice of Option Exercise is enclosed, along with any necessary certified checks. I hereby represent that, to the best of my knowledge and belief, I am legally entitled to exercise this option.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_____________________________________________________________________________</w:t>
      </w:r>
    </w:p>
    <w:tbl>
      <w:tblPr>
        <w:tblW w:w="2953" w:type="dxa"/>
        <w:jc w:val="left"/>
        <w:tblInd w:w="0" w:type="dxa"/>
        <w:tblLayout w:type="fixed"/>
        <w:tblCellMar>
          <w:top w:w="28" w:type="dxa"/>
          <w:left w:w="28" w:type="dxa"/>
          <w:bottom w:w="28" w:type="dxa"/>
          <w:right w:w="28" w:type="dxa"/>
        </w:tblCellMar>
      </w:tblPr>
      <w:tblGrid>
        <w:gridCol w:w="581"/>
        <w:gridCol w:w="511"/>
        <w:gridCol w:w="512"/>
        <w:gridCol w:w="395"/>
        <w:gridCol w:w="395"/>
        <w:gridCol w:w="559"/>
      </w:tblGrid>
      <w:tr>
        <w:trPr/>
        <w:tc>
          <w:tcPr>
            <w:tcW w:w="5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Signature:</w:t>
            </w:r>
          </w:p>
        </w:tc>
        <w:tc>
          <w:tcPr>
            <w:tcW w:w="134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__________</w:t>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Printed Name:</w:t>
            </w:r>
          </w:p>
        </w:tc>
        <w:tc>
          <w:tcPr>
            <w:tcW w:w="134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__________</w:t>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Identification #:</w:t>
            </w:r>
          </w:p>
        </w:tc>
        <w:tc>
          <w:tcPr>
            <w:tcW w:w="134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__________</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w:t>
            </w:r>
          </w:p>
        </w:tc>
        <w:tc>
          <w:tcPr>
            <w:tcW w:w="134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__________</w:t>
            </w:r>
          </w:p>
        </w:tc>
      </w:tr>
    </w:tbl>
    <w:p>
      <w:pPr>
        <w:pStyle w:val="TextBody"/>
        <w:bidi w:val="0"/>
        <w:spacing w:before="0" w:after="0"/>
        <w:jc w:val="left"/>
        <w:rPr/>
      </w:pPr>
      <w:r>
        <w:rPr/>
      </w:r>
    </w:p>
    <w:p>
      <w:pPr>
        <w:pStyle w:val="TextBody"/>
        <w:bidi w:val="0"/>
        <w:spacing w:lineRule="auto" w:line="268"/>
        <w:jc w:val="both"/>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_____________________________________________________________________________</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SECTION 302 CERTIFICATION</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 Rohit Kapoor, certify that:</w:t>
      </w:r>
    </w:p>
    <w:p>
      <w:pPr>
        <w:pStyle w:val="TextBody"/>
        <w:bidi w:val="0"/>
        <w:spacing w:lineRule="auto" w:line="288" w:before="24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of ExlService Holdings, Inc.;</w:t>
      </w:r>
    </w:p>
    <w:p>
      <w:pPr>
        <w:pStyle w:val="TextBody"/>
        <w:bidi w:val="0"/>
        <w:spacing w:lineRule="auto" w:line="288" w:before="24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240" w:after="283"/>
        <w:jc w:val="left"/>
        <w:rPr/>
      </w:pPr>
      <w:r>
        <w:rPr/>
      </w:r>
    </w:p>
    <w:p>
      <w:pPr>
        <w:pStyle w:val="TextBody"/>
        <w:bidi w:val="0"/>
        <w:spacing w:lineRule="auto" w:line="288" w:before="0" w:after="0"/>
        <w:ind w:left="0" w:right="0" w:hanging="360"/>
        <w:jc w:val="left"/>
        <w:rPr>
          <w:color w:val="000000"/>
        </w:rPr>
      </w:pPr>
      <w:r>
        <w:rPr>
          <w:color w:val="000000"/>
        </w:rPr>
        <w:t> </w:t>
      </w:r>
    </w:p>
    <w:p>
      <w:pPr>
        <w:pStyle w:val="TextBody"/>
        <w:bidi w:val="0"/>
        <w:spacing w:before="0" w:after="0"/>
        <w:jc w:val="left"/>
        <w:rPr/>
      </w:pPr>
      <w:r>
        <w:rPr/>
      </w:r>
    </w:p>
    <w:tbl>
      <w:tblPr>
        <w:tblW w:w="5398" w:type="dxa"/>
        <w:jc w:val="left"/>
        <w:tblInd w:w="0" w:type="dxa"/>
        <w:tblLayout w:type="fixed"/>
        <w:tblCellMar>
          <w:top w:w="28" w:type="dxa"/>
          <w:left w:w="28" w:type="dxa"/>
          <w:bottom w:w="28" w:type="dxa"/>
          <w:right w:w="28" w:type="dxa"/>
        </w:tblCellMar>
      </w:tblPr>
      <w:tblGrid>
        <w:gridCol w:w="618"/>
        <w:gridCol w:w="544"/>
        <w:gridCol w:w="547"/>
        <w:gridCol w:w="1080"/>
        <w:gridCol w:w="1080"/>
        <w:gridCol w:w="1529"/>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July 27, 2023</w:t>
            </w:r>
          </w:p>
        </w:tc>
        <w:tc>
          <w:tcPr>
            <w:tcW w:w="36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Rohit Kapoor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Rohit Kapoor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Vice-Chairman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SECTION 302 CERTIFICATION</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 Maurizio Nicolelli,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24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of ExlService Holdings, Inc.;</w:t>
      </w:r>
    </w:p>
    <w:p>
      <w:pPr>
        <w:pStyle w:val="TextBody"/>
        <w:bidi w:val="0"/>
        <w:spacing w:lineRule="auto" w:line="288" w:before="24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240" w:after="283"/>
        <w:jc w:val="left"/>
        <w:rPr/>
      </w:pPr>
      <w:r>
        <w:rPr/>
      </w:r>
    </w:p>
    <w:tbl>
      <w:tblPr>
        <w:tblW w:w="3719" w:type="dxa"/>
        <w:jc w:val="left"/>
        <w:tblInd w:w="0" w:type="dxa"/>
        <w:tblLayout w:type="fixed"/>
        <w:tblCellMar>
          <w:top w:w="28" w:type="dxa"/>
          <w:left w:w="28" w:type="dxa"/>
          <w:bottom w:w="28" w:type="dxa"/>
          <w:right w:w="28" w:type="dxa"/>
        </w:tblCellMar>
      </w:tblPr>
      <w:tblGrid>
        <w:gridCol w:w="618"/>
        <w:gridCol w:w="544"/>
        <w:gridCol w:w="547"/>
        <w:gridCol w:w="589"/>
        <w:gridCol w:w="589"/>
        <w:gridCol w:w="832"/>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July 27, 2023</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Maurizio Nicolelli</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Maurizio Nicolelli</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 U.S.C. SECTION 1350,</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ExlService Holdings, Inc. (the “Company”) on Form 10-Q for the period ended June 30, 2023 as filed with the Securities and Exchange Commission on the date hereof (the “Report”), I, Rohit Kapoor, Vice-Chairman and Chief Executive Officer of the Company, certify, pursuant to 18 U.S.C. Section 1350, as adopted pursuant to Section 906 of the Sarbanes-Oxley Act of 2002,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(a)the Report fully complies with the requirements of section 13(a) or 15(d) of the Securities Exchange Act of 1934; and</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(b)the information contained in the Report fairly presents, in all material respects, the financial condition and results of operations of the Company.</w:t>
      </w:r>
    </w:p>
    <w:tbl>
      <w:tblPr>
        <w:tblW w:w="4032" w:type="dxa"/>
        <w:jc w:val="left"/>
        <w:tblInd w:w="0" w:type="dxa"/>
        <w:tblLayout w:type="fixed"/>
        <w:tblCellMar>
          <w:top w:w="28" w:type="dxa"/>
          <w:left w:w="28" w:type="dxa"/>
          <w:bottom w:w="28" w:type="dxa"/>
          <w:right w:w="28" w:type="dxa"/>
        </w:tblCellMar>
      </w:tblPr>
      <w:tblGrid>
        <w:gridCol w:w="1324"/>
        <w:gridCol w:w="1163"/>
        <w:gridCol w:w="1173"/>
        <w:gridCol w:w="109"/>
        <w:gridCol w:w="109"/>
        <w:gridCol w:w="154"/>
      </w:tblGrid>
      <w:tr>
        <w:trPr/>
        <w:tc>
          <w:tcPr>
            <w:tcW w:w="1324"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Rohit Kapoor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Rohit Kapoor</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Vice-Chairman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27,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 U.S.C. SECTION 1350,</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ExlService Holdings, Inc. (the “Company”) on Form 10-Q for the period ended June 30, 2023 as filed with the Securities and Exchange Commission on the date hereof (the “Report”), I, Maurizio Nicolelli, Chief Financial Officer of the Company, certify, pursuant to 18 U.S.C. Section 1350, as adopted pursuant to Section 906 of the Sarbanes-Oxley Act of 2002, that: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(a)the Report fully complies with the requirements of section 13(a) or 15(d) of the Securities Exchange Act of 1934;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2351" w:type="dxa"/>
        <w:jc w:val="left"/>
        <w:tblInd w:w="0" w:type="dxa"/>
        <w:tblLayout w:type="fixed"/>
        <w:tblCellMar>
          <w:top w:w="28" w:type="dxa"/>
          <w:left w:w="28" w:type="dxa"/>
          <w:bottom w:w="28" w:type="dxa"/>
          <w:right w:w="28" w:type="dxa"/>
        </w:tblCellMar>
      </w:tblPr>
      <w:tblGrid>
        <w:gridCol w:w="716"/>
        <w:gridCol w:w="630"/>
        <w:gridCol w:w="633"/>
        <w:gridCol w:w="109"/>
        <w:gridCol w:w="109"/>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Maurizio Nicolelli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Maurizio Nicolelli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27,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297989/000119312506214684/dex31.htm" TargetMode="External"/><Relationship Id="rId3" Type="http://schemas.openxmlformats.org/officeDocument/2006/relationships/hyperlink" Target="https://www.sec.gov/Archives/edgar/data/1297989/000104746919002609/a2238453zdef14a.htm" TargetMode="External"/><Relationship Id="rId4" Type="http://schemas.openxmlformats.org/officeDocument/2006/relationships/hyperlink" Target="https://www.sec.gov/Archives/edgar/data/1297989/000119312523171321/d523950dex33.htm" TargetMode="External"/><Relationship Id="rId5" Type="http://schemas.openxmlformats.org/officeDocument/2006/relationships/hyperlink" Target="https://www.sec.gov/Archives/edgar/data/1297989/000119312523171321/d523950dex32.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32</Pages>
  <Words>34130</Words>
  <Characters>186163</Characters>
  <CharactersWithSpaces>217478</CharactersWithSpaces>
  <Paragraphs>4847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