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38" w:lineRule="auto"/>
        <w:rPr>
          <w:sz w:val="20"/>
          <w:szCs w:val="20"/>
          <w:color w:val="auto"/>
        </w:rPr>
      </w:pPr>
      <w:r>
        <w:rPr>
          <w:rFonts w:ascii="Courier New" w:cs="Courier New" w:eastAsia="Courier New" w:hAnsi="Courier New"/>
          <w:sz w:val="18"/>
          <w:szCs w:val="18"/>
          <w:color w:val="auto"/>
        </w:rPr>
        <w:t>EXLSERVICE HOLDINGS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rPr>
          <w:sz w:val="20"/>
          <w:szCs w:val="20"/>
          <w:color w:val="auto"/>
        </w:rPr>
      </w:pPr>
      <w:r>
        <w:rPr>
          <w:rFonts w:ascii="Courier New" w:cs="Courier New" w:eastAsia="Courier New" w:hAnsi="Courier New"/>
          <w:sz w:val="18"/>
          <w:szCs w:val="18"/>
          <w:color w:val="auto"/>
        </w:rPr>
        <w:t>Cusip #302081104</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9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59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882,921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2,519,396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2,519,396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7.354%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#302081104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2,519,396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2,519,396</w:t>
      </w:r>
    </w:p>
    <w:p>
      <w:pPr>
        <w:spacing w:after="0" w:line="237" w:lineRule="auto"/>
        <w:rPr>
          <w:sz w:val="20"/>
          <w:szCs w:val="20"/>
          <w:color w:val="auto"/>
        </w:rPr>
      </w:pPr>
      <w:r>
        <w:rPr>
          <w:rFonts w:ascii="Courier New" w:cs="Courier New" w:eastAsia="Courier New" w:hAnsi="Courier New"/>
          <w:sz w:val="18"/>
          <w:szCs w:val="18"/>
          <w:color w:val="auto"/>
        </w:rPr>
        <w:t>Item 11: 7.354%</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280 Park Avenue, 38th Floor</w:t>
      </w:r>
    </w:p>
    <w:p>
      <w:pPr>
        <w:spacing w:after="0" w:line="238" w:lineRule="auto"/>
        <w:rPr>
          <w:sz w:val="20"/>
          <w:szCs w:val="20"/>
          <w:color w:val="auto"/>
        </w:rPr>
      </w:pPr>
      <w:r>
        <w:rPr>
          <w:rFonts w:ascii="Courier New" w:cs="Courier New" w:eastAsia="Courier New" w:hAnsi="Courier New"/>
          <w:sz w:val="18"/>
          <w:szCs w:val="18"/>
          <w:color w:val="auto"/>
        </w:rPr>
        <w:t>New York X1, NY 10017</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07" w:lineRule="exact"/>
        <w:rPr>
          <w:sz w:val="24"/>
          <w:szCs w:val="24"/>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2,519,396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7.354%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299"/>
          </w:cols>
          <w:pgMar w:left="160" w:top="16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882,921</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2,519,396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EXLSERVICE HOLDINGS INC. No one other person's interest in the COMMON STOCK of EXLSERVICE HOLDINGS INC is more than five percent of the total outstanding COMMON STOCK.</w:t>
      </w:r>
    </w:p>
    <w:p>
      <w:pPr>
        <w:spacing w:after="0" w:line="208"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38" w:lineRule="auto"/>
        <w:tabs>
          <w:tab w:leader="none" w:pos="5780" w:val="left"/>
        </w:tabs>
        <w:rPr>
          <w:sz w:val="20"/>
          <w:szCs w:val="20"/>
          <w:color w:val="auto"/>
        </w:rPr>
      </w:pPr>
      <w:r>
        <w:rPr>
          <w:rFonts w:ascii="Courier New" w:cs="Courier New" w:eastAsia="Courier New" w:hAnsi="Courier New"/>
          <w:sz w:val="18"/>
          <w:szCs w:val="18"/>
          <w:color w:val="auto"/>
        </w:rPr>
        <w:t>Fidelity Institutional Asset Management Trust Company</w:t>
        <w:tab/>
        <w:t>BK</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FMR CO., INC</w:t>
        <w:tab/>
        <w:t>IA</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99"/>
          </w:cols>
          <w:pgMar w:left="160" w:top="259" w:right="1440" w:bottom="15" w:gutter="0" w:footer="0" w:header="0"/>
        </w:sectPr>
      </w:pPr>
    </w:p>
    <w:bookmarkStart w:id="2" w:name="page3"/>
    <w:bookmarkEnd w:id="2"/>
    <w:p>
      <w:pPr>
        <w:ind w:right="207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0" w:lineRule="exact"/>
        <w:rPr>
          <w:sz w:val="20"/>
          <w:szCs w:val="20"/>
          <w:color w:val="auto"/>
        </w:rPr>
      </w:pPr>
    </w:p>
    <w:p>
      <w:pPr>
        <w:ind w:right="207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7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EXLSERVICE HOLDINGS INC at December 31,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207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17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99"/>
      </w:cols>
      <w:pgMar w:left="160" w:top="6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2019-12-15T11:10:23Z</dcterms:created>
  <dcterms:modified xsi:type="dcterms:W3CDTF">2019-12-15T11:10:23Z</dcterms:modified>
</cp:coreProperties>
</file>