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ExlService Holdings, Inc.</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302081104</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rFonts w:ascii="MS PGothic" w:cs="MS PGothic" w:eastAsia="MS PGothic" w:hAnsi="MS PGothic"/>
          <w:sz w:val="18"/>
          <w:szCs w:val="18"/>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rFonts w:ascii="MS PGothic" w:cs="MS PGothic" w:eastAsia="MS PGothic" w:hAnsi="MS PGothic"/>
          <w:sz w:val="18"/>
          <w:szCs w:val="18"/>
          <w:color w:val="auto"/>
        </w:rPr>
      </w:pPr>
    </w:p>
    <w:p>
      <w:pPr>
        <w:ind w:left="460" w:right="120" w:hanging="446"/>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1" w:right="2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302081104</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42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top w:val="single" w:sz="8" w:color="auto"/>
              <w:right w:val="single" w:sz="8" w:color="auto"/>
            </w:tcBorders>
          </w:tcPr>
          <w:p>
            <w:pPr>
              <w:spacing w:after="0"/>
              <w:rPr>
                <w:sz w:val="21"/>
                <w:szCs w:val="21"/>
                <w:color w:val="auto"/>
              </w:rPr>
            </w:pPr>
          </w:p>
        </w:tc>
        <w:tc>
          <w:tcPr>
            <w:tcW w:w="10760" w:type="dxa"/>
            <w:vAlign w:val="bottom"/>
            <w:tcBorders>
              <w:top w:val="single" w:sz="8" w:color="auto"/>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NAME OF REPORTING PERSON</w:t>
            </w:r>
          </w:p>
        </w:tc>
        <w:tc>
          <w:tcPr>
            <w:tcW w:w="0" w:type="dxa"/>
            <w:vAlign w:val="bottom"/>
          </w:tcPr>
          <w:p>
            <w:pPr>
              <w:spacing w:after="0"/>
              <w:rPr>
                <w:sz w:val="1"/>
                <w:szCs w:val="1"/>
                <w:color w:val="auto"/>
              </w:rPr>
            </w:pPr>
          </w:p>
        </w:tc>
      </w:tr>
      <w:tr>
        <w:trPr>
          <w:trHeight w:val="448"/>
        </w:trPr>
        <w:tc>
          <w:tcPr>
            <w:tcW w:w="42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Rohit Kapoor</w:t>
            </w:r>
          </w:p>
        </w:tc>
        <w:tc>
          <w:tcPr>
            <w:tcW w:w="9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2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454"/>
        </w:trPr>
        <w:tc>
          <w:tcPr>
            <w:tcW w:w="42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9940" w:type="dxa"/>
            <w:vAlign w:val="bottom"/>
            <w:tcBorders>
              <w:bottom w:val="single" w:sz="8" w:color="auto"/>
              <w:right w:val="single" w:sz="8" w:color="auto"/>
            </w:tcBorders>
            <w:gridSpan w:val="3"/>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8"/>
        </w:trPr>
        <w:tc>
          <w:tcPr>
            <w:tcW w:w="42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420" w:type="dxa"/>
            <w:vAlign w:val="bottom"/>
            <w:tcBorders>
              <w:left w:val="single" w:sz="8" w:color="auto"/>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10760" w:type="dxa"/>
            <w:vAlign w:val="bottom"/>
            <w:tcBorders>
              <w:bottom w:val="single" w:sz="8" w:color="auto"/>
              <w:right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42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0" w:type="dxa"/>
            <w:vAlign w:val="bottom"/>
          </w:tcPr>
          <w:p>
            <w:pPr>
              <w:spacing w:after="0"/>
              <w:rPr>
                <w:sz w:val="1"/>
                <w:szCs w:val="1"/>
                <w:color w:val="auto"/>
              </w:rPr>
            </w:pPr>
          </w:p>
        </w:tc>
      </w:tr>
      <w:tr>
        <w:trPr>
          <w:trHeight w:val="234"/>
        </w:trPr>
        <w:tc>
          <w:tcPr>
            <w:tcW w:w="420" w:type="dxa"/>
            <w:vAlign w:val="bottom"/>
            <w:tcBorders>
              <w:lef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c>
          <w:tcPr>
            <w:tcW w:w="9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54"/>
        </w:trPr>
        <w:tc>
          <w:tcPr>
            <w:tcW w:w="1440" w:type="dxa"/>
            <w:vAlign w:val="bottom"/>
            <w:tcBorders>
              <w:left w:val="single" w:sz="8" w:color="auto"/>
              <w:right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NUMBER OF</w:t>
            </w: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1,634,445</w:t>
            </w:r>
          </w:p>
        </w:tc>
        <w:tc>
          <w:tcPr>
            <w:tcW w:w="0" w:type="dxa"/>
            <w:vAlign w:val="bottom"/>
          </w:tcPr>
          <w:p>
            <w:pPr>
              <w:spacing w:after="0"/>
              <w:rPr>
                <w:sz w:val="1"/>
                <w:szCs w:val="1"/>
                <w:color w:val="auto"/>
              </w:rPr>
            </w:pPr>
          </w:p>
        </w:tc>
      </w:tr>
      <w:tr>
        <w:trPr>
          <w:trHeight w:val="232"/>
        </w:trPr>
        <w:tc>
          <w:tcPr>
            <w:tcW w:w="420" w:type="dxa"/>
            <w:vAlign w:val="bottom"/>
            <w:tcBorders>
              <w:left w:val="single" w:sz="8" w:color="auto"/>
            </w:tcBorders>
          </w:tcPr>
          <w:p>
            <w:pPr>
              <w:spacing w:after="0"/>
              <w:rPr>
                <w:sz w:val="20"/>
                <w:szCs w:val="20"/>
                <w:color w:val="auto"/>
              </w:rPr>
            </w:pPr>
          </w:p>
        </w:tc>
        <w:tc>
          <w:tcPr>
            <w:tcW w:w="1020" w:type="dxa"/>
            <w:vAlign w:val="bottom"/>
            <w:tcBorders>
              <w:right w:val="single" w:sz="8" w:color="auto"/>
            </w:tcBorders>
            <w:gridSpan w:val="2"/>
          </w:tcPr>
          <w:p>
            <w:pPr>
              <w:jc w:val="center"/>
              <w:ind w:right="170"/>
              <w:spacing w:after="0"/>
              <w:rPr>
                <w:sz w:val="20"/>
                <w:szCs w:val="20"/>
                <w:color w:val="auto"/>
              </w:rPr>
            </w:pPr>
            <w:r>
              <w:rPr>
                <w:rFonts w:ascii="Times New Roman" w:cs="Times New Roman" w:eastAsia="Times New Roman" w:hAnsi="Times New Roman"/>
                <w:sz w:val="18"/>
                <w:szCs w:val="18"/>
                <w:color w:val="auto"/>
                <w:w w:val="98"/>
              </w:rPr>
              <w:t>SHARES</w:t>
            </w:r>
          </w:p>
        </w:tc>
        <w:tc>
          <w:tcPr>
            <w:tcW w:w="60" w:type="dxa"/>
            <w:vAlign w:val="bottom"/>
          </w:tcPr>
          <w:p>
            <w:pPr>
              <w:spacing w:after="0"/>
              <w:rPr>
                <w:sz w:val="20"/>
                <w:szCs w:val="20"/>
                <w:color w:val="auto"/>
              </w:rPr>
            </w:pPr>
          </w:p>
        </w:tc>
        <w:tc>
          <w:tcPr>
            <w:tcW w:w="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0"/>
                <w:szCs w:val="20"/>
                <w:color w:val="auto"/>
              </w:rPr>
            </w:pPr>
          </w:p>
        </w:tc>
        <w:tc>
          <w:tcPr>
            <w:tcW w:w="9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501,185</w:t>
            </w:r>
          </w:p>
        </w:tc>
        <w:tc>
          <w:tcPr>
            <w:tcW w:w="0" w:type="dxa"/>
            <w:vAlign w:val="bottom"/>
          </w:tcPr>
          <w:p>
            <w:pPr>
              <w:spacing w:after="0"/>
              <w:rPr>
                <w:sz w:val="1"/>
                <w:szCs w:val="1"/>
                <w:color w:val="auto"/>
              </w:rPr>
            </w:pPr>
          </w:p>
        </w:tc>
      </w:tr>
      <w:tr>
        <w:trPr>
          <w:trHeight w:val="234"/>
        </w:trPr>
        <w:tc>
          <w:tcPr>
            <w:tcW w:w="1440" w:type="dxa"/>
            <w:vAlign w:val="bottom"/>
            <w:tcBorders>
              <w:left w:val="single" w:sz="8" w:color="auto"/>
              <w:right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OWNED BY</w:t>
            </w: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6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20" w:type="dxa"/>
            <w:vAlign w:val="bottom"/>
            <w:tcBorders>
              <w:left w:val="single" w:sz="8" w:color="auto"/>
            </w:tcBorders>
          </w:tcPr>
          <w:p>
            <w:pPr>
              <w:spacing w:after="0"/>
              <w:rPr>
                <w:sz w:val="15"/>
                <w:szCs w:val="15"/>
                <w:color w:val="auto"/>
              </w:rPr>
            </w:pPr>
          </w:p>
        </w:tc>
        <w:tc>
          <w:tcPr>
            <w:tcW w:w="1020" w:type="dxa"/>
            <w:vAlign w:val="bottom"/>
            <w:tcBorders>
              <w:right w:val="single" w:sz="8" w:color="auto"/>
            </w:tcBorders>
            <w:gridSpan w:val="2"/>
          </w:tcPr>
          <w:p>
            <w:pPr>
              <w:jc w:val="center"/>
              <w:ind w:right="170"/>
              <w:spacing w:after="0" w:line="178" w:lineRule="exact"/>
              <w:rPr>
                <w:sz w:val="20"/>
                <w:szCs w:val="20"/>
                <w:color w:val="auto"/>
              </w:rPr>
            </w:pPr>
            <w:r>
              <w:rPr>
                <w:rFonts w:ascii="Times New Roman" w:cs="Times New Roman" w:eastAsia="Times New Roman" w:hAnsi="Times New Roman"/>
                <w:sz w:val="18"/>
                <w:szCs w:val="18"/>
                <w:color w:val="auto"/>
                <w:w w:val="97"/>
              </w:rPr>
              <w:t>EACH</w:t>
            </w:r>
          </w:p>
        </w:tc>
        <w:tc>
          <w:tcPr>
            <w:tcW w:w="60" w:type="dxa"/>
            <w:vAlign w:val="bottom"/>
          </w:tcPr>
          <w:p>
            <w:pPr>
              <w:spacing w:after="0"/>
              <w:rPr>
                <w:sz w:val="15"/>
                <w:szCs w:val="15"/>
                <w:color w:val="auto"/>
              </w:rPr>
            </w:pPr>
          </w:p>
        </w:tc>
        <w:tc>
          <w:tcPr>
            <w:tcW w:w="220" w:type="dxa"/>
            <w:vAlign w:val="bottom"/>
            <w:tcBorders>
              <w:right w:val="single" w:sz="8" w:color="auto"/>
            </w:tcBorders>
          </w:tcPr>
          <w:p>
            <w:pPr>
              <w:jc w:val="right"/>
              <w:spacing w:after="0" w:line="178" w:lineRule="exact"/>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5"/>
                <w:szCs w:val="15"/>
                <w:color w:val="auto"/>
              </w:rPr>
            </w:pPr>
          </w:p>
        </w:tc>
        <w:tc>
          <w:tcPr>
            <w:tcW w:w="9640" w:type="dxa"/>
            <w:vAlign w:val="bottom"/>
            <w:tcBorders>
              <w:right w:val="single" w:sz="8" w:color="auto"/>
            </w:tcBorders>
          </w:tcPr>
          <w:p>
            <w:pPr>
              <w:ind w:left="20"/>
              <w:spacing w:after="0" w:line="178"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8"/>
              </w:rPr>
              <w:t>REPORTING</w:t>
            </w:r>
          </w:p>
        </w:tc>
        <w:tc>
          <w:tcPr>
            <w:tcW w:w="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0" w:type="dxa"/>
            <w:vAlign w:val="bottom"/>
            <w:tcBorders>
              <w:left w:val="single" w:sz="8" w:color="auto"/>
            </w:tcBorders>
          </w:tcPr>
          <w:p>
            <w:pPr>
              <w:spacing w:after="0"/>
              <w:rPr>
                <w:sz w:val="19"/>
                <w:szCs w:val="19"/>
                <w:color w:val="auto"/>
              </w:rPr>
            </w:pPr>
          </w:p>
        </w:tc>
        <w:tc>
          <w:tcPr>
            <w:tcW w:w="1020" w:type="dxa"/>
            <w:vAlign w:val="bottom"/>
            <w:tcBorders>
              <w:right w:val="single" w:sz="8" w:color="auto"/>
            </w:tcBorders>
            <w:gridSpan w:val="2"/>
          </w:tcPr>
          <w:p>
            <w:pPr>
              <w:jc w:val="center"/>
              <w:ind w:right="170"/>
              <w:spacing w:after="0"/>
              <w:rPr>
                <w:sz w:val="20"/>
                <w:szCs w:val="20"/>
                <w:color w:val="auto"/>
              </w:rPr>
            </w:pPr>
            <w:r>
              <w:rPr>
                <w:rFonts w:ascii="Times New Roman" w:cs="Times New Roman" w:eastAsia="Times New Roman" w:hAnsi="Times New Roman"/>
                <w:sz w:val="18"/>
                <w:szCs w:val="18"/>
                <w:color w:val="auto"/>
                <w:w w:val="98"/>
              </w:rPr>
              <w:t>PERSON</w:t>
            </w:r>
          </w:p>
        </w:tc>
        <w:tc>
          <w:tcPr>
            <w:tcW w:w="6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1,634,445</w:t>
            </w:r>
          </w:p>
        </w:tc>
        <w:tc>
          <w:tcPr>
            <w:tcW w:w="0" w:type="dxa"/>
            <w:vAlign w:val="bottom"/>
          </w:tcPr>
          <w:p>
            <w:pPr>
              <w:spacing w:after="0"/>
              <w:rPr>
                <w:sz w:val="1"/>
                <w:szCs w:val="1"/>
                <w:color w:val="auto"/>
              </w:rPr>
            </w:pPr>
          </w:p>
        </w:tc>
      </w:tr>
      <w:tr>
        <w:trPr>
          <w:trHeight w:val="68"/>
        </w:trPr>
        <w:tc>
          <w:tcPr>
            <w:tcW w:w="420" w:type="dxa"/>
            <w:vAlign w:val="bottom"/>
            <w:tcBorders>
              <w:left w:val="single" w:sz="8" w:color="auto"/>
            </w:tcBorders>
          </w:tcPr>
          <w:p>
            <w:pPr>
              <w:spacing w:after="0"/>
              <w:rPr>
                <w:sz w:val="5"/>
                <w:szCs w:val="5"/>
                <w:color w:val="auto"/>
              </w:rPr>
            </w:pPr>
          </w:p>
        </w:tc>
        <w:tc>
          <w:tcPr>
            <w:tcW w:w="1020" w:type="dxa"/>
            <w:vAlign w:val="bottom"/>
            <w:tcBorders>
              <w:right w:val="single" w:sz="8" w:color="auto"/>
            </w:tcBorders>
            <w:gridSpan w:val="2"/>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rPr>
              <w:t>WITH</w:t>
            </w:r>
          </w:p>
        </w:tc>
        <w:tc>
          <w:tcPr>
            <w:tcW w:w="6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6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20" w:type="dxa"/>
            <w:vAlign w:val="bottom"/>
            <w:tcBorders>
              <w:left w:val="single" w:sz="8" w:color="auto"/>
            </w:tcBorders>
          </w:tcPr>
          <w:p>
            <w:pPr>
              <w:spacing w:after="0"/>
              <w:rPr>
                <w:sz w:val="12"/>
                <w:szCs w:val="12"/>
                <w:color w:val="auto"/>
              </w:rPr>
            </w:pPr>
          </w:p>
        </w:tc>
        <w:tc>
          <w:tcPr>
            <w:tcW w:w="102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2"/>
                <w:szCs w:val="12"/>
                <w:color w:val="auto"/>
              </w:rPr>
            </w:pPr>
          </w:p>
        </w:tc>
        <w:tc>
          <w:tcPr>
            <w:tcW w:w="96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420" w:type="dxa"/>
            <w:vAlign w:val="bottom"/>
            <w:tcBorders>
              <w:left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6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42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501,185</w:t>
            </w:r>
          </w:p>
        </w:tc>
        <w:tc>
          <w:tcPr>
            <w:tcW w:w="0" w:type="dxa"/>
            <w:vAlign w:val="bottom"/>
          </w:tcPr>
          <w:p>
            <w:pPr>
              <w:spacing w:after="0"/>
              <w:rPr>
                <w:sz w:val="1"/>
                <w:szCs w:val="1"/>
                <w:color w:val="auto"/>
              </w:rPr>
            </w:pPr>
          </w:p>
        </w:tc>
      </w:tr>
      <w:tr>
        <w:trPr>
          <w:trHeight w:val="234"/>
        </w:trPr>
        <w:tc>
          <w:tcPr>
            <w:tcW w:w="42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Borders>
              <w:right w:val="single" w:sz="8" w:color="auto"/>
            </w:tcBorders>
          </w:tcPr>
          <w:p>
            <w:pPr>
              <w:spacing w:after="0"/>
              <w:rPr>
                <w:sz w:val="20"/>
                <w:szCs w:val="20"/>
                <w:color w:val="auto"/>
              </w:rPr>
            </w:pPr>
          </w:p>
        </w:tc>
        <w:tc>
          <w:tcPr>
            <w:tcW w:w="1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81"/>
              </w:rPr>
              <w:t>AGGREGATE</w:t>
            </w:r>
          </w:p>
        </w:tc>
        <w:tc>
          <w:tcPr>
            <w:tcW w:w="972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42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w w:val="97"/>
              </w:rPr>
              <w:t>2,135,630</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2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4"/>
        </w:trPr>
        <w:tc>
          <w:tcPr>
            <w:tcW w:w="42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2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48"/>
        </w:trPr>
        <w:tc>
          <w:tcPr>
            <w:tcW w:w="42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6.2%</w:t>
            </w: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2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8"/>
        </w:trPr>
        <w:tc>
          <w:tcPr>
            <w:tcW w:w="42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IN</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40" w:type="dxa"/>
            <w:vAlign w:val="bottom"/>
          </w:tcPr>
          <w:p>
            <w:pPr>
              <w:ind w:left="38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ectPr>
          <w:pgSz w:w="11900" w:h="16838" w:orient="portrait"/>
          <w:cols w:equalWidth="0" w:num="1">
            <w:col w:w="11440"/>
          </w:cols>
          <w:pgMar w:left="240" w:top="270" w:right="2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302081104</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SCHEDULE 13G</w:t>
      </w:r>
    </w:p>
    <w:p>
      <w:pPr>
        <w:sectPr>
          <w:pgSz w:w="11900" w:h="16838" w:orient="portrait"/>
          <w:cols w:equalWidth="0" w:num="1">
            <w:col w:w="11240"/>
          </w:cols>
          <w:pgMar w:left="240" w:top="270" w:right="419" w:bottom="1440" w:gutter="0" w:footer="0" w:header="0"/>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1(a).</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of Issuer:</w:t>
      </w:r>
    </w:p>
    <w:p>
      <w:pPr>
        <w:spacing w:after="0" w:line="128" w:lineRule="exact"/>
        <w:rPr>
          <w:sz w:val="20"/>
          <w:szCs w:val="20"/>
          <w:color w:val="auto"/>
        </w:rPr>
      </w:pPr>
    </w:p>
    <w:p>
      <w:pPr>
        <w:sectPr>
          <w:pgSz w:w="11900" w:h="16838" w:orient="portrait"/>
          <w:cols w:equalWidth="0" w:num="2">
            <w:col w:w="720" w:space="660"/>
            <w:col w:w="9860"/>
          </w:cols>
          <w:pgMar w:left="240" w:top="270" w:right="419" w:bottom="1440" w:gutter="0" w:footer="0" w:header="0"/>
          <w:type w:val="continuous"/>
        </w:sectPr>
      </w:pPr>
    </w:p>
    <w:p>
      <w:pPr>
        <w:ind w:left="1840"/>
        <w:spacing w:after="0"/>
        <w:rPr>
          <w:sz w:val="20"/>
          <w:szCs w:val="20"/>
          <w:color w:val="auto"/>
        </w:rPr>
      </w:pPr>
      <w:r>
        <w:rPr>
          <w:rFonts w:ascii="Times New Roman" w:cs="Times New Roman" w:eastAsia="Times New Roman" w:hAnsi="Times New Roman"/>
          <w:sz w:val="17"/>
          <w:szCs w:val="17"/>
          <w:color w:val="auto"/>
        </w:rPr>
        <w:t>ExlService Holdings, Inc.</w:t>
      </w:r>
    </w:p>
    <w:p>
      <w:pPr>
        <w:sectPr>
          <w:pgSz w:w="11900" w:h="16838" w:orient="portrait"/>
          <w:cols w:equalWidth="0" w:num="1">
            <w:col w:w="11240"/>
          </w:cols>
          <w:pgMar w:left="240" w:top="270" w:right="419" w:bottom="1440" w:gutter="0" w:footer="0" w:header="0"/>
          <w:type w:val="continuous"/>
        </w:sect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1(b).</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 of Issuer’s Principal Executive Offices:</w:t>
      </w:r>
    </w:p>
    <w:p>
      <w:pPr>
        <w:spacing w:after="0" w:line="129" w:lineRule="exact"/>
        <w:rPr>
          <w:sz w:val="20"/>
          <w:szCs w:val="20"/>
          <w:color w:val="auto"/>
        </w:rPr>
      </w:pPr>
    </w:p>
    <w:p>
      <w:pPr>
        <w:sectPr>
          <w:pgSz w:w="11900" w:h="16838" w:orient="portrait"/>
          <w:cols w:equalWidth="0" w:num="2">
            <w:col w:w="720" w:space="660"/>
            <w:col w:w="9860"/>
          </w:cols>
          <w:pgMar w:left="240" w:top="270" w:right="419" w:bottom="1440" w:gutter="0" w:footer="0" w:header="0"/>
          <w:type w:val="continuous"/>
        </w:sectPr>
      </w:pPr>
    </w:p>
    <w:p>
      <w:pPr>
        <w:ind w:left="1840"/>
        <w:spacing w:after="0"/>
        <w:rPr>
          <w:sz w:val="20"/>
          <w:szCs w:val="20"/>
          <w:color w:val="auto"/>
        </w:rPr>
      </w:pPr>
      <w:r>
        <w:rPr>
          <w:rFonts w:ascii="Times New Roman" w:cs="Times New Roman" w:eastAsia="Times New Roman" w:hAnsi="Times New Roman"/>
          <w:sz w:val="18"/>
          <w:szCs w:val="18"/>
          <w:color w:val="auto"/>
        </w:rPr>
        <w:t>280 Park Avenue</w:t>
      </w:r>
    </w:p>
    <w:p>
      <w:pPr>
        <w:spacing w:after="0" w:line="2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New York, New York 10017</w:t>
      </w:r>
    </w:p>
    <w:p>
      <w:pPr>
        <w:sectPr>
          <w:pgSz w:w="11900" w:h="16838" w:orient="portrait"/>
          <w:cols w:equalWidth="0" w:num="1">
            <w:col w:w="11240"/>
          </w:cols>
          <w:pgMar w:left="240" w:top="270" w:right="419" w:bottom="1440" w:gutter="0" w:footer="0" w:header="0"/>
          <w:type w:val="continuous"/>
        </w:sect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2(a).</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of Person Filing:</w:t>
      </w:r>
    </w:p>
    <w:p>
      <w:pPr>
        <w:spacing w:after="0" w:line="128" w:lineRule="exact"/>
        <w:rPr>
          <w:sz w:val="20"/>
          <w:szCs w:val="20"/>
          <w:color w:val="auto"/>
        </w:rPr>
      </w:pPr>
    </w:p>
    <w:p>
      <w:pPr>
        <w:sectPr>
          <w:pgSz w:w="11900" w:h="16838" w:orient="portrait"/>
          <w:cols w:equalWidth="0" w:num="2">
            <w:col w:w="720" w:space="660"/>
            <w:col w:w="9860"/>
          </w:cols>
          <w:pgMar w:left="240" w:top="270" w:right="419" w:bottom="1440" w:gutter="0" w:footer="0" w:header="0"/>
          <w:type w:val="continuous"/>
        </w:sectPr>
      </w:pPr>
    </w:p>
    <w:p>
      <w:pPr>
        <w:ind w:left="1840"/>
        <w:spacing w:after="0"/>
        <w:rPr>
          <w:sz w:val="20"/>
          <w:szCs w:val="20"/>
          <w:color w:val="auto"/>
        </w:rPr>
      </w:pPr>
      <w:r>
        <w:rPr>
          <w:rFonts w:ascii="Times New Roman" w:cs="Times New Roman" w:eastAsia="Times New Roman" w:hAnsi="Times New Roman"/>
          <w:sz w:val="17"/>
          <w:szCs w:val="17"/>
          <w:color w:val="auto"/>
        </w:rPr>
        <w:t>Rohit Kapoor (“Mr. Kapoor”)</w:t>
      </w:r>
    </w:p>
    <w:p>
      <w:pPr>
        <w:sectPr>
          <w:pgSz w:w="11900" w:h="16838" w:orient="portrait"/>
          <w:cols w:equalWidth="0" w:num="1">
            <w:col w:w="11240"/>
          </w:cols>
          <w:pgMar w:left="240" w:top="270" w:right="419" w:bottom="1440" w:gutter="0" w:footer="0" w:header="0"/>
          <w:type w:val="continuous"/>
        </w:sect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2(b).</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 of Principal Business Office or, if none, Residence of the Reporting Person:</w:t>
      </w:r>
    </w:p>
    <w:p>
      <w:pPr>
        <w:spacing w:after="0" w:line="129" w:lineRule="exact"/>
        <w:rPr>
          <w:sz w:val="20"/>
          <w:szCs w:val="20"/>
          <w:color w:val="auto"/>
        </w:rPr>
      </w:pPr>
    </w:p>
    <w:p>
      <w:pPr>
        <w:sectPr>
          <w:pgSz w:w="11900" w:h="16838" w:orient="portrait"/>
          <w:cols w:equalWidth="0" w:num="2">
            <w:col w:w="720" w:space="660"/>
            <w:col w:w="9860"/>
          </w:cols>
          <w:pgMar w:left="240" w:top="270" w:right="419" w:bottom="1440" w:gutter="0" w:footer="0" w:header="0"/>
          <w:type w:val="continuous"/>
        </w:sectPr>
      </w:pPr>
    </w:p>
    <w:p>
      <w:pPr>
        <w:ind w:left="1840"/>
        <w:spacing w:after="0"/>
        <w:rPr>
          <w:sz w:val="20"/>
          <w:szCs w:val="20"/>
          <w:color w:val="auto"/>
        </w:rPr>
      </w:pPr>
      <w:r>
        <w:rPr>
          <w:rFonts w:ascii="Times New Roman" w:cs="Times New Roman" w:eastAsia="Times New Roman" w:hAnsi="Times New Roman"/>
          <w:sz w:val="17"/>
          <w:szCs w:val="17"/>
          <w:color w:val="auto"/>
        </w:rPr>
        <w:t>c/o ExlService Holdings, Inc.</w:t>
      </w:r>
    </w:p>
    <w:p>
      <w:pPr>
        <w:spacing w:after="0" w:line="3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280 Park Avenue</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New York, New York 10017</w:t>
      </w:r>
    </w:p>
    <w:p>
      <w:pPr>
        <w:sectPr>
          <w:pgSz w:w="11900" w:h="16838" w:orient="portrait"/>
          <w:cols w:equalWidth="0" w:num="1">
            <w:col w:w="11240"/>
          </w:cols>
          <w:pgMar w:left="240" w:top="270" w:right="419" w:bottom="1440" w:gutter="0" w:footer="0" w:header="0"/>
          <w:type w:val="continuous"/>
        </w:sect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2(c).</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Citizenship:</w:t>
      </w:r>
    </w:p>
    <w:p>
      <w:pPr>
        <w:spacing w:after="0" w:line="128" w:lineRule="exact"/>
        <w:rPr>
          <w:sz w:val="20"/>
          <w:szCs w:val="20"/>
          <w:color w:val="auto"/>
        </w:rPr>
      </w:pPr>
    </w:p>
    <w:p>
      <w:pPr>
        <w:sectPr>
          <w:pgSz w:w="11900" w:h="16838" w:orient="portrait"/>
          <w:cols w:equalWidth="0" w:num="2">
            <w:col w:w="720" w:space="660"/>
            <w:col w:w="9860"/>
          </w:cols>
          <w:pgMar w:left="240" w:top="270" w:right="419" w:bottom="1440" w:gutter="0" w:footer="0" w:header="0"/>
          <w:type w:val="continuous"/>
        </w:sectPr>
      </w:pPr>
    </w:p>
    <w:p>
      <w:pPr>
        <w:ind w:left="1840"/>
        <w:spacing w:after="0"/>
        <w:rPr>
          <w:sz w:val="20"/>
          <w:szCs w:val="20"/>
          <w:color w:val="auto"/>
        </w:rPr>
      </w:pPr>
      <w:r>
        <w:rPr>
          <w:rFonts w:ascii="Times New Roman" w:cs="Times New Roman" w:eastAsia="Times New Roman" w:hAnsi="Times New Roman"/>
          <w:sz w:val="17"/>
          <w:szCs w:val="17"/>
          <w:color w:val="auto"/>
        </w:rPr>
        <w:t>United States of America</w:t>
      </w:r>
    </w:p>
    <w:p>
      <w:pPr>
        <w:sectPr>
          <w:pgSz w:w="11900" w:h="16838" w:orient="portrait"/>
          <w:cols w:equalWidth="0" w:num="1">
            <w:col w:w="11240"/>
          </w:cols>
          <w:pgMar w:left="240" w:top="270" w:right="419" w:bottom="1440" w:gutter="0" w:footer="0" w:header="0"/>
          <w:type w:val="continuous"/>
        </w:sect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2(d).</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w:t>
      </w:r>
    </w:p>
    <w:p>
      <w:pPr>
        <w:spacing w:after="0" w:line="129" w:lineRule="exact"/>
        <w:rPr>
          <w:sz w:val="20"/>
          <w:szCs w:val="20"/>
          <w:color w:val="auto"/>
        </w:rPr>
      </w:pPr>
    </w:p>
    <w:p>
      <w:pPr>
        <w:sectPr>
          <w:pgSz w:w="11900" w:h="16838" w:orient="portrait"/>
          <w:cols w:equalWidth="0" w:num="2">
            <w:col w:w="720" w:space="660"/>
            <w:col w:w="9860"/>
          </w:cols>
          <w:pgMar w:left="240" w:top="270" w:right="419" w:bottom="1440" w:gutter="0" w:footer="0" w:header="0"/>
          <w:type w:val="continuous"/>
        </w:sectPr>
      </w:pPr>
    </w:p>
    <w:p>
      <w:pPr>
        <w:ind w:left="1840"/>
        <w:spacing w:after="0"/>
        <w:rPr>
          <w:sz w:val="20"/>
          <w:szCs w:val="20"/>
          <w:color w:val="auto"/>
        </w:rPr>
      </w:pPr>
      <w:r>
        <w:rPr>
          <w:rFonts w:ascii="Times New Roman" w:cs="Times New Roman" w:eastAsia="Times New Roman" w:hAnsi="Times New Roman"/>
          <w:sz w:val="17"/>
          <w:szCs w:val="17"/>
          <w:color w:val="auto"/>
        </w:rPr>
        <w:t>Common Stock, par value $0.001 per share (the “Common Stock”)</w:t>
      </w:r>
    </w:p>
    <w:p>
      <w:pPr>
        <w:sectPr>
          <w:pgSz w:w="11900" w:h="16838" w:orient="portrait"/>
          <w:cols w:equalWidth="0" w:num="1">
            <w:col w:w="11240"/>
          </w:cols>
          <w:pgMar w:left="240" w:top="270" w:right="419" w:bottom="1440" w:gutter="0" w:footer="0" w:header="0"/>
          <w:type w:val="continuous"/>
        </w:sect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2(e).</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Number:</w:t>
      </w:r>
    </w:p>
    <w:p>
      <w:pPr>
        <w:spacing w:after="0" w:line="128" w:lineRule="exact"/>
        <w:rPr>
          <w:sz w:val="20"/>
          <w:szCs w:val="20"/>
          <w:color w:val="auto"/>
        </w:rPr>
      </w:pPr>
    </w:p>
    <w:p>
      <w:pPr>
        <w:sectPr>
          <w:pgSz w:w="11900" w:h="16838" w:orient="portrait"/>
          <w:cols w:equalWidth="0" w:num="2">
            <w:col w:w="720" w:space="660"/>
            <w:col w:w="9860"/>
          </w:cols>
          <w:pgMar w:left="240" w:top="270" w:right="419" w:bottom="1440" w:gutter="0" w:footer="0" w:header="0"/>
          <w:type w:val="continuous"/>
        </w:sectPr>
      </w:pPr>
    </w:p>
    <w:p>
      <w:pPr>
        <w:ind w:left="1840"/>
        <w:spacing w:after="0"/>
        <w:rPr>
          <w:sz w:val="20"/>
          <w:szCs w:val="20"/>
          <w:color w:val="auto"/>
        </w:rPr>
      </w:pPr>
      <w:r>
        <w:rPr>
          <w:rFonts w:ascii="Times New Roman" w:cs="Times New Roman" w:eastAsia="Times New Roman" w:hAnsi="Times New Roman"/>
          <w:sz w:val="17"/>
          <w:szCs w:val="17"/>
          <w:color w:val="auto"/>
        </w:rPr>
        <w:t>302081104</w:t>
      </w:r>
    </w:p>
    <w:p>
      <w:pPr>
        <w:sectPr>
          <w:pgSz w:w="11900" w:h="16838" w:orient="portrait"/>
          <w:cols w:equalWidth="0" w:num="1">
            <w:col w:w="11240"/>
          </w:cols>
          <w:pgMar w:left="240" w:top="270" w:right="419" w:bottom="1440" w:gutter="0" w:footer="0" w:header="0"/>
          <w:type w:val="continuous"/>
        </w:sect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Schedule 13G is not being filed pursuant to Rule 13d-1(b) or Rule 13d-2(b) or (c).</w:t>
      </w:r>
    </w:p>
    <w:p>
      <w:pPr>
        <w:spacing w:after="0" w:line="211" w:lineRule="exact"/>
        <w:rPr>
          <w:sz w:val="20"/>
          <w:szCs w:val="20"/>
          <w:color w:val="auto"/>
        </w:rPr>
      </w:pPr>
    </w:p>
    <w:p>
      <w:pPr>
        <w:sectPr>
          <w:pgSz w:w="11900" w:h="16838" w:orient="portrait"/>
          <w:cols w:equalWidth="0" w:num="2">
            <w:col w:w="1120" w:space="720"/>
            <w:col w:w="9400"/>
          </w:cols>
          <w:pgMar w:left="240" w:top="270" w:right="419" w:bottom="1440" w:gutter="0" w:footer="0" w:header="0"/>
          <w:type w:val="continuous"/>
        </w:sectPr>
      </w:pP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Ownership</w:t>
      </w:r>
    </w:p>
    <w:p>
      <w:pPr>
        <w:spacing w:after="0" w:line="128" w:lineRule="exact"/>
        <w:rPr>
          <w:sz w:val="20"/>
          <w:szCs w:val="20"/>
          <w:color w:val="auto"/>
        </w:rPr>
      </w:pPr>
    </w:p>
    <w:p>
      <w:pPr>
        <w:sectPr>
          <w:pgSz w:w="11900" w:h="16838" w:orient="portrait"/>
          <w:cols w:equalWidth="0" w:num="2">
            <w:col w:w="660" w:space="720"/>
            <w:col w:w="9860"/>
          </w:cols>
          <w:pgMar w:left="240" w:top="270" w:right="419" w:bottom="1440" w:gutter="0" w:footer="0" w:header="0"/>
          <w:type w:val="continuous"/>
        </w:sectPr>
      </w:pPr>
    </w:p>
    <w:p>
      <w:pPr>
        <w:ind w:left="1840"/>
        <w:spacing w:after="0" w:line="255" w:lineRule="auto"/>
        <w:rPr>
          <w:sz w:val="20"/>
          <w:szCs w:val="20"/>
          <w:color w:val="auto"/>
        </w:rPr>
      </w:pPr>
      <w:r>
        <w:rPr>
          <w:rFonts w:ascii="Times New Roman" w:cs="Times New Roman" w:eastAsia="Times New Roman" w:hAnsi="Times New Roman"/>
          <w:sz w:val="18"/>
          <w:szCs w:val="18"/>
          <w:color w:val="auto"/>
        </w:rPr>
        <w:t>Mr. Kapoor directly beneficially owns 1,207,311 shares of Common Stock, including 717,020 shares of Common Stock of which Mr. Kapoor has the right to acquire beneficial ownership within 60 days of December 31, 2014. In addition, Mr. Kapoor is the sole trustee of the Rohit Kapoor 2005 Grantor Retained Annuity Trust (the “Rohit Kapoor GRAT”) and the Rohit Kapoor 2013 Grantor Retained Annuity Trust (the “Rohit Kapoor GRAT 2013”), which directly owns 177,134 and 250,000 shares of Common Stock, respectively. As such, Mr. Kapoor has sole dispositive and voting power over the 1,634,445 shares of Common Stock held by him directly and sole dispositive and voting power over the 177,134 and 250,000 shares held by the Rohit Kapoor GRAT and the Rohit Kapoor GRAT 2013, respectively.</w:t>
      </w:r>
    </w:p>
    <w:p>
      <w:pPr>
        <w:spacing w:after="0" w:line="12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240" w:top="270" w:right="41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302081104</w:t>
      </w:r>
    </w:p>
    <w:p>
      <w:pPr>
        <w:spacing w:after="0" w:line="158" w:lineRule="exact"/>
        <w:rPr>
          <w:sz w:val="20"/>
          <w:szCs w:val="20"/>
          <w:color w:val="auto"/>
        </w:rPr>
      </w:pPr>
    </w:p>
    <w:p>
      <w:pPr>
        <w:jc w:val="both"/>
        <w:ind w:left="1840" w:right="60"/>
        <w:spacing w:after="0" w:line="261" w:lineRule="auto"/>
        <w:rPr>
          <w:sz w:val="20"/>
          <w:szCs w:val="20"/>
          <w:color w:val="auto"/>
        </w:rPr>
      </w:pPr>
      <w:r>
        <w:rPr>
          <w:rFonts w:ascii="Times New Roman" w:cs="Times New Roman" w:eastAsia="Times New Roman" w:hAnsi="Times New Roman"/>
          <w:sz w:val="18"/>
          <w:szCs w:val="18"/>
          <w:color w:val="auto"/>
        </w:rPr>
        <w:t>Mr. Kapoor may be deemed to beneficially own 84,000 shares of Common Stock directly owned by the Rohit Kapoor 2005 Spousal Lifetime Access Trust (the “Rohit Kapoor SLAT”). Mr. Kapoor’s spouse and Mr. Kapoor’s sister-in-law are co-trustees of the Rohit Kapoor SLAT and share dispositive and voting power over the 84,000 shares of Common Stock owned by the Rohit Kapoor SLAT. Mr. Kapoor disclaims beneficial ownership of any shares of Common Stock held by the Rohit Kapoor SLAT.</w:t>
      </w:r>
    </w:p>
    <w:p>
      <w:pPr>
        <w:spacing w:after="0" w:line="72" w:lineRule="exact"/>
        <w:rPr>
          <w:sz w:val="20"/>
          <w:szCs w:val="20"/>
          <w:color w:val="auto"/>
        </w:rPr>
      </w:pPr>
    </w:p>
    <w:p>
      <w:pPr>
        <w:ind w:left="1840"/>
        <w:spacing w:after="0" w:line="261" w:lineRule="auto"/>
        <w:rPr>
          <w:sz w:val="20"/>
          <w:szCs w:val="20"/>
          <w:color w:val="auto"/>
        </w:rPr>
      </w:pPr>
      <w:r>
        <w:rPr>
          <w:rFonts w:ascii="Times New Roman" w:cs="Times New Roman" w:eastAsia="Times New Roman" w:hAnsi="Times New Roman"/>
          <w:sz w:val="18"/>
          <w:szCs w:val="18"/>
          <w:color w:val="auto"/>
        </w:rPr>
        <w:t>Mr. Kapoor may be deemed to beneficially own 84,000 shares of Common Stock directly owned by the Shikha Kapoor 2005 Family Trust (the “Shikha Kapoor 2005 Trust”). Mr. Kapoor and Mr. Kapoor’s sister-in-law are co-trustees of the Shikha Kapoor 2005 Trust and share dispositive and voting power over the 84,000 shares of Common Stock owned by the Shikha Kapoor 2005 Trust. Mr. Kapoor disclaims beneficial ownership of any shares of Common Stock held by the Shikha Kapoor 2005 Trust.</w:t>
      </w:r>
    </w:p>
    <w:p>
      <w:pPr>
        <w:spacing w:after="0" w:line="72" w:lineRule="exact"/>
        <w:rPr>
          <w:sz w:val="20"/>
          <w:szCs w:val="20"/>
          <w:color w:val="auto"/>
        </w:rPr>
      </w:pPr>
    </w:p>
    <w:p>
      <w:pPr>
        <w:ind w:left="1840" w:right="20"/>
        <w:spacing w:after="0" w:line="261" w:lineRule="auto"/>
        <w:rPr>
          <w:sz w:val="20"/>
          <w:szCs w:val="20"/>
          <w:color w:val="auto"/>
        </w:rPr>
      </w:pPr>
      <w:r>
        <w:rPr>
          <w:rFonts w:ascii="Times New Roman" w:cs="Times New Roman" w:eastAsia="Times New Roman" w:hAnsi="Times New Roman"/>
          <w:sz w:val="18"/>
          <w:szCs w:val="18"/>
          <w:color w:val="auto"/>
        </w:rPr>
        <w:t>Mr. Kapoor may be deemed to beneficially own 333,185 shares of Common Stock directly owned by the Rohit Kapoor 2012 Family Trust (the “Rohit Kapoor 2012 Trust”). Barclays Wealth Trust (US), NA is the sole trustee of the Rohit Kapoor 2012 Trust and share dispositive and voting power over the 333,185 shares of Common Stock owned by the Rohit Kapoor 2012 Trust. Mr. Kapoor disclaims beneficial ownership of any shares of Common Stock held by the Rohit Kapoor 2012 Trust.</w:t>
      </w:r>
    </w:p>
    <w:p>
      <w:pPr>
        <w:spacing w:after="0" w:line="72" w:lineRule="exact"/>
        <w:rPr>
          <w:sz w:val="20"/>
          <w:szCs w:val="20"/>
          <w:color w:val="auto"/>
        </w:rPr>
      </w:pPr>
    </w:p>
    <w:p>
      <w:pPr>
        <w:ind w:left="1840" w:right="420"/>
        <w:spacing w:after="0" w:line="282" w:lineRule="auto"/>
        <w:rPr>
          <w:sz w:val="20"/>
          <w:szCs w:val="20"/>
          <w:color w:val="auto"/>
        </w:rPr>
      </w:pPr>
      <w:r>
        <w:rPr>
          <w:rFonts w:ascii="Times New Roman" w:cs="Times New Roman" w:eastAsia="Times New Roman" w:hAnsi="Times New Roman"/>
          <w:sz w:val="18"/>
          <w:szCs w:val="18"/>
          <w:color w:val="auto"/>
        </w:rPr>
        <w:t>In aggregate, Mr. Kapoor beneficially owns 2,135,630 shares of Common Stock, which represented approximately 6.2% of the issued and outstanding shares of Common Stock as of December 31, 2014.</w:t>
      </w:r>
    </w:p>
    <w:p>
      <w:pPr>
        <w:spacing w:after="0" w:line="310"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8"/>
          <w:szCs w:val="18"/>
          <w:color w:val="auto"/>
        </w:rPr>
        <w:t>Ownership of Five Percent or Less of a Class</w:t>
      </w:r>
    </w:p>
    <w:p>
      <w:pPr>
        <w:spacing w:after="0" w:line="11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4"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8"/>
          <w:szCs w:val="18"/>
          <w:color w:val="auto"/>
        </w:rPr>
        <w:t>Ownership of More than Five Percent on Behalf of Another Person</w:t>
      </w:r>
    </w:p>
    <w:p>
      <w:pPr>
        <w:spacing w:after="0" w:line="11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270" w:right="2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302081104</w:t>
      </w:r>
    </w:p>
    <w:p>
      <w:pPr>
        <w:spacing w:after="0" w:line="158" w:lineRule="exact"/>
        <w:rPr>
          <w:sz w:val="20"/>
          <w:szCs w:val="20"/>
          <w:color w:val="auto"/>
        </w:rPr>
      </w:pPr>
    </w:p>
    <w:p>
      <w:pPr>
        <w:ind w:left="1380" w:hanging="1363"/>
        <w:spacing w:after="0" w:line="282" w:lineRule="auto"/>
        <w:tabs>
          <w:tab w:leader="none" w:pos="136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8"/>
          <w:szCs w:val="18"/>
          <w:color w:val="auto"/>
        </w:rPr>
        <w:t>Identification and Classification of the Subsidiary Which Acquired the Security Being Reported on By the Parent Holding Company or Control Person</w:t>
      </w:r>
    </w:p>
    <w:p>
      <w:pPr>
        <w:spacing w:after="0" w:line="5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120"/>
          </w:cols>
          <w:pgMar w:left="240" w:top="270" w:right="539" w:bottom="1440" w:gutter="0" w:footer="0" w:header="0"/>
        </w:sect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8.</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Identification and Classification of Members of the Group</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ectPr>
          <w:pgSz w:w="11900" w:h="16838" w:orient="portrait"/>
          <w:cols w:equalWidth="0" w:num="2">
            <w:col w:w="660" w:space="720"/>
            <w:col w:w="9740"/>
          </w:cols>
          <w:pgMar w:left="240" w:top="270" w:right="539" w:bottom="1440" w:gutter="0" w:footer="0" w:header="0"/>
          <w:type w:val="continuous"/>
        </w:sectPr>
      </w:pP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9.</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Notice of Dissolution of Group</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ectPr>
          <w:pgSz w:w="11900" w:h="16838" w:orient="portrait"/>
          <w:cols w:equalWidth="0" w:num="2">
            <w:col w:w="660" w:space="720"/>
            <w:col w:w="9740"/>
          </w:cols>
          <w:pgMar w:left="240" w:top="270" w:right="539" w:bottom="1440" w:gutter="0" w:footer="0" w:header="0"/>
          <w:type w:val="continuous"/>
        </w:sectPr>
      </w:pP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10.</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Not Applicable</w:t>
      </w:r>
    </w:p>
    <w:p>
      <w:pPr>
        <w:spacing w:after="0" w:line="169" w:lineRule="exact"/>
        <w:rPr>
          <w:sz w:val="20"/>
          <w:szCs w:val="20"/>
          <w:color w:val="auto"/>
        </w:rPr>
      </w:pPr>
    </w:p>
    <w:p>
      <w:pPr>
        <w:sectPr>
          <w:pgSz w:w="11900" w:h="16838" w:orient="portrait"/>
          <w:cols w:equalWidth="0" w:num="2">
            <w:col w:w="660" w:space="720"/>
            <w:col w:w="9740"/>
          </w:cols>
          <w:pgMar w:left="240" w:top="270" w:right="539" w:bottom="1440" w:gutter="0" w:footer="0" w:header="0"/>
          <w:type w:val="continuous"/>
        </w:sectPr>
      </w:pPr>
    </w:p>
    <w:p>
      <w:pPr>
        <w:jc w:val="center"/>
        <w:ind w:right="-2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240" w:top="270" w:right="5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302081104</w:t>
      </w:r>
    </w:p>
    <w:p>
      <w:pPr>
        <w:spacing w:after="0" w:line="154"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9, 2015</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Rohit Kapoor</w:t>
      </w:r>
    </w:p>
    <w:sectPr>
      <w:pgSz w:w="11900" w:h="16838" w:orient="portrait"/>
      <w:cols w:equalWidth="0" w:num="1">
        <w:col w:w="10920"/>
      </w:cols>
      <w:pgMar w:left="240" w:top="270"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2019-12-08T11:55:16Z</dcterms:created>
  <dcterms:modified xsi:type="dcterms:W3CDTF">2019-12-08T11:55:16Z</dcterms:modified>
</cp:coreProperties>
</file>