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30, 2009.</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333-162335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S-3</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20" w:type="dxa"/>
        <w:tblCellMar>
          <w:top w:w="0" w:type="dxa"/>
          <w:left w:w="0" w:type="dxa"/>
          <w:bottom w:w="0" w:type="dxa"/>
          <w:right w:w="0" w:type="dxa"/>
        </w:tblCellMar>
      </w:tblPr>
      <w:tr>
        <w:trPr>
          <w:trHeight w:val="218"/>
        </w:trPr>
        <w:tc>
          <w:tcPr>
            <w:tcW w:w="6460" w:type="dxa"/>
            <w:vAlign w:val="bottom"/>
          </w:tcPr>
          <w:p>
            <w:pPr>
              <w:jc w:val="center"/>
              <w:ind w:right="2877"/>
              <w:spacing w:after="0"/>
              <w:rPr>
                <w:sz w:val="20"/>
                <w:szCs w:val="20"/>
                <w:color w:val="auto"/>
              </w:rPr>
            </w:pPr>
            <w:r>
              <w:rPr>
                <w:rFonts w:ascii="Arial" w:cs="Arial" w:eastAsia="Arial" w:hAnsi="Arial"/>
                <w:sz w:val="18"/>
                <w:szCs w:val="18"/>
                <w:b w:val="1"/>
                <w:bCs w:val="1"/>
                <w:color w:val="auto"/>
                <w:w w:val="88"/>
              </w:rPr>
              <w:t>Delaware</w:t>
            </w:r>
          </w:p>
        </w:tc>
        <w:tc>
          <w:tcPr>
            <w:tcW w:w="2140" w:type="dxa"/>
            <w:vAlign w:val="bottom"/>
          </w:tcPr>
          <w:p>
            <w:pPr>
              <w:jc w:val="right"/>
              <w:ind w:right="542"/>
              <w:spacing w:after="0"/>
              <w:rPr>
                <w:sz w:val="20"/>
                <w:szCs w:val="20"/>
                <w:color w:val="auto"/>
              </w:rPr>
            </w:pPr>
            <w:r>
              <w:rPr>
                <w:rFonts w:ascii="Arial" w:cs="Arial" w:eastAsia="Arial" w:hAnsi="Arial"/>
                <w:sz w:val="18"/>
                <w:szCs w:val="18"/>
                <w:b w:val="1"/>
                <w:bCs w:val="1"/>
                <w:color w:val="auto"/>
              </w:rPr>
              <w:t>82-0572194</w:t>
            </w:r>
          </w:p>
        </w:tc>
      </w:tr>
      <w:tr>
        <w:trPr>
          <w:trHeight w:val="174"/>
        </w:trPr>
        <w:tc>
          <w:tcPr>
            <w:tcW w:w="6460" w:type="dxa"/>
            <w:vAlign w:val="bottom"/>
          </w:tcPr>
          <w:p>
            <w:pPr>
              <w:jc w:val="center"/>
              <w:ind w:right="2897"/>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140" w:type="dxa"/>
            <w:vAlign w:val="bottom"/>
          </w:tcPr>
          <w:p>
            <w:pPr>
              <w:jc w:val="center"/>
              <w:ind w:left="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51"/>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88"/>
              </w:rPr>
              <w:t>280 Park Avenue</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New York, New York 10017</w:t>
            </w:r>
          </w:p>
        </w:tc>
        <w:tc>
          <w:tcPr>
            <w:tcW w:w="2140" w:type="dxa"/>
            <w:vAlign w:val="bottom"/>
          </w:tcPr>
          <w:p>
            <w:pPr>
              <w:spacing w:after="0"/>
              <w:rPr>
                <w:sz w:val="18"/>
                <w:szCs w:val="18"/>
                <w:color w:val="auto"/>
              </w:rPr>
            </w:pPr>
          </w:p>
        </w:tc>
      </w:tr>
      <w:tr>
        <w:trPr>
          <w:trHeight w:val="220"/>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277-7100</w:t>
            </w:r>
          </w:p>
        </w:tc>
        <w:tc>
          <w:tcPr>
            <w:tcW w:w="2140" w:type="dxa"/>
            <w:vAlign w:val="bottom"/>
          </w:tcPr>
          <w:p>
            <w:pPr>
              <w:spacing w:after="0"/>
              <w:rPr>
                <w:sz w:val="19"/>
                <w:szCs w:val="19"/>
                <w:color w:val="auto"/>
              </w:rPr>
            </w:pPr>
          </w:p>
        </w:tc>
      </w:tr>
      <w:tr>
        <w:trPr>
          <w:trHeight w:val="149"/>
        </w:trPr>
        <w:tc>
          <w:tcPr>
            <w:tcW w:w="6460" w:type="dxa"/>
            <w:vAlign w:val="bottom"/>
          </w:tcPr>
          <w:p>
            <w:pPr>
              <w:jc w:val="center"/>
              <w:ind w:left="2637"/>
              <w:spacing w:after="0" w:line="149" w:lineRule="exact"/>
              <w:rPr>
                <w:sz w:val="20"/>
                <w:szCs w:val="20"/>
                <w:color w:val="auto"/>
              </w:rPr>
            </w:pPr>
            <w:r>
              <w:rPr>
                <w:rFonts w:ascii="Arial" w:cs="Arial" w:eastAsia="Arial" w:hAnsi="Arial"/>
                <w:sz w:val="14"/>
                <w:szCs w:val="14"/>
                <w:color w:val="auto"/>
                <w:w w:val="87"/>
              </w:rPr>
              <w:t>(Address, including zip code, and telephone number,</w:t>
            </w:r>
          </w:p>
        </w:tc>
        <w:tc>
          <w:tcPr>
            <w:tcW w:w="2140" w:type="dxa"/>
            <w:vAlign w:val="bottom"/>
          </w:tcPr>
          <w:p>
            <w:pPr>
              <w:spacing w:after="0"/>
              <w:rPr>
                <w:sz w:val="12"/>
                <w:szCs w:val="12"/>
                <w:color w:val="auto"/>
              </w:rPr>
            </w:pPr>
          </w:p>
        </w:tc>
      </w:tr>
      <w:tr>
        <w:trPr>
          <w:trHeight w:val="172"/>
        </w:trPr>
        <w:tc>
          <w:tcPr>
            <w:tcW w:w="6460" w:type="dxa"/>
            <w:vAlign w:val="bottom"/>
          </w:tcPr>
          <w:p>
            <w:pPr>
              <w:jc w:val="center"/>
              <w:ind w:left="2637"/>
              <w:spacing w:after="0"/>
              <w:rPr>
                <w:sz w:val="20"/>
                <w:szCs w:val="20"/>
                <w:color w:val="auto"/>
              </w:rPr>
            </w:pPr>
            <w:r>
              <w:rPr>
                <w:rFonts w:ascii="Arial" w:cs="Arial" w:eastAsia="Arial" w:hAnsi="Arial"/>
                <w:sz w:val="14"/>
                <w:szCs w:val="14"/>
                <w:color w:val="auto"/>
                <w:w w:val="88"/>
              </w:rPr>
              <w:t>including area code, of registrant’s principal executive offices)</w:t>
            </w:r>
          </w:p>
        </w:tc>
        <w:tc>
          <w:tcPr>
            <w:tcW w:w="2140" w:type="dxa"/>
            <w:vAlign w:val="bottom"/>
          </w:tcPr>
          <w:p>
            <w:pPr>
              <w:spacing w:after="0"/>
              <w:rPr>
                <w:sz w:val="14"/>
                <w:szCs w:val="14"/>
                <w:color w:val="auto"/>
              </w:rPr>
            </w:pP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8"/>
              </w:rPr>
              <w:t>Amit Shashank, Esq.</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Vice President, General Counsel and Secretary</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8"/>
              </w:rPr>
              <w:t>ExlService Holdings, Inc.</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88"/>
              </w:rPr>
              <w:t>280 Park Avenue</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New York, New York 10017</w:t>
            </w:r>
          </w:p>
        </w:tc>
        <w:tc>
          <w:tcPr>
            <w:tcW w:w="2140" w:type="dxa"/>
            <w:vAlign w:val="bottom"/>
          </w:tcPr>
          <w:p>
            <w:pPr>
              <w:spacing w:after="0"/>
              <w:rPr>
                <w:sz w:val="18"/>
                <w:szCs w:val="18"/>
                <w:color w:val="auto"/>
              </w:rPr>
            </w:pPr>
          </w:p>
        </w:tc>
      </w:tr>
      <w:tr>
        <w:trPr>
          <w:trHeight w:val="220"/>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277-7100</w:t>
            </w:r>
          </w:p>
        </w:tc>
        <w:tc>
          <w:tcPr>
            <w:tcW w:w="2140" w:type="dxa"/>
            <w:vAlign w:val="bottom"/>
          </w:tcPr>
          <w:p>
            <w:pPr>
              <w:spacing w:after="0"/>
              <w:rPr>
                <w:sz w:val="19"/>
                <w:szCs w:val="19"/>
                <w:color w:val="auto"/>
              </w:rPr>
            </w:pPr>
          </w:p>
        </w:tc>
      </w:tr>
      <w:tr>
        <w:trPr>
          <w:trHeight w:val="149"/>
        </w:trPr>
        <w:tc>
          <w:tcPr>
            <w:tcW w:w="6460" w:type="dxa"/>
            <w:vAlign w:val="bottom"/>
          </w:tcPr>
          <w:p>
            <w:pPr>
              <w:jc w:val="center"/>
              <w:ind w:left="2657"/>
              <w:spacing w:after="0" w:line="149" w:lineRule="exact"/>
              <w:rPr>
                <w:sz w:val="20"/>
                <w:szCs w:val="20"/>
                <w:color w:val="auto"/>
              </w:rPr>
            </w:pPr>
            <w:r>
              <w:rPr>
                <w:rFonts w:ascii="Arial" w:cs="Arial" w:eastAsia="Arial" w:hAnsi="Arial"/>
                <w:sz w:val="14"/>
                <w:szCs w:val="14"/>
                <w:color w:val="auto"/>
                <w:w w:val="86"/>
              </w:rPr>
              <w:t>(Name, address, including zip code, and telephone number,</w:t>
            </w:r>
          </w:p>
        </w:tc>
        <w:tc>
          <w:tcPr>
            <w:tcW w:w="2140" w:type="dxa"/>
            <w:vAlign w:val="bottom"/>
          </w:tcPr>
          <w:p>
            <w:pPr>
              <w:spacing w:after="0"/>
              <w:rPr>
                <w:sz w:val="12"/>
                <w:szCs w:val="12"/>
                <w:color w:val="auto"/>
              </w:rPr>
            </w:pPr>
          </w:p>
        </w:tc>
      </w:tr>
      <w:tr>
        <w:trPr>
          <w:trHeight w:val="172"/>
        </w:trPr>
        <w:tc>
          <w:tcPr>
            <w:tcW w:w="6460" w:type="dxa"/>
            <w:vAlign w:val="bottom"/>
          </w:tcPr>
          <w:p>
            <w:pPr>
              <w:jc w:val="center"/>
              <w:ind w:left="2637"/>
              <w:spacing w:after="0"/>
              <w:rPr>
                <w:sz w:val="20"/>
                <w:szCs w:val="20"/>
                <w:color w:val="auto"/>
              </w:rPr>
            </w:pPr>
            <w:r>
              <w:rPr>
                <w:rFonts w:ascii="Arial" w:cs="Arial" w:eastAsia="Arial" w:hAnsi="Arial"/>
                <w:sz w:val="14"/>
                <w:szCs w:val="14"/>
                <w:color w:val="auto"/>
                <w:w w:val="87"/>
              </w:rPr>
              <w:t>including area code, of agent for service)</w:t>
            </w:r>
          </w:p>
        </w:tc>
        <w:tc>
          <w:tcPr>
            <w:tcW w:w="2140" w:type="dxa"/>
            <w:vAlign w:val="bottom"/>
          </w:tcPr>
          <w:p>
            <w:pPr>
              <w:spacing w:after="0"/>
              <w:rPr>
                <w:sz w:val="14"/>
                <w:szCs w:val="14"/>
                <w:color w:val="auto"/>
              </w:rPr>
            </w:pPr>
          </w:p>
        </w:tc>
      </w:tr>
      <w:tr>
        <w:trPr>
          <w:trHeight w:val="351"/>
        </w:trPr>
        <w:tc>
          <w:tcPr>
            <w:tcW w:w="6460" w:type="dxa"/>
            <w:vAlign w:val="bottom"/>
          </w:tcPr>
          <w:p>
            <w:pPr>
              <w:jc w:val="center"/>
              <w:ind w:left="2637"/>
              <w:spacing w:after="0"/>
              <w:rPr>
                <w:sz w:val="20"/>
                <w:szCs w:val="20"/>
                <w:color w:val="auto"/>
              </w:rPr>
            </w:pPr>
            <w:r>
              <w:rPr>
                <w:rFonts w:ascii="Arial" w:cs="Arial" w:eastAsia="Arial" w:hAnsi="Arial"/>
                <w:sz w:val="18"/>
                <w:szCs w:val="18"/>
                <w:color w:val="auto"/>
                <w:w w:val="92"/>
              </w:rPr>
              <w:t>Copy to:</w:t>
            </w:r>
          </w:p>
        </w:tc>
        <w:tc>
          <w:tcPr>
            <w:tcW w:w="2140" w:type="dxa"/>
            <w:vAlign w:val="bottom"/>
          </w:tcPr>
          <w:p>
            <w:pPr>
              <w:spacing w:after="0"/>
              <w:rPr>
                <w:sz w:val="24"/>
                <w:szCs w:val="24"/>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John C. Kennedy, Esq.</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92"/>
              </w:rPr>
              <w:t>Paul, Weiss, Rifkind, Wharton &amp; Garrison LLP</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7"/>
              </w:rPr>
              <w:t>1285 Avenue of the Americas</w:t>
            </w:r>
          </w:p>
        </w:tc>
        <w:tc>
          <w:tcPr>
            <w:tcW w:w="2140" w:type="dxa"/>
            <w:vAlign w:val="bottom"/>
          </w:tcPr>
          <w:p>
            <w:pPr>
              <w:spacing w:after="0"/>
              <w:rPr>
                <w:sz w:val="18"/>
                <w:szCs w:val="18"/>
                <w:color w:val="auto"/>
              </w:rPr>
            </w:pPr>
          </w:p>
        </w:tc>
      </w:tr>
      <w:tr>
        <w:trPr>
          <w:trHeight w:val="216"/>
        </w:trPr>
        <w:tc>
          <w:tcPr>
            <w:tcW w:w="6460" w:type="dxa"/>
            <w:vAlign w:val="bottom"/>
          </w:tcPr>
          <w:p>
            <w:pPr>
              <w:jc w:val="center"/>
              <w:ind w:left="2657"/>
              <w:spacing w:after="0"/>
              <w:rPr>
                <w:sz w:val="20"/>
                <w:szCs w:val="20"/>
                <w:color w:val="auto"/>
              </w:rPr>
            </w:pPr>
            <w:r>
              <w:rPr>
                <w:rFonts w:ascii="Arial" w:cs="Arial" w:eastAsia="Arial" w:hAnsi="Arial"/>
                <w:sz w:val="18"/>
                <w:szCs w:val="18"/>
                <w:b w:val="1"/>
                <w:bCs w:val="1"/>
                <w:color w:val="auto"/>
                <w:w w:val="90"/>
              </w:rPr>
              <w:t>New York, New York 10019-6064</w:t>
            </w:r>
          </w:p>
        </w:tc>
        <w:tc>
          <w:tcPr>
            <w:tcW w:w="2140" w:type="dxa"/>
            <w:vAlign w:val="bottom"/>
          </w:tcPr>
          <w:p>
            <w:pPr>
              <w:spacing w:after="0"/>
              <w:rPr>
                <w:sz w:val="18"/>
                <w:szCs w:val="18"/>
                <w:color w:val="auto"/>
              </w:rPr>
            </w:pPr>
          </w:p>
        </w:tc>
      </w:tr>
      <w:tr>
        <w:trPr>
          <w:trHeight w:val="228"/>
        </w:trPr>
        <w:tc>
          <w:tcPr>
            <w:tcW w:w="6460" w:type="dxa"/>
            <w:vAlign w:val="bottom"/>
          </w:tcPr>
          <w:p>
            <w:pPr>
              <w:jc w:val="center"/>
              <w:ind w:left="2637"/>
              <w:spacing w:after="0"/>
              <w:rPr>
                <w:sz w:val="20"/>
                <w:szCs w:val="20"/>
                <w:color w:val="auto"/>
              </w:rPr>
            </w:pPr>
            <w:r>
              <w:rPr>
                <w:rFonts w:ascii="Arial" w:cs="Arial" w:eastAsia="Arial" w:hAnsi="Arial"/>
                <w:sz w:val="18"/>
                <w:szCs w:val="18"/>
                <w:b w:val="1"/>
                <w:bCs w:val="1"/>
                <w:color w:val="auto"/>
                <w:w w:val="89"/>
              </w:rPr>
              <w:t>(212) 373-3000</w:t>
            </w:r>
          </w:p>
        </w:tc>
        <w:tc>
          <w:tcPr>
            <w:tcW w:w="2140" w:type="dxa"/>
            <w:vAlign w:val="bottom"/>
          </w:tcPr>
          <w:p>
            <w:pPr>
              <w:spacing w:after="0"/>
              <w:rPr>
                <w:sz w:val="19"/>
                <w:szCs w:val="19"/>
                <w:color w:val="auto"/>
              </w:rPr>
            </w:pPr>
          </w:p>
        </w:tc>
      </w:tr>
    </w:tbl>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6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27" w:lineRule="exact"/>
        <w:rPr>
          <w:sz w:val="24"/>
          <w:szCs w:val="24"/>
          <w:color w:val="auto"/>
        </w:rPr>
      </w:pPr>
    </w:p>
    <w:p>
      <w:pPr>
        <w:ind w:right="280"/>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being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36"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jc w:val="both"/>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7" w:lineRule="exact"/>
        <w:rPr>
          <w:sz w:val="24"/>
          <w:szCs w:val="24"/>
          <w:color w:val="auto"/>
        </w:rPr>
      </w:pPr>
    </w:p>
    <w:p>
      <w:pPr>
        <w:ind w:right="100"/>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jc w:val="both"/>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80" w:val="left"/>
          <w:tab w:leader="none" w:pos="3580" w:val="left"/>
          <w:tab w:leader="none" w:pos="5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143510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54"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December 30,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220980</wp:posOffset>
            </wp:positionV>
            <wp:extent cx="1140460" cy="909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046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offer and sell from time to time up to an aggregate of $200,000,000 of shares of our common stock, shares of our preferred stock, debt securities, depositary shares, warrants, rights, purchase contracts or units, or any combination thereof, in one or more offerings in amounts, at prices and on terms that we determine at the time of the offering. In addition, the selling stockholders to be named in a prospectus supplement may offer, from time to time and in one or more offerings, up to 6,000,000 shares of our common stock.</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time we or the selling stockholders offer securities, we will provide a prospectus supplement containing more information about the particular offering together with this prospectus. The prospectus supplement also may add, update or change information contained in this prospectus. This prospectus may not be used to offer and sell securities without a prospectus supplement.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traded on the Nasdaq Global Select Market under the symbol “EXLS.”</w:t>
      </w:r>
    </w:p>
    <w:p>
      <w:pPr>
        <w:spacing w:after="0" w:line="165" w:lineRule="exact"/>
        <w:rPr>
          <w:sz w:val="20"/>
          <w:szCs w:val="20"/>
          <w:color w:val="auto"/>
        </w:rPr>
      </w:pPr>
    </w:p>
    <w:p>
      <w:pPr>
        <w:ind w:right="200" w:firstLine="456"/>
        <w:spacing w:after="0" w:line="310"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these securities involves significant risks. We strongly recommend that you read carefully the risks we describe in this prospectus as well as in any accompanying prospectus supplement and the risk factors that are incorporated by reference in this prospectus from our filings made with the Securities and Exchange Commission. See “</w:t>
      </w:r>
      <w:hyperlink w:anchor="page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79375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00" w:type="dxa"/>
            <w:vAlign w:val="bottom"/>
          </w:tcPr>
          <w:p>
            <w:pPr>
              <w:jc w:val="right"/>
              <w:spacing w:after="0"/>
              <w:rPr>
                <w:sz w:val="20"/>
                <w:szCs w:val="20"/>
                <w:color w:val="auto"/>
              </w:rPr>
            </w:pPr>
            <w:r>
              <w:rPr>
                <w:rFonts w:ascii="Arial" w:cs="Arial" w:eastAsia="Arial" w:hAnsi="Arial"/>
                <w:sz w:val="18"/>
                <w:szCs w:val="18"/>
                <w:color w:val="auto"/>
              </w:rPr>
              <w:t>, 2009</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60" w:type="dxa"/>
            <w:vAlign w:val="bottom"/>
            <w:gridSpan w:val="3"/>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780" w:type="dxa"/>
            <w:vAlign w:val="bottom"/>
            <w:gridSpan w:val="1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73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780" w:type="dxa"/>
            <w:vAlign w:val="bottom"/>
            <w:gridSpan w:val="17"/>
            <w:vMerge w:val="continue"/>
          </w:tcPr>
          <w:p>
            <w:pPr>
              <w:spacing w:after="0"/>
              <w:rPr>
                <w:sz w:val="14"/>
                <w:szCs w:val="14"/>
                <w:color w:val="auto"/>
              </w:rPr>
            </w:pPr>
          </w:p>
        </w:tc>
        <w:tc>
          <w:tcPr>
            <w:tcW w:w="73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The Company</w:t>
              </w:r>
            </w:hyperlink>
          </w:p>
        </w:tc>
        <w:tc>
          <w:tcPr>
            <w:tcW w:w="2180" w:type="dxa"/>
            <w:vAlign w:val="bottom"/>
            <w:gridSpan w:val="11"/>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Forward-Looking Statements</w:t>
              </w:r>
            </w:hyperlink>
          </w:p>
        </w:tc>
        <w:tc>
          <w:tcPr>
            <w:tcW w:w="1700" w:type="dxa"/>
            <w:vAlign w:val="bottom"/>
            <w:gridSpan w:val="6"/>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Risk Factors</w:t>
              </w:r>
            </w:hyperlink>
          </w:p>
        </w:tc>
        <w:tc>
          <w:tcPr>
            <w:tcW w:w="2880" w:type="dxa"/>
            <w:vAlign w:val="bottom"/>
            <w:gridSpan w:val="15"/>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Ratio of Earnings to Fixed Charges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Selling Stockholders</w:t>
              </w:r>
            </w:hyperlink>
          </w:p>
        </w:tc>
        <w:tc>
          <w:tcPr>
            <w:tcW w:w="1300" w:type="dxa"/>
            <w:vAlign w:val="bottom"/>
            <w:gridSpan w:val="4"/>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Description of Capital Stock</w:t>
              </w:r>
            </w:hyperlink>
          </w:p>
        </w:tc>
        <w:tc>
          <w:tcPr>
            <w:tcW w:w="1760" w:type="dxa"/>
            <w:vAlign w:val="bottom"/>
            <w:gridSpan w:val="7"/>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Description of the Debt Securities</w:t>
              </w:r>
            </w:hyperlink>
          </w:p>
        </w:tc>
        <w:tc>
          <w:tcPr>
            <w:tcW w:w="1380" w:type="dxa"/>
            <w:vAlign w:val="bottom"/>
            <w:gridSpan w:val="5"/>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the Depositary Shares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the Warrants</w:t>
              </w:r>
            </w:hyperlink>
          </w:p>
        </w:tc>
        <w:tc>
          <w:tcPr>
            <w:tcW w:w="1180" w:type="dxa"/>
            <w:vAlign w:val="bottom"/>
            <w:gridSpan w:val="3"/>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Description of the Rights</w:t>
              </w:r>
            </w:hyperlink>
          </w:p>
        </w:tc>
        <w:tc>
          <w:tcPr>
            <w:tcW w:w="160" w:type="dxa"/>
            <w:vAlign w:val="bottom"/>
            <w:tcBorders>
              <w:top w:val="single" w:sz="8" w:color="0000EE"/>
            </w:tcBorders>
          </w:tcPr>
          <w:p>
            <w:pPr>
              <w:spacing w:after="0"/>
              <w:rPr>
                <w:sz w:val="17"/>
                <w:szCs w:val="17"/>
                <w:color w:val="auto"/>
              </w:rPr>
            </w:pPr>
          </w:p>
        </w:tc>
        <w:tc>
          <w:tcPr>
            <w:tcW w:w="1840" w:type="dxa"/>
            <w:vAlign w:val="bottom"/>
            <w:gridSpan w:val="8"/>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Description of the Purchase Contracts</w:t>
              </w:r>
            </w:hyperlink>
          </w:p>
        </w:tc>
        <w:tc>
          <w:tcPr>
            <w:tcW w:w="1100" w:type="dxa"/>
            <w:vAlign w:val="bottom"/>
            <w:gridSpan w:val="2"/>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the Units</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Plan of Distribution</w:t>
              </w:r>
            </w:hyperlink>
          </w:p>
        </w:tc>
        <w:tc>
          <w:tcPr>
            <w:tcW w:w="2080" w:type="dxa"/>
            <w:vAlign w:val="bottom"/>
            <w:gridSpan w:val="10"/>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2320" w:type="dxa"/>
            <w:vAlign w:val="bottom"/>
            <w:gridSpan w:val="12"/>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2780" w:type="dxa"/>
            <w:vAlign w:val="bottom"/>
            <w:gridSpan w:val="14"/>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Incorporation by Reference</w:t>
              </w:r>
            </w:hyperlink>
          </w:p>
        </w:tc>
        <w:tc>
          <w:tcPr>
            <w:tcW w:w="860" w:type="dxa"/>
            <w:vAlign w:val="bottom"/>
            <w:tcBorders>
              <w:top w:val="single" w:sz="8" w:color="0000EE"/>
            </w:tcBorders>
            <w:gridSpan w:val="7"/>
          </w:tcPr>
          <w:p>
            <w:pPr>
              <w:spacing w:after="0"/>
              <w:rPr>
                <w:sz w:val="17"/>
                <w:szCs w:val="17"/>
                <w:color w:val="auto"/>
              </w:rPr>
            </w:pPr>
          </w:p>
        </w:tc>
        <w:tc>
          <w:tcPr>
            <w:tcW w:w="980" w:type="dxa"/>
            <w:vAlign w:val="bottom"/>
          </w:tcPr>
          <w:p>
            <w:pPr>
              <w:spacing w:after="0"/>
              <w:rPr>
                <w:sz w:val="17"/>
                <w:szCs w:val="17"/>
                <w:color w:val="auto"/>
              </w:rPr>
            </w:pPr>
          </w:p>
        </w:tc>
        <w:tc>
          <w:tcPr>
            <w:tcW w:w="76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and sell from time to time shares of our common stock, shares of our preferred stock,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depositary shares, warrants, rights, purchase contracts or units, or any combination thereof, in one or more offerings in amounts, at prices and on terms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 at the time of the offering, with an aggregate initial offering price of up to $200,000,000 and the selling stockholders may offer, from time to time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or more offerings, up to an aggregate of 6,000,000 shares of our common stock. This prospectus provides you with a general description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Each time we offer the securities or the selling stockholders sell shares of common stock, we will provide a prospectus supplement that describes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terms of the offering. The prospectus supplement also may add, update or change information contained in this prospectus. Before making an investment decision,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carefully both this prospectus and any prospectus supplement together with the documents incorporated by reference into this prospectus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 under the heading “Incorporation by Reference.”</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The registration statement can be read at the SEC web site (www.sec.gov) or at the SEC public reference room as discussed below under the heading “Where You Can Find More Information.”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provided in the registration statement, this prospectus and in any prospectus supplement, including the information incorporated by reference. Neither we nor the selling stockholders have authorized anyone to provide you with different information. You should not assume that the information in this prospectus or any supplement to this prospectus is accurate at any date other than the date indicated on the cover page of these documents. Neither we nor the selling stockholders are making an offer to sell the securities in any jurisdiction where the offer or sale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and the selling stockholders may sell the securities to or through underwriters, dealers or agents or directly to purchasers. The securities may be sold for U.S. dollars, foreign-denominated currency or currency units. Amounts payable with respect to any securities may be payable in U.S. dollars or foreign-denominated currency or currency units as specified in the applicable prospectus supplement. We, the selling stockholders and our and their agents reserve the sole right to accept or reject in whole or in part any proposed purchase of the securities. The prospectus supplement, which we will provide each time we or the selling stockholders offer the securities, will set forth the names of any underwriters, dealers or agents involved in the sale of the securities, and any related fee, commission or discount arrangements. See “Plan of Distribution.”</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may also contain information about any material U.S. federal income tax considerations relating to the securities covered by the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prospectus, the terms “ExlService,” “we,” “us,” “our” and the “Company” refer to ExlService Holdings, Inc.</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ExlService Holdings, Inc. is a leading provider of outsourcing and transformation services. Our outsourcing services include a full spectrum of business process outsourcing services from offshore delivery centers requiring ongoing process management skills. Transformation services enable continuous improvement of client processes by bringing together our capabilities in reengineering including decision analytics, risk and financial management and operations and process excellence services. Headquartered in New York, we primarily serves the needs of Global 1000 companies in the insurance, utilities, financial services and transportation and logistics sectors.</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ExlService, we refer you to our filings with the SEC incorporated by reference in this prospectus. For instructions on how to find copies of these documents, see “Where You Can Find More Information.” More information about us is also available through our website at www.exlservice.com. The information on our website is not incorporated by reference into this prospectus or any accompanying prospectus supplement.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280 Park Avenue, New York, New York 10017, telephone (212) 277-7100.</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and the documents incorporated by reference include forward-looking statements as defined in the Private Securities Litigation Reform Act of 1995. In addition, we may make other written and oral communications from time to time that contain such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the information contained and incorporated by reference herein, you should understand that these statements are not guarantees of performance or results. They involve known and unknown risks, uncertainties and assumptions. Although we believe that these forward looking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herein and in the documents incorporated by reference herein. These and other risks could cause actual results to differ materially from those implied by forward looking statements herein and therein.</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herein and in the documents incorporated by reference herein, or elsewhere, speaks only as of the date on which we make it. New risks and uncertainties come up from time to time, and it is impossible for us to predict these events or how they may affect us. We have no obligation to update any forward looking statements herein or therein after the date hereof or thereof, except as required by federal securities laws.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Investing in our securities involves risk. You should carefully consider the specific risks discussed or incorporated by reference in the applicable prospectus supplement, together with all the other information contained in the prospectus supplement or incorporated by reference in this prospectus and the applicable prospectus supplement. You should also consider the risks, uncertainties and assumptions discussed under the caption “Risk Factors” included in our Annual Report on Form 10-K for the year ended December 31, 2008, which is incorporated by reference in this prospectus. These risk factors may be amended, supplemented or superseded from time to time by other reports we file with the SEC in the future.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Unless we specify another use in the applicable prospectus supplement, we will use the net proceeds from the sale of the securities offered by us for general corporate purposes, which may include, among other things, debt repayment, working capital and/or capital expenditures.</w:t>
      </w:r>
    </w:p>
    <w:p>
      <w:pPr>
        <w:spacing w:after="0" w:line="8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also use such proceeds to fund acquisitions of businesses, technologies or product lines that complement our current business. We may set forth additional information on the use of net proceeds from the sale of the securities we offer under this prospectus in a prospectus supplement related to a specific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resale of shares of our common stock by the selling stockholders.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ratios of earnings to fixed charges are shown in the table below. For purposes of calculating the below ratios, earnings consist of income before taxes plus fixed charges plus amortization of capitalized interest less interest capitalized during the period. Fixed charges means the sum of the following: (a) interest expensed and capitalized, (b) amortized premiums, discounts and capitalized expenses related to indebtedness, (c) an estimate of the interest within rental expense, and (d) preference security dividend requirements of consolidated subsidiaries. Preferred dividends include pre-tax amounts required to pay dividends in respect of our previously-outstanding Series A Preferred Stock.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5320" w:type="dxa"/>
            <w:vAlign w:val="bottom"/>
          </w:tcPr>
          <w:p>
            <w:pPr>
              <w:spacing w:after="0"/>
              <w:rPr>
                <w:sz w:val="14"/>
                <w:szCs w:val="14"/>
                <w:color w:val="auto"/>
              </w:rPr>
            </w:pPr>
          </w:p>
        </w:tc>
        <w:tc>
          <w:tcPr>
            <w:tcW w:w="188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2005(1)</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6.7</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Ratio of earnings to fixed charges and preferred dividends</w:t>
            </w:r>
          </w:p>
        </w:tc>
        <w:tc>
          <w:tcPr>
            <w:tcW w:w="540" w:type="dxa"/>
            <w:vAlign w:val="bottom"/>
          </w:tcPr>
          <w:p>
            <w:pPr>
              <w:ind w:left="320"/>
              <w:spacing w:after="0"/>
              <w:rPr>
                <w:sz w:val="20"/>
                <w:szCs w:val="20"/>
                <w:color w:val="auto"/>
              </w:rPr>
            </w:pPr>
            <w:r>
              <w:rPr>
                <w:rFonts w:ascii="Arial" w:cs="Arial" w:eastAsia="Arial" w:hAnsi="Arial"/>
                <w:sz w:val="18"/>
                <w:szCs w:val="18"/>
                <w:color w:val="auto"/>
                <w:w w:val="79"/>
              </w:rPr>
              <w:t>6.7</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6.2</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6.5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were insufficient to cover fixed charges by $1.7 million and were insufficient to cover fixed charges and preferred dividends by $1.9 million in the year ended December 31, 2005.</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selling stockholders named in the table below may from time to time offer and sell pursuant to this prospectus and any applicable prospectus supplement up to 6,000,000 shares of our common stock. When we refer to “selling stockholders” in this prospectus, we mean those persons listed in the table below, as well as their transferees, pledgees or donees or their successors. The selling stockholders may sell all, a portion or none of their shares at any time. The information regarding shares beneficially owned after the offering assumes the sale of all shares offered by the selling stockholders. Except as otherwise indicated, each selling stockholder has sole voting and dispositive power with respect to such shares.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Shares that</w:t>
            </w:r>
          </w:p>
        </w:tc>
        <w:tc>
          <w:tcPr>
            <w:tcW w:w="2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Owned Before the</w:t>
            </w:r>
          </w:p>
        </w:tc>
        <w:tc>
          <w:tcPr>
            <w:tcW w:w="2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Owned After the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May be</w:t>
            </w:r>
          </w:p>
        </w:tc>
        <w:tc>
          <w:tcPr>
            <w:tcW w:w="2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20" w:type="dxa"/>
            <w:vAlign w:val="bottom"/>
            <w:gridSpan w:val="2"/>
            <w:vMerge w:val="restart"/>
          </w:tcPr>
          <w:p>
            <w:pPr>
              <w:jc w:val="center"/>
              <w:ind w:left="332"/>
              <w:spacing w:after="0"/>
              <w:rPr>
                <w:sz w:val="20"/>
                <w:szCs w:val="20"/>
                <w:color w:val="auto"/>
              </w:rPr>
            </w:pPr>
            <w:r>
              <w:rPr>
                <w:rFonts w:ascii="Arial" w:cs="Arial" w:eastAsia="Arial" w:hAnsi="Arial"/>
                <w:sz w:val="14"/>
                <w:szCs w:val="14"/>
                <w:b w:val="1"/>
                <w:bCs w:val="1"/>
                <w:color w:val="auto"/>
                <w:w w:val="92"/>
              </w:rPr>
              <w:t>Offering(1)</w:t>
            </w: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restart"/>
          </w:tcPr>
          <w:p>
            <w:pPr>
              <w:jc w:val="center"/>
              <w:ind w:left="352"/>
              <w:spacing w:after="0"/>
              <w:rPr>
                <w:sz w:val="20"/>
                <w:szCs w:val="20"/>
                <w:color w:val="auto"/>
              </w:rPr>
            </w:pPr>
            <w:r>
              <w:rPr>
                <w:rFonts w:ascii="Arial" w:cs="Arial" w:eastAsia="Arial" w:hAnsi="Arial"/>
                <w:sz w:val="14"/>
                <w:szCs w:val="14"/>
                <w:b w:val="1"/>
                <w:bCs w:val="1"/>
                <w:color w:val="auto"/>
                <w:w w:val="91"/>
              </w:rPr>
              <w:t>Offering</w:t>
            </w: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20" w:type="dxa"/>
            <w:vAlign w:val="bottom"/>
            <w:tcBorders>
              <w:bottom w:val="single" w:sz="8" w:color="auto"/>
            </w:tcBorders>
            <w:gridSpan w:val="2"/>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78"/>
              </w:rPr>
              <w:t>Sold</w:t>
            </w:r>
          </w:p>
        </w:tc>
        <w:tc>
          <w:tcPr>
            <w:tcW w:w="220" w:type="dxa"/>
            <w:vAlign w:val="bottom"/>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24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Hereunder</w:t>
            </w:r>
          </w:p>
        </w:tc>
        <w:tc>
          <w:tcPr>
            <w:tcW w:w="220" w:type="dxa"/>
            <w:vAlign w:val="bottom"/>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Hill Capital Partners, L.P.(2)</w:t>
            </w:r>
          </w:p>
        </w:tc>
        <w:tc>
          <w:tcPr>
            <w:tcW w:w="3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10,278,942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5,403,942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Oak Hill Capital Management Partners, L.P.(2)</w:t>
            </w:r>
          </w:p>
        </w:tc>
        <w:tc>
          <w:tcPr>
            <w:tcW w:w="3660" w:type="dxa"/>
            <w:vAlign w:val="bottom"/>
            <w:gridSpan w:val="3"/>
          </w:tcPr>
          <w:p>
            <w:pPr>
              <w:jc w:val="right"/>
              <w:ind w:right="220"/>
              <w:spacing w:after="0"/>
              <w:rPr>
                <w:sz w:val="20"/>
                <w:szCs w:val="20"/>
                <w:color w:val="auto"/>
              </w:rPr>
            </w:pPr>
            <w:r>
              <w:rPr>
                <w:rFonts w:ascii="Arial" w:cs="Arial" w:eastAsia="Arial" w:hAnsi="Arial"/>
                <w:sz w:val="18"/>
                <w:szCs w:val="18"/>
                <w:color w:val="auto"/>
              </w:rPr>
              <w:t>263,562</w:t>
            </w:r>
          </w:p>
        </w:tc>
        <w:tc>
          <w:tcPr>
            <w:tcW w:w="40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138,562</w:t>
            </w:r>
          </w:p>
        </w:tc>
        <w:tc>
          <w:tcPr>
            <w:tcW w:w="220" w:type="dxa"/>
            <w:vAlign w:val="bottom"/>
          </w:tcPr>
          <w:p>
            <w:pPr>
              <w:spacing w:after="0"/>
              <w:rPr>
                <w:sz w:val="18"/>
                <w:szCs w:val="18"/>
                <w:color w:val="auto"/>
              </w:rPr>
            </w:pPr>
          </w:p>
        </w:tc>
        <w:tc>
          <w:tcPr>
            <w:tcW w:w="4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Talwar 1994 Trust(3)</w:t>
            </w:r>
          </w:p>
        </w:tc>
        <w:tc>
          <w:tcPr>
            <w:tcW w:w="3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920,229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420,229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Rohit Kapoor(4)</w:t>
            </w:r>
          </w:p>
        </w:tc>
        <w:tc>
          <w:tcPr>
            <w:tcW w:w="3660" w:type="dxa"/>
            <w:vAlign w:val="bottom"/>
            <w:gridSpan w:val="3"/>
          </w:tcPr>
          <w:p>
            <w:pPr>
              <w:jc w:val="right"/>
              <w:ind w:right="220"/>
              <w:spacing w:after="0"/>
              <w:rPr>
                <w:sz w:val="20"/>
                <w:szCs w:val="20"/>
                <w:color w:val="auto"/>
              </w:rPr>
            </w:pPr>
            <w:r>
              <w:rPr>
                <w:rFonts w:ascii="Arial" w:cs="Arial" w:eastAsia="Arial" w:hAnsi="Arial"/>
                <w:sz w:val="18"/>
                <w:szCs w:val="18"/>
                <w:color w:val="auto"/>
              </w:rPr>
              <w:t>2,104,605</w:t>
            </w: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1,604,605</w:t>
            </w: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40" w:type="dxa"/>
            <w:vAlign w:val="bottom"/>
          </w:tcPr>
          <w:p>
            <w:pPr>
              <w:jc w:val="right"/>
              <w:ind w:right="1092"/>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Calculated pursuant to Rule 13(d)-1 as of December 29, 2009, at which date there were 29,093,543 aggregate shares of common stock outstanding.</w:t>
      </w:r>
    </w:p>
    <w:p>
      <w:pPr>
        <w:spacing w:after="0" w:line="113" w:lineRule="exact"/>
        <w:rPr>
          <w:rFonts w:ascii="Arial" w:cs="Arial" w:eastAsia="Arial" w:hAnsi="Arial"/>
          <w:sz w:val="16"/>
          <w:szCs w:val="16"/>
          <w:color w:val="auto"/>
        </w:rPr>
      </w:pPr>
    </w:p>
    <w:p>
      <w:pPr>
        <w:ind w:left="460" w:right="40" w:hanging="452"/>
        <w:spacing w:after="0" w:line="290"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business address of each of Oak Hill Capital Partners, L.P. and Oak Hill Capital Management Partners, L.P. (together, the “Oak Hill Partnerships”) is 201 Main Street, Suite 2415, Fort Worth, TX 76102.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 Investment and voting decisions with regard to the shares of the Company’s common stock owned by the Oak Hill Partnerships is made by an investment committee of OHCP MGP, LLC. The members of such committee are J. Taylor Crandall, Steven B. Gruber, Dennis J. Nayden and Mark A. Wolfson. Each of these individuals disclaims beneficial ownership of the shares owned by the Oak Hill Partnerships.</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Vikram Talwar, our Executive Chairman, and his spouse are the trustees of this trust and share dispositive and voting control over the shares in the trust.</w:t>
      </w:r>
    </w:p>
    <w:p>
      <w:pPr>
        <w:spacing w:after="0" w:line="113" w:lineRule="exact"/>
        <w:rPr>
          <w:rFonts w:ascii="Arial" w:cs="Arial" w:eastAsia="Arial" w:hAnsi="Arial"/>
          <w:sz w:val="16"/>
          <w:szCs w:val="16"/>
          <w:color w:val="auto"/>
        </w:rPr>
      </w:pPr>
    </w:p>
    <w:p>
      <w:pPr>
        <w:ind w:left="460" w:hanging="452"/>
        <w:spacing w:after="0" w:line="28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three year grantor retained annuity trust. Mr. Kapoor is the sole trustee of this trust. This amount also includes 84,000 shares of our common stock owned indirectly by Mr. Kapoor through a spousal lifetime access trust for</w:t>
      </w:r>
    </w:p>
    <w:p>
      <w:pPr>
        <w:spacing w:after="0" w:line="2" w:lineRule="exact"/>
        <w:rPr>
          <w:rFonts w:ascii="Arial" w:cs="Arial" w:eastAsia="Arial" w:hAnsi="Arial"/>
          <w:sz w:val="16"/>
          <w:szCs w:val="16"/>
          <w:color w:val="auto"/>
        </w:rPr>
      </w:pPr>
    </w:p>
    <w:p>
      <w:pPr>
        <w:ind w:left="460" w:right="40"/>
        <w:spacing w:after="0" w:line="255" w:lineRule="auto"/>
        <w:rPr>
          <w:rFonts w:ascii="Arial" w:cs="Arial" w:eastAsia="Arial" w:hAnsi="Arial"/>
          <w:sz w:val="16"/>
          <w:szCs w:val="16"/>
          <w:color w:val="auto"/>
        </w:rPr>
      </w:pPr>
      <w:r>
        <w:rPr>
          <w:rFonts w:ascii="Arial" w:cs="Arial" w:eastAsia="Arial" w:hAnsi="Arial"/>
          <w:sz w:val="18"/>
          <w:szCs w:val="18"/>
          <w:color w:val="auto"/>
        </w:rPr>
        <w:t>Mr. Kapoor’s spouse. Mr. Kapoor and Mr. Kapoor’s sister-in-law are the trustees of this trust and share dispositive and voting control over the shares in the trust. This amount includes 292,850 shares of our common stock of which Mr. Kapoor has the right to acquire beneficial ownership within 60 days of December 29,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Relationships with Selling Stockholders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Vikram Talwar, one of the co-trustees of The Talwar 1994 Trust, one of the selling stockholders included in this prospectus, has served as our Executive Chairman since May 2008. Mr. Talwar served as our Chief Executive Officer and Vice Chairman of our board of directors from November 2002 to April 2008 and as Chief Executive Officer of EXL Inc. since April 1999.</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Rohit Kapoor has served as our President and Chief Executive Officer since May 2008 and as a director since November 2002. In addition, Mr. Kapoor served as our Chief Financial Officer from August 2006 to March 2007, as our Chief Operating Officer from June 2007 until April 2008 and as President and Chief Financial Officer of EXL Inc. since August 2000.</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Oak Hill Partnerships are one of the Company’s significant stockholders. Steven Gruber, our Chairman, is a Managing Partner of Oak Hill Capital Management, Inc., the investment advisor to Oak Hill Capital Partners, L.P., and Ted Dardani, one of our directors, is a partner of Oak Hill Capital Management,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Related Party Transactions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January 15, 2008, the Company acquired net assets for a consideration of $1,508,049 plus contingent consideration earned during the year ended December 31, 2008 of $460,467, for a total of $1,968,516, from a company controlled by entities related to the Oak Hill Partnerships. The Company recorded expenses of $0 for year ended December 31, 2008 for transition services performed by the seller prior to acquisition. As of December 31, 2008 the Company had a balance payable of $0 related to these services.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transformation services to Duane Reade Holdings, Inc., a New York City drugstore chain. Duane Reade Holdings, Inc. was indirectly owned by entities related to the Oak Hill Partnerships. We recognized revenue of approximately $628,090, $780,329 and $477,670 in the years ended December 31, 2008, 2007 and 2006, respectively, for fees and expense reimbursements from Duane Reade Holdings, Inc. At December 31, 2008, 2007 and 2006, we had accounts receivable of $88,790, $338,629 and $55,350, respectively, related to these services.</w:t>
      </w:r>
    </w:p>
    <w:p>
      <w:pPr>
        <w:spacing w:after="0" w:line="143" w:lineRule="exact"/>
        <w:rPr>
          <w:sz w:val="20"/>
          <w:szCs w:val="20"/>
          <w:color w:val="auto"/>
        </w:rPr>
      </w:pPr>
    </w:p>
    <w:p>
      <w:pPr>
        <w:jc w:val="both"/>
        <w:ind w:right="60" w:firstLine="456"/>
        <w:spacing w:after="0" w:line="323" w:lineRule="auto"/>
        <w:rPr>
          <w:sz w:val="20"/>
          <w:szCs w:val="20"/>
          <w:color w:val="auto"/>
        </w:rPr>
      </w:pPr>
      <w:r>
        <w:rPr>
          <w:rFonts w:ascii="Arial" w:cs="Arial" w:eastAsia="Arial" w:hAnsi="Arial"/>
          <w:sz w:val="15"/>
          <w:szCs w:val="15"/>
          <w:color w:val="auto"/>
        </w:rPr>
        <w:t>We provided advisory services related primarily to compliance with the Sarbanes-Oxley Act of 2002 to Williams Scotsman, Inc., a provider of mobile and modular building solutions in North America. Williams Scotsman, Inc. was controlled by entities related to the Oak Hill Partnerships until October 31, 2007. We recognized $0, $424,423 and $574,877 in the years ended December 31, 2008, 2007 and 2006 respectively, in advisory fee revenue and expense reimbursements from Williams Scotsman, Inc. At December 31, 2008, 2007 and 2006, we had an account receivable of $0, $0 and $59,633, respectively, related to these services.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description of our capital stock summarizes certain terms and provisions of our common stock and preferred stock, par value $0.001 per share, to which any prospectus supplement may relate. This section also summarizes relevant provisions of Delaware law. The following description of our common stock and preferred stock does not purport to be complete and is subject to, and is qualified in its entirety by reference to, the applicable provisions of Delaware law and our Amended and Restated Certificate of Incorporation and our Second Amended and Restated Bylaws, copies of which have been filed with the SEC as exhibits to the registration statement of which this prospectus forms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the date of this prospectus, our authorized capital stock consists of 100,000,000 shares of common stock and 15,000,000 of preferred stock. As of September 30, 2009, we had 28,931,983 outstanding shares of common stock, excluding 247,030 shares held in treasury and 405,380 shares of restricted stock, and no shares of preferred stock outstanding.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29, 2009, there were approximately 30 holders of record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authorized to issue up to 15,000,000 shares of preferred stock. Our board of directors is authorized, 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of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certificate of incorporation provides that a director will not be personally liable to us or our stockholders for monetary damages for breach of fiduciary duty as a director, except:</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liability under Section 174 of the Delaware General Corporation Law (relating to unlawful dividends, stock repurchases, or stock redemptions);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7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do not alter the liability of directors under federal securities laws. In addition, our certificate of incorporation and by-laws provide that we indemnify each director and the officers, employees, and agents determined by our board of directors to the fullest extent provided by the laws of the State of Delaware.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certificate of incorporation provides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provides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establish advance notice procedures for:</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 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Our board is divided into three classes. The directors in each class serve for a three-year term, one class being elected each year by our stockholders. Our stockholders may only remove directors for cause and with the vote of at least 66 </w:t>
      </w:r>
      <w:r>
        <w:rPr>
          <w:rFonts w:ascii="Arial" w:cs="Arial" w:eastAsia="Arial" w:hAnsi="Arial"/>
          <w:sz w:val="11"/>
          <w:szCs w:val="11"/>
          <w:color w:val="auto"/>
        </w:rPr>
        <w:t>2</w:t>
      </w:r>
      <w:r>
        <w:rPr>
          <w:rFonts w:ascii="Arial" w:cs="Arial" w:eastAsia="Arial" w:hAnsi="Arial"/>
          <w:sz w:val="18"/>
          <w:szCs w:val="18"/>
          <w:color w:val="auto"/>
        </w:rPr>
        <w:t>/3% of the total voting power of our issued and outstanding capital stock entitled to vote in the election of directors. Our board of directors may elect a director to fill a vacancy, including vacancies created by the expansion of the board of directors.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do not provide for cumulative voting in the election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Our certificate of incorporation provides that the affirmative vote of the holders of at least 66 </w:t>
      </w:r>
      <w:r>
        <w:rPr>
          <w:rFonts w:ascii="Arial" w:cs="Arial" w:eastAsia="Arial" w:hAnsi="Arial"/>
          <w:sz w:val="10"/>
          <w:szCs w:val="10"/>
          <w:color w:val="auto"/>
        </w:rPr>
        <w:t>2</w:t>
      </w:r>
      <w:r>
        <w:rPr>
          <w:rFonts w:ascii="Arial" w:cs="Arial" w:eastAsia="Arial" w:hAnsi="Arial"/>
          <w:sz w:val="16"/>
          <w:szCs w:val="16"/>
          <w:color w:val="auto"/>
        </w:rPr>
        <w:t xml:space="preserve"> /3% of the voting power of our issued and outstanding capital stock entitled to vote in the election of directors, is required to amend the following provisions of our certificate of incorporation:</w:t>
      </w:r>
    </w:p>
    <w:p>
      <w:pPr>
        <w:spacing w:after="0" w:line="4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11"/>
          <w:szCs w:val="11"/>
          <w:color w:val="auto"/>
        </w:rPr>
        <w:t>2</w:t>
      </w:r>
      <w:r>
        <w:rPr>
          <w:rFonts w:ascii="Arial" w:cs="Arial" w:eastAsia="Arial" w:hAnsi="Arial"/>
          <w:sz w:val="18"/>
          <w:szCs w:val="18"/>
          <w:color w:val="auto"/>
        </w:rPr>
        <w:t>/3% stockholder vote for the amendment of certain provisions of our articles of incorporation and for the adoption, amendment or repeal of our by-laws;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In addition, the board of directors is permitted to alter our by-laws without obtaining stockholder approval and the affirmative vote of holders of at least 66 </w:t>
      </w:r>
      <w:r>
        <w:rPr>
          <w:rFonts w:ascii="Arial" w:cs="Arial" w:eastAsia="Arial" w:hAnsi="Arial"/>
          <w:sz w:val="11"/>
          <w:szCs w:val="11"/>
          <w:color w:val="auto"/>
        </w:rPr>
        <w:t>2</w:t>
      </w:r>
      <w:r>
        <w:rPr>
          <w:rFonts w:ascii="Arial" w:cs="Arial" w:eastAsia="Arial" w:hAnsi="Arial"/>
          <w:sz w:val="18"/>
          <w:szCs w:val="18"/>
          <w:color w:val="auto"/>
        </w:rPr>
        <w:t>/3% of the voting power of our issued and outstanding capital stock entitled to vote in the election of directors will be required for any amendment to our by-laws by the stockholders.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96"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We are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THE DEBT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description of the terms of our senior debt securities and subordinated debt securities (together, the “</w:t>
      </w:r>
      <w:r>
        <w:rPr>
          <w:rFonts w:ascii="Arial" w:cs="Arial" w:eastAsia="Arial" w:hAnsi="Arial"/>
          <w:sz w:val="16"/>
          <w:szCs w:val="16"/>
          <w:i w:val="1"/>
          <w:iCs w:val="1"/>
          <w:color w:val="auto"/>
        </w:rPr>
        <w:t>debt securities</w:t>
      </w:r>
      <w:r>
        <w:rPr>
          <w:rFonts w:ascii="Arial" w:cs="Arial" w:eastAsia="Arial" w:hAnsi="Arial"/>
          <w:sz w:val="16"/>
          <w:szCs w:val="16"/>
          <w:color w:val="auto"/>
        </w:rPr>
        <w:t>”) sets forth certain general terms and provisions of the debt securities to which any prospectus supplement may relate. Unless otherwise noted, the general terms and provisions of our debt securities discussed below apply to both our senior debt securities and our subordinated debt securities. Our debt securities may be issued from time to time in one or more series. The particular terms of any series of debt securities and the extent to which the general provisions may apply to a particular series of debt securities will be described in the prospectus supplement relating to that series.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senior debt securities will be issued under an indenture between us and U.S. Bank National Association, as Senior Indenture Trustee (the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indenture</w:t>
      </w:r>
      <w:r>
        <w:rPr>
          <w:rFonts w:ascii="Arial" w:cs="Arial" w:eastAsia="Arial" w:hAnsi="Arial"/>
          <w:sz w:val="16"/>
          <w:szCs w:val="16"/>
          <w:color w:val="auto"/>
        </w:rPr>
        <w:t>”). The subordinated debt securities will be issued under an indenture between us and U.S. Bank National Association, as Subordinated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(the “</w:t>
      </w:r>
      <w:r>
        <w:rPr>
          <w:rFonts w:ascii="Arial" w:cs="Arial" w:eastAsia="Arial" w:hAnsi="Arial"/>
          <w:sz w:val="16"/>
          <w:szCs w:val="16"/>
          <w:i w:val="1"/>
          <w:iCs w:val="1"/>
          <w:color w:val="auto"/>
        </w:rPr>
        <w:t>subordinated indenture</w:t>
      </w:r>
      <w:r>
        <w:rPr>
          <w:rFonts w:ascii="Arial" w:cs="Arial" w:eastAsia="Arial" w:hAnsi="Arial"/>
          <w:sz w:val="16"/>
          <w:szCs w:val="16"/>
          <w:color w:val="auto"/>
        </w:rPr>
        <w:t>” and, together with the senior indenture, the “</w:t>
      </w:r>
      <w:r>
        <w:rPr>
          <w:rFonts w:ascii="Arial" w:cs="Arial" w:eastAsia="Arial" w:hAnsi="Arial"/>
          <w:sz w:val="16"/>
          <w:szCs w:val="16"/>
          <w:i w:val="1"/>
          <w:iCs w:val="1"/>
          <w:color w:val="auto"/>
        </w:rPr>
        <w:t>indentures</w:t>
      </w:r>
      <w:r>
        <w:rPr>
          <w:rFonts w:ascii="Arial" w:cs="Arial" w:eastAsia="Arial" w:hAnsi="Arial"/>
          <w:sz w:val="16"/>
          <w:szCs w:val="16"/>
          <w:color w:val="auto"/>
        </w:rPr>
        <w:t>”). The Senior Indenture Trustee and the Subordinated Indenture Trustee are both referred to, individually, as the “Trustee.” The senior debt securities will constitute our unsecured and unsubordinated obligations and the subordinated debt securities will constitute our unsecured and subordinated obligations. A detailed description of the subordination provisions is provided below under the caption “—Ranking and Subordination—Subordination.” In general, however, if we declare bankruptcy, holders of the senior debt securities will be paid in full before the holders of subordinated debt securities will receive anything.</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statements set forth below are brief summaries of certain provisions contained in the indentures, which summaries do not purport to be complete and are qualified in their entirety by reference to the indentures, which are incorporated by reference as exhibits or filed as exhibits to the registration statement of which this prospectus forms a part. Terms used herein that are otherwise not defined shall have the meanings given to them in the indentures. Such defined terms shall be incorporated herein by reference.</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indentures will not limit the amount of debt securities that may be issued under the applicable indenture and debt securities may be issued under the applicable indenture up to the aggregate principal amount that may be authorized from time to time by us. Any such limit applicable to a particular series will be specified in the prospectus supplement relating to that series.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prospectus supplement relating to any series of debt securities in respect to which this prospectus is being delivered will contain the following terms, among others, for each such series of debt securities: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and issue date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is payable;</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or rates (or manner of calculation thereof), if any, per annum at which the debt securities will bear interest, if any, the date or dates from which interest will accrue and the interest payment date or dates for the debt securities;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limit upon the aggregate principal amount of the debt securities which may be authenticated and delivered under the applicable indenture;</w:t>
      </w:r>
    </w:p>
    <w:p>
      <w:pPr>
        <w:spacing w:after="0" w:line="113"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period or periods within which, the redemption price or prices or the repayment price or prices, as the case may be, at which, and the terms and conditions upon which, the debt securities may be redeemed at our option or the option of the holder of such debt securities;</w:t>
      </w:r>
    </w:p>
    <w:p>
      <w:pPr>
        <w:spacing w:after="0" w:line="4"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obligation, if any, of ExlService to purchase the debt securities pursuant to any sinking fund or analogous provisions or at the option of a holder of such debt securities and the period or periods within which, the price or prices at which and the terms and conditions upon which such debt securities will be purchased, in whole or in part, pursuant to such obligation;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debt securities will be issuable;</w:t>
      </w:r>
    </w:p>
    <w:p>
      <w:pPr>
        <w:spacing w:after="0" w:line="113" w:lineRule="exact"/>
        <w:rPr>
          <w:rFonts w:ascii="Arial" w:cs="Arial" w:eastAsia="Arial" w:hAnsi="Arial"/>
          <w:sz w:val="16"/>
          <w:szCs w:val="16"/>
          <w:color w:val="auto"/>
        </w:rPr>
      </w:pPr>
    </w:p>
    <w:p>
      <w:pPr>
        <w:ind w:left="900" w:right="68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provisions, if any, with regard to the conversion or exchange of the debt securities, at the option of the holders of such debt securities or the Company, as the case may be, for or into new securities of a different series, our common stock or other securities;</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other than U.S. dollars, the currency or currencies or units based on or related to currencies in which the debt securities will be denominated and in which payments of principal of, and any premium and interest on, such debt securities shall or may be payable;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the debt securities are to be payable, at the election of the Company or a holder of such debt securities, in a currency (including a composite currency) other than that in which such debt securities are stated to be payable, the period or periods within which, and the terms and conditions upon which, such election may be made;</w:t>
      </w:r>
    </w:p>
    <w:p>
      <w:pPr>
        <w:spacing w:after="0" w:line="59"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if any, on the debt securities may be determined with reference to an index based on a currency (including a composite currency) other than that in which such debt securities are stated to be payable, the manner in which such amounts shall be determined;</w:t>
      </w:r>
    </w:p>
    <w:p>
      <w:pPr>
        <w:spacing w:after="0" w:line="59" w:lineRule="exact"/>
        <w:rPr>
          <w:rFonts w:ascii="Arial" w:cs="Arial" w:eastAsia="Arial" w:hAnsi="Arial"/>
          <w:sz w:val="18"/>
          <w:szCs w:val="18"/>
          <w:color w:val="auto"/>
        </w:rPr>
      </w:pPr>
    </w:p>
    <w:p>
      <w:pPr>
        <w:ind w:left="900" w:right="200" w:hanging="325"/>
        <w:spacing w:after="0" w:line="357"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provisions, if any, related to the exchange of the debt securities, at the option of the holders of such debt securities, for other securities of the same series of the same aggregate principal amount or of a different authorized series or different authorized denomination or denominations, or both;</w:t>
      </w:r>
    </w:p>
    <w:p>
      <w:pPr>
        <w:ind w:left="900" w:right="42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if other than the principal amount thereof, which shall be payable upon declaration of acceleration of the maturity thereof as more fully described under the section “—Events of Default, Notice and Waiver” below;</w:t>
      </w:r>
    </w:p>
    <w:p>
      <w:pPr>
        <w:spacing w:after="0" w:line="4"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 and, if so, the identity of the depositary with respect to such global securities;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subordinated debt securities only, the amendment or modification of the subordination provisions in the subordinated indenture with respect to the debt securities;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specific terms.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issue debt securities of any series at various times and we may reopen any series for further issuances from time to time without notice to existing holders of securities of that series.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Some of the debt securities may be issued as original issue discount debt securities. Original issue discount debt securities bear no interest or bear interest at below-market rates. These are sold at a discount below their stated principal amount. If we issue these securities, the prospectus supplement relating to such series of debt securities will describe any special tax, accounting or other information which we think is important. We encourage you to consult with your own competent tax and financial advisors on these important matters.</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Unless we specify otherwise in the applicable prospectus supplement relating to such series of debt securities, the covenants contained in the indentures will not provide special protection to holders of debt securities if we enter into a highly leveraged transaction, recapitalization or restructuring.</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Unless otherwise set forth in the prospectus supplement relating to such series of debt securities, interest on outstanding debt securities will be paid to holders of record on the date that is 15 days prior to the date such interest is to be paid or, if not a business day, the next preceding business day. Unless otherwise specified in the prospectus supplement, debt securities will be issued in fully registered form only. Unless otherwise specified in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prospectus supplement, the principal amount of the debt securities will be payable at the corporate trust office of the Trustee in New York, New York. The debt securities may be presented for transfer or exchange at such office unless otherwise specified in the prospectus supplement, subject to the limitations provided in the applicable indenture, without any service charge, but we may require payment of a sum sufficient to cover any tax or other governmental charges payable in connection therewith.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Subordination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debt securities will effectively rank junior in right of payment to any of our current or future secured obligations to the extent of the value of the assets securing such obligations. The debt securities will be effectively subordinated to all existing and future liabilities, including indebtedness and trade payables, of our subsidiaries. Unless otherwise set forth in the prospectus supplement relating to such series of debt securities, the indentures will not limit the amount of unsecured indebtedness or other liabilities that can be incurred by our subsidiaries.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 of Debt Securities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senior debt securities described in this prospectus will be unsecured, senior obligations of the Company and will rank equally with our other unsecured and unsubordinated obligations. The subordinated debt securities will be unsecured, subordinated obligations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Subordination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If issued, the indebtedness evidenced by the subordinated debt securities will be subordinate to the prior payment in full of all our Senior Indebtedness (as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Senior Indebtedness</w:t>
      </w:r>
      <w:r>
        <w:rPr>
          <w:rFonts w:ascii="Arial" w:cs="Arial" w:eastAsia="Arial" w:hAnsi="Arial"/>
          <w:sz w:val="16"/>
          <w:szCs w:val="16"/>
          <w:color w:val="auto"/>
        </w:rPr>
        <w:t>”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of the indebtedness of that person for borrowed money,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similar instruments sold by that person for money;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in each case, that the person, in any manner, assumes or guarantees or that the person in effect guarantees through an agreement to purchase, whether that agreement is contingent or otherwise;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the Company constitute Senior Indebtedness for purposes of the subordinated indenture.</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subordinated indenture, the subordinated indenture may not be amended, at any time, to alter the subordination provisions of any outstanding subordinated debt securities without the consent of the requisite holders of each outstanding series or class of Senior Indebtedness (as determined in accordance with the instrument governing such Senior Indebtedness) that would be adversely affected thereby.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we specify otherwise in the applicable prospectus supplement, we may redeem any of the debt securities as a whole at any time or in part from time to time, at our option, on at least 15 days, but not more than 45 days, prior notice mailed to the registered address of each holder of the debt securities to be redeemed, at respective redemption prices equal to the greater of:</w:t>
      </w:r>
    </w:p>
    <w:p>
      <w:pPr>
        <w:spacing w:after="0" w:line="5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debt securities to be redeemed,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as defined below, discounted to the redemption date, on a semi-annual basis, assuming a 360 day year consisting of twelve 30 day months, at the Treasury Rate, as defined below, plus the number, if any, of basis points specified in the applicable prospectus supplement;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to the date of redemption that has not been paid (such redemption price, the “Redemption Price”).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with respect to the debt securities, the United States Treasury security selected by an Independent Investment Banker as having a maturity comparable to the remaining term (“Remaining Life”) of the debt securities being redeemed that would be utilized, at the time of selection and in accordance with customary financial practice, in pricing new issues of corporate debt securities of comparable maturity to the Remaining Life of such debt securities.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for the debt securities: (1) the average of two Reference Treasury Dealer Quotations for that redemption date, after excluding the highest and lowest of four such Reference Treasury Dealer Quotations; or (2) if the Trustee obtains fewer than four Reference Treasury Dealer Quotations, the average of all quotations obtained by the Trustee.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to be appointed by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four primary U.S. Government securities dealers to be selected by us.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3:00 p.m., New York City time, on the third business day preceding such redemption date.</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Scheduled Payments</w:t>
      </w:r>
      <w:r>
        <w:rPr>
          <w:rFonts w:ascii="Arial" w:cs="Arial" w:eastAsia="Arial" w:hAnsi="Arial"/>
          <w:sz w:val="18"/>
          <w:szCs w:val="18"/>
          <w:color w:val="auto"/>
        </w:rPr>
        <w:t>” means, with respect to each debt security to be redeemed, the remaining scheduled payments of the principal thereof and interest thereon that would be due after the related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date but for such redemption; provided, however, that, if such redemption date is not an interest payment date with respect to such debt security, the amount of the next succeeding scheduled interest payment thereon will be deemed to be reduced by the amount of interest accrued thereon to such redemption date.</w:t>
      </w:r>
    </w:p>
    <w:p>
      <w:pPr>
        <w:spacing w:after="0" w:line="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for the debt securities: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debt securities adjusted to constant maturity under the caption “Treasury Constant Maturities,” for the maturity corresponding to the Comparable Treasury Issue; provided that if no maturity is within three months before or after the maturity date for the debt securities, yields for the two published maturities most closely corresponding to the Comparable Treasury Issue will be determined and the Treasury Rate will be interpolated or extrapolated from those yields on a straight line basis, rounding to the nearest month; or (2) if that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that redemption date. The Treasury Rate will be calculated on the third business day preceding the redemption date.</w:t>
      </w:r>
    </w:p>
    <w:p>
      <w:pPr>
        <w:spacing w:after="0" w:line="12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On and after the redemption date, interest will cease to accrue on the debt securities or any portion thereof called for redemption, unless we default in the payment of the Redemption Price, and accrued interest. On or before the redemption date, we shall deposit with a paying agent, or the applicable Trustee, money sufficient to pay the Redemption Price of and accrued interest on the debt securities to be redeemed on such date. If we elect to redeem less than all of the debt securities of a series, then the Trustee will select the particular debt securities of such series to be redeemed in a manner it deems appropriate and fair.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Conveyance or Transfer on Certain Terms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For so long as any debt securities are outstanding, except as described in the applicable prospectus supplement relating to such debt securities, we will not consolidate with or merge into any other entity or convey or transfer its properties and assets substantially as an entirety to any entity, unless:</w:t>
      </w:r>
    </w:p>
    <w:p>
      <w:pPr>
        <w:spacing w:after="0" w:line="4" w:lineRule="exact"/>
        <w:rPr>
          <w:sz w:val="20"/>
          <w:szCs w:val="20"/>
          <w:color w:val="auto"/>
        </w:rPr>
      </w:pPr>
    </w:p>
    <w:p>
      <w:pPr>
        <w:ind w:left="900" w:right="40" w:hanging="325"/>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entity formed by such consolidation or into which the Company is merged or the entity that acquires by conveyance or transfer the properties and assets of the Company substantially as an entirety will expressly assume, by supplemental indenture, executed and delivered to the Trustee, in form reasonably satisfactory to the Trustee, the due and punctual payment of the principal of (and premium, if any) and interest on all the debt securities and the performance of every covenant of the applicable indenture (as supplemented from time to time) on the part of the Company to be performed or observed;</w:t>
      </w:r>
    </w:p>
    <w:p>
      <w:pPr>
        <w:spacing w:after="0" w:line="61"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(as defined below), and no event which, after notice or lapse of time, or both, would become an Event of Default, shall have happened and be continuing;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such consolidation, merger, conveyance or transfer and such supplemental indenture comply with this covenant and that all conditions precedent provided for relating to such transaction have been complied with.</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any consolidation or merger, or any conveyance or transfer of the properties and assets of the Company substantially as an entirety as set forth above, the successor person formed by such consolidation or into which we are merged or to which such conveyance or transfer is made shall succeed to, and be substituted for, and may exercise every right and power of the Company under the applicable indenture with the same effect as if such successor had been named as the Company in the applicable indenture. In the event of any such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conveyance or transfer, the Company as the predecessor shall be discharged from all obligations and covenants under the applicable indenture and the debt securities issued under such indenture and may be dissolved, wound up or liquidated at any time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covenants of the Company pertaining to a series of debt securities will be set forth in a prospectus supplement relating to such series of debt securities.</w:t>
      </w:r>
    </w:p>
    <w:p>
      <w:pPr>
        <w:spacing w:after="0" w:line="20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Except as described in the prospectus and any applicable prospectus supplement relating to such series of debt securities, the indentures and the debt securities do not contain any covenants or other provisions designed to afford holders of debt securities protection in the event of a recapitalization or highly leveraged transaction involving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certain of the terms defined in the indentures: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as such principles are in effect in the United States as of the date of the applicable indenture.</w:t>
      </w:r>
    </w:p>
    <w:p>
      <w:pPr>
        <w:spacing w:after="0" w:line="194"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any Subsidiary which would be a “significant subsidiary” as defined in Article 1, Rule 1-02 of Regulation S-X, promulgated pursuant to the Securities Act of 1933, as amended, as in effect on the date of the applicable indenture.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otherwise set forth in the prospectus supplement relating to the debt securities, each indenture will provide that we, at our option,</w:t>
      </w:r>
    </w:p>
    <w:p>
      <w:pPr>
        <w:spacing w:after="0" w:line="113" w:lineRule="exact"/>
        <w:rPr>
          <w:sz w:val="20"/>
          <w:szCs w:val="20"/>
          <w:color w:val="auto"/>
        </w:rPr>
      </w:pPr>
    </w:p>
    <w:p>
      <w:pPr>
        <w:ind w:left="900" w:right="2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be discharged from any and all obligations in respect of any series of debt securities (except in each case for certain obligations to register the transfer or exchange of debt securities, replace stolen, lost or mutilated debt securities, maintain paying agencies and hold monies for payment in trust), or</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need not comply with any restrictive covenants described in a prospectus supplement relating to such series of debt securities and certain Events of Default (other than those arising out of the failure to pay interest or principal on the debt securities of a particular series and certain events of bankruptcy, insolvency and reorganization) will no longer constitute Events of Default with respect to such series of debt securities,</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each case, if we deposit with the Trustee, in trust, money or the equivalent in securities of the government which issued the currency in which the debt securities are denominated or government agencies backed by the full faith and credit of such government, or a combination thereof, which through the payment of interest thereon and principal thereof in accordance with their terms will provide money in an amount sufficient to pay all the principal (including any mandatory sinking fund payments) of, and interest on, such series on the dates such payments are due in accordance with the terms of such series.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 exercise any such option, we are required, among other things, to deliver to the Trustee an opinion of counsel to the effect that the deposit and related defeasance would not cause the holders of such series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recognize income, gain or loss for federal income tax purposes and, in the case of a discharge pursuant to clause (a) above, accompanied by a ruling to such effect received from or published by the U.S. Internal Revenue Service.</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we are required to deliver to the Trustee an officers’ certificate stating that such deposit was not made by us with the intent of preferring the holders over other creditors of ours or with the intent of defeating, hindering, delaying or defrauding creditors of ours or others.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Except as otherwise set forth in the prospectus supplement relating to such series of debt securities, each indenture will provide that, if an Event of Default specified therein with respect to any series of debt securities issued thereunder shall have happened and be continuing, either the Trustee thereunder or the holders of 33 </w:t>
      </w:r>
      <w:r>
        <w:rPr>
          <w:rFonts w:ascii="Arial" w:cs="Arial" w:eastAsia="Arial" w:hAnsi="Arial"/>
          <w:sz w:val="11"/>
          <w:szCs w:val="11"/>
          <w:color w:val="auto"/>
        </w:rPr>
        <w:t>1</w:t>
      </w:r>
      <w:r>
        <w:rPr>
          <w:rFonts w:ascii="Arial" w:cs="Arial" w:eastAsia="Arial" w:hAnsi="Arial"/>
          <w:sz w:val="18"/>
          <w:szCs w:val="18"/>
          <w:color w:val="auto"/>
        </w:rPr>
        <w:t xml:space="preserve">/ </w:t>
      </w:r>
      <w:r>
        <w:rPr>
          <w:rFonts w:ascii="Arial" w:cs="Arial" w:eastAsia="Arial" w:hAnsi="Arial"/>
          <w:sz w:val="13"/>
          <w:szCs w:val="13"/>
          <w:color w:val="auto"/>
        </w:rPr>
        <w:t>3</w:t>
      </w:r>
      <w:r>
        <w:rPr>
          <w:rFonts w:ascii="Arial" w:cs="Arial" w:eastAsia="Arial" w:hAnsi="Arial"/>
          <w:sz w:val="18"/>
          <w:szCs w:val="18"/>
          <w:color w:val="auto"/>
        </w:rPr>
        <w:t xml:space="preserve">% in aggregate principal amount of the outstanding debt securities of such series (or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aggregate principal amount of all outstanding debt securities under such indenture, in the case of certain Events of Default affecting all series of debt securities issued under such indenture) may declare the principal of all the debt securities of such series to be due and payable.</w:t>
      </w:r>
    </w:p>
    <w:p>
      <w:pPr>
        <w:spacing w:after="0" w:line="1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set forth in the prospectus supplement relating to such series of debt securities, an “Event of Default” in respect of any series will be defined in the indentures as being any one of the following events:</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for 30 days in payment of any interest installment with respect to such series;</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default in payment of principal of, or premium, if any, on, or any sinking or purchase fund or analogous obligation with respect to, debt securities of such series when due at their stated maturity, by declaration or acceleration, when called for redemption or otherwise;</w:t>
      </w:r>
    </w:p>
    <w:p>
      <w:pPr>
        <w:spacing w:after="0" w:line="4" w:lineRule="exact"/>
        <w:rPr>
          <w:rFonts w:ascii="Arial" w:cs="Arial" w:eastAsia="Arial" w:hAnsi="Arial"/>
          <w:sz w:val="16"/>
          <w:szCs w:val="16"/>
          <w:color w:val="auto"/>
        </w:rPr>
      </w:pPr>
    </w:p>
    <w:p>
      <w:pPr>
        <w:ind w:left="900" w:right="6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default for 90 days after written notice to us by the Trustee thereunder or by holders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aggregate principal amount of the outstanding debt securities of such series in the performance, or breach, of any covenant or warranty pertaining to debt securities of such series; and</w:t>
      </w:r>
    </w:p>
    <w:p>
      <w:pPr>
        <w:spacing w:after="0" w:line="4"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certain events of bankruptcy, insolvency and reorganization with respect to us or any Significant Subsidiary of ours which is organized under the laws of the United States or any political sub-division thereof or the entry of an order ordering the winding up or liquidation of our affairs.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Each indenture will provide that the Trustee thereunder will, within 90 days after the occurrence of a default with respect to the debt securities of any series issued under such indenture, give to the holders of the debt securities of such series notice of all uncured and unwaived defaults known to it;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in the case of default in the payment of principal of, premium, if any, or interest, if any, on any of the debt securities of such series, the Trustee will be protected in withholding such notice if it in good faith determines that the withholding of such notice is in the interests of the holders of the debt securities of such series. The term “default” for the purpose of this provision means any event which is, or after notice or lapse of time or both would become, an Event of Default with respect to debt securities of such series.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indenture will contain provisions entitling the Trustee under such indenture, subject to the duty of the Trustee during an Event of Default to act with the required standard of care, to be indemnified to its reasonable satisfaction by the holders of the debt securities before proceeding to exercise any right or power under the applicable indenture at the request of holders of such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indenture will provide that the holders of a majority in aggregate principal amount of the outstanding debt securities of any series issued under such indenture may direct the time, method and place of conducting proceedings for remedies available to the Trustee or exercising any trust or power conferred on the Trustee in respect of such series, subject to certain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Except as otherwise set forth in the prospectus supplement relating to the debt securities, in certain cases, the holders of a majority in principal amount of the outstanding debt securities of any series may waive, on behalf of the holders of all debt securities of such series, any past default or Event of Default with respect to the debt securities of such series except, among other things, a default not theretofore cured in payment of the principal of, or premium, if any, or interest, if any, on any of the senior debt securities of such series or payment of any sinking or purchase fund or analogous obligations with respect to such senior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include a covenant that we will file annually with the Trustee a certificate of no default or specifying any default that exists.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set forth in the prospectus supplement relating to the debt securities, we and the Trustee may, without the consent of the holders of the debt securities issued under the indenture governing such debt securities, enter into indentures supplemental to the applicable indenture for, among others, one or more of the following purposes:</w:t>
      </w:r>
    </w:p>
    <w:p>
      <w:pPr>
        <w:spacing w:after="0" w:line="59" w:lineRule="exact"/>
        <w:rPr>
          <w:sz w:val="20"/>
          <w:szCs w:val="20"/>
          <w:color w:val="auto"/>
        </w:rPr>
      </w:pPr>
    </w:p>
    <w:p>
      <w:pPr>
        <w:ind w:left="9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such successor of the Company’s obligations under the applicable indenture and the debt securities of any series;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to the covenants of the Company or to surrender any rights or powers of the Company for the benefit of the holders of debt securities of any or all series issued under such indenture;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the applicable indenture which may be inconsistent with any other provision therein, or to make any other provisions with respect to matters or questions arising under such indenture;</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to the applicable indenture any provisions that may be expressly permitted by the Trust Indenture Act of 1939, as amended (the “</w:t>
      </w:r>
      <w:r>
        <w:rPr>
          <w:rFonts w:ascii="Arial" w:cs="Arial" w:eastAsia="Arial" w:hAnsi="Arial"/>
          <w:sz w:val="18"/>
          <w:szCs w:val="18"/>
          <w:i w:val="1"/>
          <w:iCs w:val="1"/>
          <w:color w:val="auto"/>
        </w:rPr>
        <w:t>TIA</w:t>
      </w:r>
      <w:r>
        <w:rPr>
          <w:rFonts w:ascii="Arial" w:cs="Arial" w:eastAsia="Arial" w:hAnsi="Arial"/>
          <w:sz w:val="18"/>
          <w:szCs w:val="18"/>
          <w:color w:val="auto"/>
        </w:rPr>
        <w:t>”), excluding the provisions referred to in Section 316(a)(2) of the TIA as in effect at the date as of which the applicable indenture was executed or any corresponding provision in any similar federal statute hereafter enacted;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 to be issued under the applicable indenture, to provide for the issuance of any series of debt securities and/or to add to the rights of the holders of debt securities;</w:t>
      </w:r>
    </w:p>
    <w:p>
      <w:pPr>
        <w:spacing w:after="0" w:line="5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evidence and provide for the acceptance of any successor Trustee with respect to one or more series of debt securities or to add or change any of the provisions of the applicable indenture as shall be necessary to facilitate the administration of the trusts thereunder by one or more trustees in accordance with the applicable indenture;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any additional Events of Default;</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to provide for uncertificated securities in addition to or in place of certificated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uncertificated securities are issued in registered form for certain federal tax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provide for the terms and conditions of converting those debt securities that are convertible into common stock or another such similar security;</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secure any series of debt securities;</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any change necessary to comply with any requirement of the SEC in connection with the qualification of the applicable indenture or any supplemental indenture under the TIA;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the holders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supplemental indenture for the purpose identified in clauses (2), (3) or (5) above may be entered into if to do so would adversely affect the rights of the holders of debt securities of any series issued under the same indenture in any material respect.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as set forth in the prospectus supplement relating to such series of debt securities, each indenture will contain provisions permitting us and the Trustee under such indenture, with the consent of the holders of a majority in principal amount of the outstanding debt securities of all series issued under such indenture to be affected voting as a single class, to execute supplemental indentures for the purpose of adding any provisions to or changing or eliminating any of the provisions of applicable indenture or modifying the rights of the holders of the debt securities of such series to be affected, except that no such supplemental indenture may, without the consent of the holders of affected debt securities, among other things:</w:t>
      </w:r>
    </w:p>
    <w:p>
      <w:pPr>
        <w:spacing w:after="0" w:line="35" w:lineRule="exact"/>
        <w:rPr>
          <w:sz w:val="20"/>
          <w:szCs w:val="20"/>
          <w:color w:val="auto"/>
        </w:rPr>
      </w:pPr>
    </w:p>
    <w:p>
      <w:pPr>
        <w:ind w:left="900" w:right="180" w:hanging="325"/>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the maturity of the principal of, or the maturity of any premium on, or any installment of interest on, any such debt security, or reduce the principal amount or the interest or any premium of any such debt securities, or change the method of computing the amount of principal or interest on any such debt securities on any date or change any place of payment where, or the currency in which, any debt securities or any premium or interest thereon is payable, or impair the right to institute suit for the enforcement of any such payment on or after the maturity of principal or premium, as the case may be;</w:t>
      </w:r>
    </w:p>
    <w:p>
      <w:pPr>
        <w:spacing w:after="0" w:line="61"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reduce the percentage in principal amount of any such debt securities the consent of whose holders is required for any supplemental indenture, waiver of compliance with certain provisions of the applicable indenture or certain defaults under the applicable indenture;</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modify any of the provisions of applicable indenture related to (i) the requirement that the holders of debt securities issued under such indenture consent to certain amendments of the applicable indenture, (ii) the waiver of past defaults and (iii) the waiver of certain covenants, except to increase the percentage of holders required to make such amendments or grant such waivers; or</w:t>
      </w:r>
    </w:p>
    <w:p>
      <w:pPr>
        <w:spacing w:after="0" w:line="59"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 or adversely affect the right of any holder to institute suit for the enforcement of any payment on, or with respect to, such senior debt securities on or after the maturity of such debt securities.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the subordinated indenture will provide that we may not make any change in the terms of the subordination of the subordinated debt securities of any series in a manner adverse in any material respect to the holders of any series of subordinated debt securities without the consent of each holder of subordinated debt securities that would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U.S. Bank National Association is the Trustee under each indenture. The Trustee and its affiliates may also provide banking, trustee and other services for us, and transact other banking business with us, in the normal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indentures will be governed by, and construed in accordance with, the laws of the State of New York.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issue debt securities through global securities. A global security is a security, typically held by a depositary, that represents the beneficial interests of a number of purchasers of the security. If we do issue global securities, the following procedures will apply.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will deposit global securities with the depositary identified in the prospectus supplement. After we issue a global security, the depositary will credit on its book-entry registration and transfer system the respective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principal amounts of the debt securities represented by the global security to the accounts of persons who have accounts with the depositary. These account holders are known as “participants.” The underwriters or agents participating in the distribution of the debt securities will designate the accounts to be credited. Only a participant or a person who holds an interest through a participant may be the beneficial owner of a global security. Ownership of beneficial interests in the global security will be shown on, and the transfer of that ownership will be effected only through, records maintained by the depositary and its participants.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and the Trustee will treat the depositary or its nominee as the sole owner or holder of the debt securities represented by a global security. Except as set forth below, owners of beneficial interests in a global security will not be entitled to have the debt securities represented by the global security registered in their names. They also will not receive or be entitled to receive physical delivery of the debt securities in definitive form and will not be considered the owners or holders of the debt securities.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Principal, any premium and any interest payments on debt securities represented by a global security registered in the name of a depositary or its nominee will be made to the depositary or its nominee as the registered owner of the global security. None of us, the Trustee or any paying agent will have any responsibility or liability for any aspect of the records relating to or payments made on account of beneficial ownership interests in the global security or maintaining, supervising or reviewing any records relating to the beneficial ownership interests.</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expect that the depositary, upon receipt of any payments, will immediately credit participants’ accounts with payments in amounts proportionate to their respective beneficial interests in the principal amount of the global security as shown on the depositary’s records. We also expect that payments by participants to owners of beneficial interests in the global security will be governed by standing instructions and customary practices, as is the case with the securities held for the accounts of customers registered in “street names,” and will be the responsibility of the participants.</w:t>
      </w:r>
    </w:p>
    <w:p>
      <w:pPr>
        <w:spacing w:after="0" w:line="113"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If the depositary is at any time unwilling or unable to continue as depositary and a successor depositary is not appointed by us within 90 days, we will issue registered securities in exchange for the global security. In addition, we may at any time in our sole discretion determine not to have any of the debt securities of a series represented by global securities. In that event, we will issue debt securities of that series in definitive form in exchange for the global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DEPOSITARY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Depositary receipts will be distributed to those persons purchasing the fractional shares of the related series of preferred stock.</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 this prospectus.</w:t>
      </w:r>
    </w:p>
    <w:p>
      <w:pPr>
        <w:spacing w:after="0" w:line="120"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in proportion to the number of depositary shares owned by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amount distributed in any of the foregoing cases will be reduced by any amounts required to be withheld by us or the depositary on account of taxes or other governmental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Underlying Preferred Stock</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96"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96"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depositary will forward to the holders of depositary shares all reports and communications from us that are delivered to the depositary and which we are required to furnish to the holders of the related preferred stock.</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 particular issue of debt warrants will describe the terms of such debt warrants, including the following:</w:t>
      </w:r>
    </w:p>
    <w:p>
      <w:pPr>
        <w:spacing w:after="0" w:line="113"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offering price for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number of such debt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such debt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with which such debt warrants are issued and the number of such debt warrants issued with each such debt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applicable, the date from and after which such debt warrants and any debt securities issued therewith will be separately transferable;</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a debt warrant and the price at which such principal amount of debt securities may be purchased upon exercise (which price may be payable in cash, securities or other property);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the right to exercise such debt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debt warrants that may be exercised at any one time;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antidilution or adjustment provisions of such debt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debt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any additional terms of such debt warrants, including terms, procedures, and limitations relating to the exchange and exercise of such debt warrants.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prospectus supplement relating to any particular issue of common stock warrants, preferred stock warrants or depositary share warrants will describe the terms of such warrants, including the following:</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offering price for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purchasable upon exercise of such warrants;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designation and terms of the offered securities with which such warrants are issued and the number of such warrants issued with each such offered security;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applicable, the date from and after which such warrants and any offered securities issued therewith will be separately transferable;</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such shares may be purchased upon exercise;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that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antidilution provisions of such warrants,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such warrants;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additional terms of such warrants, including terms, procedures and limitations relating to the exchange and exercise of such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RIGHTS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relating to any rights that we offer will include specific terms relating to the offering, including, among other matters:</w:t>
      </w:r>
    </w:p>
    <w:p>
      <w:pPr>
        <w:spacing w:after="0" w:line="113"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of determining the security holders entitled to the rights distribution;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aggregate number of rights issued and the aggregate number of shares of common stock purchasable upon exercise of the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conditions to completion of the rights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PURCHASE CONTRACTS</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issue, from time to time, purchase contracts, including contracts obligating holders to purchase from us and us to sell to the holders, a specified principal amount of senior debt securities, subordinated debt securities, shares of common stock or preferred stock, depositary shares, government securities, or any of the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prospectus supplement related to any particular purchase contracts will describe, among other things, the material terms of the purchase contracts and of the securities being sold pursuant to such purchase contracts,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THE UNITS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prospectus supplement related to any particular units will describe, among other things:</w:t>
      </w:r>
    </w:p>
    <w:p>
      <w:pPr>
        <w:spacing w:after="0" w:line="90" w:lineRule="exact"/>
        <w:rPr>
          <w:sz w:val="20"/>
          <w:szCs w:val="20"/>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material provisions relating to the issuance, payment, settlement, transfer or exchange of the units or of the securities comprising the units;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appropriate, any special United States federal income tax considerations applicable to the units;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24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the selling stockholders may offer and sell the securities in any one or more of the following ways: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one or more other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 exercise of rights distributed or issued to our security holders;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 on a best-efforts basis;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otherwise through a combination of any of the above methods of sale.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we or the selling stockholders may enter into option, share lending or other types of transactions that require us or such selling stockholders, as applicable, to deliver shares of common stock to an underwriter, broker or dealer, who will then resell or transfer the shares of common stock under this prospectus. We or the selling stockholders may also enter into hedging transactions with respect to our securities or the securities of such selling stockholders, as applicable. For example, we or the selling stockholders may:</w:t>
      </w:r>
    </w:p>
    <w:p>
      <w:pPr>
        <w:spacing w:after="0" w:line="6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shares of common stock by underwriters,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shares of common stock short and deliver the shares to close out short positions;</w:t>
      </w:r>
    </w:p>
    <w:p>
      <w:pPr>
        <w:spacing w:after="0" w:line="90" w:lineRule="exact"/>
        <w:rPr>
          <w:rFonts w:ascii="Arial" w:cs="Arial" w:eastAsia="Arial" w:hAnsi="Arial"/>
          <w:sz w:val="18"/>
          <w:szCs w:val="18"/>
          <w:color w:val="auto"/>
        </w:rPr>
      </w:pPr>
    </w:p>
    <w:p>
      <w:pPr>
        <w:ind w:left="900" w:right="42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enter into option or other types of transactions that require us or the selling stockholders, as applicable, to deliver shares of common stock to an underwriter, broker or dealer, who will then resell or transfer the shares of common stock under this prospectus; or</w:t>
      </w:r>
    </w:p>
    <w:p>
      <w:pPr>
        <w:spacing w:after="0" w:line="4"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loan or pledge the shares of common stock to an underwriter, broker or dealer, who may sell the loaned shares or, in the event of default, sell the pledged shares.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selling stockholder will act independently of us in making decisions with respect to the timing, manner and size of each sale of shares of common stock covered by this prospectus.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such selling stockholders, as applicable, or borrowed from us, such selling stockholders or others to settle those sales or to close out any related open borrowings of stock, and may use securities received from us or selling stockholders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or the selling stockholders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such selling stockholders, as applicable, or in connection with a concurrent offering of other securities.</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Shares of common stock may also be exchanged for satisfaction of the selling stockholders’ obligations or other liabilities to their creditors. Such transactions may or may not involve brokers or dealers.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Each time we or the selling stockholders sell securities, we will provide a prospectus supplement that will name any underwriter, dealer or agent involved in the offer and sale of the securities. The prospectus supplement will also set forth the terms of the offering, including:</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and/or such selling stockholders, as applicable, will receive from the sale of the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public offering or purchase price and any discounts or commissions allowed or re-allowed or paid to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commissions allowed or paid to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offering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method of distribution of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any agreement, arrangement or understanding entered into with the underwriters, brokers or dealers;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information we think is important.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underwriters or dealers are used in the sale, the securities will be acquired by the underwriters or dealers for their own account. The securities may be sold from time to time by us or the selling stockholders in one or more transactions:</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sales may be effected:</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transactions on any national securities exchange or quotation service on which the securities may be listed or quoted at the time of sale;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transactions in the over-the-counter market;</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the writing of options;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other types of transactions.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firstLine="456"/>
        <w:spacing w:after="0" w:line="370" w:lineRule="auto"/>
        <w:rPr>
          <w:sz w:val="20"/>
          <w:szCs w:val="20"/>
          <w:color w:val="auto"/>
        </w:rPr>
      </w:pPr>
      <w:r>
        <w:rPr>
          <w:rFonts w:ascii="Arial" w:cs="Arial" w:eastAsia="Arial" w:hAnsi="Arial"/>
          <w:sz w:val="15"/>
          <w:szCs w:val="15"/>
          <w:color w:val="auto"/>
        </w:rPr>
        <w:t>The selling stockholders might not sell any shares of common stock under this prospectus. In addition, any shares of common stock covered by this prospectus that qualify for sale pursuant to Rule 144 under the Securities Act of 1933 may be sold under Rule 144 rather than pursuant to this prospectus.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securities may be sold directly by us or the selling stockholders or through agents designated by us or such selling stockholders, as applicable, from time to time. Any agent involved in the offer or sale of the securities in respect of which this prospectus is delivered will be named, and any commissions payable by us or such selling stockholders, as applicable, to such agent will be set forth in, the prospectus supplement. Unless otherwise indicated in the prospectus supplement, any such agent will be acting on a best efforts basis for the period of its appointment.</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Offers to purchase the securities offered by this prospectus may be solicited, and sales of the securities may be made by us or by selling stockholders directly to institutional investors or others, who may be deemed to be underwriters within the meaning of the Securities Act of 1933 with respect to any resale of the securities. The terms of any offer made in this manner will be included in the prospectus supplement relating to the offer.</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59"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 and savings banks;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educational and charitable institutions.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all cases, these purchasers must be approved by us or the selling stockholders,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the selling stockholders, as applicable, must have sold to these underwriters the securities not subject to delayed delivery. Underwriters and other agents will not have any responsibility in respect of the validity or performance of these contracts.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Some of the underwriters, dealers or agents used by us or the selling stockholders in any offering of securities under this prospectus may be customers of, engage in transactions with, and perform services for us and/or such selling stockholders, as applicable, or affiliates of ours and/or theirs, as applicable, in the ordinary course of business. Underwriters, dealers, agents and other persons may be entitled under agreements which may be entered into with us and/or the selling stockholders to indemnification against and contribution toward certain civil liabilities, including liabilities under the Securities Act of 1933, and to be reimbursed by us and/or such selling stockholders for certain expenses.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any restrictions relating to debt securities in bearer form, any securities initially sold outside the United States may be resold in the United States through underwriters, dealers or otherwise.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underwriters to which offered securities are sold by us or the selling stockholders for public offering and sale may make a market in such securities, but those underwriters will not be obligated to do so and may discontinue any market making at any time.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anticipated date of delivery of the securities offered by this prospectus will be described in the applicable prospectus supplement relating to the offering.</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more than 10 percent of the net proceeds of any offering of securities made under this prospectus will be received by members of the Financial Industry Regulatory Authority, or FINRA, participating in the offering or by affiliates or associated persons of such FINRA members, the offering will be conducted in accordance with NASD Conduct Rule 2710(h). The maximum compensation we will pay to underwriters in connection with any offering of the securities will not exceed 8% of the maximum proceeds of such offering.</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Unless otherwise indicated in the applicable prospectus supplement, certain legal matters will be passed upon for us by Paul, Weiss, Rifkind, Wharton &amp; Garrison LLP,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of ExlService Holdings, Inc. appearing in ExlService Holdings, Inc.’s Annual Report (Form 10-K) for the year ended December 31, 2008, and the effectiveness of ExlService Holdings, Inc. internal control over financial reporting as of December 31, 2008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required by the Securities Act of 1933, as amended, ExlService filed a registration statement relating to the securities offered by this prospectus with the SEC. This prospectus is a part of that registration statement, which includes additional information.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under the Securities Exchange Act of 1934, as amended. These filings are available to the public on the SEC’s website at www.sec.gov. You may also read and copy any document the Company files at the SEC’s public reference room at 100 F Street, N.E., Washington, D.C. Please call the SEC at 1-800-SEC-0330 for further information on the public reference room. ExlService maintains a website at www.exlservice.com where the Annual Report on Form 10-K, Quarterly Reports on Form 10-Q, Current Reports on Form 8-K and all amendments to those reports are available without charge, as soon as reasonably practicable after those reports are filed with or furnished to the SEC.</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website or at its public reference room.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 SEC, which means that we can disclose important information to you by referring you to those documents. The information incorporated by reference is considered to be part of this prospectus. Information that we file later with the SEC will automatically update information in this prospectus. In all cases, you should rely on the later information over different information included in this prospectus or the prospectus supplement. We incorporate by reference the following documents which have been filed with the SEC:</w:t>
      </w:r>
    </w:p>
    <w:p>
      <w:pPr>
        <w:spacing w:after="0" w:line="32" w:lineRule="exact"/>
        <w:rPr>
          <w:sz w:val="20"/>
          <w:szCs w:val="20"/>
          <w:color w:val="auto"/>
        </w:rPr>
      </w:pPr>
    </w:p>
    <w:p>
      <w:pPr>
        <w:ind w:left="9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2008, including portions of our Proxy Statement for the 2009 Annual Meeting of Stockholders (filed on April 30, 2009) to the extent specifically incorporated by reference therein;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2009, June 30, 2009 and September 30,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Current Reports on Form 8-K filed on January 30, 2009, March 11, 2009 (with regard to Item 5.02 thereof only) and April 7, 2009;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description of the Company’s common stock set forth in the Company’s Registration Statement on Form 8-A filed on October 17, 2006.</w:t>
      </w:r>
    </w:p>
    <w:p>
      <w:pPr>
        <w:spacing w:after="0" w:line="19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All documents and reports that we file with the SEC (other than any portion of such filings that are furnished under applicable SEC rules rather than filed) pursuant to Section 13(a), 13(c), 14 or 15(d) of the Securities Exchange Act of 1934, as amended after the date of this prospectus and before the later of (1) the completion of the offering of the securities described in this prospectus and (2) the date we stop offering securities pursuant to this prospectus, shall be incorporated by reference in this prospectus from the date of filing of such documents. The information contained on our website (www.exlservice.com) is not incorporated into this prospectus.</w:t>
      </w:r>
    </w:p>
    <w:p>
      <w:pPr>
        <w:spacing w:after="0" w:line="14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You should not assume that the information in this prospectus, the prospectus supplement, any applicable pricing supplement or any documents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1045845</wp:posOffset>
            </wp:positionV>
            <wp:extent cx="1140460" cy="909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4046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33" w:lineRule="exact"/>
        <w:rPr>
          <w:sz w:val="20"/>
          <w:szCs w:val="20"/>
          <w:color w:val="auto"/>
        </w:rPr>
      </w:pPr>
    </w:p>
    <w:p>
      <w:pPr>
        <w:ind w:left="4620"/>
        <w:spacing w:after="0"/>
        <w:rPr>
          <w:sz w:val="20"/>
          <w:szCs w:val="20"/>
          <w:color w:val="auto"/>
        </w:rPr>
      </w:pPr>
      <w:r>
        <w:rPr>
          <w:rFonts w:ascii="Arial" w:cs="Arial" w:eastAsia="Arial" w:hAnsi="Arial"/>
          <w:sz w:val="32"/>
          <w:szCs w:val="32"/>
          <w:b w:val="1"/>
          <w:bCs w:val="1"/>
          <w:color w:val="auto"/>
        </w:rPr>
        <w:t>Preferred Stock</w:t>
      </w:r>
    </w:p>
    <w:p>
      <w:pPr>
        <w:spacing w:after="0" w:line="28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Debt Securities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Depositary Shares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Warrants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Rights</w:t>
      </w: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Purchase Contracts</w:t>
      </w: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3099"/>
        <w:spacing w:after="0"/>
        <w:rPr>
          <w:sz w:val="20"/>
          <w:szCs w:val="20"/>
          <w:color w:val="auto"/>
        </w:rPr>
      </w:pPr>
      <w:r>
        <w:rPr>
          <w:rFonts w:ascii="Arial" w:cs="Arial" w:eastAsia="Arial" w:hAnsi="Arial"/>
          <w:sz w:val="32"/>
          <w:szCs w:val="32"/>
          <w:b w:val="1"/>
          <w:bCs w:val="1"/>
          <w:color w:val="auto"/>
        </w:rPr>
        <w:t>P R O S P E C T U S</w:t>
      </w:r>
    </w:p>
    <w:p>
      <w:pPr>
        <w:spacing w:after="0" w:line="335" w:lineRule="exact"/>
        <w:rPr>
          <w:sz w:val="20"/>
          <w:szCs w:val="20"/>
          <w:color w:val="auto"/>
        </w:rPr>
      </w:pPr>
    </w:p>
    <w:p>
      <w:pPr>
        <w:ind w:left="5980"/>
        <w:spacing w:after="0"/>
        <w:rPr>
          <w:sz w:val="20"/>
          <w:szCs w:val="20"/>
          <w:color w:val="auto"/>
        </w:rPr>
      </w:pPr>
      <w:r>
        <w:rPr>
          <w:rFonts w:ascii="Arial" w:cs="Arial" w:eastAsia="Arial" w:hAnsi="Arial"/>
          <w:sz w:val="22"/>
          <w:szCs w:val="22"/>
          <w:b w:val="1"/>
          <w:bCs w:val="1"/>
          <w:color w:val="auto"/>
        </w:rPr>
        <w:t>, 2009</w:t>
      </w:r>
    </w:p>
    <w:p>
      <w:pPr>
        <w:sectPr>
          <w:pgSz w:w="11900" w:h="16838" w:orient="portrait"/>
          <w:cols w:equalWidth="0" w:num="1">
            <w:col w:w="10219"/>
          </w:cols>
          <w:pgMar w:left="240" w:top="45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 sets forth the expenses to be borne by ExlService Holdings, Inc. in connection with the issuance and distribution of the securities being registered, excluding underwriting fees and expenses. All the amounts shown are estimates except the registration fee paid to the Securities and Exchange Commission.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$16,023</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Printing and duplicating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Miscellaneous expenses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$13,977</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$175,000</w:t>
            </w:r>
          </w:p>
        </w:tc>
      </w:tr>
    </w:tbl>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of the Delaware General Corporation Law, or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 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amended and restated certificate of incorporation provides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we refer to as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provided, however, that we shall be required to indemnify a person in connection with a proceeding (or part thereof) initiated by such person only if the commencement of such proceeding (or part thereof) was authorized by our board of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amended and restated certificate of incorporation limits the personal liability of our directors to the fullest extent permitted by section 102 of the DGCL.</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of 1933 and is therefore unenforceable.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our officers and directors.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list of exhibits filed with this registration statement is contained in the exhibits index, which is incorporated by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71" w:lineRule="exact"/>
        <w:rPr>
          <w:rFonts w:ascii="Arial" w:cs="Arial" w:eastAsia="Arial" w:hAnsi="Arial"/>
          <w:sz w:val="18"/>
          <w:szCs w:val="18"/>
          <w:color w:val="auto"/>
        </w:rPr>
      </w:pPr>
    </w:p>
    <w:p>
      <w:pPr>
        <w:ind w:right="40" w:firstLine="921"/>
        <w:spacing w:after="0" w:line="291" w:lineRule="auto"/>
        <w:tabs>
          <w:tab w:leader="none" w:pos="1171" w:val="left"/>
        </w:tabs>
        <w:numPr>
          <w:ilvl w:val="1"/>
          <w:numId w:val="2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0" w:lineRule="exact"/>
        <w:rPr>
          <w:rFonts w:ascii="Arial" w:cs="Arial" w:eastAsia="Arial" w:hAnsi="Arial"/>
          <w:sz w:val="16"/>
          <w:szCs w:val="16"/>
          <w:color w:val="auto"/>
        </w:rPr>
      </w:pPr>
    </w:p>
    <w:p>
      <w:pPr>
        <w:ind w:right="60" w:firstLine="921"/>
        <w:spacing w:after="0" w:line="268" w:lineRule="auto"/>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(i), (ii) and (iii) above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3" w:lineRule="exact"/>
        <w:rPr>
          <w:sz w:val="20"/>
          <w:szCs w:val="20"/>
          <w:color w:val="auto"/>
        </w:rPr>
      </w:pPr>
    </w:p>
    <w:p>
      <w:pPr>
        <w:ind w:right="180" w:firstLine="464"/>
        <w:spacing w:after="0" w:line="259"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64"/>
        <w:spacing w:after="0" w:line="268"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71" w:lineRule="exact"/>
        <w:rPr>
          <w:rFonts w:ascii="Arial" w:cs="Arial" w:eastAsia="Arial" w:hAnsi="Arial"/>
          <w:sz w:val="18"/>
          <w:szCs w:val="18"/>
          <w:color w:val="auto"/>
        </w:rPr>
      </w:pPr>
    </w:p>
    <w:p>
      <w:pPr>
        <w:ind w:right="160" w:firstLine="921"/>
        <w:spacing w:after="0" w:line="268" w:lineRule="auto"/>
        <w:tabs>
          <w:tab w:leader="none" w:pos="1123"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1" w:lineRule="exact"/>
        <w:rPr>
          <w:rFonts w:ascii="Arial" w:cs="Arial" w:eastAsia="Arial" w:hAnsi="Arial"/>
          <w:sz w:val="18"/>
          <w:szCs w:val="18"/>
          <w:color w:val="auto"/>
        </w:rPr>
      </w:pPr>
    </w:p>
    <w:p>
      <w:pPr>
        <w:ind w:firstLine="921"/>
        <w:spacing w:after="0" w:line="287" w:lineRule="auto"/>
        <w:tabs>
          <w:tab w:leader="none" w:pos="1171"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no statement made in a registration statement or prospectus that is part of the registration statement or made in a document incorporated</w:t>
      </w:r>
      <w:r>
        <w:rPr>
          <w:rFonts w:ascii="Arial" w:cs="Arial" w:eastAsia="Arial" w:hAnsi="Arial"/>
          <w:sz w:val="16"/>
          <w:szCs w:val="16"/>
          <w:i w:val="1"/>
          <w:iCs w:val="1"/>
          <w:color w:val="auto"/>
        </w:rPr>
        <w:t xml:space="preserve"> </w:t>
      </w:r>
      <w:r>
        <w:rPr>
          <w:rFonts w:ascii="Arial" w:cs="Arial" w:eastAsia="Arial" w:hAnsi="Arial"/>
          <w:sz w:val="16"/>
          <w:szCs w:val="16"/>
          <w:color w:val="auto"/>
        </w:rPr>
        <w:t>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2" w:lineRule="exact"/>
        <w:rPr>
          <w:rFonts w:ascii="Arial" w:cs="Arial" w:eastAsia="Arial" w:hAnsi="Arial"/>
          <w:sz w:val="16"/>
          <w:szCs w:val="16"/>
          <w:color w:val="auto"/>
        </w:rPr>
      </w:pPr>
    </w:p>
    <w:p>
      <w:pPr>
        <w:ind w:right="140" w:firstLine="464"/>
        <w:spacing w:after="0" w:line="298"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w:t>
      </w:r>
    </w:p>
    <w:p>
      <w:pPr>
        <w:spacing w:after="0" w:line="112" w:lineRule="exact"/>
        <w:rPr>
          <w:rFonts w:ascii="Arial" w:cs="Arial" w:eastAsia="Arial" w:hAnsi="Arial"/>
          <w:sz w:val="16"/>
          <w:szCs w:val="16"/>
          <w:color w:val="auto"/>
        </w:rPr>
      </w:pPr>
    </w:p>
    <w:p>
      <w:pPr>
        <w:ind w:left="1120" w:hanging="199"/>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preliminary prospectus or prospectus of the registrant relating to the offering required to be filed pursuant to Rule 424;</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registrant or used or referred to by the registrant;</w:t>
      </w:r>
    </w:p>
    <w:p>
      <w:pPr>
        <w:spacing w:after="0" w:line="194" w:lineRule="exact"/>
        <w:rPr>
          <w:rFonts w:ascii="Arial" w:cs="Arial" w:eastAsia="Arial" w:hAnsi="Arial"/>
          <w:sz w:val="16"/>
          <w:szCs w:val="16"/>
          <w:color w:val="auto"/>
        </w:rPr>
      </w:pPr>
    </w:p>
    <w:p>
      <w:pPr>
        <w:ind w:right="380" w:firstLine="921"/>
        <w:spacing w:after="0" w:line="268" w:lineRule="auto"/>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registrant or its securities provided by or on behalf of the registrant; and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registrant to the purchaser.</w:t>
      </w:r>
    </w:p>
    <w:p>
      <w:pPr>
        <w:spacing w:after="0" w:line="17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3"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Securities Act of 1933 and is, therefore,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240" w:top="459" w:right="5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ExlService Holdings, Inc. certifies that it has reasonable grounds to believe that it meets all of the requirements for filing on Form S-3 and has duly caused this amendment to the Registration Statement to be signed on its behalf by the undersigned, thereunto duly authorized, in the City of New York, State of New York, on December 30, 2009.</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Rohit Kapoor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pacing w:after="0" w:line="15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to the Registration Statement has been signed below by the following persons in the capacities indicated on December 30,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Title/Position</w:t>
            </w:r>
          </w:p>
        </w:tc>
        <w:tc>
          <w:tcPr>
            <w:tcW w:w="2120" w:type="dxa"/>
            <w:vAlign w:val="bottom"/>
          </w:tcPr>
          <w:p>
            <w:pPr>
              <w:spacing w:after="0"/>
              <w:rPr>
                <w:sz w:val="14"/>
                <w:szCs w:val="14"/>
                <w:color w:val="auto"/>
              </w:rPr>
            </w:pPr>
          </w:p>
        </w:tc>
      </w:tr>
      <w:tr>
        <w:trPr>
          <w:trHeight w:val="425"/>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OHIT</w:t>
            </w:r>
            <w:r>
              <w:rPr>
                <w:rFonts w:ascii="Arial" w:cs="Arial" w:eastAsia="Arial" w:hAnsi="Arial"/>
                <w:sz w:val="18"/>
                <w:szCs w:val="18"/>
                <w:color w:val="auto"/>
              </w:rPr>
              <w:t xml:space="preserve"> K</w:t>
            </w:r>
            <w:r>
              <w:rPr>
                <w:rFonts w:ascii="Arial" w:cs="Arial" w:eastAsia="Arial" w:hAnsi="Arial"/>
                <w:sz w:val="14"/>
                <w:szCs w:val="14"/>
                <w:color w:val="auto"/>
              </w:rPr>
              <w:t>APOOR</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w w:val="90"/>
              </w:rPr>
              <w:t>Chief Executive Officer, President and Director (Principal Executive Officer)</w:t>
            </w:r>
          </w:p>
        </w:tc>
      </w:tr>
      <w:tr>
        <w:trPr>
          <w:trHeight w:val="217"/>
        </w:trPr>
        <w:tc>
          <w:tcPr>
            <w:tcW w:w="2820" w:type="dxa"/>
            <w:vAlign w:val="bottom"/>
            <w:gridSpan w:val="5"/>
          </w:tcPr>
          <w:p>
            <w:pPr>
              <w:spacing w:after="0"/>
              <w:rPr>
                <w:sz w:val="20"/>
                <w:szCs w:val="20"/>
                <w:color w:val="auto"/>
              </w:rPr>
            </w:pPr>
            <w:r>
              <w:rPr>
                <w:rFonts w:ascii="Arial" w:cs="Arial" w:eastAsia="Arial" w:hAnsi="Arial"/>
                <w:sz w:val="18"/>
                <w:szCs w:val="18"/>
                <w:color w:val="auto"/>
              </w:rPr>
              <w:t>Rohit Kapoor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217"/>
        </w:trPr>
        <w:tc>
          <w:tcPr>
            <w:tcW w:w="2820" w:type="dxa"/>
            <w:vAlign w:val="bottom"/>
            <w:gridSpan w:val="5"/>
          </w:tcPr>
          <w:p>
            <w:pPr>
              <w:spacing w:after="0"/>
              <w:rPr>
                <w:sz w:val="20"/>
                <w:szCs w:val="20"/>
                <w:color w:val="auto"/>
              </w:rPr>
            </w:pPr>
            <w:r>
              <w:rPr>
                <w:rFonts w:ascii="Arial" w:cs="Arial" w:eastAsia="Arial" w:hAnsi="Arial"/>
                <w:sz w:val="18"/>
                <w:szCs w:val="18"/>
                <w:color w:val="auto"/>
              </w:rPr>
              <w:t>Vishal Chhibbar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Executive Chairman</w:t>
            </w:r>
          </w:p>
        </w:tc>
      </w:tr>
      <w:tr>
        <w:trPr>
          <w:trHeight w:val="217"/>
        </w:trPr>
        <w:tc>
          <w:tcPr>
            <w:tcW w:w="2820" w:type="dxa"/>
            <w:vAlign w:val="bottom"/>
            <w:gridSpan w:val="5"/>
          </w:tcPr>
          <w:p>
            <w:pPr>
              <w:spacing w:after="0"/>
              <w:rPr>
                <w:sz w:val="20"/>
                <w:szCs w:val="20"/>
                <w:color w:val="auto"/>
              </w:rPr>
            </w:pPr>
            <w:r>
              <w:rPr>
                <w:rFonts w:ascii="Arial" w:cs="Arial" w:eastAsia="Arial" w:hAnsi="Arial"/>
                <w:sz w:val="18"/>
                <w:szCs w:val="18"/>
                <w:color w:val="auto"/>
              </w:rPr>
              <w:t>Vikram Talwar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Steven B. Gruber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Edward V. Dardani</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Kiran Karnik</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David B. Kelso</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Clyde W. Ostler</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Mohanbir Sawhney</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left="177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auto"/>
              </w:rPr>
              <w:t>Garen K. Staglin</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465"/>
        </w:trPr>
        <w:tc>
          <w:tcPr>
            <w:tcW w:w="360" w:type="dxa"/>
            <w:vAlign w:val="bottom"/>
            <w:gridSpan w:val="2"/>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MIT</w:t>
            </w:r>
            <w:r>
              <w:rPr>
                <w:rFonts w:ascii="Arial" w:cs="Arial" w:eastAsia="Arial" w:hAnsi="Arial"/>
                <w:sz w:val="18"/>
                <w:szCs w:val="18"/>
                <w:color w:val="auto"/>
              </w:rPr>
              <w:t xml:space="preserve"> S</w:t>
            </w:r>
            <w:r>
              <w:rPr>
                <w:rFonts w:ascii="Arial" w:cs="Arial" w:eastAsia="Arial" w:hAnsi="Arial"/>
                <w:sz w:val="14"/>
                <w:szCs w:val="14"/>
                <w:color w:val="auto"/>
              </w:rPr>
              <w:t>HASHANK</w:t>
            </w:r>
          </w:p>
        </w:tc>
        <w:tc>
          <w:tcPr>
            <w:tcW w:w="17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20" w:type="dxa"/>
            <w:vAlign w:val="bottom"/>
          </w:tcPr>
          <w:p>
            <w:pPr>
              <w:spacing w:after="0"/>
              <w:rPr>
                <w:sz w:val="18"/>
                <w:szCs w:val="18"/>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80" w:type="dxa"/>
            <w:vAlign w:val="bottom"/>
          </w:tcPr>
          <w:p>
            <w:pPr>
              <w:ind w:left="21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0"/>
              </w:rPr>
              <w:t>Number</w:t>
            </w:r>
          </w:p>
        </w:tc>
        <w:tc>
          <w:tcPr>
            <w:tcW w:w="10880" w:type="dxa"/>
            <w:vAlign w:val="bottom"/>
            <w:gridSpan w:val="3"/>
          </w:tcPr>
          <w:p>
            <w:pPr>
              <w:ind w:left="88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color w:val="auto"/>
              </w:rPr>
              <w:t>1.1*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Debt Securities.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Equity Securities.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Depositary Shares.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1.4*</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Purchase Contracts.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1.5*</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Units.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1.6*</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Underwriting Agreement for Warrants.</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3"/>
              </w:rPr>
              <w:t>Amended and Restated Certificate of Incorporation (incorporated by reference to Exhibit 3.1 to the Current Report on Form 8-K filed on</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October 25, 2006).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89"/>
              </w:rPr>
              <w:t>Second Amended and Restated By-laws (incorporated by reference to Exhibit 3.1 to the Current Report on Form 8-K filed on April 30, 2008).</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Specimen Stock Certificate (incorporated by reference to Exhibit 4.1 of Amendment 6 to the Registration Statement on Form S-1 (No. 333-</w:t>
            </w:r>
          </w:p>
        </w:tc>
      </w:tr>
      <w:tr>
        <w:trPr>
          <w:trHeight w:val="222"/>
        </w:trPr>
        <w:tc>
          <w:tcPr>
            <w:tcW w:w="520" w:type="dxa"/>
            <w:vAlign w:val="bottom"/>
          </w:tcPr>
          <w:p>
            <w:pPr>
              <w:spacing w:after="0"/>
              <w:rPr>
                <w:sz w:val="19"/>
                <w:szCs w:val="19"/>
                <w:color w:val="auto"/>
              </w:rPr>
            </w:pPr>
          </w:p>
        </w:tc>
        <w:tc>
          <w:tcPr>
            <w:tcW w:w="2400" w:type="dxa"/>
            <w:vAlign w:val="bottom"/>
            <w:gridSpan w:val="2"/>
          </w:tcPr>
          <w:p>
            <w:pPr>
              <w:ind w:left="880"/>
              <w:spacing w:after="0"/>
              <w:rPr>
                <w:sz w:val="20"/>
                <w:szCs w:val="20"/>
                <w:color w:val="auto"/>
              </w:rPr>
            </w:pPr>
            <w:r>
              <w:rPr>
                <w:rFonts w:ascii="Arial" w:cs="Arial" w:eastAsia="Arial" w:hAnsi="Arial"/>
                <w:sz w:val="18"/>
                <w:szCs w:val="18"/>
                <w:color w:val="auto"/>
              </w:rPr>
              <w:t>121001)).</w:t>
            </w:r>
          </w:p>
        </w:tc>
        <w:tc>
          <w:tcPr>
            <w:tcW w:w="8480" w:type="dxa"/>
            <w:vAlign w:val="bottom"/>
          </w:tcPr>
          <w:p>
            <w:pPr>
              <w:spacing w:after="0"/>
              <w:rPr>
                <w:sz w:val="19"/>
                <w:szCs w:val="19"/>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3"/>
              </w:rPr>
              <w:t>Registration Rights Agreement (incorporated by reference to Exhibit 4.1 to the Current Report on Form 8-K filed on October 25, 2006).</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1"/>
              </w:rPr>
              <w:t>Form of Indenture to be entered into by ExlService Holdings, Inc. and U.S. Bank National Association, as trustee (the “Senior Indenture”).</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5"/>
              </w:rPr>
              <w:t>Form of Indenture to be entered into by ExlService Holdings, Inc. and U.S. Bank National Association, as trustee (the “Subordinated</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Indenture”).</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Deposit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Depositary Receipt.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Warrant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Warrant.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Rights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Purchase Contract.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Form of Unit Agreement.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Opinion of Paul, Weiss, Rifkind, Wharton &amp; Garrison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Computation of ratio of earnings to fixed charges of ExlService Holdings, Inc.</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Consent of Paul, Weiss, Rifkind, Wharton &amp; Garrison LLP (contained in Exhibit 5.1).</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Power of Attorney.</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Statement of Eligibility and Qualification on Form T-1 of U.S. Bank National Association with respect to ExlService Holdings, Inc. under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Senior Indenture.</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25.2**</w:t>
            </w: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w w:val="90"/>
              </w:rPr>
              <w:t>Statement of Eligibility and Qualification on Form T-1 of U.S. Bank National Association with respect to ExlService Holdings, Inc. under the</w:t>
            </w:r>
          </w:p>
        </w:tc>
      </w:tr>
      <w:tr>
        <w:trPr>
          <w:trHeight w:val="222"/>
        </w:trPr>
        <w:tc>
          <w:tcPr>
            <w:tcW w:w="520" w:type="dxa"/>
            <w:vAlign w:val="bottom"/>
          </w:tcPr>
          <w:p>
            <w:pPr>
              <w:spacing w:after="0"/>
              <w:rPr>
                <w:sz w:val="19"/>
                <w:szCs w:val="19"/>
                <w:color w:val="auto"/>
              </w:rPr>
            </w:pPr>
          </w:p>
        </w:tc>
        <w:tc>
          <w:tcPr>
            <w:tcW w:w="10880" w:type="dxa"/>
            <w:vAlign w:val="bottom"/>
            <w:gridSpan w:val="3"/>
          </w:tcPr>
          <w:p>
            <w:pPr>
              <w:ind w:left="880"/>
              <w:spacing w:after="0"/>
              <w:rPr>
                <w:sz w:val="20"/>
                <w:szCs w:val="20"/>
                <w:color w:val="auto"/>
              </w:rPr>
            </w:pPr>
            <w:r>
              <w:rPr>
                <w:rFonts w:ascii="Arial" w:cs="Arial" w:eastAsia="Arial" w:hAnsi="Arial"/>
                <w:sz w:val="18"/>
                <w:szCs w:val="18"/>
                <w:color w:val="auto"/>
              </w:rPr>
              <w:t>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600" w:firstLine="8"/>
        <w:spacing w:after="0" w:line="268" w:lineRule="auto"/>
        <w:tabs>
          <w:tab w:leader="none" w:pos="3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filed, if necessary, by a post-effective amendment to the registration statement or as an exhibit to a document incorporated by reference herein. ** Previously filed.</w:t>
      </w:r>
    </w:p>
    <w:p>
      <w:pPr>
        <w:sectPr>
          <w:pgSz w:w="11900" w:h="16838" w:orient="portrait"/>
          <w:cols w:equalWidth="0" w:num="1">
            <w:col w:w="11400"/>
          </w:cols>
          <w:pgMar w:left="240" w:top="459" w:right="2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We consent to the reference to our firm under the caption “Experts” in this Amendment No. 2 to Registration Statement (Form S-3 No. 333-162335) and related Prospectus of ExlService Holdings, Inc. for the registration of common stock, preferred stock, debt securities, depository shares, warrants, rights, purchase contracts and units and to the incorporation by reference therein of our reports dated March 16, 2009, with respect to the consolidated financial statements of ExlService Holdings, Inc., and the effectiveness of internal control over financial reporting of ExlService Holdings, Inc., included in its Annual Report (Form 10-</w:t>
      </w:r>
    </w:p>
    <w:p>
      <w:pPr>
        <w:spacing w:after="0" w:line="3" w:lineRule="exact"/>
        <w:rPr>
          <w:sz w:val="20"/>
          <w:szCs w:val="20"/>
          <w:color w:val="auto"/>
        </w:rPr>
      </w:pPr>
    </w:p>
    <w:p>
      <w:pPr>
        <w:ind w:right="4720" w:firstLine="8"/>
        <w:spacing w:after="0" w:line="434" w:lineRule="auto"/>
        <w:tabs>
          <w:tab w:leader="none" w:pos="2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year ended December 31, 2008, filed with the Securities and Exchange Commission. /s/ Ernst &amp; Young LLP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2009</w:t>
      </w:r>
    </w:p>
    <w:p>
      <w:pPr>
        <w:sectPr>
          <w:pgSz w:w="11900" w:h="16838" w:orient="portrait"/>
          <w:cols w:equalWidth="0" w:num="1">
            <w:col w:w="11420"/>
          </w:cols>
          <w:pgMar w:left="240" w:top="125" w:right="2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10019-6064</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December 30,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No. 2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Registration Statement on Form S-3 (File No. 333-162335)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(the “</w:t>
      </w:r>
      <w:r>
        <w:rPr>
          <w:rFonts w:ascii="Arial" w:cs="Arial" w:eastAsia="Arial" w:hAnsi="Arial"/>
          <w:sz w:val="18"/>
          <w:szCs w:val="18"/>
          <w:i w:val="1"/>
          <w:iCs w:val="1"/>
          <w:u w:val="single" w:color="auto"/>
          <w:color w:val="auto"/>
        </w:rPr>
        <w:t>Registration Statement</w:t>
      </w:r>
      <w:r>
        <w:rPr>
          <w:rFonts w:ascii="Arial" w:cs="Arial" w:eastAsia="Arial" w:hAnsi="Arial"/>
          <w:sz w:val="18"/>
          <w:szCs w:val="18"/>
          <w:u w:val="single" w:color="auto"/>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On behalf of ExlService Holdings,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we submit in electronic form for filing the accompanying Amendment No. 2 to the Registration Statement on Form S-3 (</w:t>
      </w:r>
      <w:r>
        <w:rPr>
          <w:rFonts w:ascii="Arial" w:cs="Arial" w:eastAsia="Arial" w:hAnsi="Arial"/>
          <w:sz w:val="18"/>
          <w:szCs w:val="18"/>
          <w:i w:val="1"/>
          <w:iCs w:val="1"/>
          <w:color w:val="auto"/>
        </w:rPr>
        <w:t>“Amendment No. 2”</w:t>
      </w:r>
      <w:r>
        <w:rPr>
          <w:rFonts w:ascii="Arial" w:cs="Arial" w:eastAsia="Arial" w:hAnsi="Arial"/>
          <w:sz w:val="18"/>
          <w:szCs w:val="18"/>
          <w:color w:val="auto"/>
        </w:rPr>
        <w:t xml:space="preserve">) of the Company, together with Exhibits, marked to indicate changes from the Registration Statement as filed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November 20, 2009.</w:t>
      </w:r>
    </w:p>
    <w:p>
      <w:pPr>
        <w:spacing w:after="0" w:line="140" w:lineRule="exact"/>
        <w:rPr>
          <w:sz w:val="20"/>
          <w:szCs w:val="20"/>
          <w:color w:val="auto"/>
        </w:rPr>
      </w:pPr>
    </w:p>
    <w:p>
      <w:pPr>
        <w:jc w:val="both"/>
        <w:ind w:right="660" w:firstLine="456"/>
        <w:spacing w:after="0" w:line="306" w:lineRule="auto"/>
        <w:rPr>
          <w:sz w:val="20"/>
          <w:szCs w:val="20"/>
          <w:color w:val="auto"/>
        </w:rPr>
      </w:pPr>
      <w:r>
        <w:rPr>
          <w:rFonts w:ascii="Arial" w:cs="Arial" w:eastAsia="Arial" w:hAnsi="Arial"/>
          <w:sz w:val="16"/>
          <w:szCs w:val="16"/>
          <w:color w:val="auto"/>
        </w:rPr>
        <w:t xml:space="preserve">Amendment No. 1 reflects the responses of the Company to comments received from the Staff of the Commission (the </w:t>
      </w:r>
      <w:r>
        <w:rPr>
          <w:rFonts w:ascii="Arial" w:cs="Arial" w:eastAsia="Arial" w:hAnsi="Arial"/>
          <w:sz w:val="16"/>
          <w:szCs w:val="16"/>
          <w:i w:val="1"/>
          <w:iCs w:val="1"/>
          <w:color w:val="auto"/>
        </w:rPr>
        <w:t>“Staff”</w:t>
      </w:r>
      <w:r>
        <w:rPr>
          <w:rFonts w:ascii="Arial" w:cs="Arial" w:eastAsia="Arial" w:hAnsi="Arial"/>
          <w:sz w:val="16"/>
          <w:szCs w:val="16"/>
          <w:color w:val="auto"/>
        </w:rPr>
        <w:t xml:space="preserve">) in a letter from H. Christopher Owings, dated December 7, 2009 (the </w:t>
      </w:r>
      <w:r>
        <w:rPr>
          <w:rFonts w:ascii="Arial" w:cs="Arial" w:eastAsia="Arial" w:hAnsi="Arial"/>
          <w:sz w:val="16"/>
          <w:szCs w:val="16"/>
          <w:i w:val="1"/>
          <w:iCs w:val="1"/>
          <w:color w:val="auto"/>
        </w:rPr>
        <w:t>“Comment Letter”</w:t>
      </w:r>
      <w:r>
        <w:rPr>
          <w:rFonts w:ascii="Arial" w:cs="Arial" w:eastAsia="Arial" w:hAnsi="Arial"/>
          <w:sz w:val="16"/>
          <w:szCs w:val="16"/>
          <w:color w:val="auto"/>
        </w:rPr>
        <w:t>). The discussion below is presented in the order of the numbered comments in the Comment Letter. Certain capitalized terms set forth in this letter are used as defined in Amendment No. 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No. 1 to Registration Statement on Form S-3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Stockholders, page 4</w:t>
      </w:r>
    </w:p>
    <w:p>
      <w:pPr>
        <w:spacing w:after="0" w:line="218" w:lineRule="exact"/>
        <w:rPr>
          <w:sz w:val="20"/>
          <w:szCs w:val="20"/>
          <w:color w:val="auto"/>
        </w:rPr>
      </w:pPr>
    </w:p>
    <w:p>
      <w:pPr>
        <w:ind w:left="900" w:right="380" w:hanging="446"/>
        <w:spacing w:after="0" w:line="268" w:lineRule="auto"/>
        <w:tabs>
          <w:tab w:leader="none" w:pos="90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response to comment 2 in our letter dated October 28, 2009. Please note that you may only omit information regarding the selling shareholders if the conditions in Rule 430B(b)(2) are satisfied. Therefore,</w:t>
      </w:r>
    </w:p>
    <w:p>
      <w:pPr>
        <w:sectPr>
          <w:pgSz w:w="11900" w:h="16838" w:orient="portrait"/>
          <w:cols w:equalWidth="0" w:num="1">
            <w:col w:w="11380"/>
          </w:cols>
          <w:pgMar w:left="240" w:top="131" w:right="279" w:bottom="1440" w:gutter="0" w:footer="0" w:header="0"/>
        </w:sectPr>
      </w:pPr>
    </w:p>
    <w:bookmarkStart w:id="43" w:name="page44"/>
    <w:bookmarkEnd w:id="43"/>
    <w:p>
      <w:pPr>
        <w:ind w:left="920" w:right="380"/>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describe in greater detail the initial transactions relating to the resale shares, as previously requested. Furthermore, if the shareholder information is available, please disclose. For example, identify any affiliates that are selling the resale shares. Finally, please explain in greater detail why you believe that the agreements relating to the initial transactions for the resale shares are not required to be filed as exhibits.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has revised the Registration Statement to include disclosure regarding the selling stockholders pursuant to Item 7 of the Form S-3 and Item 507 of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10-K for Fiscal Year Ended December 31,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Balance Sheets, page 70</w:t>
      </w:r>
    </w:p>
    <w:p>
      <w:pPr>
        <w:spacing w:after="0" w:line="218" w:lineRule="exact"/>
        <w:rPr>
          <w:sz w:val="20"/>
          <w:szCs w:val="20"/>
          <w:color w:val="auto"/>
        </w:rPr>
      </w:pPr>
    </w:p>
    <w:p>
      <w:pPr>
        <w:ind w:left="900" w:hanging="446"/>
        <w:spacing w:after="0" w:line="298" w:lineRule="auto"/>
        <w:tabs>
          <w:tab w:leader="none" w:pos="90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We reviewed your response to comment 15 in our letter dated October 21, 2009. We understand that you disclose treasury shares as a reduction from the total of common stock, additional paid-in capital, retained earnings and accumulated other comprehensive (loss). As such, the number of common shares outstanding is different from the number of common shares issued at the end of each year presented. In future filings please revise the number of common shares outstanding disclosed in the common stock line item caption under stockholders’ equity to exclude treasury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 will comply with the Staff’s comment in its future filings, as applicable, to disclose in the common stock line caption under stockholders’ equity in the Company’s consolidated balance sheets the number of shares of common stock outstanding excluding treasury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 page 74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 page 74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 page 81</w:t>
      </w:r>
    </w:p>
    <w:p>
      <w:pPr>
        <w:spacing w:after="0" w:line="96" w:lineRule="exact"/>
        <w:rPr>
          <w:sz w:val="20"/>
          <w:szCs w:val="20"/>
          <w:color w:val="auto"/>
        </w:rPr>
      </w:pPr>
    </w:p>
    <w:p>
      <w:pPr>
        <w:ind w:left="900" w:right="140" w:hanging="446"/>
        <w:spacing w:after="0" w:line="268" w:lineRule="auto"/>
        <w:tabs>
          <w:tab w:leader="none" w:pos="90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We reviewed your response to comment 18 in our letter dated October 21, 2009 and note the disclosure regarding dividend rights of restricted stock units you intend to include in future filings. Please provide similar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4" w:name="page45"/>
    <w:bookmarkEnd w:id="44"/>
    <w:p>
      <w:pPr>
        <w:ind w:left="920" w:right="160"/>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disclosures with respect to restricted stock awards and/or clarify your disclosure regarding the dividend rights of restricted stock awards in the last sentence of the first paragraph on page 98. In addition, please tell us whether unvested restricted stock awards are participating securities and discuss the applicability of the two class method for financial statements issued after the effective date of FASB ASC 260-10-45-61A.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3</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Any cash or in-kind dividends paid with respect to unvested shares of restricted stock are withheld by the Company and paid to the holder of such shares of restricted stock, without interest, only if and when such shares of restricted stock vest. Any unvested shares of restricted stock are immediately forfeited without consideration upon the termination of holder’s employment with the Company or its affiliates. Accordingly, the Company’s unvested restricted stock awards do not include non-forfeitable rights to dividends or dividend equivalents and therefore cannot be considered as participating securities for purposes of earnings per share calculations pursuant to the two-class method under FASB ASC 260-10-45-61A.</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include disclosure substantially similar to the above in its future filings, as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 page 91</w:t>
      </w:r>
    </w:p>
    <w:p>
      <w:pPr>
        <w:spacing w:after="0" w:line="218" w:lineRule="exact"/>
        <w:rPr>
          <w:sz w:val="20"/>
          <w:szCs w:val="20"/>
          <w:color w:val="auto"/>
        </w:rPr>
      </w:pPr>
    </w:p>
    <w:p>
      <w:pPr>
        <w:ind w:left="900" w:right="20" w:hanging="446"/>
        <w:spacing w:after="0" w:line="294" w:lineRule="auto"/>
        <w:tabs>
          <w:tab w:leader="none" w:pos="90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We reviewed your response to comment 19 in our letter dated October 21, 2009 and the disclosure in Note 12 to the financial statements included in Form 10-Q for the quarter ended September 30, 2009. Please explain to us in detail your policy for recognizing and/or not recognizing deferred taxes expected to reverse during tax holidays and related valuation allowances and explain why your policy complies with GAAP. Refer to FASB ASC 740-10-25-35 and 740-10-25-36. In addition, explain to us in detail how the effects of the tax holidays are presented in the income tax reconciliation table on page 94, including a discussion of the effects of tax holidays on each line item.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4</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operations of the Company’s subsidiaries in India qualify for tax holidays. These tax holidays are generally available for a period of ten consecutive years beginning at the commencement of operations of such subsidiary.</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accordance with FASB ASC 740-10-25-35 and 740-10-25-36, the Company does not recognize any deferred tax assets for the expected future reduction in taxes payable during a tax holiday. In accordance with the pre-codification SFAS 109, paragraph 183, the Company believes that the tax holiday in the Indian tax jurisdiction is “generally available” to it. This tax holiday is extended to companies (such as the Company) that choose to avail themselves of the holiday under the Indian government’s “Software Technology Parks of India” arrangement. In accordance with FASB’s view that such generally available tax exemptions create a non taxable status, we have not recognized a deferred tax asset.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5" w:name="page46"/>
    <w:bookmarkEnd w:id="45"/>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changes effective April 1, 2007 to the Indian Income Tax Act, the Company’s operations in India (including the operations qualifying for a tax holiday), were subject to a Minimum Alternate Tax (“MAT”), which increased the tax rate on those operations of Company’s that otherwise benefit from a tax holiday from zero to the rate payable under the MAT. Amounts paid under the MAT are available to be set off against any future taxes payable on any operations of the Company (regardless of whether such operations benefit from a tax holiday). The Company recognizes an amount equal to such available set off amount as a deferred tax asset in the year in which the corresponding MAT payments are made. In the Company’s financial statements included in the Company’s Annual Report on Form 10-K for the fiscal year ended December 31, 2008, for the year ended December 31, 2007, this available set off amount was disclosed as part of amount included in the “deferred tax benefit” line item of the income tax reconciliation table presented on page 94 of the Company’s Annual Report on Form 10-K for the fiscal year ended December 31, 2008. However, in the same financial statements, for the year ended December 31, 2008, such available set off amount of $193,810 was included under “Impact of tax holiday” line item of such table. The tax holidays did not have an impact on any of the other line items presented in income tax reconciliation table on page 94 of the Company’s Annual Report on Form 10-K for the fiscal year ended December 31, 2008.</w:t>
      </w:r>
    </w:p>
    <w:p>
      <w:pPr>
        <w:spacing w:after="0" w:line="12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its future filings, as applicable, the Company will consistently include any available set off amount from the payment of MAT in the “deferred tax benefit” line item in any income tax reconciliation table included in the notes to its financial statements.</w:t>
      </w:r>
    </w:p>
    <w:p>
      <w:pPr>
        <w:spacing w:after="0" w:line="132" w:lineRule="exact"/>
        <w:rPr>
          <w:sz w:val="20"/>
          <w:szCs w:val="20"/>
          <w:color w:val="auto"/>
        </w:rPr>
      </w:pPr>
    </w:p>
    <w:p>
      <w:pPr>
        <w:jc w:val="center"/>
        <w:ind w:right="-3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have any questions concerning the above responses, please do not hesitate to contact either the undersigned at (212) 373-3025 or Aun A. Singapore at (212) 373-3431.</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wp:posOffset>
            </wp:positionV>
            <wp:extent cx="12388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John C. Kennedy</w:t>
      </w:r>
    </w:p>
    <w:p>
      <w:pPr>
        <w:spacing w:after="0" w:line="286" w:lineRule="exact"/>
        <w:rPr>
          <w:sz w:val="20"/>
          <w:szCs w:val="20"/>
          <w:color w:val="auto"/>
        </w:rPr>
      </w:pPr>
    </w:p>
    <w:p>
      <w:pPr>
        <w:ind w:left="460" w:right="9120" w:hanging="452"/>
        <w:spacing w:after="0" w:line="33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Amit Shashank, Esq. ExlService Holdings, Inc.</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lvl w:ilvl="1">
      <w:lvlJc w:val="left"/>
      <w:lvlText w:val="(%2)"/>
      <w:numFmt w:val="lowerRoman"/>
      <w:start w:val="1"/>
    </w:lvl>
  </w:abstractNum>
  <w:abstractNum w:abstractNumId="29">
    <w:nsid w:val="614FD4A1"/>
    <w:multiLevelType w:val="hybridMultilevel"/>
    <w:lvl w:ilvl="0">
      <w:lvlJc w:val="left"/>
      <w:lvlText w:val="(%1)"/>
      <w:numFmt w:val="decimal"/>
      <w:start w:val="2"/>
    </w:lvl>
  </w:abstractNum>
  <w:abstractNum w:abstractNumId="30">
    <w:nsid w:val="419AC241"/>
    <w:multiLevelType w:val="hybridMultilevel"/>
    <w:lvl w:ilvl="0">
      <w:lvlJc w:val="left"/>
      <w:lvlText w:val="(%1)"/>
      <w:numFmt w:val="decimal"/>
      <w:start w:val="3"/>
    </w:lvl>
    <w:lvl w:ilvl="1">
      <w:lvlJc w:val="left"/>
      <w:lvlText w:val="(%2)"/>
      <w:numFmt w:val="lowerRoman"/>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upperLetter"/>
      <w:start w:val="1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2"/>
    </w:lvl>
  </w:abstractNum>
  <w:abstractNum w:abstractNumId="35">
    <w:nsid w:val="77465F01"/>
    <w:multiLevelType w:val="hybridMultilevel"/>
    <w:lvl w:ilvl="0">
      <w:lvlJc w:val="left"/>
      <w:lvlText w:val="%1."/>
      <w:numFmt w:val="decimal"/>
      <w:start w:val="3"/>
    </w:lvl>
  </w:abstractNum>
  <w:abstractNum w:abstractNumId="36">
    <w:nsid w:val="7724C67E"/>
    <w:multiLevelType w:val="hybridMultilevel"/>
    <w:lvl w:ilvl="0">
      <w:lvlJc w:val="left"/>
      <w:lvlText w:val="%1."/>
      <w:numFmt w:val="decimal"/>
      <w:start w:val="4"/>
    </w:lvl>
  </w:abstractNum>
  <w:abstractNum w:abstractNumId="37">
    <w:nsid w:val="5C482A9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2019-12-10T23:23:48Z</dcterms:created>
  <dcterms:modified xsi:type="dcterms:W3CDTF">2019-12-10T23:23:48Z</dcterms:modified>
</cp:coreProperties>
</file>