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13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105410</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2"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8"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11" w:lineRule="exact"/>
        <w:rPr>
          <w:sz w:val="24"/>
          <w:szCs w:val="24"/>
          <w:color w:val="auto"/>
        </w:rPr>
      </w:pPr>
    </w:p>
    <w:p>
      <w:pPr>
        <w:ind w:left="300" w:hanging="278"/>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2022</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6" w:lineRule="exact"/>
        <w:rPr>
          <w:sz w:val="24"/>
          <w:szCs w:val="24"/>
          <w:color w:val="auto"/>
        </w:rPr>
      </w:pPr>
    </w:p>
    <w:p>
      <w:pPr>
        <w:ind w:left="300" w:hanging="278"/>
        <w:spacing w:after="0"/>
        <w:tabs>
          <w:tab w:leader="none" w:pos="3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97" w:lineRule="exact"/>
        <w:rPr>
          <w:sz w:val="24"/>
          <w:szCs w:val="24"/>
          <w:color w:val="auto"/>
        </w:rPr>
      </w:pPr>
    </w:p>
    <w:p>
      <w:pPr>
        <w:ind w:left="3220"/>
        <w:spacing w:after="0"/>
        <w:tabs>
          <w:tab w:leader="none" w:pos="696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3912235</wp:posOffset>
            </wp:positionH>
            <wp:positionV relativeFrom="paragraph">
              <wp:posOffset>-6350</wp:posOffset>
            </wp:positionV>
            <wp:extent cx="1191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255"/>
                    </a:xfrm>
                    <a:prstGeom prst="rect">
                      <a:avLst/>
                    </a:prstGeom>
                    <a:noFill/>
                  </pic:spPr>
                </pic:pic>
              </a:graphicData>
            </a:graphic>
          </wp:anchor>
        </w:drawing>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001-33089</w:t>
      </w:r>
    </w:p>
    <w:p>
      <w:pPr>
        <w:spacing w:after="0" w:line="17"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EXLSERVICE HOLDINGS, INC.</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ind w:left="314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w:t>
      </w:r>
    </w:p>
    <w:p>
      <w:pPr>
        <w:spacing w:after="0" w:line="128" w:lineRule="exact"/>
        <w:rPr>
          <w:sz w:val="24"/>
          <w:szCs w:val="24"/>
          <w:color w:val="auto"/>
        </w:rPr>
      </w:pPr>
    </w:p>
    <w:tbl>
      <w:tblPr>
        <w:tblLayout w:type="fixed"/>
        <w:tblInd w:w="350" w:type="dxa"/>
        <w:tblCellMar>
          <w:top w:w="0" w:type="dxa"/>
          <w:left w:w="0" w:type="dxa"/>
          <w:bottom w:w="0" w:type="dxa"/>
          <w:right w:w="0" w:type="dxa"/>
        </w:tblCellMar>
      </w:tblPr>
      <w:tr>
        <w:trPr>
          <w:trHeight w:val="201"/>
        </w:trPr>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gridSpan w:val="2"/>
          </w:tcPr>
          <w:p>
            <w:pPr>
              <w:jc w:val="center"/>
              <w:ind w:right="104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80" w:type="dxa"/>
            <w:vAlign w:val="bottom"/>
            <w:gridSpan w:val="2"/>
          </w:tcPr>
          <w:p>
            <w:pPr>
              <w:jc w:val="right"/>
              <w:ind w:right="2006"/>
              <w:spacing w:after="0"/>
              <w:rPr>
                <w:sz w:val="20"/>
                <w:szCs w:val="20"/>
                <w:color w:val="auto"/>
              </w:rPr>
            </w:pPr>
            <w:r>
              <w:rPr>
                <w:rFonts w:ascii="Times New Roman" w:cs="Times New Roman" w:eastAsia="Times New Roman" w:hAnsi="Times New Roman"/>
                <w:sz w:val="16"/>
                <w:szCs w:val="16"/>
                <w:b w:val="1"/>
                <w:bCs w:val="1"/>
                <w:color w:val="auto"/>
              </w:rPr>
              <w:t>82-0572194</w:t>
            </w:r>
          </w:p>
        </w:tc>
        <w:tc>
          <w:tcPr>
            <w:tcW w:w="600" w:type="dxa"/>
            <w:vAlign w:val="bottom"/>
          </w:tcPr>
          <w:p>
            <w:pPr>
              <w:spacing w:after="0"/>
              <w:rPr>
                <w:sz w:val="17"/>
                <w:szCs w:val="17"/>
                <w:color w:val="auto"/>
              </w:rPr>
            </w:pPr>
          </w:p>
        </w:tc>
      </w:tr>
      <w:tr>
        <w:trPr>
          <w:trHeight w:val="144"/>
        </w:trPr>
        <w:tc>
          <w:tcPr>
            <w:tcW w:w="1320" w:type="dxa"/>
            <w:vAlign w:val="bottom"/>
          </w:tcPr>
          <w:p>
            <w:pPr>
              <w:spacing w:after="0"/>
              <w:rPr>
                <w:sz w:val="12"/>
                <w:szCs w:val="12"/>
                <w:color w:val="auto"/>
              </w:rPr>
            </w:pPr>
          </w:p>
        </w:tc>
        <w:tc>
          <w:tcPr>
            <w:tcW w:w="3000" w:type="dxa"/>
            <w:vAlign w:val="bottom"/>
            <w:gridSpan w:val="3"/>
          </w:tcPr>
          <w:p>
            <w:pPr>
              <w:jc w:val="center"/>
              <w:ind w:left="67"/>
              <w:spacing w:after="0" w:line="145"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80" w:type="dxa"/>
            <w:vAlign w:val="bottom"/>
            <w:gridSpan w:val="3"/>
          </w:tcPr>
          <w:p>
            <w:pPr>
              <w:jc w:val="center"/>
              <w:ind w:right="24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5"/>
        </w:trPr>
        <w:tc>
          <w:tcPr>
            <w:tcW w:w="1320" w:type="dxa"/>
            <w:vAlign w:val="bottom"/>
          </w:tcPr>
          <w:p>
            <w:pPr>
              <w:spacing w:after="0"/>
              <w:rPr>
                <w:sz w:val="16"/>
                <w:szCs w:val="16"/>
                <w:color w:val="auto"/>
              </w:rPr>
            </w:pPr>
          </w:p>
        </w:tc>
        <w:tc>
          <w:tcPr>
            <w:tcW w:w="3000" w:type="dxa"/>
            <w:vAlign w:val="bottom"/>
            <w:gridSpan w:val="3"/>
          </w:tcPr>
          <w:p>
            <w:pPr>
              <w:jc w:val="center"/>
              <w:ind w:left="67"/>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80" w:type="dxa"/>
            <w:vAlign w:val="bottom"/>
            <w:gridSpan w:val="3"/>
          </w:tcPr>
          <w:p>
            <w:pPr>
              <w:jc w:val="center"/>
              <w:ind w:right="2440"/>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268"/>
        </w:trPr>
        <w:tc>
          <w:tcPr>
            <w:tcW w:w="1320" w:type="dxa"/>
            <w:vAlign w:val="bottom"/>
          </w:tcPr>
          <w:p>
            <w:pPr>
              <w:spacing w:after="0"/>
              <w:rPr>
                <w:sz w:val="23"/>
                <w:szCs w:val="23"/>
                <w:color w:val="auto"/>
              </w:rPr>
            </w:pPr>
          </w:p>
        </w:tc>
        <w:tc>
          <w:tcPr>
            <w:tcW w:w="3000" w:type="dxa"/>
            <w:vAlign w:val="bottom"/>
            <w:gridSpan w:val="3"/>
          </w:tcPr>
          <w:p>
            <w:pPr>
              <w:jc w:val="center"/>
              <w:ind w:left="67"/>
              <w:spacing w:after="0"/>
              <w:rPr>
                <w:sz w:val="20"/>
                <w:szCs w:val="20"/>
                <w:color w:val="auto"/>
              </w:rPr>
            </w:pPr>
            <w:r>
              <w:rPr>
                <w:rFonts w:ascii="Times New Roman" w:cs="Times New Roman" w:eastAsia="Times New Roman" w:hAnsi="Times New Roman"/>
                <w:sz w:val="16"/>
                <w:szCs w:val="16"/>
                <w:b w:val="1"/>
                <w:bCs w:val="1"/>
                <w:color w:val="auto"/>
                <w:w w:val="96"/>
              </w:rPr>
              <w:t>320 Park Avenue, 29th Floor,</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03"/>
        </w:trPr>
        <w:tc>
          <w:tcPr>
            <w:tcW w:w="1320" w:type="dxa"/>
            <w:vAlign w:val="bottom"/>
          </w:tcPr>
          <w:p>
            <w:pPr>
              <w:spacing w:after="0"/>
              <w:rPr>
                <w:sz w:val="17"/>
                <w:szCs w:val="17"/>
                <w:color w:val="auto"/>
              </w:rPr>
            </w:pPr>
          </w:p>
        </w:tc>
        <w:tc>
          <w:tcPr>
            <w:tcW w:w="3000" w:type="dxa"/>
            <w:vAlign w:val="bottom"/>
            <w:gridSpan w:val="3"/>
          </w:tcPr>
          <w:p>
            <w:pPr>
              <w:ind w:left="1080"/>
              <w:spacing w:after="0"/>
              <w:rPr>
                <w:sz w:val="20"/>
                <w:szCs w:val="20"/>
                <w:color w:val="auto"/>
              </w:rPr>
            </w:pPr>
            <w:r>
              <w:rPr>
                <w:rFonts w:ascii="Times New Roman" w:cs="Times New Roman" w:eastAsia="Times New Roman" w:hAnsi="Times New Roman"/>
                <w:sz w:val="16"/>
                <w:szCs w:val="16"/>
                <w:b w:val="1"/>
                <w:bCs w:val="1"/>
                <w:color w:val="auto"/>
              </w:rPr>
              <w:t>New York, New York</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80" w:type="dxa"/>
            <w:vAlign w:val="bottom"/>
            <w:gridSpan w:val="2"/>
          </w:tcPr>
          <w:p>
            <w:pPr>
              <w:jc w:val="right"/>
              <w:ind w:right="2186"/>
              <w:spacing w:after="0"/>
              <w:rPr>
                <w:sz w:val="20"/>
                <w:szCs w:val="20"/>
                <w:color w:val="auto"/>
              </w:rPr>
            </w:pPr>
            <w:r>
              <w:rPr>
                <w:rFonts w:ascii="Times New Roman" w:cs="Times New Roman" w:eastAsia="Times New Roman" w:hAnsi="Times New Roman"/>
                <w:sz w:val="16"/>
                <w:szCs w:val="16"/>
                <w:b w:val="1"/>
                <w:bCs w:val="1"/>
                <w:color w:val="auto"/>
              </w:rPr>
              <w:t>10022</w:t>
            </w:r>
          </w:p>
        </w:tc>
        <w:tc>
          <w:tcPr>
            <w:tcW w:w="600" w:type="dxa"/>
            <w:vAlign w:val="bottom"/>
          </w:tcPr>
          <w:p>
            <w:pPr>
              <w:spacing w:after="0"/>
              <w:rPr>
                <w:sz w:val="17"/>
                <w:szCs w:val="17"/>
                <w:color w:val="auto"/>
              </w:rPr>
            </w:pPr>
          </w:p>
        </w:tc>
      </w:tr>
      <w:tr>
        <w:trPr>
          <w:trHeight w:val="185"/>
        </w:trPr>
        <w:tc>
          <w:tcPr>
            <w:tcW w:w="1320" w:type="dxa"/>
            <w:vAlign w:val="bottom"/>
          </w:tcPr>
          <w:p>
            <w:pPr>
              <w:spacing w:after="0"/>
              <w:rPr>
                <w:sz w:val="16"/>
                <w:szCs w:val="16"/>
                <w:color w:val="auto"/>
              </w:rPr>
            </w:pPr>
          </w:p>
        </w:tc>
        <w:tc>
          <w:tcPr>
            <w:tcW w:w="3000" w:type="dxa"/>
            <w:vAlign w:val="bottom"/>
            <w:gridSpan w:val="3"/>
          </w:tcPr>
          <w:p>
            <w:pPr>
              <w:jc w:val="center"/>
              <w:ind w:left="4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0" w:type="dxa"/>
            <w:vAlign w:val="bottom"/>
            <w:gridSpan w:val="2"/>
          </w:tcPr>
          <w:p>
            <w:pPr>
              <w:jc w:val="center"/>
              <w:ind w:right="2720"/>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308"/>
        </w:trPr>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gridSpan w:val="2"/>
          </w:tcPr>
          <w:p>
            <w:pPr>
              <w:jc w:val="center"/>
              <w:ind w:left="364"/>
              <w:spacing w:after="0"/>
              <w:rPr>
                <w:sz w:val="20"/>
                <w:szCs w:val="20"/>
                <w:color w:val="auto"/>
              </w:rPr>
            </w:pPr>
            <w:r>
              <w:rPr>
                <w:rFonts w:ascii="Times New Roman" w:cs="Times New Roman" w:eastAsia="Times New Roman" w:hAnsi="Times New Roman"/>
                <w:sz w:val="16"/>
                <w:szCs w:val="16"/>
                <w:b w:val="1"/>
                <w:bCs w:val="1"/>
                <w:color w:val="auto"/>
                <w:w w:val="97"/>
              </w:rPr>
              <w:t>(212) 277-7100</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04"/>
        </w:trPr>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40" w:type="dxa"/>
            <w:vAlign w:val="bottom"/>
            <w:gridSpan w:val="6"/>
          </w:tcPr>
          <w:p>
            <w:pPr>
              <w:jc w:val="center"/>
              <w:ind w:left="1084"/>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c>
          <w:tcPr>
            <w:tcW w:w="2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89"/>
        </w:trPr>
        <w:tc>
          <w:tcPr>
            <w:tcW w:w="1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gridSpan w:val="3"/>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gridSpan w:val="3"/>
          </w:tcPr>
          <w:p>
            <w:pPr>
              <w:spacing w:after="0"/>
              <w:rPr>
                <w:sz w:val="7"/>
                <w:szCs w:val="7"/>
                <w:color w:val="auto"/>
              </w:rPr>
            </w:pPr>
          </w:p>
        </w:tc>
        <w:tc>
          <w:tcPr>
            <w:tcW w:w="28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r>
      <w:tr>
        <w:trPr>
          <w:trHeight w:val="202"/>
        </w:trPr>
        <w:tc>
          <w:tcPr>
            <w:tcW w:w="1320" w:type="dxa"/>
            <w:vAlign w:val="bottom"/>
            <w:tcBorders>
              <w:left w:val="single" w:sz="8" w:color="auto"/>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120" w:type="dxa"/>
            <w:vAlign w:val="bottom"/>
            <w:tcBorders>
              <w:bottom w:val="single" w:sz="8" w:color="auto"/>
              <w:right w:val="single" w:sz="8" w:color="auto"/>
            </w:tcBorders>
            <w:gridSpan w:val="9"/>
          </w:tcPr>
          <w:p>
            <w:pPr>
              <w:jc w:val="center"/>
              <w:ind w:right="2500"/>
              <w:spacing w:after="0"/>
              <w:rPr>
                <w:sz w:val="20"/>
                <w:szCs w:val="20"/>
                <w:color w:val="auto"/>
              </w:rPr>
            </w:pPr>
            <w:r>
              <w:rPr>
                <w:rFonts w:ascii="Times New Roman" w:cs="Times New Roman" w:eastAsia="Times New Roman" w:hAnsi="Times New Roman"/>
                <w:sz w:val="16"/>
                <w:szCs w:val="16"/>
                <w:b w:val="1"/>
                <w:bCs w:val="1"/>
                <w:color w:val="auto"/>
                <w:w w:val="98"/>
              </w:rPr>
              <w:t>Securities registered pursuant to Section 12(b) of the Act:</w:t>
            </w:r>
          </w:p>
        </w:tc>
      </w:tr>
      <w:tr>
        <w:trPr>
          <w:trHeight w:val="171"/>
        </w:trPr>
        <w:tc>
          <w:tcPr>
            <w:tcW w:w="3820" w:type="dxa"/>
            <w:vAlign w:val="bottom"/>
            <w:tcBorders>
              <w:left w:val="single" w:sz="8" w:color="auto"/>
              <w:right w:val="single" w:sz="8" w:color="auto"/>
            </w:tcBorders>
            <w:gridSpan w:val="3"/>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500" w:type="dxa"/>
            <w:vAlign w:val="bottom"/>
          </w:tcPr>
          <w:p>
            <w:pPr>
              <w:spacing w:after="0"/>
              <w:rPr>
                <w:sz w:val="14"/>
                <w:szCs w:val="14"/>
                <w:color w:val="auto"/>
              </w:rPr>
            </w:pPr>
          </w:p>
        </w:tc>
        <w:tc>
          <w:tcPr>
            <w:tcW w:w="2320" w:type="dxa"/>
            <w:vAlign w:val="bottom"/>
            <w:tcBorders>
              <w:right w:val="single" w:sz="8" w:color="auto"/>
            </w:tcBorders>
            <w:gridSpan w:val="3"/>
          </w:tcPr>
          <w:p>
            <w:pPr>
              <w:jc w:val="center"/>
              <w:ind w:right="540"/>
              <w:spacing w:after="0" w:line="138" w:lineRule="exact"/>
              <w:rPr>
                <w:sz w:val="20"/>
                <w:szCs w:val="20"/>
                <w:color w:val="auto"/>
              </w:rPr>
            </w:pPr>
            <w:r>
              <w:rPr>
                <w:rFonts w:ascii="Times New Roman" w:cs="Times New Roman" w:eastAsia="Times New Roman" w:hAnsi="Times New Roman"/>
                <w:sz w:val="15"/>
                <w:szCs w:val="15"/>
                <w:b w:val="1"/>
                <w:bCs w:val="1"/>
                <w:color w:val="auto"/>
              </w:rPr>
              <w:t>Trading symbol(s)</w:t>
            </w:r>
          </w:p>
        </w:tc>
        <w:tc>
          <w:tcPr>
            <w:tcW w:w="280" w:type="dxa"/>
            <w:vAlign w:val="bottom"/>
          </w:tcPr>
          <w:p>
            <w:pPr>
              <w:spacing w:after="0"/>
              <w:rPr>
                <w:sz w:val="14"/>
                <w:szCs w:val="14"/>
                <w:color w:val="auto"/>
              </w:rPr>
            </w:pPr>
          </w:p>
        </w:tc>
        <w:tc>
          <w:tcPr>
            <w:tcW w:w="3680" w:type="dxa"/>
            <w:vAlign w:val="bottom"/>
            <w:tcBorders>
              <w:right w:val="single" w:sz="8" w:color="auto"/>
            </w:tcBorders>
            <w:gridSpan w:val="3"/>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320" w:type="dxa"/>
            <w:vAlign w:val="bottom"/>
            <w:tcBorders>
              <w:left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r>
      <w:tr>
        <w:trPr>
          <w:trHeight w:val="194"/>
        </w:trPr>
        <w:tc>
          <w:tcPr>
            <w:tcW w:w="38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5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14"/>
                <w:szCs w:val="14"/>
                <w:color w:val="auto"/>
              </w:rPr>
              <w:t>EXLS</w:t>
            </w: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right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6"/>
                <w:szCs w:val="16"/>
                <w:color w:val="auto"/>
                <w:w w:val="95"/>
              </w:rPr>
              <w:t>NASDAQ</w:t>
            </w:r>
          </w:p>
        </w:tc>
      </w:tr>
    </w:tbl>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w:t>
      </w:r>
    </w:p>
    <w:p>
      <w:pPr>
        <w:spacing w:after="0" w:line="222" w:lineRule="exact"/>
        <w:rPr>
          <w:sz w:val="24"/>
          <w:szCs w:val="24"/>
          <w:color w:val="auto"/>
        </w:rPr>
      </w:pPr>
    </w:p>
    <w:p>
      <w:pPr>
        <w:ind w:firstLine="315"/>
        <w:spacing w:after="0" w:line="24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19" w:lineRule="exact"/>
        <w:tabs>
          <w:tab w:leader="none" w:pos="5020" w:val="left"/>
        </w:tabs>
        <w:rPr>
          <w:sz w:val="20"/>
          <w:szCs w:val="20"/>
          <w:color w:val="auto"/>
        </w:rPr>
      </w:pPr>
      <w:r>
        <w:rPr>
          <w:rFonts w:ascii="Times New Roman" w:cs="Times New Roman" w:eastAsia="Times New Roman" w:hAnsi="Times New Roman"/>
          <w:sz w:val="16"/>
          <w:szCs w:val="16"/>
          <w:color w:val="auto"/>
        </w:rPr>
        <w:t xml:space="preserve">(2) has been subject to such filing requirements for the past 90 days.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9"/>
          <w:szCs w:val="19"/>
          <w:color w:val="auto"/>
        </w:rPr>
        <w:t>☐</w:t>
      </w:r>
    </w:p>
    <w:p>
      <w:pPr>
        <w:spacing w:after="0" w:line="248" w:lineRule="exact"/>
        <w:rPr>
          <w:sz w:val="24"/>
          <w:szCs w:val="24"/>
          <w:color w:val="auto"/>
        </w:rPr>
      </w:pPr>
    </w:p>
    <w:p>
      <w:pPr>
        <w:ind w:firstLine="315"/>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9"/>
          <w:szCs w:val="19"/>
          <w:color w:val="auto"/>
        </w:rPr>
        <w:t>☐</w:t>
      </w:r>
    </w:p>
    <w:p>
      <w:pPr>
        <w:spacing w:after="0" w:line="211" w:lineRule="exact"/>
        <w:rPr>
          <w:sz w:val="24"/>
          <w:szCs w:val="24"/>
          <w:color w:val="auto"/>
        </w:rPr>
      </w:pPr>
    </w:p>
    <w:p>
      <w:pPr>
        <w:ind w:firstLine="315"/>
        <w:spacing w:after="0" w:line="275"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340" w:type="dxa"/>
        <w:tblCellMar>
          <w:top w:w="0" w:type="dxa"/>
          <w:left w:w="0" w:type="dxa"/>
          <w:bottom w:w="0" w:type="dxa"/>
          <w:right w:w="0" w:type="dxa"/>
        </w:tblCellMar>
      </w:tblPr>
      <w:tr>
        <w:trPr>
          <w:trHeight w:val="246"/>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52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2"/>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5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2"/>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1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spacing w:after="0"/>
              <w:rPr>
                <w:sz w:val="22"/>
                <w:szCs w:val="22"/>
                <w:color w:val="auto"/>
              </w:rPr>
            </w:pPr>
          </w:p>
        </w:tc>
        <w:tc>
          <w:tcPr>
            <w:tcW w:w="620" w:type="dxa"/>
            <w:vAlign w:val="bottom"/>
          </w:tcPr>
          <w:p>
            <w:pPr>
              <w:spacing w:after="0"/>
              <w:rPr>
                <w:sz w:val="22"/>
                <w:szCs w:val="22"/>
                <w:color w:val="auto"/>
              </w:rPr>
            </w:pPr>
          </w:p>
        </w:tc>
      </w:tr>
    </w:tbl>
    <w:p>
      <w:pPr>
        <w:spacing w:after="0" w:line="53" w:lineRule="exact"/>
        <w:rPr>
          <w:sz w:val="24"/>
          <w:szCs w:val="24"/>
          <w:color w:val="auto"/>
        </w:rPr>
      </w:pPr>
    </w:p>
    <w:p>
      <w:pPr>
        <w:ind w:firstLine="315"/>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4" w:lineRule="exact"/>
        <w:rPr>
          <w:sz w:val="24"/>
          <w:szCs w:val="24"/>
          <w:color w:val="auto"/>
        </w:rPr>
      </w:pPr>
    </w:p>
    <w:p>
      <w:pPr>
        <w:spacing w:after="0" w:line="184" w:lineRule="exact"/>
        <w:tabs>
          <w:tab w:leader="none" w:pos="778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325"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As of July 26, 2022, there were 33,062,704 shares of the registrant’s common stock outstanding,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116840</wp:posOffset>
            </wp:positionV>
            <wp:extent cx="7136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ITEM</w:t>
            </w: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9040" w:type="dxa"/>
            <w:vAlign w:val="bottom"/>
            <w:gridSpan w:val="19"/>
            <w:vMerge w:val="restart"/>
          </w:tcPr>
          <w:p>
            <w:pPr>
              <w:spacing w:after="0"/>
              <w:rPr>
                <w:sz w:val="20"/>
                <w:szCs w:val="20"/>
                <w:color w:val="auto"/>
              </w:rPr>
            </w:pPr>
            <w:r>
              <w:rPr>
                <w:rFonts w:ascii="Times New Roman" w:cs="Times New Roman" w:eastAsia="Times New Roman" w:hAnsi="Times New Roman"/>
                <w:sz w:val="17"/>
                <w:szCs w:val="17"/>
                <w:color w:val="0000FF"/>
              </w:rPr>
              <w:t>Part I. Financial Information</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40" w:type="dxa"/>
            <w:vAlign w:val="bottom"/>
            <w:gridSpan w:val="19"/>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w:t>
            </w:r>
          </w:p>
        </w:tc>
        <w:tc>
          <w:tcPr>
            <w:tcW w:w="800" w:type="dxa"/>
            <w:vAlign w:val="bottom"/>
          </w:tcPr>
          <w:p>
            <w:pPr>
              <w:spacing w:after="0"/>
              <w:rPr>
                <w:sz w:val="22"/>
                <w:szCs w:val="22"/>
                <w:color w:val="auto"/>
              </w:rPr>
            </w:pPr>
          </w:p>
        </w:tc>
        <w:tc>
          <w:tcPr>
            <w:tcW w:w="904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FINANCIAL STATEMENTS (UNAUDITED)</w:t>
            </w: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4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Consolidated Balance Sheets as of June 30, 2022 and December 31, 2021</w:t>
            </w: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4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Consolidated Statements of Income for the Three and Six Months Ended June 30, 2022 and 2021</w:t>
            </w: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4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Income for the Three and Six Months Ended June 30, 2022 and 2021</w:t>
            </w: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9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Consolidated Statements of Equity for the Three and Six Months Ended June 30, 2022 and 2021</w:t>
            </w:r>
          </w:p>
        </w:tc>
        <w:tc>
          <w:tcPr>
            <w:tcW w:w="900" w:type="dxa"/>
            <w:vAlign w:val="bottom"/>
          </w:tcPr>
          <w:p>
            <w:pPr>
              <w:spacing w:after="0"/>
              <w:rPr>
                <w:sz w:val="17"/>
                <w:szCs w:val="17"/>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36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Six Months Ended June 30, 2022 and 2021</w:t>
            </w:r>
          </w:p>
        </w:tc>
        <w:tc>
          <w:tcPr>
            <w:tcW w:w="440" w:type="dxa"/>
            <w:vAlign w:val="bottom"/>
            <w:tcBorders>
              <w:top w:val="single" w:sz="8" w:color="0000FF"/>
            </w:tcBorders>
          </w:tcPr>
          <w:p>
            <w:pPr>
              <w:spacing w:after="0"/>
              <w:rPr>
                <w:sz w:val="17"/>
                <w:szCs w:val="17"/>
                <w:color w:val="auto"/>
              </w:rPr>
            </w:pPr>
          </w:p>
        </w:tc>
        <w:tc>
          <w:tcPr>
            <w:tcW w:w="2040" w:type="dxa"/>
            <w:vAlign w:val="bottom"/>
            <w:gridSpan w:val="2"/>
          </w:tcPr>
          <w:p>
            <w:pPr>
              <w:spacing w:after="0"/>
              <w:rPr>
                <w:sz w:val="17"/>
                <w:szCs w:val="17"/>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4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w:t>
            </w:r>
          </w:p>
        </w:tc>
        <w:tc>
          <w:tcPr>
            <w:tcW w:w="800" w:type="dxa"/>
            <w:vAlign w:val="bottom"/>
          </w:tcPr>
          <w:p>
            <w:pPr>
              <w:spacing w:after="0"/>
              <w:rPr>
                <w:sz w:val="22"/>
                <w:szCs w:val="22"/>
                <w:color w:val="auto"/>
              </w:rPr>
            </w:pPr>
          </w:p>
        </w:tc>
        <w:tc>
          <w:tcPr>
            <w:tcW w:w="904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43</w:t>
            </w:r>
          </w:p>
        </w:tc>
        <w:tc>
          <w:tcPr>
            <w:tcW w:w="0" w:type="dxa"/>
            <w:vAlign w:val="bottom"/>
          </w:tcPr>
          <w:p>
            <w:pPr>
              <w:spacing w:after="0"/>
              <w:rPr>
                <w:sz w:val="1"/>
                <w:szCs w:val="1"/>
                <w:color w:val="auto"/>
              </w:rPr>
            </w:pPr>
          </w:p>
        </w:tc>
      </w:tr>
      <w:tr>
        <w:trPr>
          <w:trHeight w:val="255"/>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w:t>
            </w:r>
          </w:p>
        </w:tc>
        <w:tc>
          <w:tcPr>
            <w:tcW w:w="800" w:type="dxa"/>
            <w:vAlign w:val="bottom"/>
          </w:tcPr>
          <w:p>
            <w:pPr>
              <w:spacing w:after="0"/>
              <w:rPr>
                <w:sz w:val="22"/>
                <w:szCs w:val="22"/>
                <w:color w:val="auto"/>
              </w:rPr>
            </w:pPr>
          </w:p>
        </w:tc>
        <w:tc>
          <w:tcPr>
            <w:tcW w:w="426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020" w:type="dxa"/>
            <w:vAlign w:val="bottom"/>
            <w:tcBorders>
              <w:top w:val="single" w:sz="8" w:color="0000FF"/>
            </w:tcBorders>
            <w:gridSpan w:val="2"/>
          </w:tcPr>
          <w:p>
            <w:pPr>
              <w:spacing w:after="0"/>
              <w:rPr>
                <w:sz w:val="22"/>
                <w:szCs w:val="22"/>
                <w:color w:val="auto"/>
              </w:rPr>
            </w:pPr>
          </w:p>
        </w:tc>
        <w:tc>
          <w:tcPr>
            <w:tcW w:w="2760" w:type="dxa"/>
            <w:vAlign w:val="bottom"/>
            <w:gridSpan w:val="4"/>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60</w:t>
            </w:r>
          </w:p>
        </w:tc>
        <w:tc>
          <w:tcPr>
            <w:tcW w:w="0" w:type="dxa"/>
            <w:vAlign w:val="bottom"/>
          </w:tcPr>
          <w:p>
            <w:pPr>
              <w:spacing w:after="0"/>
              <w:rPr>
                <w:sz w:val="1"/>
                <w:szCs w:val="1"/>
                <w:color w:val="auto"/>
              </w:rPr>
            </w:pPr>
          </w:p>
        </w:tc>
      </w:tr>
      <w:tr>
        <w:trPr>
          <w:trHeight w:val="255"/>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4.</w:t>
            </w:r>
          </w:p>
        </w:tc>
        <w:tc>
          <w:tcPr>
            <w:tcW w:w="800" w:type="dxa"/>
            <w:vAlign w:val="bottom"/>
          </w:tcPr>
          <w:p>
            <w:pPr>
              <w:spacing w:after="0"/>
              <w:rPr>
                <w:sz w:val="22"/>
                <w:szCs w:val="22"/>
                <w:color w:val="auto"/>
              </w:rPr>
            </w:pPr>
          </w:p>
        </w:tc>
        <w:tc>
          <w:tcPr>
            <w:tcW w:w="17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7300" w:type="dxa"/>
            <w:vAlign w:val="bottom"/>
            <w:gridSpan w:val="12"/>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60</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Part II. Other Information</w:t>
            </w:r>
          </w:p>
        </w:tc>
        <w:tc>
          <w:tcPr>
            <w:tcW w:w="7220" w:type="dxa"/>
            <w:vAlign w:val="bottom"/>
            <w:gridSpan w:val="11"/>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60</w:t>
            </w:r>
          </w:p>
        </w:tc>
        <w:tc>
          <w:tcPr>
            <w:tcW w:w="0" w:type="dxa"/>
            <w:vAlign w:val="bottom"/>
          </w:tcPr>
          <w:p>
            <w:pPr>
              <w:spacing w:after="0"/>
              <w:rPr>
                <w:sz w:val="1"/>
                <w:szCs w:val="1"/>
                <w:color w:val="auto"/>
              </w:rPr>
            </w:pPr>
          </w:p>
        </w:tc>
      </w:tr>
      <w:tr>
        <w:trPr>
          <w:trHeight w:val="255"/>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w:t>
            </w:r>
          </w:p>
        </w:tc>
        <w:tc>
          <w:tcPr>
            <w:tcW w:w="800" w:type="dxa"/>
            <w:vAlign w:val="bottom"/>
          </w:tcPr>
          <w:p>
            <w:pPr>
              <w:spacing w:after="0"/>
              <w:rPr>
                <w:sz w:val="22"/>
                <w:szCs w:val="22"/>
                <w:color w:val="auto"/>
              </w:rPr>
            </w:pPr>
          </w:p>
        </w:tc>
        <w:tc>
          <w:tcPr>
            <w:tcW w:w="904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60</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1A.</w:t>
            </w:r>
          </w:p>
        </w:tc>
        <w:tc>
          <w:tcPr>
            <w:tcW w:w="13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7740" w:type="dxa"/>
            <w:vAlign w:val="bottom"/>
            <w:gridSpan w:val="14"/>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w:t>
            </w:r>
          </w:p>
        </w:tc>
        <w:tc>
          <w:tcPr>
            <w:tcW w:w="800" w:type="dxa"/>
            <w:vAlign w:val="bottom"/>
          </w:tcPr>
          <w:p>
            <w:pPr>
              <w:spacing w:after="0"/>
              <w:rPr>
                <w:sz w:val="22"/>
                <w:szCs w:val="22"/>
                <w:color w:val="auto"/>
              </w:rPr>
            </w:pPr>
          </w:p>
        </w:tc>
        <w:tc>
          <w:tcPr>
            <w:tcW w:w="42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4800" w:type="dxa"/>
            <w:vAlign w:val="bottom"/>
            <w:gridSpan w:val="7"/>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61</w:t>
            </w:r>
          </w:p>
        </w:tc>
        <w:tc>
          <w:tcPr>
            <w:tcW w:w="0" w:type="dxa"/>
            <w:vAlign w:val="bottom"/>
          </w:tcPr>
          <w:p>
            <w:pPr>
              <w:spacing w:after="0"/>
              <w:rPr>
                <w:sz w:val="1"/>
                <w:szCs w:val="1"/>
                <w:color w:val="auto"/>
              </w:rPr>
            </w:pPr>
          </w:p>
        </w:tc>
      </w:tr>
      <w:tr>
        <w:trPr>
          <w:trHeight w:val="255"/>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w:t>
            </w:r>
          </w:p>
        </w:tc>
        <w:tc>
          <w:tcPr>
            <w:tcW w:w="800" w:type="dxa"/>
            <w:vAlign w:val="bottom"/>
          </w:tcPr>
          <w:p>
            <w:pPr>
              <w:spacing w:after="0"/>
              <w:rPr>
                <w:sz w:val="22"/>
                <w:szCs w:val="22"/>
                <w:color w:val="auto"/>
              </w:rPr>
            </w:pPr>
          </w:p>
        </w:tc>
        <w:tc>
          <w:tcPr>
            <w:tcW w:w="904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61</w:t>
            </w:r>
          </w:p>
        </w:tc>
        <w:tc>
          <w:tcPr>
            <w:tcW w:w="0" w:type="dxa"/>
            <w:vAlign w:val="bottom"/>
          </w:tcPr>
          <w:p>
            <w:pPr>
              <w:spacing w:after="0"/>
              <w:rPr>
                <w:sz w:val="1"/>
                <w:szCs w:val="1"/>
                <w:color w:val="auto"/>
              </w:rPr>
            </w:pPr>
          </w:p>
        </w:tc>
      </w:tr>
      <w:tr>
        <w:trPr>
          <w:trHeight w:val="255"/>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4.</w:t>
            </w:r>
          </w:p>
        </w:tc>
        <w:tc>
          <w:tcPr>
            <w:tcW w:w="800" w:type="dxa"/>
            <w:vAlign w:val="bottom"/>
          </w:tcPr>
          <w:p>
            <w:pPr>
              <w:spacing w:after="0"/>
              <w:rPr>
                <w:sz w:val="22"/>
                <w:szCs w:val="22"/>
                <w:color w:val="auto"/>
              </w:rPr>
            </w:pPr>
          </w:p>
        </w:tc>
        <w:tc>
          <w:tcPr>
            <w:tcW w:w="22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6780" w:type="dxa"/>
            <w:vAlign w:val="bottom"/>
            <w:gridSpan w:val="9"/>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61</w:t>
            </w:r>
          </w:p>
        </w:tc>
        <w:tc>
          <w:tcPr>
            <w:tcW w:w="0" w:type="dxa"/>
            <w:vAlign w:val="bottom"/>
          </w:tcPr>
          <w:p>
            <w:pPr>
              <w:spacing w:after="0"/>
              <w:rPr>
                <w:sz w:val="1"/>
                <w:szCs w:val="1"/>
                <w:color w:val="auto"/>
              </w:rPr>
            </w:pPr>
          </w:p>
        </w:tc>
      </w:tr>
      <w:tr>
        <w:trPr>
          <w:trHeight w:val="255"/>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5.</w:t>
            </w:r>
          </w:p>
        </w:tc>
        <w:tc>
          <w:tcPr>
            <w:tcW w:w="800" w:type="dxa"/>
            <w:vAlign w:val="bottom"/>
          </w:tcPr>
          <w:p>
            <w:pPr>
              <w:spacing w:after="0"/>
              <w:rPr>
                <w:sz w:val="22"/>
                <w:szCs w:val="22"/>
                <w:color w:val="auto"/>
              </w:rPr>
            </w:pPr>
          </w:p>
        </w:tc>
        <w:tc>
          <w:tcPr>
            <w:tcW w:w="17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7320" w:type="dxa"/>
            <w:vAlign w:val="bottom"/>
            <w:gridSpan w:val="13"/>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61</w:t>
            </w:r>
          </w:p>
        </w:tc>
        <w:tc>
          <w:tcPr>
            <w:tcW w:w="0" w:type="dxa"/>
            <w:vAlign w:val="bottom"/>
          </w:tcPr>
          <w:p>
            <w:pPr>
              <w:spacing w:after="0"/>
              <w:rPr>
                <w:sz w:val="1"/>
                <w:szCs w:val="1"/>
                <w:color w:val="auto"/>
              </w:rPr>
            </w:pPr>
          </w:p>
        </w:tc>
      </w:tr>
      <w:tr>
        <w:trPr>
          <w:trHeight w:val="255"/>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6.</w:t>
            </w:r>
          </w:p>
        </w:tc>
        <w:tc>
          <w:tcPr>
            <w:tcW w:w="800" w:type="dxa"/>
            <w:vAlign w:val="bottom"/>
          </w:tcPr>
          <w:p>
            <w:pPr>
              <w:spacing w:after="0"/>
              <w:rPr>
                <w:sz w:val="22"/>
                <w:szCs w:val="22"/>
                <w:color w:val="auto"/>
              </w:rPr>
            </w:pPr>
          </w:p>
        </w:tc>
        <w:tc>
          <w:tcPr>
            <w:tcW w:w="12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Exhibits</w:t>
            </w:r>
          </w:p>
        </w:tc>
        <w:tc>
          <w:tcPr>
            <w:tcW w:w="7760" w:type="dxa"/>
            <w:vAlign w:val="bottom"/>
            <w:gridSpan w:val="15"/>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62</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20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63</w:t>
            </w:r>
          </w:p>
        </w:tc>
        <w:tc>
          <w:tcPr>
            <w:tcW w:w="0" w:type="dxa"/>
            <w:vAlign w:val="bottom"/>
          </w:tcPr>
          <w:p>
            <w:pPr>
              <w:spacing w:after="0"/>
              <w:rPr>
                <w:sz w:val="1"/>
                <w:szCs w:val="1"/>
                <w:color w:val="auto"/>
              </w:rPr>
            </w:pPr>
          </w:p>
        </w:tc>
      </w:tr>
      <w:tr>
        <w:trPr>
          <w:trHeight w:val="884"/>
        </w:trPr>
        <w:tc>
          <w:tcPr>
            <w:tcW w:w="2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800" w:type="dxa"/>
            <w:vAlign w:val="bottom"/>
          </w:tcPr>
          <w:p>
            <w:pPr>
              <w:spacing w:after="0"/>
              <w:rPr>
                <w:sz w:val="24"/>
                <w:szCs w:val="24"/>
                <w:color w:val="auto"/>
              </w:rPr>
            </w:pPr>
          </w:p>
        </w:tc>
        <w:tc>
          <w:tcPr>
            <w:tcW w:w="4240" w:type="dxa"/>
            <w:vAlign w:val="bottom"/>
            <w:gridSpan w:val="12"/>
          </w:tcPr>
          <w:p>
            <w:pPr>
              <w:ind w:left="4020"/>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1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7"/>
          <w:szCs w:val="17"/>
          <w:b w:val="1"/>
          <w:bCs w:val="1"/>
          <w:color w:val="auto"/>
        </w:rPr>
        <w:t>CONSOLIDATED BALANCE SHEETS (UNAUDITED)</w:t>
      </w:r>
    </w:p>
    <w:p>
      <w:pPr>
        <w:spacing w:after="0" w:line="1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74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66"/>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200" w:type="dxa"/>
            <w:vAlign w:val="bottom"/>
          </w:tcPr>
          <w:p>
            <w:pPr>
              <w:spacing w:after="0"/>
              <w:rPr>
                <w:sz w:val="16"/>
                <w:szCs w:val="16"/>
                <w:color w:val="auto"/>
              </w:rPr>
            </w:pPr>
          </w:p>
        </w:tc>
        <w:tc>
          <w:tcPr>
            <w:tcW w:w="1560" w:type="dxa"/>
            <w:vAlign w:val="bottom"/>
          </w:tcPr>
          <w:p>
            <w:pPr>
              <w:jc w:val="right"/>
              <w:ind w:right="206"/>
              <w:spacing w:after="0"/>
              <w:rPr>
                <w:sz w:val="20"/>
                <w:szCs w:val="20"/>
                <w:color w:val="auto"/>
              </w:rPr>
            </w:pPr>
            <w:r>
              <w:rPr>
                <w:rFonts w:ascii="Times New Roman" w:cs="Times New Roman" w:eastAsia="Times New Roman" w:hAnsi="Times New Roman"/>
                <w:sz w:val="15"/>
                <w:szCs w:val="15"/>
                <w:b w:val="1"/>
                <w:bCs w:val="1"/>
                <w:color w:val="auto"/>
              </w:rPr>
              <w:t>December 31, 2021</w:t>
            </w:r>
          </w:p>
        </w:tc>
        <w:tc>
          <w:tcPr>
            <w:tcW w:w="0" w:type="dxa"/>
            <w:vAlign w:val="bottom"/>
          </w:tcPr>
          <w:p>
            <w:pPr>
              <w:spacing w:after="0"/>
              <w:rPr>
                <w:sz w:val="1"/>
                <w:szCs w:val="1"/>
                <w:color w:val="auto"/>
              </w:rPr>
            </w:pPr>
          </w:p>
        </w:tc>
      </w:tr>
      <w:tr>
        <w:trPr>
          <w:trHeight w:val="177"/>
        </w:trPr>
        <w:tc>
          <w:tcPr>
            <w:tcW w:w="74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4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0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106,304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135,337</w:t>
            </w:r>
          </w:p>
        </w:tc>
        <w:tc>
          <w:tcPr>
            <w:tcW w:w="0" w:type="dxa"/>
            <w:vAlign w:val="bottom"/>
          </w:tcPr>
          <w:p>
            <w:pPr>
              <w:spacing w:after="0"/>
              <w:rPr>
                <w:sz w:val="1"/>
                <w:szCs w:val="1"/>
                <w:color w:val="auto"/>
              </w:rPr>
            </w:pPr>
          </w:p>
        </w:tc>
      </w:tr>
      <w:tr>
        <w:trPr>
          <w:trHeight w:val="195"/>
        </w:trPr>
        <w:tc>
          <w:tcPr>
            <w:tcW w:w="74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Short-term investments</w:t>
            </w:r>
          </w:p>
        </w:tc>
        <w:tc>
          <w:tcPr>
            <w:tcW w:w="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158,941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178,538</w:t>
            </w:r>
          </w:p>
        </w:tc>
        <w:tc>
          <w:tcPr>
            <w:tcW w:w="0" w:type="dxa"/>
            <w:vAlign w:val="bottom"/>
          </w:tcPr>
          <w:p>
            <w:pPr>
              <w:spacing w:after="0"/>
              <w:rPr>
                <w:sz w:val="1"/>
                <w:szCs w:val="1"/>
                <w:color w:val="auto"/>
              </w:rPr>
            </w:pPr>
          </w:p>
        </w:tc>
      </w:tr>
      <w:tr>
        <w:trPr>
          <w:trHeight w:val="199"/>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Restricted cash</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6,174</w:t>
            </w:r>
          </w:p>
        </w:tc>
        <w:tc>
          <w:tcPr>
            <w:tcW w:w="0" w:type="dxa"/>
            <w:vAlign w:val="bottom"/>
          </w:tcPr>
          <w:p>
            <w:pPr>
              <w:spacing w:after="0"/>
              <w:rPr>
                <w:sz w:val="1"/>
                <w:szCs w:val="1"/>
                <w:color w:val="auto"/>
              </w:rPr>
            </w:pPr>
          </w:p>
        </w:tc>
      </w:tr>
      <w:tr>
        <w:trPr>
          <w:trHeight w:val="195"/>
        </w:trPr>
        <w:tc>
          <w:tcPr>
            <w:tcW w:w="74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Accounts receivable, net</w:t>
            </w:r>
          </w:p>
        </w:tc>
        <w:tc>
          <w:tcPr>
            <w:tcW w:w="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237,453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194,232</w:t>
            </w:r>
          </w:p>
        </w:tc>
        <w:tc>
          <w:tcPr>
            <w:tcW w:w="0" w:type="dxa"/>
            <w:vAlign w:val="bottom"/>
          </w:tcPr>
          <w:p>
            <w:pPr>
              <w:spacing w:after="0"/>
              <w:rPr>
                <w:sz w:val="1"/>
                <w:szCs w:val="1"/>
                <w:color w:val="auto"/>
              </w:rPr>
            </w:pPr>
          </w:p>
        </w:tc>
      </w:tr>
      <w:tr>
        <w:trPr>
          <w:trHeight w:val="199"/>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Prepaid expenses</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14,655</w:t>
            </w:r>
          </w:p>
        </w:tc>
        <w:tc>
          <w:tcPr>
            <w:tcW w:w="0" w:type="dxa"/>
            <w:vAlign w:val="bottom"/>
          </w:tcPr>
          <w:p>
            <w:pPr>
              <w:spacing w:after="0"/>
              <w:rPr>
                <w:sz w:val="1"/>
                <w:szCs w:val="1"/>
                <w:color w:val="auto"/>
              </w:rPr>
            </w:pPr>
          </w:p>
        </w:tc>
      </w:tr>
      <w:tr>
        <w:trPr>
          <w:trHeight w:val="195"/>
        </w:trPr>
        <w:tc>
          <w:tcPr>
            <w:tcW w:w="74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Advance income tax, net</w:t>
            </w:r>
          </w:p>
        </w:tc>
        <w:tc>
          <w:tcPr>
            <w:tcW w:w="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15,199</w:t>
            </w: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Other 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34,009</w:t>
            </w:r>
          </w:p>
        </w:tc>
        <w:tc>
          <w:tcPr>
            <w:tcW w:w="0" w:type="dxa"/>
            <w:vAlign w:val="bottom"/>
          </w:tcPr>
          <w:p>
            <w:pPr>
              <w:spacing w:after="0"/>
              <w:rPr>
                <w:sz w:val="1"/>
                <w:szCs w:val="1"/>
                <w:color w:val="auto"/>
              </w:rPr>
            </w:pPr>
          </w:p>
        </w:tc>
      </w:tr>
      <w:tr>
        <w:trPr>
          <w:trHeight w:val="190"/>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561,014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578,144</w:t>
            </w:r>
          </w:p>
        </w:tc>
        <w:tc>
          <w:tcPr>
            <w:tcW w:w="0" w:type="dxa"/>
            <w:vAlign w:val="bottom"/>
          </w:tcPr>
          <w:p>
            <w:pPr>
              <w:spacing w:after="0"/>
              <w:rPr>
                <w:sz w:val="1"/>
                <w:szCs w:val="1"/>
                <w:color w:val="auto"/>
              </w:rPr>
            </w:pPr>
          </w:p>
        </w:tc>
      </w:tr>
      <w:tr>
        <w:trPr>
          <w:trHeight w:val="19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82,649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86,008</w:t>
            </w:r>
          </w:p>
        </w:tc>
        <w:tc>
          <w:tcPr>
            <w:tcW w:w="0" w:type="dxa"/>
            <w:vAlign w:val="bottom"/>
          </w:tcPr>
          <w:p>
            <w:pPr>
              <w:spacing w:after="0"/>
              <w:rPr>
                <w:sz w:val="1"/>
                <w:szCs w:val="1"/>
                <w:color w:val="auto"/>
              </w:rPr>
            </w:pPr>
          </w:p>
        </w:tc>
      </w:tr>
      <w:tr>
        <w:trPr>
          <w:trHeight w:val="195"/>
        </w:trPr>
        <w:tc>
          <w:tcPr>
            <w:tcW w:w="7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67,962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76,692</w:t>
            </w:r>
          </w:p>
        </w:tc>
        <w:tc>
          <w:tcPr>
            <w:tcW w:w="0" w:type="dxa"/>
            <w:vAlign w:val="bottom"/>
          </w:tcPr>
          <w:p>
            <w:pPr>
              <w:spacing w:after="0"/>
              <w:rPr>
                <w:sz w:val="1"/>
                <w:szCs w:val="1"/>
                <w:color w:val="auto"/>
              </w:rPr>
            </w:pPr>
          </w:p>
        </w:tc>
      </w:tr>
      <w:tr>
        <w:trPr>
          <w:trHeight w:val="19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cash</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2,299</w:t>
            </w:r>
          </w:p>
        </w:tc>
        <w:tc>
          <w:tcPr>
            <w:tcW w:w="0" w:type="dxa"/>
            <w:vAlign w:val="bottom"/>
          </w:tcPr>
          <w:p>
            <w:pPr>
              <w:spacing w:after="0"/>
              <w:rPr>
                <w:sz w:val="1"/>
                <w:szCs w:val="1"/>
                <w:color w:val="auto"/>
              </w:rPr>
            </w:pPr>
          </w:p>
        </w:tc>
      </w:tr>
      <w:tr>
        <w:trPr>
          <w:trHeight w:val="195"/>
        </w:trPr>
        <w:tc>
          <w:tcPr>
            <w:tcW w:w="7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tax assets, net</w:t>
            </w:r>
          </w:p>
        </w:tc>
        <w:tc>
          <w:tcPr>
            <w:tcW w:w="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40,924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21,404</w:t>
            </w:r>
          </w:p>
        </w:tc>
        <w:tc>
          <w:tcPr>
            <w:tcW w:w="0" w:type="dxa"/>
            <w:vAlign w:val="bottom"/>
          </w:tcPr>
          <w:p>
            <w:pPr>
              <w:spacing w:after="0"/>
              <w:rPr>
                <w:sz w:val="1"/>
                <w:szCs w:val="1"/>
                <w:color w:val="auto"/>
              </w:rPr>
            </w:pPr>
          </w:p>
        </w:tc>
      </w:tr>
      <w:tr>
        <w:trPr>
          <w:trHeight w:val="19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Intangible assets, net</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73,298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81,082</w:t>
            </w:r>
          </w:p>
        </w:tc>
        <w:tc>
          <w:tcPr>
            <w:tcW w:w="0" w:type="dxa"/>
            <w:vAlign w:val="bottom"/>
          </w:tcPr>
          <w:p>
            <w:pPr>
              <w:spacing w:after="0"/>
              <w:rPr>
                <w:sz w:val="1"/>
                <w:szCs w:val="1"/>
                <w:color w:val="auto"/>
              </w:rPr>
            </w:pPr>
          </w:p>
        </w:tc>
      </w:tr>
      <w:tr>
        <w:trPr>
          <w:trHeight w:val="195"/>
        </w:trPr>
        <w:tc>
          <w:tcPr>
            <w:tcW w:w="7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406,575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403,902</w:t>
            </w:r>
          </w:p>
        </w:tc>
        <w:tc>
          <w:tcPr>
            <w:tcW w:w="0" w:type="dxa"/>
            <w:vAlign w:val="bottom"/>
          </w:tcPr>
          <w:p>
            <w:pPr>
              <w:spacing w:after="0"/>
              <w:rPr>
                <w:sz w:val="1"/>
                <w:szCs w:val="1"/>
                <w:color w:val="auto"/>
              </w:rPr>
            </w:pPr>
          </w:p>
        </w:tc>
      </w:tr>
      <w:tr>
        <w:trPr>
          <w:trHeight w:val="19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53,195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30,369</w:t>
            </w:r>
          </w:p>
        </w:tc>
        <w:tc>
          <w:tcPr>
            <w:tcW w:w="0" w:type="dxa"/>
            <w:vAlign w:val="bottom"/>
          </w:tcPr>
          <w:p>
            <w:pPr>
              <w:spacing w:after="0"/>
              <w:rPr>
                <w:sz w:val="1"/>
                <w:szCs w:val="1"/>
                <w:color w:val="auto"/>
              </w:rPr>
            </w:pPr>
          </w:p>
        </w:tc>
      </w:tr>
      <w:tr>
        <w:trPr>
          <w:trHeight w:val="195"/>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Investment in equity affiliate</w:t>
            </w: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3,261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3,004</w:t>
            </w:r>
          </w:p>
        </w:tc>
        <w:tc>
          <w:tcPr>
            <w:tcW w:w="0" w:type="dxa"/>
            <w:vAlign w:val="bottom"/>
          </w:tcPr>
          <w:p>
            <w:pPr>
              <w:spacing w:after="0"/>
              <w:rPr>
                <w:sz w:val="1"/>
                <w:szCs w:val="1"/>
                <w:color w:val="auto"/>
              </w:rPr>
            </w:pPr>
          </w:p>
        </w:tc>
      </w:tr>
      <w:tr>
        <w:trPr>
          <w:trHeight w:val="217"/>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1,290,934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1,282,904</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4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4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Accounts payable</w:t>
            </w:r>
          </w:p>
        </w:tc>
        <w:tc>
          <w:tcPr>
            <w:tcW w:w="30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4,377</w:t>
            </w:r>
          </w:p>
        </w:tc>
        <w:tc>
          <w:tcPr>
            <w:tcW w:w="100" w:type="dxa"/>
            <w:vAlign w:val="bottom"/>
          </w:tcPr>
          <w:p>
            <w:pPr>
              <w:spacing w:after="0"/>
              <w:rPr>
                <w:sz w:val="16"/>
                <w:szCs w:val="16"/>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5,647</w:t>
            </w:r>
          </w:p>
        </w:tc>
        <w:tc>
          <w:tcPr>
            <w:tcW w:w="0" w:type="dxa"/>
            <w:vAlign w:val="bottom"/>
          </w:tcPr>
          <w:p>
            <w:pPr>
              <w:spacing w:after="0"/>
              <w:rPr>
                <w:sz w:val="1"/>
                <w:szCs w:val="1"/>
                <w:color w:val="auto"/>
              </w:rPr>
            </w:pPr>
          </w:p>
        </w:tc>
      </w:tr>
      <w:tr>
        <w:trPr>
          <w:trHeight w:val="199"/>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Current portion of long-term borrowings</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260,016</w:t>
            </w:r>
          </w:p>
        </w:tc>
        <w:tc>
          <w:tcPr>
            <w:tcW w:w="0" w:type="dxa"/>
            <w:vAlign w:val="bottom"/>
          </w:tcPr>
          <w:p>
            <w:pPr>
              <w:spacing w:after="0"/>
              <w:rPr>
                <w:sz w:val="1"/>
                <w:szCs w:val="1"/>
                <w:color w:val="auto"/>
              </w:rPr>
            </w:pPr>
          </w:p>
        </w:tc>
      </w:tr>
      <w:tr>
        <w:trPr>
          <w:trHeight w:val="195"/>
        </w:trPr>
        <w:tc>
          <w:tcPr>
            <w:tcW w:w="74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Deferred revenue</w:t>
            </w:r>
          </w:p>
        </w:tc>
        <w:tc>
          <w:tcPr>
            <w:tcW w:w="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20,000</w:t>
            </w:r>
          </w:p>
        </w:tc>
        <w:tc>
          <w:tcPr>
            <w:tcW w:w="0" w:type="dxa"/>
            <w:vAlign w:val="bottom"/>
          </w:tcPr>
          <w:p>
            <w:pPr>
              <w:spacing w:after="0"/>
              <w:rPr>
                <w:sz w:val="1"/>
                <w:szCs w:val="1"/>
                <w:color w:val="auto"/>
              </w:rPr>
            </w:pPr>
          </w:p>
        </w:tc>
      </w:tr>
      <w:tr>
        <w:trPr>
          <w:trHeight w:val="199"/>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Accrued employee costs</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75,698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114,285</w:t>
            </w:r>
          </w:p>
        </w:tc>
        <w:tc>
          <w:tcPr>
            <w:tcW w:w="0" w:type="dxa"/>
            <w:vAlign w:val="bottom"/>
          </w:tcPr>
          <w:p>
            <w:pPr>
              <w:spacing w:after="0"/>
              <w:rPr>
                <w:sz w:val="1"/>
                <w:szCs w:val="1"/>
                <w:color w:val="auto"/>
              </w:rPr>
            </w:pPr>
          </w:p>
        </w:tc>
      </w:tr>
      <w:tr>
        <w:trPr>
          <w:trHeight w:val="195"/>
        </w:trPr>
        <w:tc>
          <w:tcPr>
            <w:tcW w:w="74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89,030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76,350</w:t>
            </w:r>
          </w:p>
        </w:tc>
        <w:tc>
          <w:tcPr>
            <w:tcW w:w="0" w:type="dxa"/>
            <w:vAlign w:val="bottom"/>
          </w:tcPr>
          <w:p>
            <w:pPr>
              <w:spacing w:after="0"/>
              <w:rPr>
                <w:sz w:val="1"/>
                <w:szCs w:val="1"/>
                <w:color w:val="auto"/>
              </w:rPr>
            </w:pPr>
          </w:p>
        </w:tc>
      </w:tr>
      <w:tr>
        <w:trPr>
          <w:trHeight w:val="199"/>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18,548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18,487</w:t>
            </w:r>
          </w:p>
        </w:tc>
        <w:tc>
          <w:tcPr>
            <w:tcW w:w="0" w:type="dxa"/>
            <w:vAlign w:val="bottom"/>
          </w:tcPr>
          <w:p>
            <w:pPr>
              <w:spacing w:after="0"/>
              <w:rPr>
                <w:sz w:val="1"/>
                <w:szCs w:val="1"/>
                <w:color w:val="auto"/>
              </w:rPr>
            </w:pPr>
          </w:p>
        </w:tc>
      </w:tr>
      <w:tr>
        <w:trPr>
          <w:trHeight w:val="195"/>
        </w:trPr>
        <w:tc>
          <w:tcPr>
            <w:tcW w:w="7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Income taxes payable, net</w:t>
            </w: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21,348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901</w:t>
            </w:r>
          </w:p>
        </w:tc>
        <w:tc>
          <w:tcPr>
            <w:tcW w:w="0" w:type="dxa"/>
            <w:vAlign w:val="bottom"/>
          </w:tcPr>
          <w:p>
            <w:pPr>
              <w:spacing w:after="0"/>
              <w:rPr>
                <w:sz w:val="1"/>
                <w:szCs w:val="1"/>
                <w:color w:val="auto"/>
              </w:rPr>
            </w:pPr>
          </w:p>
        </w:tc>
      </w:tr>
      <w:tr>
        <w:trPr>
          <w:trHeight w:val="19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266,014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495,686</w:t>
            </w:r>
          </w:p>
        </w:tc>
        <w:tc>
          <w:tcPr>
            <w:tcW w:w="0" w:type="dxa"/>
            <w:vAlign w:val="bottom"/>
          </w:tcPr>
          <w:p>
            <w:pPr>
              <w:spacing w:after="0"/>
              <w:rPr>
                <w:sz w:val="1"/>
                <w:szCs w:val="1"/>
                <w:color w:val="auto"/>
              </w:rPr>
            </w:pPr>
          </w:p>
        </w:tc>
      </w:tr>
      <w:tr>
        <w:trPr>
          <w:trHeight w:val="195"/>
        </w:trPr>
        <w:tc>
          <w:tcPr>
            <w:tcW w:w="7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borrowings, less current portion</w:t>
            </w:r>
          </w:p>
        </w:tc>
        <w:tc>
          <w:tcPr>
            <w:tcW w:w="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liabilities, less current portion</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59,224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68,506</w:t>
            </w:r>
          </w:p>
        </w:tc>
        <w:tc>
          <w:tcPr>
            <w:tcW w:w="0" w:type="dxa"/>
            <w:vAlign w:val="bottom"/>
          </w:tcPr>
          <w:p>
            <w:pPr>
              <w:spacing w:after="0"/>
              <w:rPr>
                <w:sz w:val="1"/>
                <w:szCs w:val="1"/>
                <w:color w:val="auto"/>
              </w:rPr>
            </w:pPr>
          </w:p>
        </w:tc>
      </w:tr>
      <w:tr>
        <w:trPr>
          <w:trHeight w:val="195"/>
        </w:trPr>
        <w:tc>
          <w:tcPr>
            <w:tcW w:w="7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taxes payable</w:t>
            </w:r>
          </w:p>
        </w:tc>
        <w:tc>
          <w:tcPr>
            <w:tcW w:w="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1,790</w:t>
            </w:r>
          </w:p>
        </w:tc>
        <w:tc>
          <w:tcPr>
            <w:tcW w:w="0" w:type="dxa"/>
            <w:vAlign w:val="bottom"/>
          </w:tcPr>
          <w:p>
            <w:pPr>
              <w:spacing w:after="0"/>
              <w:rPr>
                <w:sz w:val="1"/>
                <w:szCs w:val="1"/>
                <w:color w:val="auto"/>
              </w:rPr>
            </w:pPr>
          </w:p>
        </w:tc>
      </w:tr>
      <w:tr>
        <w:trPr>
          <w:trHeight w:val="19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tax liabilities, net</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965</w:t>
            </w:r>
          </w:p>
        </w:tc>
        <w:tc>
          <w:tcPr>
            <w:tcW w:w="0" w:type="dxa"/>
            <w:vAlign w:val="bottom"/>
          </w:tcPr>
          <w:p>
            <w:pPr>
              <w:spacing w:after="0"/>
              <w:rPr>
                <w:sz w:val="1"/>
                <w:szCs w:val="1"/>
                <w:color w:val="auto"/>
              </w:rPr>
            </w:pPr>
          </w:p>
        </w:tc>
      </w:tr>
      <w:tr>
        <w:trPr>
          <w:trHeight w:val="195"/>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27,412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22,801</w:t>
            </w:r>
          </w:p>
        </w:tc>
        <w:tc>
          <w:tcPr>
            <w:tcW w:w="0" w:type="dxa"/>
            <w:vAlign w:val="bottom"/>
          </w:tcPr>
          <w:p>
            <w:pPr>
              <w:spacing w:after="0"/>
              <w:rPr>
                <w:sz w:val="1"/>
                <w:szCs w:val="1"/>
                <w:color w:val="auto"/>
              </w:rPr>
            </w:pPr>
          </w:p>
        </w:tc>
      </w:tr>
      <w:tr>
        <w:trPr>
          <w:trHeight w:val="19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30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605,281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589,748</w:t>
            </w:r>
          </w:p>
        </w:tc>
        <w:tc>
          <w:tcPr>
            <w:tcW w:w="0" w:type="dxa"/>
            <w:vAlign w:val="bottom"/>
          </w:tcPr>
          <w:p>
            <w:pPr>
              <w:spacing w:after="0"/>
              <w:rPr>
                <w:sz w:val="1"/>
                <w:szCs w:val="1"/>
                <w:color w:val="auto"/>
              </w:rPr>
            </w:pPr>
          </w:p>
        </w:tc>
      </w:tr>
      <w:tr>
        <w:trPr>
          <w:trHeight w:val="175"/>
        </w:trPr>
        <w:tc>
          <w:tcPr>
            <w:tcW w:w="7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(Refer to Note 24)</w:t>
            </w:r>
          </w:p>
        </w:tc>
        <w:tc>
          <w:tcPr>
            <w:tcW w:w="3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Preferred stock, $0.001 par value; 15,000,000 shares authorized, none issued</w:t>
            </w:r>
          </w:p>
        </w:tc>
        <w:tc>
          <w:tcPr>
            <w:tcW w:w="3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5"/>
        </w:trPr>
        <w:tc>
          <w:tcPr>
            <w:tcW w:w="7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ExlService Holdings, Inc. Stockholders’ equity:</w:t>
            </w:r>
          </w:p>
        </w:tc>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420" w:type="dxa"/>
            <w:vAlign w:val="bottom"/>
            <w:shd w:val="clear" w:color="auto" w:fill="CCEEFF"/>
          </w:tcPr>
          <w:p>
            <w:pPr>
              <w:ind w:left="340"/>
              <w:spacing w:after="0" w:line="146" w:lineRule="exact"/>
              <w:rPr>
                <w:sz w:val="20"/>
                <w:szCs w:val="20"/>
                <w:color w:val="auto"/>
              </w:rPr>
            </w:pPr>
            <w:r>
              <w:rPr>
                <w:rFonts w:ascii="Times New Roman" w:cs="Times New Roman" w:eastAsia="Times New Roman" w:hAnsi="Times New Roman"/>
                <w:sz w:val="15"/>
                <w:szCs w:val="15"/>
                <w:color w:val="auto"/>
              </w:rPr>
              <w:t>Common stock, $0.001 par value; 100,000,000 shares authorized, 39,795,161 shares issued and 33,124,035 shares</w:t>
            </w:r>
          </w:p>
        </w:tc>
        <w:tc>
          <w:tcPr>
            <w:tcW w:w="3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420" w:type="dxa"/>
            <w:vAlign w:val="bottom"/>
            <w:shd w:val="clear" w:color="auto" w:fill="CCEEFF"/>
          </w:tcPr>
          <w:p>
            <w:pPr>
              <w:ind w:left="340"/>
              <w:spacing w:after="0" w:line="144" w:lineRule="exact"/>
              <w:rPr>
                <w:sz w:val="20"/>
                <w:szCs w:val="20"/>
                <w:color w:val="auto"/>
              </w:rPr>
            </w:pPr>
            <w:r>
              <w:rPr>
                <w:rFonts w:ascii="Times New Roman" w:cs="Times New Roman" w:eastAsia="Times New Roman" w:hAnsi="Times New Roman"/>
                <w:sz w:val="15"/>
                <w:szCs w:val="15"/>
                <w:color w:val="auto"/>
              </w:rPr>
              <w:t>outstanding as of June 30, 2022 and 39,508,340 shares issued and 33,291,482 shares outstanding as of December 31,</w:t>
            </w:r>
          </w:p>
        </w:tc>
        <w:tc>
          <w:tcPr>
            <w:tcW w:w="3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2021</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0" w:type="dxa"/>
            <w:vAlign w:val="bottom"/>
          </w:tcPr>
          <w:p>
            <w:pPr>
              <w:spacing w:after="0"/>
              <w:rPr>
                <w:sz w:val="1"/>
                <w:szCs w:val="1"/>
                <w:color w:val="auto"/>
              </w:rPr>
            </w:pPr>
          </w:p>
        </w:tc>
      </w:tr>
      <w:tr>
        <w:trPr>
          <w:trHeight w:val="192"/>
        </w:trPr>
        <w:tc>
          <w:tcPr>
            <w:tcW w:w="74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420,306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395,742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Retained earnings</w:t>
            </w:r>
          </w:p>
        </w:tc>
        <w:tc>
          <w:tcPr>
            <w:tcW w:w="6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828,161</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756,137</w:t>
            </w:r>
          </w:p>
        </w:tc>
      </w:tr>
      <w:tr>
        <w:trPr>
          <w:trHeight w:val="195"/>
        </w:trPr>
        <w:tc>
          <w:tcPr>
            <w:tcW w:w="7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Accumulated other comprehensive income/(loss)</w:t>
            </w:r>
          </w:p>
        </w:tc>
        <w:tc>
          <w:tcPr>
            <w:tcW w:w="6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(133,374)</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(89,474)</w:t>
            </w:r>
          </w:p>
        </w:tc>
      </w:tr>
      <w:tr>
        <w:trPr>
          <w:trHeight w:val="19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including shares held in treasury</w:t>
            </w:r>
          </w:p>
        </w:tc>
        <w:tc>
          <w:tcPr>
            <w:tcW w:w="6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1,115,133</w:t>
            </w: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1,062,445</w:t>
            </w:r>
          </w:p>
        </w:tc>
      </w:tr>
      <w:tr>
        <w:trPr>
          <w:trHeight w:val="188"/>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Less: 6,671,126 shares as of June 30, 2022 and 6,216,858 shares as of December 31, 2021, held in treasury, at cost</w:t>
            </w:r>
          </w:p>
        </w:tc>
        <w:tc>
          <w:tcPr>
            <w:tcW w:w="6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(429,480)</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(369,289)</w:t>
            </w:r>
          </w:p>
        </w:tc>
      </w:tr>
      <w:tr>
        <w:trPr>
          <w:trHeight w:val="19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Stockholders’ equity</w:t>
            </w:r>
          </w:p>
        </w:tc>
        <w:tc>
          <w:tcPr>
            <w:tcW w:w="6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685,653</w:t>
            </w: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693,156</w:t>
            </w:r>
          </w:p>
        </w:tc>
      </w:tr>
      <w:tr>
        <w:trPr>
          <w:trHeight w:val="32"/>
        </w:trPr>
        <w:tc>
          <w:tcPr>
            <w:tcW w:w="7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equity</w:t>
            </w:r>
          </w:p>
        </w:tc>
        <w:tc>
          <w:tcPr>
            <w:tcW w:w="6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685,653</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693,156</w:t>
            </w:r>
          </w:p>
        </w:tc>
      </w:tr>
      <w:tr>
        <w:trPr>
          <w:trHeight w:val="190"/>
        </w:trPr>
        <w:tc>
          <w:tcPr>
            <w:tcW w:w="74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 and stockholders’ equity</w:t>
            </w:r>
          </w:p>
        </w:tc>
        <w:tc>
          <w:tcPr>
            <w:tcW w:w="66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1,290,934</w:t>
            </w:r>
          </w:p>
        </w:tc>
        <w:tc>
          <w:tcPr>
            <w:tcW w:w="100" w:type="dxa"/>
            <w:vAlign w:val="bottom"/>
          </w:tcPr>
          <w:p>
            <w:pPr>
              <w:spacing w:after="0"/>
              <w:rPr>
                <w:sz w:val="16"/>
                <w:szCs w:val="16"/>
                <w:color w:val="auto"/>
              </w:rPr>
            </w:pPr>
          </w:p>
        </w:tc>
        <w:tc>
          <w:tcPr>
            <w:tcW w:w="60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1,282,904</w:t>
            </w:r>
          </w:p>
        </w:tc>
      </w:tr>
      <w:tr>
        <w:trPr>
          <w:trHeight w:val="20"/>
        </w:trPr>
        <w:tc>
          <w:tcPr>
            <w:tcW w:w="7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1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11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7"/>
          <w:szCs w:val="17"/>
          <w:b w:val="1"/>
          <w:bCs w:val="1"/>
          <w:color w:val="auto"/>
        </w:rPr>
        <w:t>CONSOLIDATED STATEMENTS OF INCOME (UNAUDITED)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4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2"/>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net</w:t>
            </w: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346,782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275,064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675,990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536,479</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7"/>
                <w:szCs w:val="17"/>
                <w:color w:val="auto"/>
              </w:rPr>
              <w:t>Cost of revenues</w:t>
            </w:r>
            <w:r>
              <w:rPr>
                <w:rFonts w:ascii="Times New Roman" w:cs="Times New Roman" w:eastAsia="Times New Roman" w:hAnsi="Times New Roman"/>
                <w:sz w:val="22"/>
                <w:szCs w:val="22"/>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221,207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170,701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428,723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329,522</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b w:val="1"/>
                <w:bCs w:val="1"/>
                <w:color w:val="auto"/>
              </w:rPr>
              <w:t>Gross profit</w:t>
            </w:r>
            <w:r>
              <w:rPr>
                <w:rFonts w:ascii="Times New Roman" w:cs="Times New Roman" w:eastAsia="Times New Roman" w:hAnsi="Times New Roman"/>
                <w:sz w:val="22"/>
                <w:szCs w:val="22"/>
                <w:b w:val="1"/>
                <w:bCs w:val="1"/>
                <w:color w:val="auto"/>
                <w:vertAlign w:val="superscript"/>
              </w:rPr>
              <w:t>(1)</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125,575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104,363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247,267</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206,957</w:t>
            </w:r>
          </w:p>
        </w:tc>
        <w:tc>
          <w:tcPr>
            <w:tcW w:w="0" w:type="dxa"/>
            <w:vAlign w:val="bottom"/>
          </w:tcPr>
          <w:p>
            <w:pPr>
              <w:spacing w:after="0"/>
              <w:rPr>
                <w:sz w:val="1"/>
                <w:szCs w:val="1"/>
                <w:color w:val="auto"/>
              </w:rPr>
            </w:pPr>
          </w:p>
        </w:tc>
      </w:tr>
      <w:tr>
        <w:trPr>
          <w:trHeight w:val="203"/>
        </w:trPr>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80,379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67,202</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48,155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37,959</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27,677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24,411</w:t>
            </w:r>
          </w:p>
        </w:tc>
        <w:tc>
          <w:tcPr>
            <w:tcW w:w="0" w:type="dxa"/>
            <w:vAlign w:val="bottom"/>
          </w:tcPr>
          <w:p>
            <w:pPr>
              <w:spacing w:after="0"/>
              <w:rPr>
                <w:sz w:val="1"/>
                <w:szCs w:val="1"/>
                <w:color w:val="auto"/>
              </w:rPr>
            </w:pPr>
          </w:p>
        </w:tc>
      </w:tr>
      <w:tr>
        <w:trPr>
          <w:trHeight w:val="216"/>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78,494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68,533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156,211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129,572</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47,081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35,830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91,056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77,385</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exchange gain,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1,787</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(4,994)</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income/(loss), net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3,625</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income tax expense and earnings from equity affiliates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46,828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36,878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94,094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77,803</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22,327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17,823</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earnings from equity affiliates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35,703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28,013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71,767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59,980</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Gain/(loss) from equity-method investment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41"/>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ExlService Holdings, Inc. stockholders</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35,846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28,021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72,024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59,952</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Earnings per share attributable to ExlService Holdings, Inc. stockholders: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0" w:type="dxa"/>
            <w:vAlign w:val="bottom"/>
          </w:tcPr>
          <w:p>
            <w:pPr>
              <w:spacing w:after="0"/>
              <w:rPr>
                <w:sz w:val="1"/>
                <w:szCs w:val="1"/>
                <w:color w:val="auto"/>
              </w:rPr>
            </w:pPr>
          </w:p>
        </w:tc>
      </w:tr>
      <w:tr>
        <w:trPr>
          <w:trHeight w:val="223"/>
        </w:trPr>
        <w:tc>
          <w:tcPr>
            <w:tcW w:w="5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0.81</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8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r>
        <w:trPr>
          <w:trHeight w:val="170"/>
        </w:trPr>
        <w:tc>
          <w:tcPr>
            <w:tcW w:w="54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Weighted-average number of shares used in computing earnings per share</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attributable to ExlService Holdings Inc. stockholders: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33,403,411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33,571,074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33,422,618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33,652,146</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33,830,539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34,389,768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33,862,597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34,353,593</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(1) Exclusive of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5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11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 (UNAUDITED)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4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4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2"/>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59,952</w:t>
            </w:r>
          </w:p>
        </w:tc>
      </w:tr>
      <w:tr>
        <w:trPr>
          <w:trHeight w:val="209"/>
        </w:trPr>
        <w:tc>
          <w:tcPr>
            <w:tcW w:w="54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Other comprehensive income/(loss):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4"/>
        </w:trPr>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Unrealized loss on cash flow hedges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r>
      <w:tr>
        <w:trPr>
          <w:trHeight w:val="223"/>
        </w:trPr>
        <w:tc>
          <w:tcPr>
            <w:tcW w:w="5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on net investment hedges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w:t>
            </w:r>
          </w:p>
        </w:tc>
      </w:tr>
      <w:tr>
        <w:trPr>
          <w:trHeight w:val="223"/>
        </w:trPr>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 currency translation loss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(6,686)</w:t>
            </w:r>
          </w:p>
        </w:tc>
      </w:tr>
      <w:tr>
        <w:trPr>
          <w:trHeight w:val="209"/>
        </w:trPr>
        <w:tc>
          <w:tcPr>
            <w:tcW w:w="54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Reclassification adjustments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4"/>
        </w:trPr>
        <w:tc>
          <w:tcPr>
            <w:tcW w:w="5480" w:type="dxa"/>
            <w:vAlign w:val="bottom"/>
            <w:shd w:val="clear" w:color="auto" w:fill="CCEEFF"/>
          </w:tcPr>
          <w:p>
            <w:pPr>
              <w:ind w:left="340"/>
              <w:spacing w:after="0" w:line="224" w:lineRule="exact"/>
              <w:rPr>
                <w:sz w:val="20"/>
                <w:szCs w:val="20"/>
                <w:color w:val="auto"/>
              </w:rPr>
            </w:pPr>
            <w:r>
              <w:rPr>
                <w:rFonts w:ascii="Times New Roman" w:cs="Times New Roman" w:eastAsia="Times New Roman" w:hAnsi="Times New Roman"/>
                <w:sz w:val="16"/>
                <w:szCs w:val="16"/>
                <w:color w:val="auto"/>
              </w:rPr>
              <w:t>Gain on cash flow hedges</w:t>
            </w:r>
            <w:r>
              <w:rPr>
                <w:rFonts w:ascii="Times New Roman" w:cs="Times New Roman" w:eastAsia="Times New Roman" w:hAnsi="Times New Roman"/>
                <w:sz w:val="20"/>
                <w:szCs w:val="20"/>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(5,695)</w:t>
            </w:r>
          </w:p>
        </w:tc>
      </w:tr>
      <w:tr>
        <w:trPr>
          <w:trHeight w:val="223"/>
        </w:trPr>
        <w:tc>
          <w:tcPr>
            <w:tcW w:w="5480" w:type="dxa"/>
            <w:vAlign w:val="bottom"/>
          </w:tcPr>
          <w:p>
            <w:pPr>
              <w:ind w:left="340"/>
              <w:spacing w:after="0" w:line="223" w:lineRule="exact"/>
              <w:rPr>
                <w:sz w:val="20"/>
                <w:szCs w:val="20"/>
                <w:color w:val="auto"/>
              </w:rPr>
            </w:pPr>
            <w:r>
              <w:rPr>
                <w:rFonts w:ascii="Times New Roman" w:cs="Times New Roman" w:eastAsia="Times New Roman" w:hAnsi="Times New Roman"/>
                <w:sz w:val="16"/>
                <w:szCs w:val="16"/>
                <w:color w:val="auto"/>
              </w:rPr>
              <w:t>Retirement benefits</w:t>
            </w:r>
            <w:r>
              <w:rPr>
                <w:rFonts w:ascii="Times New Roman" w:cs="Times New Roman" w:eastAsia="Times New Roman" w:hAnsi="Times New Roman"/>
                <w:sz w:val="20"/>
                <w:szCs w:val="20"/>
                <w:color w:val="auto"/>
                <w:vertAlign w:val="superscript"/>
              </w:rPr>
              <w:t>(2)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w:t>
            </w:r>
          </w:p>
        </w:tc>
      </w:tr>
      <w:tr>
        <w:trPr>
          <w:trHeight w:val="223"/>
        </w:trPr>
        <w:tc>
          <w:tcPr>
            <w:tcW w:w="548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6"/>
                <w:szCs w:val="16"/>
                <w:b w:val="1"/>
                <w:bCs w:val="1"/>
                <w:color w:val="auto"/>
              </w:rPr>
              <w:t>Income tax effects relating to above</w:t>
            </w:r>
            <w:r>
              <w:rPr>
                <w:rFonts w:ascii="Times New Roman" w:cs="Times New Roman" w:eastAsia="Times New Roman" w:hAnsi="Times New Roman"/>
                <w:sz w:val="20"/>
                <w:szCs w:val="20"/>
                <w:b w:val="1"/>
                <w:bCs w:val="1"/>
                <w:color w:val="auto"/>
                <w:vertAlign w:val="superscript"/>
              </w:rPr>
              <w:t>(3)</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1,702</w:t>
            </w:r>
          </w:p>
        </w:tc>
      </w:tr>
      <w:tr>
        <w:trPr>
          <w:trHeight w:val="216"/>
        </w:trPr>
        <w:tc>
          <w:tcPr>
            <w:tcW w:w="5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Total other comprehensive income/(loss)</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(35,068)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(7,992)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(43,900)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(11,761)</w:t>
            </w:r>
          </w:p>
        </w:tc>
      </w:tr>
      <w:tr>
        <w:trPr>
          <w:trHeight w:val="241"/>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778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20,029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28,124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48,191</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60" w:hanging="555"/>
        <w:spacing w:after="0" w:line="271" w:lineRule="auto"/>
        <w:tabs>
          <w:tab w:leader="none" w:pos="552"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6"/>
          <w:szCs w:val="16"/>
          <w:i w:val="1"/>
          <w:iCs w:val="1"/>
          <w:color w:val="auto"/>
        </w:rPr>
        <w:t>These are reclassified to net income and are included in cost of revenues and operating expenses, as applicable in the unaudited consolidated statements of income. Refer to Note 16 - Derivatives and Hedge Accounting to the unaudited consolidated financial statements.</w:t>
      </w:r>
    </w:p>
    <w:p>
      <w:pPr>
        <w:spacing w:after="0" w:line="187" w:lineRule="exact"/>
        <w:rPr>
          <w:rFonts w:ascii="Times New Roman" w:cs="Times New Roman" w:eastAsia="Times New Roman" w:hAnsi="Times New Roman"/>
          <w:sz w:val="14"/>
          <w:szCs w:val="14"/>
          <w:i w:val="1"/>
          <w:iCs w:val="1"/>
          <w:color w:val="auto"/>
        </w:rPr>
      </w:pPr>
    </w:p>
    <w:p>
      <w:pPr>
        <w:ind w:left="560" w:hanging="555"/>
        <w:spacing w:after="0" w:line="253" w:lineRule="auto"/>
        <w:tabs>
          <w:tab w:leader="none" w:pos="55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i w:val="1"/>
          <w:iCs w:val="1"/>
          <w:color w:val="auto"/>
        </w:rPr>
        <w:t>These are reclassified to net income and are included in other income/(loss), net in the unaudited consolidated statements of income. Refer to Note 19 - Employee Benefit Plans to the unaudited consolidated financial statements.</w:t>
      </w:r>
    </w:p>
    <w:p>
      <w:pPr>
        <w:spacing w:after="0" w:line="202" w:lineRule="exact"/>
        <w:rPr>
          <w:rFonts w:ascii="Times New Roman" w:cs="Times New Roman" w:eastAsia="Times New Roman" w:hAnsi="Times New Roman"/>
          <w:sz w:val="14"/>
          <w:szCs w:val="14"/>
          <w:color w:val="auto"/>
        </w:rPr>
      </w:pPr>
    </w:p>
    <w:p>
      <w:pPr>
        <w:ind w:left="560" w:hanging="555"/>
        <w:spacing w:after="0" w:line="271" w:lineRule="auto"/>
        <w:tabs>
          <w:tab w:leader="none" w:pos="552"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6"/>
          <w:szCs w:val="16"/>
          <w:i w:val="1"/>
          <w:iCs w:val="1"/>
          <w:color w:val="auto"/>
        </w:rPr>
        <w:t>These are income tax effects recognized on cash flow hedges, retirement benefits and foreign currency translation gains/(losses). Refer to Note 21 - Income Taxes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1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11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CONSOLIDATED STATEMENTS OF EQUITY (UNAUDITED)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three months ended June 30, 2022 and 2021</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count)</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00" w:type="dxa"/>
            <w:vAlign w:val="bottom"/>
            <w:gridSpan w:val="8"/>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3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0" w:type="dxa"/>
            <w:vAlign w:val="bottom"/>
            <w:gridSpan w:val="5"/>
            <w:vMerge w:val="continue"/>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4"/>
            <w:vMerge w:val="restart"/>
          </w:tcPr>
          <w:p>
            <w:pPr>
              <w:ind w:left="40"/>
              <w:spacing w:after="0" w:line="143"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4"/>
            <w:vMerge w:val="restart"/>
          </w:tcPr>
          <w:p>
            <w:pPr>
              <w:jc w:val="center"/>
              <w:ind w:right="54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0" w:type="dxa"/>
            <w:vAlign w:val="bottom"/>
            <w:gridSpan w:val="8"/>
            <w:vMerge w:val="continue"/>
          </w:tcPr>
          <w:p>
            <w:pPr>
              <w:spacing w:after="0"/>
              <w:rPr>
                <w:sz w:val="6"/>
                <w:szCs w:val="6"/>
                <w:color w:val="auto"/>
              </w:rPr>
            </w:pPr>
          </w:p>
        </w:tc>
        <w:tc>
          <w:tcPr>
            <w:tcW w:w="9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64"/>
        </w:trPr>
        <w:tc>
          <w:tcPr>
            <w:tcW w:w="304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restart"/>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304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gridSpan w:val="2"/>
            <w:vMerge w:val="restart"/>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04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4"/>
            <w:vMerge w:val="continue"/>
          </w:tcPr>
          <w:p>
            <w:pPr>
              <w:spacing w:after="0"/>
              <w:rPr>
                <w:sz w:val="7"/>
                <w:szCs w:val="7"/>
                <w:color w:val="auto"/>
              </w:rPr>
            </w:pPr>
          </w:p>
        </w:tc>
        <w:tc>
          <w:tcPr>
            <w:tcW w:w="160" w:type="dxa"/>
            <w:vAlign w:val="bottom"/>
            <w:tcBorders>
              <w:bottom w:val="single" w:sz="8" w:color="auto"/>
            </w:tcBorders>
            <w:gridSpan w:val="2"/>
            <w:vMerge w:val="continue"/>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304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340" w:type="dxa"/>
            <w:vAlign w:val="bottom"/>
            <w:gridSpan w:val="6"/>
            <w:vMerge w:val="restart"/>
          </w:tcPr>
          <w:p>
            <w:pPr>
              <w:jc w:val="center"/>
              <w:ind w:right="400"/>
              <w:spacing w:after="0" w:line="151" w:lineRule="exact"/>
              <w:rPr>
                <w:sz w:val="20"/>
                <w:szCs w:val="20"/>
                <w:color w:val="auto"/>
              </w:rPr>
            </w:pPr>
            <w:r>
              <w:rPr>
                <w:rFonts w:ascii="Times New Roman" w:cs="Times New Roman" w:eastAsia="Times New Roman" w:hAnsi="Times New Roman"/>
                <w:sz w:val="14"/>
                <w:szCs w:val="14"/>
                <w:b w:val="1"/>
                <w:bCs w:val="1"/>
                <w:color w:val="auto"/>
              </w:rPr>
              <w:t>Income/(Loss)</w:t>
            </w:r>
          </w:p>
        </w:tc>
        <w:tc>
          <w:tcPr>
            <w:tcW w:w="9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304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340" w:type="dxa"/>
            <w:vAlign w:val="bottom"/>
            <w:gridSpan w:val="6"/>
            <w:vMerge w:val="continue"/>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304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0"/>
        </w:trPr>
        <w:tc>
          <w:tcPr>
            <w:tcW w:w="30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39,794,154</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40</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406,966</w:t>
            </w:r>
          </w:p>
        </w:tc>
        <w:tc>
          <w:tcPr>
            <w:tcW w:w="12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792,315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(98,306)</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(6,465,410)</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(400,674)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700,341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 issued against stock-based compensation plans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4"/>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4"/>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(205,716)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(28,806)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(28,806)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(35,068)</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(35,068)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35,846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4"/>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35,846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1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2022</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39,795,161</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420,306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828,161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(133,374)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(6,671,126)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(429,480)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685,653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2"/>
        </w:trPr>
        <w:tc>
          <w:tcPr>
            <w:tcW w:w="3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5"/>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0" w:type="dxa"/>
            <w:vAlign w:val="bottom"/>
            <w:gridSpan w:val="8"/>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3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gridSpan w:val="5"/>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4"/>
            <w:vMerge w:val="restart"/>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Additional Paid-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3"/>
            <w:vMerge w:val="restart"/>
          </w:tcPr>
          <w:p>
            <w:pPr>
              <w:jc w:val="right"/>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vMerge w:val="restart"/>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0" w:type="dxa"/>
            <w:vAlign w:val="bottom"/>
            <w:gridSpan w:val="8"/>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24"/>
        </w:trPr>
        <w:tc>
          <w:tcPr>
            <w:tcW w:w="30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4"/>
            <w:vMerge w:val="continue"/>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0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restart"/>
          </w:tcPr>
          <w:p>
            <w:pPr>
              <w:jc w:val="center"/>
              <w:ind w:right="220"/>
              <w:spacing w:after="0" w:line="133" w:lineRule="exact"/>
              <w:rPr>
                <w:sz w:val="20"/>
                <w:szCs w:val="20"/>
                <w:color w:val="auto"/>
              </w:rPr>
            </w:pPr>
            <w:r>
              <w:rPr>
                <w:rFonts w:ascii="Times New Roman" w:cs="Times New Roman" w:eastAsia="Times New Roman" w:hAnsi="Times New Roman"/>
                <w:sz w:val="14"/>
                <w:szCs w:val="14"/>
                <w:b w:val="1"/>
                <w:bCs w:val="1"/>
                <w:color w:val="auto"/>
              </w:rPr>
              <w:t>in Capital</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3"/>
            <w:vMerge w:val="restart"/>
          </w:tcPr>
          <w:p>
            <w:pPr>
              <w:jc w:val="right"/>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4"/>
            <w:vMerge w:val="restart"/>
          </w:tcPr>
          <w:p>
            <w:pPr>
              <w:jc w:val="center"/>
              <w:ind w:right="220"/>
              <w:spacing w:after="0" w:line="13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0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4"/>
            <w:vMerge w:val="continue"/>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
        </w:trPr>
        <w:tc>
          <w:tcPr>
            <w:tcW w:w="304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Income/(Loss)</w:t>
            </w: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3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4"/>
            <w:vMerge w:val="continue"/>
          </w:tcPr>
          <w:p>
            <w:pPr>
              <w:spacing w:after="0"/>
              <w:rPr>
                <w:sz w:val="11"/>
                <w:szCs w:val="11"/>
                <w:color w:val="auto"/>
              </w:rPr>
            </w:pPr>
          </w:p>
        </w:tc>
        <w:tc>
          <w:tcPr>
            <w:tcW w:w="90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304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30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3"/>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3"/>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2021</w:t>
            </w: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39,273,989</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w:t>
            </w: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428,882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673,310</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(78,753)</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(5,747,100)</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(297,253)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726,225</w:t>
            </w:r>
          </w:p>
        </w:tc>
        <w:tc>
          <w:tcPr>
            <w:tcW w:w="0" w:type="dxa"/>
            <w:vAlign w:val="bottom"/>
          </w:tcPr>
          <w:p>
            <w:pPr>
              <w:spacing w:after="0"/>
              <w:rPr>
                <w:sz w:val="1"/>
                <w:szCs w:val="1"/>
                <w:color w:val="auto"/>
              </w:rPr>
            </w:pPr>
          </w:p>
        </w:tc>
      </w:tr>
      <w:tr>
        <w:trPr>
          <w:trHeight w:val="19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 issued against stock-based compensation plans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4"/>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204"/>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10,070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4"/>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10,070</w:t>
            </w:r>
          </w:p>
        </w:tc>
        <w:tc>
          <w:tcPr>
            <w:tcW w:w="0" w:type="dxa"/>
            <w:vAlign w:val="bottom"/>
          </w:tcPr>
          <w:p>
            <w:pPr>
              <w:spacing w:after="0"/>
              <w:rPr>
                <w:sz w:val="1"/>
                <w:szCs w:val="1"/>
                <w:color w:val="auto"/>
              </w:rPr>
            </w:pPr>
          </w:p>
        </w:tc>
      </w:tr>
      <w:tr>
        <w:trPr>
          <w:trHeight w:val="19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4"/>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(287,044)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(28,409)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(28,409)</w:t>
            </w:r>
          </w:p>
        </w:tc>
        <w:tc>
          <w:tcPr>
            <w:tcW w:w="0" w:type="dxa"/>
            <w:vAlign w:val="bottom"/>
          </w:tcPr>
          <w:p>
            <w:pPr>
              <w:spacing w:after="0"/>
              <w:rPr>
                <w:sz w:val="1"/>
                <w:szCs w:val="1"/>
                <w:color w:val="auto"/>
              </w:rPr>
            </w:pPr>
          </w:p>
        </w:tc>
      </w:tr>
      <w:tr>
        <w:trPr>
          <w:trHeight w:val="204"/>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(7,992)</w:t>
            </w:r>
          </w:p>
        </w:tc>
        <w:tc>
          <w:tcPr>
            <w:tcW w:w="1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(7,992)</w:t>
            </w:r>
          </w:p>
        </w:tc>
        <w:tc>
          <w:tcPr>
            <w:tcW w:w="0" w:type="dxa"/>
            <w:vAlign w:val="bottom"/>
          </w:tcPr>
          <w:p>
            <w:pPr>
              <w:spacing w:after="0"/>
              <w:rPr>
                <w:sz w:val="1"/>
                <w:szCs w:val="1"/>
                <w:color w:val="auto"/>
              </w:rPr>
            </w:pPr>
          </w:p>
        </w:tc>
      </w:tr>
      <w:tr>
        <w:trPr>
          <w:trHeight w:val="190"/>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28,021</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28,021</w:t>
            </w:r>
          </w:p>
        </w:tc>
        <w:tc>
          <w:tcPr>
            <w:tcW w:w="0" w:type="dxa"/>
            <w:vAlign w:val="bottom"/>
          </w:tcPr>
          <w:p>
            <w:pPr>
              <w:spacing w:after="0"/>
              <w:rPr>
                <w:sz w:val="1"/>
                <w:szCs w:val="1"/>
                <w:color w:val="auto"/>
              </w:rPr>
            </w:pPr>
          </w:p>
        </w:tc>
      </w:tr>
      <w:tr>
        <w:trPr>
          <w:trHeight w:val="217"/>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39,283,853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w:t>
            </w: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439,051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701,331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(86,745)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(6,034,144)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(325,662)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728,014</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11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CONSOLIDATED STATEMENTS OF EQUITY (UNAUDITED)</w:t>
      </w:r>
    </w:p>
    <w:p>
      <w:pPr>
        <w:spacing w:after="0" w:line="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For the six months ended June 30, 2022 and 2021</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(In thousands, except share count)</w:t>
      </w:r>
    </w:p>
    <w:p>
      <w:pPr>
        <w:spacing w:after="0" w:line="318"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18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19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66"/>
        </w:trPr>
        <w:tc>
          <w:tcPr>
            <w:tcW w:w="30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restart"/>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30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3080" w:type="dxa"/>
            <w:vAlign w:val="bottom"/>
          </w:tcPr>
          <w:p>
            <w:pPr>
              <w:spacing w:after="0"/>
              <w:rPr>
                <w:sz w:val="9"/>
                <w:szCs w:val="9"/>
                <w:color w:val="auto"/>
              </w:rPr>
            </w:pPr>
          </w:p>
        </w:tc>
        <w:tc>
          <w:tcPr>
            <w:tcW w:w="1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9"/>
                <w:szCs w:val="9"/>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0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9"/>
                <w:szCs w:val="9"/>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08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308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January 1, 2022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39,508,340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395,742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756,137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(89,474)</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(6,216,858)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(369,289)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693,156</w:t>
            </w:r>
          </w:p>
        </w:tc>
        <w:tc>
          <w:tcPr>
            <w:tcW w:w="0" w:type="dxa"/>
            <w:vAlign w:val="bottom"/>
          </w:tcPr>
          <w:p>
            <w:pPr>
              <w:spacing w:after="0"/>
              <w:rPr>
                <w:sz w:val="1"/>
                <w:szCs w:val="1"/>
                <w:color w:val="auto"/>
              </w:rPr>
            </w:pPr>
          </w:p>
        </w:tc>
      </w:tr>
      <w:tr>
        <w:trPr>
          <w:trHeight w:val="190"/>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Stock issued against stock-based compensation plans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286,821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24,564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24,564</w:t>
            </w:r>
          </w:p>
        </w:tc>
        <w:tc>
          <w:tcPr>
            <w:tcW w:w="0" w:type="dxa"/>
            <w:vAlign w:val="bottom"/>
          </w:tcPr>
          <w:p>
            <w:pPr>
              <w:spacing w:after="0"/>
              <w:rPr>
                <w:sz w:val="1"/>
                <w:szCs w:val="1"/>
                <w:color w:val="auto"/>
              </w:rPr>
            </w:pPr>
          </w:p>
        </w:tc>
      </w:tr>
      <w:tr>
        <w:trPr>
          <w:trHeight w:val="190"/>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(454,268)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(60,191)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(60,191)</w:t>
            </w:r>
          </w:p>
        </w:tc>
        <w:tc>
          <w:tcPr>
            <w:tcW w:w="0" w:type="dxa"/>
            <w:vAlign w:val="bottom"/>
          </w:tcPr>
          <w:p>
            <w:pPr>
              <w:spacing w:after="0"/>
              <w:rPr>
                <w:sz w:val="1"/>
                <w:szCs w:val="1"/>
                <w:color w:val="auto"/>
              </w:rPr>
            </w:pPr>
          </w:p>
        </w:tc>
      </w:tr>
      <w:tr>
        <w:trPr>
          <w:trHeight w:val="20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(43,900)</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(43,900)</w:t>
            </w:r>
          </w:p>
        </w:tc>
        <w:tc>
          <w:tcPr>
            <w:tcW w:w="0" w:type="dxa"/>
            <w:vAlign w:val="bottom"/>
          </w:tcPr>
          <w:p>
            <w:pPr>
              <w:spacing w:after="0"/>
              <w:rPr>
                <w:sz w:val="1"/>
                <w:szCs w:val="1"/>
                <w:color w:val="auto"/>
              </w:rPr>
            </w:pPr>
          </w:p>
        </w:tc>
      </w:tr>
      <w:tr>
        <w:trPr>
          <w:trHeight w:val="190"/>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72,024</w:t>
            </w:r>
          </w:p>
        </w:tc>
        <w:tc>
          <w:tcPr>
            <w:tcW w:w="0" w:type="dxa"/>
            <w:vAlign w:val="bottom"/>
          </w:tcPr>
          <w:p>
            <w:pPr>
              <w:spacing w:after="0"/>
              <w:rPr>
                <w:sz w:val="1"/>
                <w:szCs w:val="1"/>
                <w:color w:val="auto"/>
              </w:rPr>
            </w:pPr>
          </w:p>
        </w:tc>
      </w:tr>
      <w:tr>
        <w:trPr>
          <w:trHeight w:val="222"/>
        </w:trPr>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June 30, 2022</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39,795,161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420,306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828,161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(133,374)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(6,671,126)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(429,480)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685,653</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00" w:type="dxa"/>
        <w:tblCellMar>
          <w:top w:w="0" w:type="dxa"/>
          <w:left w:w="0" w:type="dxa"/>
          <w:bottom w:w="0" w:type="dxa"/>
          <w:right w:w="0" w:type="dxa"/>
        </w:tblCellMar>
      </w:tblPr>
      <w:tr>
        <w:trPr>
          <w:trHeight w:val="169"/>
        </w:trPr>
        <w:tc>
          <w:tcPr>
            <w:tcW w:w="2760" w:type="dxa"/>
            <w:vAlign w:val="bottom"/>
          </w:tcPr>
          <w:p>
            <w:pPr>
              <w:spacing w:after="0"/>
              <w:rPr>
                <w:sz w:val="14"/>
                <w:szCs w:val="14"/>
                <w:color w:val="auto"/>
              </w:rPr>
            </w:pPr>
          </w:p>
        </w:tc>
        <w:tc>
          <w:tcPr>
            <w:tcW w:w="18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19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27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restart"/>
          </w:tcPr>
          <w:p>
            <w:pPr>
              <w:jc w:val="center"/>
              <w:ind w:right="240"/>
              <w:spacing w:after="0" w:line="113"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restart"/>
          </w:tcPr>
          <w:p>
            <w:pPr>
              <w:jc w:val="right"/>
              <w:ind w:right="91"/>
              <w:spacing w:after="0" w:line="113" w:lineRule="exact"/>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47"/>
        </w:trPr>
        <w:tc>
          <w:tcPr>
            <w:tcW w:w="276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Pr>
          <w:p>
            <w:pPr>
              <w:spacing w:after="0"/>
              <w:rPr>
                <w:sz w:val="4"/>
                <w:szCs w:val="4"/>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760" w:type="dxa"/>
            <w:vAlign w:val="bottom"/>
          </w:tcPr>
          <w:p>
            <w:pPr>
              <w:spacing w:after="0"/>
              <w:rPr>
                <w:sz w:val="10"/>
                <w:szCs w:val="10"/>
                <w:color w:val="auto"/>
              </w:rPr>
            </w:pPr>
          </w:p>
        </w:tc>
        <w:tc>
          <w:tcPr>
            <w:tcW w:w="1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0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76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76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38,968,052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420,976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641,379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(74,984)</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(5,408,618)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(268,238)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719,172</w:t>
            </w:r>
          </w:p>
        </w:tc>
        <w:tc>
          <w:tcPr>
            <w:tcW w:w="0" w:type="dxa"/>
            <w:vAlign w:val="bottom"/>
          </w:tcPr>
          <w:p>
            <w:pPr>
              <w:spacing w:after="0"/>
              <w:rPr>
                <w:sz w:val="1"/>
                <w:szCs w:val="1"/>
                <w:color w:val="auto"/>
              </w:rPr>
            </w:pPr>
          </w:p>
        </w:tc>
      </w:tr>
      <w:tr>
        <w:trPr>
          <w:trHeight w:val="131"/>
        </w:trPr>
        <w:tc>
          <w:tcPr>
            <w:tcW w:w="276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color w:val="auto"/>
              </w:rPr>
              <w:t>Stock issued against stock-based compensation</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315,801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26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17,902</w:t>
            </w: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(625,526)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(57,424)</w:t>
            </w:r>
          </w:p>
        </w:tc>
        <w:tc>
          <w:tcPr>
            <w:tcW w:w="0" w:type="dxa"/>
            <w:vAlign w:val="bottom"/>
          </w:tcPr>
          <w:p>
            <w:pPr>
              <w:spacing w:after="0"/>
              <w:rPr>
                <w:sz w:val="1"/>
                <w:szCs w:val="1"/>
                <w:color w:val="auto"/>
              </w:rPr>
            </w:pPr>
          </w:p>
        </w:tc>
      </w:tr>
      <w:tr>
        <w:trPr>
          <w:trHeight w:val="204"/>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(11,761)</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(11,761)</w:t>
            </w: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59,952</w:t>
            </w:r>
          </w:p>
        </w:tc>
        <w:tc>
          <w:tcPr>
            <w:tcW w:w="0" w:type="dxa"/>
            <w:vAlign w:val="bottom"/>
          </w:tcPr>
          <w:p>
            <w:pPr>
              <w:spacing w:after="0"/>
              <w:rPr>
                <w:sz w:val="1"/>
                <w:szCs w:val="1"/>
                <w:color w:val="auto"/>
              </w:rPr>
            </w:pPr>
          </w:p>
        </w:tc>
      </w:tr>
      <w:tr>
        <w:trPr>
          <w:trHeight w:val="222"/>
        </w:trPr>
        <w:tc>
          <w:tcPr>
            <w:tcW w:w="2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39,283,853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439,051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701,331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(86,745)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(6,034,144)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(325,662)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728,014</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355"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(UNAUDITED)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2900" w:type="dxa"/>
            <w:vAlign w:val="bottom"/>
            <w:gridSpan w:val="4"/>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40" w:type="dxa"/>
            <w:vAlign w:val="bottom"/>
          </w:tcPr>
          <w:p>
            <w:pPr>
              <w:spacing w:after="0"/>
              <w:rPr>
                <w:sz w:val="16"/>
                <w:szCs w:val="16"/>
                <w:color w:val="auto"/>
              </w:rPr>
            </w:pPr>
          </w:p>
        </w:tc>
      </w:tr>
      <w:tr>
        <w:trPr>
          <w:trHeight w:val="24"/>
        </w:trPr>
        <w:tc>
          <w:tcPr>
            <w:tcW w:w="77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4"/>
        </w:trPr>
        <w:tc>
          <w:tcPr>
            <w:tcW w:w="77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r>
      <w:tr>
        <w:trPr>
          <w:trHeight w:val="18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9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72,024</w:t>
            </w:r>
          </w:p>
        </w:tc>
        <w:tc>
          <w:tcPr>
            <w:tcW w:w="100" w:type="dxa"/>
            <w:vAlign w:val="bottom"/>
          </w:tcPr>
          <w:p>
            <w:pPr>
              <w:spacing w:after="0"/>
              <w:rPr>
                <w:sz w:val="16"/>
                <w:szCs w:val="16"/>
                <w:color w:val="auto"/>
              </w:rPr>
            </w:pP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59,952</w:t>
            </w:r>
          </w:p>
        </w:tc>
      </w:tr>
      <w:tr>
        <w:trPr>
          <w:trHeight w:val="204"/>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0"/>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27,739</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24,734</w:t>
            </w:r>
          </w:p>
        </w:tc>
      </w:tr>
      <w:tr>
        <w:trPr>
          <w:trHeight w:val="204"/>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24,564</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17,902</w:t>
            </w:r>
          </w:p>
        </w:tc>
      </w:tr>
      <w:tr>
        <w:trPr>
          <w:trHeight w:val="190"/>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Amortization of operating lease right-of-use assets</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12,005</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13,632</w:t>
            </w:r>
          </w:p>
        </w:tc>
      </w:tr>
      <w:tr>
        <w:trPr>
          <w:trHeight w:val="204"/>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Unrealized (gain)/loss on short term investments</w:t>
            </w: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6,777</w:t>
            </w:r>
          </w:p>
        </w:tc>
      </w:tr>
      <w:tr>
        <w:trPr>
          <w:trHeight w:val="190"/>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Unrealized foreign currency exchange gain, net</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(2,634)</w:t>
            </w:r>
          </w:p>
        </w:tc>
      </w:tr>
      <w:tr>
        <w:trPr>
          <w:trHeight w:val="204"/>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income tax benefit</w:t>
            </w: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(14,737)</w:t>
            </w:r>
          </w:p>
        </w:tc>
      </w:tr>
      <w:tr>
        <w:trPr>
          <w:trHeight w:val="190"/>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Allowance / (reversal) of expected credit losses</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r>
      <w:tr>
        <w:trPr>
          <w:trHeight w:val="204"/>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Fair value changes in contingent consideration</w:t>
            </w: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(Gain)/loss from equity-method investment</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04"/>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Amortization of non-cash interest expense related to convertible senior notes</w:t>
            </w:r>
          </w:p>
        </w:tc>
        <w:tc>
          <w:tcPr>
            <w:tcW w:w="1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w:t>
            </w:r>
          </w:p>
        </w:tc>
      </w:tr>
      <w:tr>
        <w:trPr>
          <w:trHeight w:val="190"/>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Others, net</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204"/>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operating assets and liabilities, net of effects of acquisitions:</w:t>
            </w: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0"/>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(46,385)</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(34,152)</w:t>
            </w:r>
          </w:p>
        </w:tc>
      </w:tr>
      <w:tr>
        <w:trPr>
          <w:trHeight w:val="204"/>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r>
      <w:tr>
        <w:trPr>
          <w:trHeight w:val="190"/>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Advance income tax, net</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8,684</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04"/>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assets</w:t>
            </w: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(6,584)</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w:t>
            </w:r>
          </w:p>
        </w:tc>
      </w:tr>
      <w:tr>
        <w:trPr>
          <w:trHeight w:val="190"/>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(2,458)</w:t>
            </w:r>
          </w:p>
        </w:tc>
      </w:tr>
      <w:tr>
        <w:trPr>
          <w:trHeight w:val="204"/>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revenue</w:t>
            </w: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(20,832)</w:t>
            </w:r>
          </w:p>
        </w:tc>
      </w:tr>
      <w:tr>
        <w:trPr>
          <w:trHeight w:val="190"/>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employee costs</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(34,016)</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3,833</w:t>
            </w:r>
          </w:p>
        </w:tc>
      </w:tr>
      <w:tr>
        <w:trPr>
          <w:trHeight w:val="204"/>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12,290</w:t>
            </w:r>
          </w:p>
        </w:tc>
      </w:tr>
      <w:tr>
        <w:trPr>
          <w:trHeight w:val="190"/>
        </w:trPr>
        <w:tc>
          <w:tcPr>
            <w:tcW w:w="7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(11,922)</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(13,327)</w:t>
            </w:r>
          </w:p>
        </w:tc>
      </w:tr>
      <w:tr>
        <w:trPr>
          <w:trHeight w:val="19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53,008</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53,943</w:t>
            </w:r>
          </w:p>
        </w:tc>
      </w:tr>
      <w:tr>
        <w:trPr>
          <w:trHeight w:val="32"/>
        </w:trPr>
        <w:tc>
          <w:tcPr>
            <w:tcW w:w="7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0"/>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(25,054)</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(19,903)</w:t>
            </w:r>
          </w:p>
        </w:tc>
      </w:tr>
      <w:tr>
        <w:trPr>
          <w:trHeight w:val="204"/>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r>
      <w:tr>
        <w:trPr>
          <w:trHeight w:val="190"/>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Business acquisition (net of cash and cash equivalents acquired)</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(2,572)</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Purchases of investments</w:t>
            </w: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(96,082)</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(32,987)</w:t>
            </w:r>
          </w:p>
        </w:tc>
      </w:tr>
      <w:tr>
        <w:trPr>
          <w:trHeight w:val="190"/>
        </w:trPr>
        <w:tc>
          <w:tcPr>
            <w:tcW w:w="7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Proceeds from redemption of investments</w:t>
            </w:r>
          </w:p>
        </w:tc>
        <w:tc>
          <w:tcPr>
            <w:tcW w:w="1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82,567</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64,031</w:t>
            </w:r>
          </w:p>
        </w:tc>
      </w:tr>
      <w:tr>
        <w:trPr>
          <w:trHeight w:val="19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for)/provided by investing activities</w:t>
            </w:r>
          </w:p>
        </w:tc>
        <w:tc>
          <w:tcPr>
            <w:tcW w:w="1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(40,987)</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11,668</w:t>
            </w:r>
          </w:p>
        </w:tc>
      </w:tr>
      <w:tr>
        <w:trPr>
          <w:trHeight w:val="32"/>
        </w:trPr>
        <w:tc>
          <w:tcPr>
            <w:tcW w:w="7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0"/>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Principal payments of finance lease liabilities</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204"/>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borrowings</w:t>
            </w: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r>
      <w:tr>
        <w:trPr>
          <w:trHeight w:val="190"/>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Repayments of borrowings</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(99,000)</w:t>
            </w:r>
          </w:p>
        </w:tc>
      </w:tr>
      <w:tr>
        <w:trPr>
          <w:trHeight w:val="204"/>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(60,191)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(57,424)</w:t>
            </w:r>
          </w:p>
        </w:tc>
      </w:tr>
      <w:tr>
        <w:trPr>
          <w:trHeight w:val="190"/>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1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197"/>
        </w:trPr>
        <w:tc>
          <w:tcPr>
            <w:tcW w:w="7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for financing activities</w:t>
            </w:r>
          </w:p>
        </w:tc>
        <w:tc>
          <w:tcPr>
            <w:tcW w:w="11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(35,266)</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(131,357)</w:t>
            </w:r>
          </w:p>
        </w:tc>
      </w:tr>
      <w:tr>
        <w:trPr>
          <w:trHeight w:val="183"/>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1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(5,365)</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(2,237)</w:t>
            </w:r>
          </w:p>
        </w:tc>
      </w:tr>
      <w:tr>
        <w:trPr>
          <w:trHeight w:val="19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(28,610)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(67,983)</w:t>
            </w:r>
          </w:p>
        </w:tc>
      </w:tr>
      <w:tr>
        <w:trPr>
          <w:trHeight w:val="19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the beginning of the period</w:t>
            </w:r>
          </w:p>
        </w:tc>
        <w:tc>
          <w:tcPr>
            <w:tcW w:w="1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143,810</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225,519</w:t>
            </w:r>
          </w:p>
        </w:tc>
      </w:tr>
      <w:tr>
        <w:trPr>
          <w:trHeight w:val="19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the end of the period</w:t>
            </w:r>
          </w:p>
        </w:tc>
        <w:tc>
          <w:tcPr>
            <w:tcW w:w="110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115,200</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157,536</w:t>
            </w:r>
          </w:p>
        </w:tc>
      </w:tr>
      <w:tr>
        <w:trPr>
          <w:trHeight w:val="32"/>
        </w:trPr>
        <w:tc>
          <w:tcPr>
            <w:tcW w:w="7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4"/>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110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2,694</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3,599</w:t>
            </w:r>
          </w:p>
        </w:tc>
      </w:tr>
      <w:tr>
        <w:trPr>
          <w:trHeight w:val="19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net of refunds</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14,301</w:t>
            </w:r>
          </w:p>
        </w:tc>
        <w:tc>
          <w:tcPr>
            <w:tcW w:w="100" w:type="dxa"/>
            <w:vAlign w:val="bottom"/>
          </w:tcPr>
          <w:p>
            <w:pPr>
              <w:spacing w:after="0"/>
              <w:rPr>
                <w:sz w:val="16"/>
                <w:szCs w:val="16"/>
                <w:color w:val="auto"/>
              </w:rPr>
            </w:pP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18,710</w:t>
            </w:r>
          </w:p>
        </w:tc>
      </w:tr>
      <w:tr>
        <w:trPr>
          <w:trHeight w:val="204"/>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3"/>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 acquired under finance lease</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5"/>
                <w:szCs w:val="15"/>
                <w:color w:val="auto"/>
              </w:rPr>
            </w:pP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bl>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11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w:t>
      </w:r>
    </w:p>
    <w:p>
      <w:pPr>
        <w:spacing w:after="0" w:line="239" w:lineRule="exact"/>
        <w:rPr>
          <w:sz w:val="20"/>
          <w:szCs w:val="20"/>
          <w:color w:val="auto"/>
        </w:rPr>
      </w:pPr>
    </w:p>
    <w:p>
      <w:pPr>
        <w:jc w:val="both"/>
        <w:ind w:firstLine="393"/>
        <w:spacing w:after="0" w:line="244" w:lineRule="auto"/>
        <w:rPr>
          <w:sz w:val="20"/>
          <w:szCs w:val="20"/>
          <w:color w:val="auto"/>
        </w:rPr>
      </w:pPr>
      <w:r>
        <w:rPr>
          <w:rFonts w:ascii="Times New Roman" w:cs="Times New Roman" w:eastAsia="Times New Roman" w:hAnsi="Times New Roman"/>
          <w:sz w:val="17"/>
          <w:szCs w:val="17"/>
          <w:color w:val="auto"/>
        </w:rPr>
        <w:t>ExlService Holdings, Inc. (“ExlService Holdings”) is organized as a corporation under the laws of the state of Delaware. ExlService Holdings, together with its subsidiaries and affiliates (collectively, the “Company”), is a leading data analytics and digital operations and solutions company that partners with clients to improve business outcomes and unlock growth. By bringing together deep domain expertise with robust data, powerful analytics, cloud, artificial intelligence and machine learning, the Company creates agile, scalable solutions and executes complex operations for the world’s leading corporations in industries including insurance, healthcare, banking and financial services, media, and retail, among others. The Company’s data-led value creation framework enables better and faster decision making, leveraging its end-to-end data and analytics capabilities to drive improved business outcomes, and re-designing of operating models to integrate advanced technology into operational workflows. The Company embeds digital operations and solutions into clients’ businesses and introduces its data led approach to transform operations. Accordingly, as the Company’s operations management services are now a part of its digital operations and solutions, they are referred to as “digital operations and solutions” herein; however, the Company has not changed the way in which it manages its business or its operating segments or segment reporting structure.</w:t>
      </w: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Company’s clients are located principally in the United States of America (“U.S.”) and the United Kingdom (“U.K.”).</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Basis of Preparation and Principles of Consolidation</w:t>
      </w:r>
    </w:p>
    <w:p>
      <w:pPr>
        <w:spacing w:after="0" w:line="241" w:lineRule="exact"/>
        <w:rPr>
          <w:sz w:val="20"/>
          <w:szCs w:val="20"/>
          <w:color w:val="auto"/>
        </w:rPr>
      </w:pPr>
    </w:p>
    <w:p>
      <w:pPr>
        <w:jc w:val="both"/>
        <w:ind w:firstLine="393"/>
        <w:spacing w:after="0" w:line="254" w:lineRule="auto"/>
        <w:rPr>
          <w:sz w:val="20"/>
          <w:szCs w:val="20"/>
          <w:color w:val="auto"/>
        </w:rPr>
      </w:pPr>
      <w:r>
        <w:rPr>
          <w:rFonts w:ascii="Times New Roman" w:cs="Times New Roman" w:eastAsia="Times New Roman" w:hAnsi="Times New Roman"/>
          <w:sz w:val="17"/>
          <w:szCs w:val="17"/>
          <w:color w:val="auto"/>
        </w:rPr>
        <w:t>The unaudited consolidated financial statements have been prepared in conformity with United States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2021.</w:t>
      </w:r>
    </w:p>
    <w:p>
      <w:pPr>
        <w:spacing w:after="0" w:line="195"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unaudited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162" w:lineRule="exact"/>
        <w:rPr>
          <w:sz w:val="20"/>
          <w:szCs w:val="20"/>
          <w:color w:val="auto"/>
        </w:rPr>
      </w:pPr>
    </w:p>
    <w:p>
      <w:pPr>
        <w:jc w:val="both"/>
        <w:ind w:firstLine="393"/>
        <w:spacing w:after="0" w:line="253"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include the financial statements of ExlService Holdings and all of its subsidiaries. The standalone financial statements of subsidiaries are fully consolidated on a line-by-line basis. Intra-group balances and transactions, and gains and losses arising from intra-group transactions, are eliminated while preparing consolidated financial statements.</w:t>
      </w:r>
    </w:p>
    <w:p>
      <w:pPr>
        <w:spacing w:after="0" w:line="195" w:lineRule="exact"/>
        <w:rPr>
          <w:sz w:val="20"/>
          <w:szCs w:val="20"/>
          <w:color w:val="auto"/>
        </w:rPr>
      </w:pPr>
    </w:p>
    <w:p>
      <w:pPr>
        <w:jc w:val="both"/>
        <w:ind w:firstLine="393"/>
        <w:spacing w:after="0" w:line="281" w:lineRule="auto"/>
        <w:rPr>
          <w:sz w:val="20"/>
          <w:szCs w:val="20"/>
          <w:color w:val="auto"/>
        </w:rPr>
      </w:pPr>
      <w:r>
        <w:rPr>
          <w:rFonts w:ascii="Times New Roman" w:cs="Times New Roman" w:eastAsia="Times New Roman" w:hAnsi="Times New Roman"/>
          <w:sz w:val="17"/>
          <w:szCs w:val="17"/>
          <w:color w:val="auto"/>
        </w:rPr>
        <w:t>Accounting policies of the respective individual subsidiary and associate are aligned wherever necessary, so as to ensure consistency with the accounting policies that are adopted by the Company under U.S. GAAP.</w:t>
      </w:r>
    </w:p>
    <w:p>
      <w:pPr>
        <w:spacing w:after="0" w:line="172" w:lineRule="exact"/>
        <w:rPr>
          <w:sz w:val="20"/>
          <w:szCs w:val="20"/>
          <w:color w:val="auto"/>
        </w:rPr>
      </w:pPr>
    </w:p>
    <w:p>
      <w:pPr>
        <w:jc w:val="both"/>
        <w:ind w:firstLine="315"/>
        <w:spacing w:after="0" w:line="261" w:lineRule="auto"/>
        <w:rPr>
          <w:sz w:val="20"/>
          <w:szCs w:val="20"/>
          <w:color w:val="auto"/>
        </w:rPr>
      </w:pPr>
      <w:r>
        <w:rPr>
          <w:rFonts w:ascii="Times New Roman" w:cs="Times New Roman" w:eastAsia="Times New Roman" w:hAnsi="Times New Roman"/>
          <w:sz w:val="17"/>
          <w:szCs w:val="17"/>
          <w:color w:val="auto"/>
        </w:rPr>
        <w:t>The Company’s investments in equity affiliates are initially recorded at cost and any excess purchase consideration paid over proportionate share of the fair value of the net assets of the investee at the acquisition date is recognized as goodwill. The proportionate share of net income or loss of the investee after its acquisition is recognized in the unaudited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 Investments</w:t>
      </w:r>
    </w:p>
    <w:p>
      <w:pPr>
        <w:spacing w:after="0" w:line="254" w:lineRule="exact"/>
        <w:rPr>
          <w:sz w:val="20"/>
          <w:szCs w:val="20"/>
          <w:color w:val="auto"/>
        </w:rPr>
      </w:pPr>
    </w:p>
    <w:p>
      <w:pPr>
        <w:jc w:val="both"/>
        <w:ind w:firstLine="315"/>
        <w:spacing w:after="0" w:line="277" w:lineRule="auto"/>
        <w:rPr>
          <w:sz w:val="20"/>
          <w:szCs w:val="20"/>
          <w:color w:val="auto"/>
        </w:rPr>
      </w:pPr>
      <w:r>
        <w:rPr>
          <w:rFonts w:ascii="Times New Roman" w:cs="Times New Roman" w:eastAsia="Times New Roman" w:hAnsi="Times New Roman"/>
          <w:sz w:val="17"/>
          <w:szCs w:val="17"/>
          <w:color w:val="auto"/>
        </w:rPr>
        <w:t>The Company’s short-term investments consist of investments in mutual funds and those term deposits with more than three months of original maturity and less than twelve months of remaining maturity as of the reporting date, while long-term investments consist of term deposits with more than twelve months of remaining maturity as of the reporting date.</w:t>
      </w:r>
    </w:p>
    <w:p>
      <w:pPr>
        <w:spacing w:after="0" w:line="189" w:lineRule="exact"/>
        <w:rPr>
          <w:sz w:val="20"/>
          <w:szCs w:val="20"/>
          <w:color w:val="auto"/>
        </w:rPr>
      </w:pPr>
    </w:p>
    <w:p>
      <w:pPr>
        <w:jc w:val="both"/>
        <w:ind w:firstLine="315"/>
        <w:spacing w:after="0" w:line="297" w:lineRule="auto"/>
        <w:rPr>
          <w:sz w:val="20"/>
          <w:szCs w:val="20"/>
          <w:color w:val="auto"/>
        </w:rPr>
      </w:pPr>
      <w:r>
        <w:rPr>
          <w:rFonts w:ascii="Times New Roman" w:cs="Times New Roman" w:eastAsia="Times New Roman" w:hAnsi="Times New Roman"/>
          <w:sz w:val="17"/>
          <w:szCs w:val="17"/>
          <w:color w:val="auto"/>
        </w:rPr>
        <w:t>The Company’s investments in term deposits with financial institutions are measured and recognized at cost and approximate fair value. Interest earned on such investments is included in interest income.</w:t>
      </w:r>
    </w:p>
    <w:p>
      <w:pPr>
        <w:spacing w:after="0" w:line="172"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7"/>
          <w:szCs w:val="17"/>
          <w:color w:val="auto"/>
        </w:rPr>
        <w:t xml:space="preserve">The Company’s mutual fund investments are in debt funds invested in India. These investments are accounted for in accordance with the fair value option under Financial Accounting Standards Board (“FASB”) Accounting Standards Codification (“ASC”) Topic 825, </w:t>
      </w:r>
      <w:r>
        <w:rPr>
          <w:rFonts w:ascii="Times New Roman" w:cs="Times New Roman" w:eastAsia="Times New Roman" w:hAnsi="Times New Roman"/>
          <w:sz w:val="17"/>
          <w:szCs w:val="17"/>
          <w:i w:val="1"/>
          <w:iCs w:val="1"/>
          <w:color w:val="auto"/>
        </w:rPr>
        <w:t>Financial Instruments</w:t>
      </w:r>
      <w:r>
        <w:rPr>
          <w:rFonts w:ascii="Times New Roman" w:cs="Times New Roman" w:eastAsia="Times New Roman" w:hAnsi="Times New Roman"/>
          <w:sz w:val="17"/>
          <w:szCs w:val="17"/>
          <w:color w:val="auto"/>
        </w:rPr>
        <w:t>, (“Topic 825”). The fair value is represented by original cost on the acquisition date and the net asset value (“NAV”) as quoted, at each reporting period and any changes in fair value are included in other income/(loss), net. Gain or loss on the disposal of these investments is calculated using the weighted average cost of the investments sold or disposed and is included in other income/(loss), net.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 Use of Estimates</w:t>
      </w:r>
    </w:p>
    <w:p>
      <w:pPr>
        <w:spacing w:after="0" w:line="346" w:lineRule="exact"/>
        <w:rPr>
          <w:sz w:val="20"/>
          <w:szCs w:val="20"/>
          <w:color w:val="auto"/>
        </w:rPr>
      </w:pPr>
    </w:p>
    <w:p>
      <w:pPr>
        <w:jc w:val="both"/>
        <w:ind w:firstLine="393"/>
        <w:spacing w:after="0" w:line="243" w:lineRule="auto"/>
        <w:rPr>
          <w:sz w:val="20"/>
          <w:szCs w:val="20"/>
          <w:color w:val="auto"/>
        </w:rPr>
      </w:pPr>
      <w:r>
        <w:rPr>
          <w:rFonts w:ascii="Times New Roman" w:cs="Times New Roman" w:eastAsia="Times New Roman" w:hAnsi="Times New Roman"/>
          <w:sz w:val="17"/>
          <w:szCs w:val="17"/>
          <w:color w:val="auto"/>
        </w:rPr>
        <w:t>The preparation of the unaudited consolidated financial statements in conformity with U.S.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Although these estimates are based on management’s best assessment of the current business environment, actual results may be different from those estimates. The significant estimates and assumptions that affect the unaudited consolidated financial statements include, but are not limited to, estimates of the fair value of the identifiable intangible assets and contingent consideration, purchase price allocation, including revenue projections and discount rate applied within the discounted cash flow model for business acquisitions, allowance for expected credit losses, the nature and timing of the satisfaction of performance obligations, the standalone selling price of performance obligations, and variable consideration in a customer contract, expected recoverability from customers with contingent fee arrangements, estimated costs to complete fixed price contracts, recoverability of dues from statutory authorities, assets and obligations related to employee benefit plans, deferred tax valuation allowances, income-tax uncertainties and other contingencies, valuation of derivative financial instruments, assumptions used to calculate stock-based compensation expense, assumptions used to determine the incremental borrowing rate to calculate lease liabilities and right-of-use (“ROU”) assets, lease term to calculate amortization of ROU, depreciation and amortization periods, and recoverability of long-lived assets, goodwill and intangibles.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 Recent Accounting Pronouncements</w:t>
      </w:r>
    </w:p>
    <w:p>
      <w:pPr>
        <w:spacing w:after="0" w:line="239" w:lineRule="exact"/>
        <w:rPr>
          <w:sz w:val="20"/>
          <w:szCs w:val="20"/>
          <w:color w:val="auto"/>
        </w:rPr>
      </w:pPr>
    </w:p>
    <w:p>
      <w:pPr>
        <w:jc w:val="both"/>
        <w:ind w:firstLine="393"/>
        <w:spacing w:after="0" w:line="249" w:lineRule="auto"/>
        <w:rPr>
          <w:sz w:val="20"/>
          <w:szCs w:val="20"/>
          <w:color w:val="auto"/>
        </w:rPr>
      </w:pPr>
      <w:r>
        <w:rPr>
          <w:rFonts w:ascii="Times New Roman" w:cs="Times New Roman" w:eastAsia="Times New Roman" w:hAnsi="Times New Roman"/>
          <w:sz w:val="17"/>
          <w:szCs w:val="17"/>
          <w:color w:val="auto"/>
        </w:rPr>
        <w:t xml:space="preserve">In March 2020, FASB issued Accounting Standard Update (“ASU”) No. 2020-04, </w:t>
      </w:r>
      <w:r>
        <w:rPr>
          <w:rFonts w:ascii="Times New Roman" w:cs="Times New Roman" w:eastAsia="Times New Roman" w:hAnsi="Times New Roman"/>
          <w:sz w:val="17"/>
          <w:szCs w:val="17"/>
          <w:i w:val="1"/>
          <w:iCs w:val="1"/>
          <w:color w:val="auto"/>
        </w:rPr>
        <w:t>Reference Rate Reform (Topic 848): Facilitation of the Effects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Reference Rate Reform on Financial Reporting</w:t>
      </w:r>
      <w:r>
        <w:rPr>
          <w:rFonts w:ascii="Times New Roman" w:cs="Times New Roman" w:eastAsia="Times New Roman" w:hAnsi="Times New Roman"/>
          <w:sz w:val="17"/>
          <w:szCs w:val="17"/>
          <w:color w:val="auto"/>
        </w:rPr>
        <w:t>. This ASU provides optional guidance for a limited period of time to ease potential accounting impacts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associated with transitioning away from reference rates that are expected to be discontinued, such as interbank offered rates and London Inter-Bank Offered Rate (“LIBOR”). The ASU provides practical expedients and exceptions for applying U.S. GAAP to contracts, hedging relationships, and other transactions affected by reference rate reform if certain criteria are met. The amendments are elective and are effective upon issuance for all entities through December 31, 2022. The Company is currently evaluating the impact of this ASU on its consolidated financial statements.</w:t>
      </w:r>
    </w:p>
    <w:p>
      <w:pPr>
        <w:spacing w:after="0" w:line="201" w:lineRule="exact"/>
        <w:rPr>
          <w:sz w:val="20"/>
          <w:szCs w:val="20"/>
          <w:color w:val="auto"/>
        </w:rPr>
      </w:pPr>
    </w:p>
    <w:p>
      <w:pPr>
        <w:jc w:val="both"/>
        <w:ind w:firstLine="393"/>
        <w:spacing w:after="0" w:line="244" w:lineRule="auto"/>
        <w:rPr>
          <w:sz w:val="20"/>
          <w:szCs w:val="20"/>
          <w:color w:val="auto"/>
        </w:rPr>
      </w:pPr>
      <w:r>
        <w:rPr>
          <w:rFonts w:ascii="Times New Roman" w:cs="Times New Roman" w:eastAsia="Times New Roman" w:hAnsi="Times New Roman"/>
          <w:sz w:val="17"/>
          <w:szCs w:val="17"/>
          <w:color w:val="auto"/>
        </w:rPr>
        <w:t>In October 2021, FASB issued ASU No. 2021-08, Business Combinations (Topic 805): Accounting for Contract Assets and Contract Liabilities from Contracts with Customers. This ASU provides guidance in Topic 805 to require the acquirer entity to recognize and measure contract assets and contract liabilities acquired in a business combination in accordance with Topic 606, Revenue from Contracts with Customers, as if it had originated the contracts. Generally, this should result in an acquirer recognizing and measuring the acquired contract assets and contract liabilities consistent with how they were recognized and measured in the acquiree’s financial statements, if the acquiree prepared financial statements in accordance with U.S. GAAP. The ASU is effective for fiscal years beginning after December 15, 2022. An entity may early adopt the ASU including adoption in an interim period, with retrospective application to all business combinations within the fiscal year that includes such interim period. The Company is currently evaluating the impact of this ASU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Segment and Geographical Information</w:t>
      </w: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 is a provider of data analytics and digital operations and solutions.</w:t>
      </w:r>
    </w:p>
    <w:p>
      <w:pPr>
        <w:spacing w:after="0" w:line="237"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Company manages and reports financial information through its four reportable segments: Insurance, Healthcare, Analytics and Emerging Business, which reflects how management reviews financial information and makes operating decisions. These business units develop client-specific solutions, build capabilities, maintain a unified go-to-market approach and are integrally responsible for service delivery, customer satisfaction, growth and profitability.</w:t>
      </w:r>
    </w:p>
    <w:p>
      <w:pPr>
        <w:spacing w:after="0" w:line="188" w:lineRule="exact"/>
        <w:rPr>
          <w:sz w:val="20"/>
          <w:szCs w:val="20"/>
          <w:color w:val="auto"/>
        </w:rPr>
      </w:pPr>
    </w:p>
    <w:p>
      <w:pPr>
        <w:ind w:right="80" w:firstLine="393"/>
        <w:spacing w:after="0" w:line="281" w:lineRule="auto"/>
        <w:rPr>
          <w:sz w:val="20"/>
          <w:szCs w:val="20"/>
          <w:color w:val="auto"/>
        </w:rPr>
      </w:pPr>
      <w:r>
        <w:rPr>
          <w:rFonts w:ascii="Times New Roman" w:cs="Times New Roman" w:eastAsia="Times New Roman" w:hAnsi="Times New Roman"/>
          <w:sz w:val="17"/>
          <w:szCs w:val="17"/>
          <w:color w:val="auto"/>
        </w:rPr>
        <w:t>The chief operating decision maker (“CODM”) generally reviews financial information such as revenues, cost of revenues and gross profit, disaggregated by the operating segments to allocate an overall budget among the operating segments.</w:t>
      </w:r>
    </w:p>
    <w:p>
      <w:pPr>
        <w:spacing w:after="0" w:line="172" w:lineRule="exact"/>
        <w:rPr>
          <w:sz w:val="20"/>
          <w:szCs w:val="20"/>
          <w:color w:val="auto"/>
        </w:rPr>
      </w:pPr>
    </w:p>
    <w:p>
      <w:pPr>
        <w:jc w:val="both"/>
        <w:ind w:firstLine="393"/>
        <w:spacing w:after="0" w:line="253" w:lineRule="auto"/>
        <w:rPr>
          <w:sz w:val="20"/>
          <w:szCs w:val="20"/>
          <w:color w:val="auto"/>
        </w:rPr>
      </w:pPr>
      <w:r>
        <w:rPr>
          <w:rFonts w:ascii="Times New Roman" w:cs="Times New Roman" w:eastAsia="Times New Roman" w:hAnsi="Times New Roman"/>
          <w:sz w:val="17"/>
          <w:szCs w:val="17"/>
          <w:color w:val="auto"/>
        </w:rPr>
        <w:t>The Company does not allocate and therefore the CODM does not evaluate, certain operating expenses, interest expense or income taxes by segment. Many of the Company’s assets are shared by multiple operating segments. The Company manages these assets on a total Company basis, not by operating segment, and therefore asset information and capital expenditures by operating segment are not presented.</w:t>
      </w:r>
    </w:p>
    <w:p>
      <w:pPr>
        <w:spacing w:after="0" w:line="195"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December 2021 and June 2022 acquisition of Clairvoyant AI Inc. (“Clairvoyant”) and Inbound Media Group, LLC (“Inbound”), respectively, are both included in the Analytics reportable segment. Refer to Note 9 - Business Combination, Goodwill and Intangible Assets to the unaudited consolidated financial statements for further details.</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Revenues and cost of revenues for the three months ended June 30, 2022 and 2021, respectively, for each of the reportable segments,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3740" w:type="dxa"/>
            <w:vAlign w:val="bottom"/>
            <w:tcBorders>
              <w:top w:val="single" w:sz="8" w:color="auto"/>
              <w:bottom w:val="single" w:sz="8" w:color="auto"/>
            </w:tcBorders>
            <w:gridSpan w:val="1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Three months ended June 30, 2022</w:t>
            </w: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Insurance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Healthcare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line="170" w:lineRule="exact"/>
              <w:rPr>
                <w:sz w:val="20"/>
                <w:szCs w:val="20"/>
                <w:color w:val="auto"/>
              </w:rPr>
            </w:pPr>
            <w:r>
              <w:rPr>
                <w:rFonts w:ascii="Times New Roman" w:cs="Times New Roman" w:eastAsia="Times New Roman" w:hAnsi="Times New Roman"/>
                <w:sz w:val="17"/>
                <w:szCs w:val="17"/>
                <w:b w:val="1"/>
                <w:bCs w:val="1"/>
                <w:color w:val="auto"/>
              </w:rPr>
              <w:t>Emerging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Analytics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Business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108,557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23,051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53,873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161,301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346,782</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640" w:type="dxa"/>
            <w:vAlign w:val="bottom"/>
            <w:tcBorders>
              <w:bottom w:val="single" w:sz="8" w:color="CCEEFF"/>
            </w:tcBorders>
          </w:tcPr>
          <w:p>
            <w:pPr>
              <w:spacing w:after="0" w:line="223" w:lineRule="exact"/>
              <w:rPr>
                <w:sz w:val="20"/>
                <w:szCs w:val="20"/>
                <w:color w:val="auto"/>
              </w:rPr>
            </w:pPr>
            <w:r>
              <w:rPr>
                <w:rFonts w:ascii="Times New Roman" w:cs="Times New Roman" w:eastAsia="Times New Roman" w:hAnsi="Times New Roman"/>
                <w:sz w:val="17"/>
                <w:szCs w:val="17"/>
                <w:color w:val="auto"/>
              </w:rPr>
              <w:t>Cost of revenues</w:t>
            </w:r>
            <w:r>
              <w:rPr>
                <w:rFonts w:ascii="Times New Roman" w:cs="Times New Roman" w:eastAsia="Times New Roman" w:hAnsi="Times New Roman"/>
                <w:sz w:val="22"/>
                <w:szCs w:val="22"/>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70,645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17,694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31,214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101,654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221,207</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0" w:type="dxa"/>
            <w:vAlign w:val="bottom"/>
          </w:tcPr>
          <w:p>
            <w:pPr>
              <w:spacing w:after="0"/>
              <w:rPr>
                <w:sz w:val="20"/>
                <w:szCs w:val="20"/>
                <w:color w:val="auto"/>
              </w:rPr>
            </w:pPr>
          </w:p>
        </w:tc>
        <w:tc>
          <w:tcPr>
            <w:tcW w:w="4640" w:type="dxa"/>
            <w:vAlign w:val="bottom"/>
            <w:tcBorders>
              <w:bottom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Gross profit</w:t>
            </w:r>
            <w:r>
              <w:rPr>
                <w:rFonts w:ascii="Times New Roman" w:cs="Times New Roman" w:eastAsia="Times New Roman" w:hAnsi="Times New Roman"/>
                <w:sz w:val="22"/>
                <w:szCs w:val="22"/>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37,912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22,659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59,647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125,575</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0" w:type="dxa"/>
            <w:vAlign w:val="bottom"/>
          </w:tcPr>
          <w:p>
            <w:pPr>
              <w:spacing w:after="0"/>
              <w:rPr>
                <w:sz w:val="16"/>
                <w:szCs w:val="16"/>
                <w:color w:val="auto"/>
              </w:rPr>
            </w:pPr>
          </w:p>
        </w:tc>
        <w:tc>
          <w:tcPr>
            <w:tcW w:w="4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78,494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exchange gain, interest expense and other loss, net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from equity-method investment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35,846</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7"/>
                <w:szCs w:val="17"/>
                <w:color w:val="auto"/>
              </w:rPr>
              <w:t xml:space="preserve"> Exclusive of depreciation and amortization expense.</w:t>
            </w: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47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2"/>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Insurance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Healthcare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40"/>
              <w:spacing w:after="0" w:line="176" w:lineRule="exact"/>
              <w:rPr>
                <w:sz w:val="20"/>
                <w:szCs w:val="20"/>
                <w:color w:val="auto"/>
              </w:rPr>
            </w:pPr>
            <w:r>
              <w:rPr>
                <w:rFonts w:ascii="Times New Roman" w:cs="Times New Roman" w:eastAsia="Times New Roman" w:hAnsi="Times New Roman"/>
                <w:sz w:val="17"/>
                <w:szCs w:val="17"/>
                <w:b w:val="1"/>
                <w:bCs w:val="1"/>
                <w:color w:val="auto"/>
              </w:rPr>
              <w:t>Emerging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Analytics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Business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net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94,719</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28,250</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40,690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111,405</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275,064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64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7"/>
                <w:szCs w:val="17"/>
                <w:color w:val="auto"/>
              </w:rPr>
              <w:t>Cost of revenues</w:t>
            </w:r>
            <w:r>
              <w:rPr>
                <w:rFonts w:ascii="Times New Roman" w:cs="Times New Roman" w:eastAsia="Times New Roman" w:hAnsi="Times New Roman"/>
                <w:sz w:val="22"/>
                <w:szCs w:val="22"/>
                <w:color w:val="auto"/>
                <w:vertAlign w:val="superscript"/>
              </w:rPr>
              <w:t>(1)</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59,359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17,685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22,346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71,311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170,701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0" w:type="dxa"/>
            <w:vAlign w:val="bottom"/>
          </w:tcPr>
          <w:p>
            <w:pPr>
              <w:spacing w:after="0"/>
              <w:rPr>
                <w:sz w:val="20"/>
                <w:szCs w:val="20"/>
                <w:color w:val="auto"/>
              </w:rPr>
            </w:pPr>
          </w:p>
        </w:tc>
        <w:tc>
          <w:tcPr>
            <w:tcW w:w="4640" w:type="dxa"/>
            <w:vAlign w:val="bottom"/>
            <w:tcBorders>
              <w:bottom w:val="single" w:sz="8" w:color="CCEEFF"/>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Gross profit</w:t>
            </w:r>
            <w:r>
              <w:rPr>
                <w:rFonts w:ascii="Times New Roman" w:cs="Times New Roman" w:eastAsia="Times New Roman" w:hAnsi="Times New Roman"/>
                <w:sz w:val="22"/>
                <w:szCs w:val="22"/>
                <w:color w:val="auto"/>
                <w:vertAlign w:val="superscript"/>
              </w:rPr>
              <w:t>(1)</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35,360</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10,565</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18,344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40,094</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104,363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0" w:type="dxa"/>
            <w:vAlign w:val="bottom"/>
          </w:tcPr>
          <w:p>
            <w:pPr>
              <w:spacing w:after="0"/>
              <w:rPr>
                <w:sz w:val="16"/>
                <w:szCs w:val="16"/>
                <w:color w:val="auto"/>
              </w:rPr>
            </w:pPr>
          </w:p>
        </w:tc>
        <w:tc>
          <w:tcPr>
            <w:tcW w:w="4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68,533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gain, interest expense and other income, net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from equity-method investment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7"/>
          <w:szCs w:val="17"/>
          <w:color w:val="auto"/>
        </w:rPr>
        <w:t xml:space="preserve"> Exclusive of depreciation and amortization expense.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3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Revenues and cost of revenues for the six months ended June 30, 2022 and 2021, respectively, for each of the reportable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187325</wp:posOffset>
            </wp:positionV>
            <wp:extent cx="42799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79900" cy="8255"/>
                    </a:xfrm>
                    <a:prstGeom prst="rect">
                      <a:avLst/>
                    </a:prstGeom>
                    <a:noFill/>
                  </pic:spPr>
                </pic:pic>
              </a:graphicData>
            </a:graphic>
          </wp:anchor>
        </w:drawing>
      </w:r>
    </w:p>
    <w:p>
      <w:pPr>
        <w:spacing w:after="0" w:line="316"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Revenues, net</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Cost of revenues</w:t>
      </w:r>
      <w:r>
        <w:rPr>
          <w:rFonts w:ascii="Times New Roman" w:cs="Times New Roman" w:eastAsia="Times New Roman" w:hAnsi="Times New Roman"/>
          <w:sz w:val="22"/>
          <w:szCs w:val="22"/>
          <w:color w:val="auto"/>
          <w:vertAlign w:val="superscript"/>
        </w:rPr>
        <w:t>(1)</w:t>
      </w:r>
    </w:p>
    <w:p>
      <w:pPr>
        <w:ind w:left="20"/>
        <w:spacing w:after="0"/>
        <w:rPr>
          <w:sz w:val="20"/>
          <w:szCs w:val="20"/>
          <w:color w:val="auto"/>
        </w:rPr>
      </w:pPr>
      <w:r>
        <w:rPr>
          <w:rFonts w:ascii="Times New Roman" w:cs="Times New Roman" w:eastAsia="Times New Roman" w:hAnsi="Times New Roman"/>
          <w:sz w:val="17"/>
          <w:szCs w:val="17"/>
          <w:color w:val="auto"/>
        </w:rPr>
        <w:t>Gross profit</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Operating expenses</w:t>
      </w:r>
    </w:p>
    <w:p>
      <w:pPr>
        <w:spacing w:after="0" w:line="34" w:lineRule="exact"/>
        <w:rPr>
          <w:sz w:val="20"/>
          <w:szCs w:val="20"/>
          <w:color w:val="auto"/>
        </w:rPr>
      </w:pPr>
    </w:p>
    <w:p>
      <w:pPr>
        <w:ind w:left="20"/>
        <w:spacing w:after="0" w:line="276" w:lineRule="auto"/>
        <w:rPr>
          <w:sz w:val="20"/>
          <w:szCs w:val="20"/>
          <w:color w:val="auto"/>
        </w:rPr>
      </w:pPr>
      <w:r>
        <w:rPr>
          <w:rFonts w:ascii="Times New Roman" w:cs="Times New Roman" w:eastAsia="Times New Roman" w:hAnsi="Times New Roman"/>
          <w:sz w:val="17"/>
          <w:szCs w:val="17"/>
          <w:color w:val="auto"/>
        </w:rPr>
        <w:t>Foreign exchange gain, interest expense and other income, net Income tax expense</w:t>
      </w:r>
    </w:p>
    <w:p>
      <w:pPr>
        <w:spacing w:after="0" w:line="1" w:lineRule="exact"/>
        <w:rPr>
          <w:sz w:val="20"/>
          <w:szCs w:val="20"/>
          <w:color w:val="auto"/>
        </w:rPr>
      </w:pPr>
    </w:p>
    <w:p>
      <w:pPr>
        <w:ind w:left="20" w:right="1760"/>
        <w:spacing w:after="0" w:line="307" w:lineRule="auto"/>
        <w:rPr>
          <w:sz w:val="20"/>
          <w:szCs w:val="20"/>
          <w:color w:val="auto"/>
        </w:rPr>
      </w:pPr>
      <w:r>
        <w:rPr>
          <w:rFonts w:ascii="Times New Roman" w:cs="Times New Roman" w:eastAsia="Times New Roman" w:hAnsi="Times New Roman"/>
          <w:sz w:val="17"/>
          <w:szCs w:val="17"/>
          <w:color w:val="auto"/>
        </w:rPr>
        <w:t>Gain from equity-method investment Net income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Insurance</w:t>
            </w: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Healthcare</w:t>
            </w: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260"/>
              <w:spacing w:after="0" w:line="184" w:lineRule="exact"/>
              <w:rPr>
                <w:sz w:val="20"/>
                <w:szCs w:val="20"/>
                <w:color w:val="auto"/>
              </w:rPr>
            </w:pPr>
            <w:r>
              <w:rPr>
                <w:rFonts w:ascii="Times New Roman" w:cs="Times New Roman" w:eastAsia="Times New Roman" w:hAnsi="Times New Roman"/>
                <w:sz w:val="17"/>
                <w:szCs w:val="17"/>
                <w:b w:val="1"/>
                <w:bCs w:val="1"/>
                <w:color w:val="auto"/>
              </w:rPr>
              <w:t>Emerging</w:t>
            </w: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Analytics</w:t>
            </w: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6"/>
        </w:trPr>
        <w:tc>
          <w:tcPr>
            <w:tcW w:w="2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Business</w:t>
            </w:r>
          </w:p>
        </w:tc>
        <w:tc>
          <w:tcPr>
            <w:tcW w:w="2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211,823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49,207</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104,620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310,340</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675,990</w:t>
            </w:r>
          </w:p>
        </w:tc>
        <w:tc>
          <w:tcPr>
            <w:tcW w:w="0" w:type="dxa"/>
            <w:vAlign w:val="bottom"/>
          </w:tcPr>
          <w:p>
            <w:pPr>
              <w:spacing w:after="0"/>
              <w:rPr>
                <w:sz w:val="1"/>
                <w:szCs w:val="1"/>
                <w:color w:val="auto"/>
              </w:rPr>
            </w:pPr>
          </w:p>
        </w:tc>
      </w:tr>
      <w:tr>
        <w:trPr>
          <w:trHeight w:val="228"/>
        </w:trPr>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135,727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35,345</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60,427</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197,224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428,723</w:t>
            </w:r>
          </w:p>
        </w:tc>
        <w:tc>
          <w:tcPr>
            <w:tcW w:w="0" w:type="dxa"/>
            <w:vAlign w:val="bottom"/>
          </w:tcPr>
          <w:p>
            <w:pPr>
              <w:spacing w:after="0"/>
              <w:rPr>
                <w:sz w:val="1"/>
                <w:szCs w:val="1"/>
                <w:color w:val="auto"/>
              </w:rPr>
            </w:pPr>
          </w:p>
        </w:tc>
      </w:tr>
      <w:tr>
        <w:trPr>
          <w:trHeight w:val="216"/>
        </w:trPr>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76,096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13,862</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44,193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113,116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247,267</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156,211</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3,038</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22,327</w:t>
            </w: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72,024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-2853690</wp:posOffset>
            </wp:positionH>
            <wp:positionV relativeFrom="paragraph">
              <wp:posOffset>-1223645</wp:posOffset>
            </wp:positionV>
            <wp:extent cx="7136130" cy="149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149860"/>
                    </a:xfrm>
                    <a:prstGeom prst="rect">
                      <a:avLst/>
                    </a:prstGeom>
                    <a:noFill/>
                  </pic:spPr>
                </pic:pic>
              </a:graphicData>
            </a:graphic>
          </wp:anchor>
        </w:drawing>
        <w:drawing>
          <wp:anchor simplePos="0" relativeHeight="251657728" behindDoc="1" locked="0" layoutInCell="0" allowOverlap="1">
            <wp:simplePos x="0" y="0"/>
            <wp:positionH relativeFrom="column">
              <wp:posOffset>-2853690</wp:posOffset>
            </wp:positionH>
            <wp:positionV relativeFrom="paragraph">
              <wp:posOffset>-932180</wp:posOffset>
            </wp:positionV>
            <wp:extent cx="7136130" cy="166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166370"/>
                    </a:xfrm>
                    <a:prstGeom prst="rect">
                      <a:avLst/>
                    </a:prstGeom>
                    <a:noFill/>
                  </pic:spPr>
                </pic:pic>
              </a:graphicData>
            </a:graphic>
          </wp:anchor>
        </w:drawing>
        <w:drawing>
          <wp:anchor simplePos="0" relativeHeight="251657728" behindDoc="1" locked="0" layoutInCell="0" allowOverlap="1">
            <wp:simplePos x="0" y="0"/>
            <wp:positionH relativeFrom="column">
              <wp:posOffset>-2853690</wp:posOffset>
            </wp:positionH>
            <wp:positionV relativeFrom="paragraph">
              <wp:posOffset>-607060</wp:posOffset>
            </wp:positionV>
            <wp:extent cx="7136130" cy="141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141605"/>
                    </a:xfrm>
                    <a:prstGeom prst="rect">
                      <a:avLst/>
                    </a:prstGeom>
                    <a:noFill/>
                  </pic:spPr>
                </pic:pic>
              </a:graphicData>
            </a:graphic>
          </wp:anchor>
        </w:drawing>
        <w:drawing>
          <wp:anchor simplePos="0" relativeHeight="251657728" behindDoc="1" locked="0" layoutInCell="0" allowOverlap="1">
            <wp:simplePos x="0" y="0"/>
            <wp:positionH relativeFrom="column">
              <wp:posOffset>-2853690</wp:posOffset>
            </wp:positionH>
            <wp:positionV relativeFrom="paragraph">
              <wp:posOffset>-323850</wp:posOffset>
            </wp:positionV>
            <wp:extent cx="7136130" cy="141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80" w:space="120"/>
            <w:col w:w="6740"/>
          </w:cols>
          <w:pgMar w:left="320" w:top="119" w:right="339" w:bottom="1440" w:gutter="0" w:footer="0" w:header="0"/>
          <w:type w:val="continuous"/>
        </w:sectPr>
      </w:pP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7"/>
          <w:szCs w:val="17"/>
          <w:color w:val="auto"/>
        </w:rPr>
        <w:t xml:space="preserve"> Exclusive of depreciation and amortization expense.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2880" w:type="dxa"/>
            <w:vAlign w:val="bottom"/>
            <w:tcBorders>
              <w:top w:val="single" w:sz="8" w:color="auto"/>
              <w:bottom w:val="single" w:sz="8" w:color="auto"/>
            </w:tcBorders>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w w:val="98"/>
              </w:rPr>
              <w:t>Six months ended June 30, 2021</w:t>
            </w:r>
          </w:p>
        </w:tc>
        <w:tc>
          <w:tcPr>
            <w:tcW w:w="1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Insurance</w:t>
            </w:r>
          </w:p>
        </w:tc>
        <w:tc>
          <w:tcPr>
            <w:tcW w:w="20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Healthcare</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Emerging Business</w:t>
            </w:r>
          </w:p>
        </w:tc>
        <w:tc>
          <w:tcPr>
            <w:tcW w:w="1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Analytics</w:t>
            </w:r>
          </w:p>
        </w:tc>
        <w:tc>
          <w:tcPr>
            <w:tcW w:w="260" w:type="dxa"/>
            <w:vAlign w:val="bottom"/>
          </w:tcPr>
          <w:p>
            <w:pPr>
              <w:spacing w:after="0"/>
              <w:rPr>
                <w:sz w:val="24"/>
                <w:szCs w:val="24"/>
                <w:color w:val="auto"/>
              </w:rPr>
            </w:pPr>
          </w:p>
        </w:tc>
        <w:tc>
          <w:tcPr>
            <w:tcW w:w="100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16"/>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net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185,879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58,515</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78,358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213,727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536,479</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7"/>
                <w:szCs w:val="17"/>
                <w:color w:val="auto"/>
              </w:rPr>
              <w:t>Cost of revenues</w:t>
            </w:r>
            <w:r>
              <w:rPr>
                <w:rFonts w:ascii="Times New Roman" w:cs="Times New Roman" w:eastAsia="Times New Roman" w:hAnsi="Times New Roman"/>
                <w:sz w:val="22"/>
                <w:szCs w:val="22"/>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115,452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35,076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135,804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329,522</w:t>
            </w:r>
          </w:p>
        </w:tc>
        <w:tc>
          <w:tcPr>
            <w:tcW w:w="0" w:type="dxa"/>
            <w:vAlign w:val="bottom"/>
          </w:tcPr>
          <w:p>
            <w:pPr>
              <w:spacing w:after="0"/>
              <w:rPr>
                <w:sz w:val="1"/>
                <w:szCs w:val="1"/>
                <w:color w:val="auto"/>
              </w:rPr>
            </w:pPr>
          </w:p>
        </w:tc>
      </w:tr>
      <w:tr>
        <w:trPr>
          <w:trHeight w:val="241"/>
        </w:trPr>
        <w:tc>
          <w:tcPr>
            <w:tcW w:w="4220" w:type="dxa"/>
            <w:vAlign w:val="bottom"/>
            <w:tcBorders>
              <w:bottom w:val="single" w:sz="8" w:color="CCEEFF"/>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Gross profit</w:t>
            </w:r>
            <w:r>
              <w:rPr>
                <w:rFonts w:ascii="Times New Roman" w:cs="Times New Roman" w:eastAsia="Times New Roman" w:hAnsi="Times New Roman"/>
                <w:sz w:val="22"/>
                <w:szCs w:val="22"/>
                <w:color w:val="auto"/>
                <w:vertAlign w:val="superscript"/>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70,427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35,168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206,957</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2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129,572</w:t>
            </w:r>
          </w:p>
        </w:tc>
        <w:tc>
          <w:tcPr>
            <w:tcW w:w="0" w:type="dxa"/>
            <w:vAlign w:val="bottom"/>
          </w:tcPr>
          <w:p>
            <w:pPr>
              <w:spacing w:after="0"/>
              <w:rPr>
                <w:sz w:val="1"/>
                <w:szCs w:val="1"/>
                <w:color w:val="auto"/>
              </w:rPr>
            </w:pPr>
          </w:p>
        </w:tc>
      </w:tr>
      <w:tr>
        <w:trPr>
          <w:trHeight w:val="170"/>
        </w:trPr>
        <w:tc>
          <w:tcPr>
            <w:tcW w:w="42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Foreign exchange gain, interest expense and other income,</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0" w:type="dxa"/>
            <w:vAlign w:val="bottom"/>
          </w:tcPr>
          <w:p>
            <w:pPr>
              <w:spacing w:after="0"/>
              <w:rPr>
                <w:sz w:val="1"/>
                <w:szCs w:val="1"/>
                <w:color w:val="auto"/>
              </w:rPr>
            </w:pPr>
          </w:p>
        </w:tc>
      </w:tr>
      <w:tr>
        <w:trPr>
          <w:trHeight w:val="144"/>
        </w:trPr>
        <w:tc>
          <w:tcPr>
            <w:tcW w:w="4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422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17,823</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equity-method investment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59,952</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400" w:right="7380" w:hanging="395"/>
        <w:spacing w:after="0" w:line="403" w:lineRule="auto"/>
        <w:tabs>
          <w:tab w:leader="none" w:pos="196"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Exclusive of depreciation and amortization expense. Revenues, net by service type, were as follows:</w:t>
      </w:r>
    </w:p>
    <w:tbl>
      <w:tblPr>
        <w:tblLayout w:type="fixed"/>
        <w:tblInd w:w="640" w:type="dxa"/>
        <w:tblCellMar>
          <w:top w:w="0" w:type="dxa"/>
          <w:left w:w="0" w:type="dxa"/>
          <w:bottom w:w="0" w:type="dxa"/>
          <w:right w:w="0" w:type="dxa"/>
        </w:tblCellMar>
      </w:tblPr>
      <w:tr>
        <w:trPr>
          <w:trHeight w:val="197"/>
        </w:trPr>
        <w:tc>
          <w:tcPr>
            <w:tcW w:w="428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2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shd w:val="clear" w:color="auto" w:fill="CCEEFF"/>
          </w:tcPr>
          <w:p>
            <w:pPr>
              <w:spacing w:after="0"/>
              <w:rPr>
                <w:sz w:val="17"/>
                <w:szCs w:val="17"/>
                <w:color w:val="auto"/>
              </w:rPr>
            </w:pPr>
          </w:p>
        </w:tc>
        <w:tc>
          <w:tcPr>
            <w:tcW w:w="2440" w:type="dxa"/>
            <w:vAlign w:val="bottom"/>
            <w:gridSpan w:val="4"/>
            <w:shd w:val="clear" w:color="auto" w:fill="CCEEFF"/>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84"/>
        </w:trPr>
        <w:tc>
          <w:tcPr>
            <w:tcW w:w="428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2"/>
        </w:trPr>
        <w:tc>
          <w:tcPr>
            <w:tcW w:w="428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Digital operations and solutions</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185,481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163,659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365,650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322,752</w:t>
            </w:r>
          </w:p>
        </w:tc>
      </w:tr>
      <w:tr>
        <w:trPr>
          <w:trHeight w:val="22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Analytics services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161,301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111,405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310,340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213,727</w:t>
            </w:r>
          </w:p>
        </w:tc>
      </w:tr>
      <w:tr>
        <w:trPr>
          <w:trHeight w:val="241"/>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net</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346,782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275,064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675,990</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536,479</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300" w:firstLine="398"/>
        <w:spacing w:after="0" w:line="227" w:lineRule="auto"/>
        <w:tabs>
          <w:tab w:leader="none" w:pos="582"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Digital operations and solutions include revenues of the Company’s Insurance, Healthcare and Emerging Business reportable segments. Refer to the reportable segment disclosure above.</w:t>
      </w:r>
    </w:p>
    <w:p>
      <w:pPr>
        <w:spacing w:after="0" w:line="2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 attributes the revenues to regions based upon the location of its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66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4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45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 net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298,520</w:t>
            </w:r>
          </w:p>
        </w:tc>
        <w:tc>
          <w:tcPr>
            <w:tcW w:w="10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235,288</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580,899</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459,656</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Non-United States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4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United Kingdom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50,926</w:t>
            </w:r>
          </w:p>
        </w:tc>
      </w:tr>
      <w:tr>
        <w:trPr>
          <w:trHeight w:val="223"/>
        </w:trPr>
        <w:tc>
          <w:tcPr>
            <w:tcW w:w="4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Rest of World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25,897</w:t>
            </w:r>
          </w:p>
        </w:tc>
      </w:tr>
      <w:tr>
        <w:trPr>
          <w:trHeight w:val="216"/>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Non-United States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48,262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39,776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95,091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76,823</w:t>
            </w:r>
          </w:p>
        </w:tc>
      </w:tr>
      <w:tr>
        <w:trPr>
          <w:trHeight w:val="241"/>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net</w:t>
            </w:r>
          </w:p>
        </w:tc>
        <w:tc>
          <w:tcPr>
            <w:tcW w:w="3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346,782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275,064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675,990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536,479</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Long-lived assets by geographic area, which consist of property and equipment, net and operating lease right-of-use assets were as follows:</w:t>
      </w:r>
    </w:p>
    <w:p>
      <w:pPr>
        <w:spacing w:after="0" w:line="139" w:lineRule="exact"/>
        <w:rPr>
          <w:sz w:val="20"/>
          <w:szCs w:val="20"/>
          <w:color w:val="auto"/>
        </w:rPr>
      </w:pPr>
    </w:p>
    <w:tbl>
      <w:tblPr>
        <w:tblLayout w:type="fixed"/>
        <w:tblInd w:w="640" w:type="dxa"/>
        <w:tblCellMar>
          <w:top w:w="0" w:type="dxa"/>
          <w:left w:w="0" w:type="dxa"/>
          <w:bottom w:w="0" w:type="dxa"/>
          <w:right w:w="0" w:type="dxa"/>
        </w:tblCellMar>
      </w:tblPr>
      <w:tr>
        <w:trPr>
          <w:trHeight w:val="185"/>
        </w:trPr>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60" w:type="dxa"/>
            <w:vAlign w:val="bottom"/>
          </w:tcPr>
          <w:p>
            <w:pPr>
              <w:spacing w:after="0"/>
              <w:rPr>
                <w:sz w:val="16"/>
                <w:szCs w:val="16"/>
                <w:color w:val="auto"/>
              </w:rPr>
            </w:pPr>
          </w:p>
        </w:tc>
      </w:tr>
      <w:tr>
        <w:trPr>
          <w:trHeight w:val="24"/>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4"/>
        </w:trPr>
        <w:tc>
          <w:tcPr>
            <w:tcW w:w="6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15"/>
                <w:szCs w:val="15"/>
                <w:color w:val="auto"/>
              </w:rPr>
            </w:pPr>
          </w:p>
        </w:tc>
        <w:tc>
          <w:tcPr>
            <w:tcW w:w="14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9"/>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Long-lived assets</w:t>
            </w:r>
          </w:p>
        </w:tc>
        <w:tc>
          <w:tcPr>
            <w:tcW w:w="3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India</w:t>
            </w: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65,899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79,604</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50,095</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Philippines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22,011</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 of World</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10,990</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Long-lived assets</w:t>
            </w: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150,611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162,700</w:t>
            </w:r>
          </w:p>
        </w:tc>
      </w:tr>
      <w:tr>
        <w:trPr>
          <w:trHeight w:val="20"/>
        </w:trPr>
        <w:tc>
          <w:tcPr>
            <w:tcW w:w="6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Revenues, net</w:t>
      </w:r>
    </w:p>
    <w:p>
      <w:pPr>
        <w:spacing w:after="0" w:line="239" w:lineRule="exact"/>
        <w:rPr>
          <w:sz w:val="20"/>
          <w:szCs w:val="20"/>
          <w:color w:val="auto"/>
        </w:rPr>
      </w:pPr>
    </w:p>
    <w:p>
      <w:pPr>
        <w:ind w:right="420" w:firstLine="393"/>
        <w:spacing w:after="0" w:line="281" w:lineRule="auto"/>
        <w:rPr>
          <w:sz w:val="20"/>
          <w:szCs w:val="20"/>
          <w:color w:val="auto"/>
        </w:rPr>
      </w:pPr>
      <w:r>
        <w:rPr>
          <w:rFonts w:ascii="Times New Roman" w:cs="Times New Roman" w:eastAsia="Times New Roman" w:hAnsi="Times New Roman"/>
          <w:sz w:val="17"/>
          <w:szCs w:val="17"/>
          <w:color w:val="auto"/>
        </w:rPr>
        <w:t>Refer to Note 3 - Segment and Geographical Information to the unaudited consolidated financial statements for revenues disaggregated by reportable segments and geography.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Contract balances</w:t>
      </w:r>
    </w:p>
    <w:p>
      <w:pPr>
        <w:spacing w:after="0" w:line="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provides information about accounts receivable, contract assets and contract liabilities from contracts with customers:</w:t>
      </w:r>
    </w:p>
    <w:p>
      <w:pPr>
        <w:spacing w:after="0" w:line="5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9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60" w:type="dxa"/>
            <w:vAlign w:val="bottom"/>
            <w:tcBorders>
              <w:bottom w:val="single" w:sz="8" w:color="auto"/>
            </w:tcBorders>
          </w:tcPr>
          <w:p>
            <w:pPr>
              <w:spacing w:after="0"/>
              <w:rPr>
                <w:sz w:val="18"/>
                <w:szCs w:val="18"/>
                <w:color w:val="auto"/>
              </w:rPr>
            </w:pPr>
          </w:p>
        </w:tc>
      </w:tr>
      <w:tr>
        <w:trPr>
          <w:trHeight w:val="204"/>
        </w:trPr>
        <w:tc>
          <w:tcPr>
            <w:tcW w:w="6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43"/>
        </w:trPr>
        <w:tc>
          <w:tcPr>
            <w:tcW w:w="69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r>
      <w:tr>
        <w:trPr>
          <w:trHeight w:val="223"/>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 net</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237,453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194,232</w:t>
            </w: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7"/>
                <w:szCs w:val="17"/>
                <w:color w:val="auto"/>
              </w:rPr>
              <w:t>Contract assets</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2,524</w:t>
            </w:r>
          </w:p>
        </w:tc>
      </w:tr>
      <w:tr>
        <w:trPr>
          <w:trHeight w:val="223"/>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Contract liabilities: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3"/>
        </w:trPr>
        <w:tc>
          <w:tcPr>
            <w:tcW w:w="6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Deferred revenue (consideration received in advance)</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18,617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18,247</w:t>
            </w:r>
          </w:p>
        </w:tc>
      </w:tr>
      <w:tr>
        <w:trPr>
          <w:trHeight w:val="223"/>
        </w:trPr>
        <w:tc>
          <w:tcPr>
            <w:tcW w:w="6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Consideration received for process transition activities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2,203</w:t>
            </w:r>
          </w:p>
        </w:tc>
      </w:tr>
    </w:tbl>
    <w:p>
      <w:pPr>
        <w:spacing w:after="0" w:line="283"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Accounts receivable includes $122,943 and $93,336 as of June 30, 2022 and December 31, 2021, respectively, representing unbilled receivables. The Company has accrued the unbilled receivables for work performed in accordance with the terms of contracts with customers and considers no significant performance risk associated with its unbilled receivables.</w:t>
      </w:r>
    </w:p>
    <w:p>
      <w:pPr>
        <w:spacing w:after="0" w:line="188"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Contract assets represent upfront payments such as deal signing discounts or deal signing bonuses made to customers. These costs are amortized over the expected period of the benefit and are recorded as an adjustment to transaction price and reduced from revenues. The Company’s assessment did not indicate any impairment losses on its contract assets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360" w:lineRule="exact"/>
        <w:rPr>
          <w:sz w:val="20"/>
          <w:szCs w:val="20"/>
          <w:color w:val="auto"/>
        </w:rPr>
      </w:pPr>
    </w:p>
    <w:p>
      <w:pPr>
        <w:jc w:val="both"/>
        <w:ind w:firstLine="354"/>
        <w:spacing w:after="0" w:line="251" w:lineRule="auto"/>
        <w:rPr>
          <w:sz w:val="20"/>
          <w:szCs w:val="20"/>
          <w:color w:val="auto"/>
        </w:rPr>
      </w:pPr>
      <w:r>
        <w:rPr>
          <w:rFonts w:ascii="Times New Roman" w:cs="Times New Roman" w:eastAsia="Times New Roman" w:hAnsi="Times New Roman"/>
          <w:sz w:val="17"/>
          <w:szCs w:val="17"/>
          <w:color w:val="auto"/>
        </w:rPr>
        <w:t>Contract liabilities represent that portion of deferred revenue for which payments have been received in advance from customers. The Company also defers revenues attributable to certain process transition activities for which costs have been capitalized by the Company as contract fulfillment costs. Consideration received from customers, if any, relating to such transition activities are classified under contract liabilities and are included within “Deferred revenues” and “Other non-current liabilities” in the unaudited consolidated balance sheets. The revenues are recognized as (or when) the performance obligation is fulfilled under the contract with customer.</w:t>
      </w:r>
    </w:p>
    <w:p>
      <w:pPr>
        <w:spacing w:after="0" w:line="197" w:lineRule="exact"/>
        <w:rPr>
          <w:sz w:val="20"/>
          <w:szCs w:val="20"/>
          <w:color w:val="auto"/>
        </w:rPr>
      </w:pPr>
    </w:p>
    <w:p>
      <w:pPr>
        <w:jc w:val="both"/>
        <w:ind w:firstLine="315"/>
        <w:spacing w:after="0" w:line="281" w:lineRule="auto"/>
        <w:rPr>
          <w:sz w:val="20"/>
          <w:szCs w:val="20"/>
          <w:color w:val="auto"/>
        </w:rPr>
      </w:pPr>
      <w:r>
        <w:rPr>
          <w:rFonts w:ascii="Times New Roman" w:cs="Times New Roman" w:eastAsia="Times New Roman" w:hAnsi="Times New Roman"/>
          <w:sz w:val="17"/>
          <w:szCs w:val="17"/>
          <w:color w:val="auto"/>
        </w:rPr>
        <w:t>Revenue recognized during the three and six months ended June 30, 2022 and 2021, which was included in the contract liabilities balance at the beginning of the respective periods: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254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5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4"/>
        </w:trPr>
        <w:tc>
          <w:tcPr>
            <w:tcW w:w="55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 (consideration received in advance)</w:t>
            </w:r>
          </w:p>
        </w:tc>
        <w:tc>
          <w:tcPr>
            <w:tcW w:w="102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13,870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26,953</w:t>
            </w:r>
          </w:p>
        </w:tc>
      </w:tr>
      <w:tr>
        <w:trPr>
          <w:trHeight w:val="228"/>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Consideration received for process transition activities</w:t>
            </w: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00" w:type="dxa"/>
            <w:vAlign w:val="bottom"/>
          </w:tcPr>
          <w:p>
            <w:pPr>
              <w:spacing w:after="0"/>
              <w:rPr>
                <w:sz w:val="19"/>
                <w:szCs w:val="19"/>
                <w:color w:val="auto"/>
              </w:rPr>
            </w:pPr>
          </w:p>
        </w:tc>
        <w:tc>
          <w:tcPr>
            <w:tcW w:w="860" w:type="dxa"/>
            <w:vAlign w:val="bottom"/>
          </w:tcPr>
          <w:p>
            <w:pPr>
              <w:jc w:val="right"/>
              <w:ind w:right="678"/>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12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664</w:t>
            </w:r>
          </w:p>
        </w:tc>
        <w:tc>
          <w:tcPr>
            <w:tcW w:w="8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1,187</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Contract acquisition and fulfillment costs</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provides details of the Company’s contract acquisition and fulfillment costs: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10"/>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Contract Acquisition Costs</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June 30, 2022</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June 30, 2021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7"/>
                <w:szCs w:val="17"/>
                <w:b w:val="1"/>
                <w:bCs w:val="1"/>
                <w:color w:val="auto"/>
              </w:rPr>
              <w:t>June 30, 2022</w:t>
            </w:r>
          </w:p>
        </w:tc>
        <w:tc>
          <w:tcPr>
            <w:tcW w:w="1220" w:type="dxa"/>
            <w:vAlign w:val="bottom"/>
            <w:tcBorders>
              <w:bottom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June 30, 2021</w:t>
            </w: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0" w:type="dxa"/>
            <w:vAlign w:val="bottom"/>
          </w:tcPr>
          <w:p>
            <w:pPr>
              <w:spacing w:after="0"/>
              <w:rPr>
                <w:sz w:val="1"/>
                <w:szCs w:val="1"/>
                <w:color w:val="auto"/>
              </w:rPr>
            </w:pPr>
          </w:p>
        </w:tc>
      </w:tr>
      <w:tr>
        <w:trPr>
          <w:trHeight w:val="242"/>
        </w:trPr>
        <w:tc>
          <w:tcPr>
            <w:tcW w:w="140" w:type="dxa"/>
            <w:vAlign w:val="bottom"/>
          </w:tcPr>
          <w:p>
            <w:pPr>
              <w:spacing w:after="0"/>
              <w:rPr>
                <w:sz w:val="21"/>
                <w:szCs w:val="21"/>
                <w:color w:val="auto"/>
              </w:rPr>
            </w:pPr>
          </w:p>
        </w:tc>
        <w:tc>
          <w:tcPr>
            <w:tcW w:w="4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Opening Balance</w:t>
            </w:r>
          </w:p>
        </w:tc>
        <w:tc>
          <w:tcPr>
            <w:tcW w:w="30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w:t>
            </w:r>
          </w:p>
        </w:tc>
        <w:tc>
          <w:tcPr>
            <w:tcW w:w="20" w:type="dxa"/>
            <w:vAlign w:val="bottom"/>
          </w:tcPr>
          <w:p>
            <w:pPr>
              <w:spacing w:after="0"/>
              <w:rPr>
                <w:sz w:val="19"/>
                <w:szCs w:val="19"/>
                <w:color w:val="auto"/>
              </w:rPr>
            </w:pPr>
          </w:p>
        </w:tc>
        <w:tc>
          <w:tcPr>
            <w:tcW w:w="820" w:type="dxa"/>
            <w:vAlign w:val="bottom"/>
            <w:gridSpan w:val="3"/>
          </w:tcPr>
          <w:p>
            <w:pPr>
              <w:jc w:val="right"/>
              <w:ind w:right="53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w:t>
            </w:r>
          </w:p>
        </w:tc>
        <w:tc>
          <w:tcPr>
            <w:tcW w:w="20" w:type="dxa"/>
            <w:vAlign w:val="bottom"/>
          </w:tcPr>
          <w:p>
            <w:pPr>
              <w:spacing w:after="0"/>
              <w:rPr>
                <w:sz w:val="19"/>
                <w:szCs w:val="19"/>
                <w:color w:val="auto"/>
              </w:rPr>
            </w:pPr>
          </w:p>
        </w:tc>
        <w:tc>
          <w:tcPr>
            <w:tcW w:w="440" w:type="dxa"/>
            <w:vAlign w:val="bottom"/>
            <w:gridSpan w:val="3"/>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(124)</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(292)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40" w:type="dxa"/>
            <w:vAlign w:val="bottom"/>
          </w:tcPr>
          <w:p>
            <w:pPr>
              <w:spacing w:after="0"/>
              <w:rPr>
                <w:sz w:val="20"/>
                <w:szCs w:val="20"/>
                <w:color w:val="auto"/>
              </w:rPr>
            </w:pPr>
          </w:p>
        </w:tc>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Closing Balance</w:t>
            </w: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983</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867</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983</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867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511</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10"/>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Contract Fulfillment Costs</w:t>
            </w: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June 30, 2022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June 30, 2021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June 30, 2022</w:t>
            </w:r>
          </w:p>
        </w:tc>
        <w:tc>
          <w:tcPr>
            <w:tcW w:w="13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June 30, 2021</w:t>
            </w:r>
          </w:p>
        </w:tc>
        <w:tc>
          <w:tcPr>
            <w:tcW w:w="160" w:type="dxa"/>
            <w:vAlign w:val="bottom"/>
          </w:tcPr>
          <w:p>
            <w:pPr>
              <w:spacing w:after="0"/>
              <w:rPr>
                <w:sz w:val="14"/>
                <w:szCs w:val="14"/>
                <w:color w:val="auto"/>
              </w:rPr>
            </w:pPr>
          </w:p>
        </w:tc>
        <w:tc>
          <w:tcPr>
            <w:tcW w:w="1280" w:type="dxa"/>
            <w:vAlign w:val="bottom"/>
          </w:tcPr>
          <w:p>
            <w:pPr>
              <w:jc w:val="center"/>
              <w:ind w:right="53"/>
              <w:spacing w:after="0" w:line="163"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5"/>
            <w:vMerge w:val="continue"/>
          </w:tcPr>
          <w:p>
            <w:pPr>
              <w:spacing w:after="0"/>
              <w:rPr>
                <w:sz w:val="20"/>
                <w:szCs w:val="20"/>
                <w:color w:val="auto"/>
              </w:rPr>
            </w:pPr>
          </w:p>
        </w:tc>
        <w:tc>
          <w:tcPr>
            <w:tcW w:w="130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0" w:type="dxa"/>
            <w:vAlign w:val="bottom"/>
            <w:tcBorders>
              <w:top w:val="single" w:sz="8" w:color="CCEEFF"/>
            </w:tcBorders>
            <w:shd w:val="clear" w:color="auto" w:fill="CCEEFF"/>
          </w:tcPr>
          <w:p>
            <w:pPr>
              <w:spacing w:after="0"/>
              <w:rPr>
                <w:sz w:val="21"/>
                <w:szCs w:val="21"/>
                <w:color w:val="auto"/>
              </w:rPr>
            </w:pPr>
          </w:p>
        </w:tc>
        <w:tc>
          <w:tcPr>
            <w:tcW w:w="42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Opening Balance</w:t>
            </w:r>
          </w:p>
        </w:tc>
        <w:tc>
          <w:tcPr>
            <w:tcW w:w="300" w:type="dxa"/>
            <w:vAlign w:val="bottom"/>
            <w:gridSpan w:val="2"/>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7,435</w:t>
            </w:r>
          </w:p>
        </w:tc>
        <w:tc>
          <w:tcPr>
            <w:tcW w:w="20" w:type="dxa"/>
            <w:vAlign w:val="bottom"/>
          </w:tcPr>
          <w:p>
            <w:pPr>
              <w:spacing w:after="0"/>
              <w:rPr>
                <w:sz w:val="19"/>
                <w:szCs w:val="19"/>
                <w:color w:val="auto"/>
              </w:rPr>
            </w:pPr>
          </w:p>
        </w:tc>
        <w:tc>
          <w:tcPr>
            <w:tcW w:w="820" w:type="dxa"/>
            <w:vAlign w:val="bottom"/>
            <w:gridSpan w:val="3"/>
          </w:tcPr>
          <w:p>
            <w:pPr>
              <w:jc w:val="right"/>
              <w:ind w:right="57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4,419</w:t>
            </w:r>
          </w:p>
        </w:tc>
        <w:tc>
          <w:tcPr>
            <w:tcW w:w="20" w:type="dxa"/>
            <w:vAlign w:val="bottom"/>
          </w:tcPr>
          <w:p>
            <w:pPr>
              <w:spacing w:after="0"/>
              <w:rPr>
                <w:sz w:val="19"/>
                <w:szCs w:val="19"/>
                <w:color w:val="auto"/>
              </w:rPr>
            </w:pPr>
          </w:p>
        </w:tc>
        <w:tc>
          <w:tcPr>
            <w:tcW w:w="440" w:type="dxa"/>
            <w:vAlign w:val="bottom"/>
            <w:gridSpan w:val="3"/>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5,631</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Closing Balance</w:t>
            </w:r>
          </w:p>
        </w:tc>
        <w:tc>
          <w:tcPr>
            <w:tcW w:w="300" w:type="dxa"/>
            <w:vAlign w:val="bottom"/>
            <w:tcBorders>
              <w:bottom w:val="single" w:sz="8" w:color="auto"/>
            </w:tcBorders>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10,167</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gridSpan w:val="2"/>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3,694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gridSpan w:val="2"/>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10,167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3,694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393"/>
        <w:spacing w:after="0" w:line="281" w:lineRule="auto"/>
        <w:rPr>
          <w:sz w:val="20"/>
          <w:szCs w:val="20"/>
          <w:color w:val="auto"/>
        </w:rPr>
      </w:pPr>
      <w:r>
        <w:rPr>
          <w:rFonts w:ascii="Times New Roman" w:cs="Times New Roman" w:eastAsia="Times New Roman" w:hAnsi="Times New Roman"/>
          <w:sz w:val="17"/>
          <w:szCs w:val="17"/>
          <w:color w:val="auto"/>
        </w:rPr>
        <w:t>There was no impairment for contract acquisition and contract fulfillment costs as of June 30, 2022 and December 31, 2021. The capitalized costs are amortized over the expected period of benefit of the contract.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Allowance for expected credit losses</w:t>
      </w:r>
    </w:p>
    <w:p>
      <w:pPr>
        <w:spacing w:after="0" w:line="239" w:lineRule="exact"/>
        <w:rPr>
          <w:sz w:val="20"/>
          <w:szCs w:val="20"/>
          <w:color w:val="auto"/>
        </w:rPr>
      </w:pPr>
    </w:p>
    <w:p>
      <w:pPr>
        <w:jc w:val="both"/>
        <w:ind w:firstLine="393"/>
        <w:spacing w:after="0" w:line="254" w:lineRule="auto"/>
        <w:rPr>
          <w:sz w:val="20"/>
          <w:szCs w:val="20"/>
          <w:color w:val="auto"/>
        </w:rPr>
      </w:pPr>
      <w:r>
        <w:rPr>
          <w:rFonts w:ascii="Times New Roman" w:cs="Times New Roman" w:eastAsia="Times New Roman" w:hAnsi="Times New Roman"/>
          <w:sz w:val="17"/>
          <w:szCs w:val="17"/>
          <w:color w:val="auto"/>
        </w:rPr>
        <w:t>The Company evaluates the credit risk of its customers based on a combination of various financial and qualitative factors that may affect the ability of each customer to pay. The Company considered current and anticipated future economic conditions relating to the industries of the Company’s customers and the countries where it operates. In calculating expected credit loss, the Company also considered past payment trends, credit rating and other related credit information for its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significant customers to estimate the probability of default in the future and estimates relating to the possible effects resulting from COVID-19.</w:t>
      </w:r>
    </w:p>
    <w:p>
      <w:pPr>
        <w:spacing w:after="0" w:line="295" w:lineRule="exact"/>
        <w:rPr>
          <w:sz w:val="20"/>
          <w:szCs w:val="20"/>
          <w:color w:val="auto"/>
        </w:rPr>
      </w:pPr>
    </w:p>
    <w:tbl>
      <w:tblPr>
        <w:tblLayout w:type="fixed"/>
        <w:tblInd w:w="480" w:type="dxa"/>
        <w:tblCellMar>
          <w:top w:w="0" w:type="dxa"/>
          <w:left w:w="0" w:type="dxa"/>
          <w:bottom w:w="0" w:type="dxa"/>
          <w:right w:w="0" w:type="dxa"/>
        </w:tblCellMar>
      </w:tblPr>
      <w:tr>
        <w:trPr>
          <w:trHeight w:val="223"/>
        </w:trPr>
        <w:tc>
          <w:tcPr>
            <w:tcW w:w="64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820" w:type="dxa"/>
            <w:vAlign w:val="bottom"/>
            <w:tcBorders>
              <w:bottom w:val="single" w:sz="8" w:color="auto"/>
            </w:tcBorders>
            <w:shd w:val="clear" w:color="auto" w:fill="CCEEFF"/>
          </w:tcPr>
          <w:p>
            <w:pPr>
              <w:spacing w:after="0"/>
              <w:rPr>
                <w:sz w:val="19"/>
                <w:szCs w:val="19"/>
                <w:color w:val="auto"/>
              </w:rPr>
            </w:pPr>
          </w:p>
        </w:tc>
      </w:tr>
      <w:tr>
        <w:trPr>
          <w:trHeight w:val="216"/>
        </w:trPr>
        <w:tc>
          <w:tcPr>
            <w:tcW w:w="6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June 30, 2022</w:t>
            </w:r>
          </w:p>
        </w:tc>
        <w:tc>
          <w:tcPr>
            <w:tcW w:w="240" w:type="dxa"/>
            <w:vAlign w:val="bottom"/>
          </w:tcPr>
          <w:p>
            <w:pPr>
              <w:spacing w:after="0"/>
              <w:rPr>
                <w:sz w:val="18"/>
                <w:szCs w:val="18"/>
                <w:color w:val="auto"/>
              </w:rPr>
            </w:pPr>
          </w:p>
        </w:tc>
        <w:tc>
          <w:tcPr>
            <w:tcW w:w="182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6"/>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 including unbilled receivables</w:t>
            </w: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238,297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194,805</w:t>
            </w:r>
          </w:p>
        </w:tc>
      </w:tr>
      <w:tr>
        <w:trPr>
          <w:trHeight w:val="223"/>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Allowance for expected credit losses</w:t>
            </w: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(573)</w:t>
            </w:r>
          </w:p>
        </w:tc>
      </w:tr>
      <w:tr>
        <w:trPr>
          <w:trHeight w:val="241"/>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Accounts receivable, net</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237,453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194,232</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movement in “Allowance for expected credit losses” on customer balances was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6"/>
              </w:rPr>
              <w:t>Year ended</w:t>
            </w:r>
          </w:p>
        </w:tc>
        <w:tc>
          <w:tcPr>
            <w:tcW w:w="0" w:type="dxa"/>
            <w:vAlign w:val="bottom"/>
          </w:tcPr>
          <w:p>
            <w:pPr>
              <w:spacing w:after="0"/>
              <w:rPr>
                <w:sz w:val="1"/>
                <w:szCs w:val="1"/>
                <w:color w:val="auto"/>
              </w:rPr>
            </w:pPr>
          </w:p>
        </w:tc>
      </w:tr>
      <w:tr>
        <w:trPr>
          <w:trHeight w:val="153"/>
        </w:trPr>
        <w:tc>
          <w:tcPr>
            <w:tcW w:w="54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top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5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56"/>
              <w:spacing w:after="0" w:line="153"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127"/>
        </w:trPr>
        <w:tc>
          <w:tcPr>
            <w:tcW w:w="5420" w:type="dxa"/>
            <w:vAlign w:val="bottom"/>
          </w:tcPr>
          <w:p>
            <w:pPr>
              <w:spacing w:after="0"/>
              <w:rPr>
                <w:sz w:val="11"/>
                <w:szCs w:val="11"/>
                <w:color w:val="auto"/>
              </w:rPr>
            </w:pPr>
          </w:p>
        </w:tc>
        <w:tc>
          <w:tcPr>
            <w:tcW w:w="11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140" w:type="dxa"/>
            <w:vAlign w:val="bottom"/>
            <w:gridSpan w:val="3"/>
            <w:vMerge w:val="continue"/>
          </w:tcPr>
          <w:p>
            <w:pPr>
              <w:spacing w:after="0"/>
              <w:rPr>
                <w:sz w:val="11"/>
                <w:szCs w:val="11"/>
                <w:color w:val="auto"/>
              </w:rPr>
            </w:pPr>
          </w:p>
        </w:tc>
        <w:tc>
          <w:tcPr>
            <w:tcW w:w="11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60" w:type="dxa"/>
            <w:vAlign w:val="bottom"/>
          </w:tcPr>
          <w:p>
            <w:pPr>
              <w:spacing w:after="0"/>
              <w:rPr>
                <w:sz w:val="11"/>
                <w:szCs w:val="11"/>
                <w:color w:val="auto"/>
              </w:rPr>
            </w:pPr>
          </w:p>
        </w:tc>
        <w:tc>
          <w:tcPr>
            <w:tcW w:w="1140" w:type="dxa"/>
            <w:vAlign w:val="bottom"/>
            <w:vMerge w:val="restart"/>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82"/>
        </w:trPr>
        <w:tc>
          <w:tcPr>
            <w:tcW w:w="542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the beginning of the period</w:t>
            </w: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1,189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w:t>
            </w: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 (reductions) during the period</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Reductions due to write-off of Accounts Receivables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Translation adjustment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41"/>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the end of the period</w:t>
            </w: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844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573</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Earnings Per Share</w:t>
      </w:r>
    </w:p>
    <w:p>
      <w:pPr>
        <w:spacing w:after="0" w:line="239" w:lineRule="exact"/>
        <w:rPr>
          <w:sz w:val="20"/>
          <w:szCs w:val="20"/>
          <w:color w:val="auto"/>
        </w:rPr>
      </w:pPr>
    </w:p>
    <w:p>
      <w:pPr>
        <w:jc w:val="both"/>
        <w:ind w:firstLine="393"/>
        <w:spacing w:after="0" w:line="248" w:lineRule="auto"/>
        <w:rPr>
          <w:sz w:val="20"/>
          <w:szCs w:val="20"/>
          <w:color w:val="auto"/>
        </w:rPr>
      </w:pPr>
      <w:r>
        <w:rPr>
          <w:rFonts w:ascii="Times New Roman" w:cs="Times New Roman" w:eastAsia="Times New Roman" w:hAnsi="Times New Roman"/>
          <w:sz w:val="17"/>
          <w:szCs w:val="17"/>
          <w:color w:val="auto"/>
        </w:rPr>
        <w:t>Basic earnings per share is computed by dividing net income attributable to common stockholders by the weighted average number of common shares outstanding, adjusted for outstanding shares that are subject to repurchase during each period. Diluted earnings per share is computed using the weighted average number of common shares plus the potentially dilutive effect of common stock equivalents (outstanding stock options, restricted stock and restricted stock units) issued and outstanding at the reporting date, and an assumed conversion premium of outstanding convertible notes, using the treasury stock method (as discussed further in the subsequent paragraph). Common stock equivalents that are anti-dilutive are excluded from the computation of weighted average shares outstanding. The Company includes performance stock unit awards in dilutive potential common shares when they become contingently issuable and have a dilutive impact per authoritative guidance and excludes such awards when they are not contingently issuable.</w:t>
      </w:r>
    </w:p>
    <w:p>
      <w:pPr>
        <w:spacing w:after="0" w:line="199" w:lineRule="exact"/>
        <w:rPr>
          <w:sz w:val="20"/>
          <w:szCs w:val="20"/>
          <w:color w:val="auto"/>
        </w:rPr>
      </w:pPr>
    </w:p>
    <w:p>
      <w:pPr>
        <w:jc w:val="both"/>
        <w:ind w:firstLine="393"/>
        <w:spacing w:after="0" w:line="245" w:lineRule="auto"/>
        <w:rPr>
          <w:sz w:val="20"/>
          <w:szCs w:val="20"/>
          <w:color w:val="auto"/>
        </w:rPr>
      </w:pPr>
      <w:r>
        <w:rPr>
          <w:rFonts w:ascii="Times New Roman" w:cs="Times New Roman" w:eastAsia="Times New Roman" w:hAnsi="Times New Roman"/>
          <w:sz w:val="17"/>
          <w:szCs w:val="17"/>
          <w:color w:val="auto"/>
        </w:rPr>
        <w:t>In 2021, diluted weighted-average shares outstanding was affected by the treatment of the Company’s 3.5% per annum Convertible Senior Notes due October 1, 2024 (the “Notes”). The Company had a choice to settle the Notes in cash, shares or any combination of the two. The Company had the ability to settle the principal balance of the Notes in cash, and as such, the Company applied the treasury stock method. The dilution related to the conversion premium, if any, of the Notes is included in the calculation of diluted weighted-average shares outstanding for the portion of the period until actual settlement and to the extent the issuance is dilutive based on the average stock price during the reporting period being greater than the conversion price of $75. During the third quarter of 2021, the Company settled the Notes by electing a combination of cash and shares of the Company’s common stock and as such included the count of shares issued on settlement in the calculation of basic earnings per share for the portion of the period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3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sets forth the computation of basic and diluted earnings per share: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3120" w:type="dxa"/>
            <w:vAlign w:val="bottom"/>
            <w:gridSpan w:val="4"/>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4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4"/>
        </w:trPr>
        <w:tc>
          <w:tcPr>
            <w:tcW w:w="4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Numerators:</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35,846</w:t>
            </w:r>
          </w:p>
        </w:tc>
        <w:tc>
          <w:tcPr>
            <w:tcW w:w="10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28,021</w:t>
            </w:r>
          </w:p>
        </w:tc>
        <w:tc>
          <w:tcPr>
            <w:tcW w:w="80" w:type="dxa"/>
            <w:vAlign w:val="bottom"/>
          </w:tcPr>
          <w:p>
            <w:pPr>
              <w:spacing w:after="0"/>
              <w:rPr>
                <w:sz w:val="19"/>
                <w:szCs w:val="19"/>
                <w:color w:val="auto"/>
              </w:rPr>
            </w:pPr>
          </w:p>
        </w:tc>
        <w:tc>
          <w:tcPr>
            <w:tcW w:w="44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72,024</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59,952</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Denominators: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 weighted average common shares outstanding</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33,403,411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33,571,074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33,422,618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33,652,146</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Dilutive effect of share-based awards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427,128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330,063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439,979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336,528</w:t>
            </w:r>
          </w:p>
        </w:tc>
        <w:tc>
          <w:tcPr>
            <w:tcW w:w="0" w:type="dxa"/>
            <w:vAlign w:val="bottom"/>
          </w:tcPr>
          <w:p>
            <w:pPr>
              <w:spacing w:after="0"/>
              <w:rPr>
                <w:sz w:val="1"/>
                <w:szCs w:val="1"/>
                <w:color w:val="auto"/>
              </w:rPr>
            </w:pPr>
          </w:p>
        </w:tc>
      </w:tr>
      <w:tr>
        <w:trPr>
          <w:trHeight w:val="223"/>
        </w:trPr>
        <w:tc>
          <w:tcPr>
            <w:tcW w:w="44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Dilutive effect of conversion premium on the Notes</w:t>
            </w:r>
          </w:p>
        </w:tc>
        <w:tc>
          <w:tcPr>
            <w:tcW w:w="3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488,631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364,919</w:t>
            </w:r>
          </w:p>
        </w:tc>
        <w:tc>
          <w:tcPr>
            <w:tcW w:w="0" w:type="dxa"/>
            <w:vAlign w:val="bottom"/>
          </w:tcPr>
          <w:p>
            <w:pPr>
              <w:spacing w:after="0"/>
              <w:rPr>
                <w:sz w:val="1"/>
                <w:szCs w:val="1"/>
                <w:color w:val="auto"/>
              </w:rPr>
            </w:pPr>
          </w:p>
        </w:tc>
      </w:tr>
      <w:tr>
        <w:trPr>
          <w:trHeight w:val="241"/>
        </w:trPr>
        <w:tc>
          <w:tcPr>
            <w:tcW w:w="448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 weighted average common shares outstanding</w:t>
            </w: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33,830,539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34,389,768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33,862,597</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34,353,593</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line="157" w:lineRule="exact"/>
              <w:rPr>
                <w:sz w:val="20"/>
                <w:szCs w:val="20"/>
                <w:color w:val="auto"/>
              </w:rPr>
            </w:pPr>
            <w:r>
              <w:rPr>
                <w:rFonts w:ascii="Times New Roman" w:cs="Times New Roman" w:eastAsia="Times New Roman" w:hAnsi="Times New Roman"/>
                <w:sz w:val="17"/>
                <w:szCs w:val="17"/>
                <w:color w:val="auto"/>
              </w:rPr>
              <w:t>Earnings per share attributable to ExlService Holdings Inc.</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4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0" w:type="dxa"/>
            <w:vAlign w:val="bottom"/>
          </w:tcPr>
          <w:p>
            <w:pPr>
              <w:spacing w:after="0"/>
              <w:rPr>
                <w:sz w:val="1"/>
                <w:szCs w:val="1"/>
                <w:color w:val="auto"/>
              </w:rPr>
            </w:pPr>
          </w:p>
        </w:tc>
      </w:tr>
      <w:tr>
        <w:trPr>
          <w:trHeight w:val="223"/>
        </w:trPr>
        <w:tc>
          <w:tcPr>
            <w:tcW w:w="44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0.81</w:t>
            </w:r>
          </w:p>
        </w:tc>
        <w:tc>
          <w:tcPr>
            <w:tcW w:w="80" w:type="dxa"/>
            <w:vAlign w:val="bottom"/>
          </w:tcPr>
          <w:p>
            <w:pPr>
              <w:spacing w:after="0"/>
              <w:rPr>
                <w:sz w:val="19"/>
                <w:szCs w:val="19"/>
                <w:color w:val="auto"/>
              </w:rPr>
            </w:pPr>
          </w:p>
        </w:tc>
        <w:tc>
          <w:tcPr>
            <w:tcW w:w="44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r>
        <w:trPr>
          <w:trHeight w:val="170"/>
        </w:trPr>
        <w:tc>
          <w:tcPr>
            <w:tcW w:w="44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Weighted average potentially dilutive shares considered anti-</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dilutive and not included in computing diluted earnings per</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1,748</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w:t>
            </w:r>
          </w:p>
        </w:tc>
        <w:tc>
          <w:tcPr>
            <w:tcW w:w="0" w:type="dxa"/>
            <w:vAlign w:val="bottom"/>
          </w:tcPr>
          <w:p>
            <w:pPr>
              <w:spacing w:after="0"/>
              <w:rPr>
                <w:sz w:val="1"/>
                <w:szCs w:val="1"/>
                <w:color w:val="auto"/>
              </w:rPr>
            </w:pPr>
          </w:p>
        </w:tc>
      </w:tr>
    </w:tbl>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Cash, Cash Equivalents and Restricted Cash</w:t>
      </w:r>
    </w:p>
    <w:p>
      <w:pPr>
        <w:spacing w:after="0" w:line="2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For the purposes of the unaudited statements of cash flows, cash, cash equivalents and restricted cash comprise of the following:</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Cash and cash equivalents</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Restricted cash (current)</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Restricted cash (non-current)</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Cash, cash equivalents and restricted cash</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Other Income/(Loss), net</w:t>
      </w:r>
    </w:p>
    <w:p>
      <w:pPr>
        <w:spacing w:after="0" w:line="121" w:lineRule="exact"/>
        <w:rPr>
          <w:sz w:val="20"/>
          <w:szCs w:val="20"/>
          <w:color w:val="auto"/>
        </w:rPr>
      </w:pPr>
    </w:p>
    <w:p>
      <w:pPr>
        <w:jc w:val="right"/>
        <w:ind w:right="580"/>
        <w:spacing w:after="0"/>
        <w:rPr>
          <w:sz w:val="20"/>
          <w:szCs w:val="20"/>
          <w:color w:val="auto"/>
        </w:rPr>
      </w:pPr>
      <w:r>
        <w:rPr>
          <w:rFonts w:ascii="Times New Roman" w:cs="Times New Roman" w:eastAsia="Times New Roman" w:hAnsi="Times New Roman"/>
          <w:sz w:val="17"/>
          <w:szCs w:val="17"/>
          <w:color w:val="auto"/>
        </w:rPr>
        <w:t>Other income/(loss), net consists of the following:</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As of</w:t>
      </w:r>
    </w:p>
    <w:p>
      <w:pPr>
        <w:spacing w:after="0" w:line="27" w:lineRule="exact"/>
        <w:rPr>
          <w:sz w:val="20"/>
          <w:szCs w:val="20"/>
          <w:color w:val="auto"/>
        </w:rPr>
      </w:pPr>
    </w:p>
    <w:tbl>
      <w:tblPr>
        <w:tblLayout w:type="fixed"/>
        <w:tblInd w:w="480" w:type="dxa"/>
        <w:tblCellMar>
          <w:top w:w="0" w:type="dxa"/>
          <w:left w:w="0" w:type="dxa"/>
          <w:bottom w:w="0" w:type="dxa"/>
          <w:right w:w="0" w:type="dxa"/>
        </w:tblCellMar>
      </w:tblPr>
      <w:tr>
        <w:trPr>
          <w:trHeight w:val="199"/>
        </w:trPr>
        <w:tc>
          <w:tcPr>
            <w:tcW w:w="3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2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1"/>
        </w:trPr>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106,304</w:t>
            </w:r>
          </w:p>
        </w:tc>
        <w:tc>
          <w:tcPr>
            <w:tcW w:w="100" w:type="dxa"/>
            <w:vAlign w:val="bottom"/>
          </w:tcPr>
          <w:p>
            <w:pPr>
              <w:spacing w:after="0"/>
              <w:rPr>
                <w:sz w:val="18"/>
                <w:szCs w:val="18"/>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150,211</w:t>
            </w:r>
          </w:p>
        </w:tc>
        <w:tc>
          <w:tcPr>
            <w:tcW w:w="100" w:type="dxa"/>
            <w:vAlign w:val="bottom"/>
          </w:tcPr>
          <w:p>
            <w:pPr>
              <w:spacing w:after="0"/>
              <w:rPr>
                <w:sz w:val="18"/>
                <w:szCs w:val="18"/>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135,337</w:t>
            </w:r>
          </w:p>
        </w:tc>
      </w:tr>
      <w:tr>
        <w:trPr>
          <w:trHeight w:val="223"/>
        </w:trPr>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6,174</w:t>
            </w:r>
          </w:p>
        </w:tc>
      </w:tr>
      <w:tr>
        <w:trPr>
          <w:trHeight w:val="228"/>
        </w:trPr>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2,299</w:t>
            </w:r>
          </w:p>
        </w:tc>
      </w:tr>
      <w:tr>
        <w:trPr>
          <w:trHeight w:val="216"/>
        </w:trPr>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115,200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157,536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143,810</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-3281680</wp:posOffset>
            </wp:positionH>
            <wp:positionV relativeFrom="paragraph">
              <wp:posOffset>-615315</wp:posOffset>
            </wp:positionV>
            <wp:extent cx="7103110" cy="1498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3110" cy="149860"/>
                    </a:xfrm>
                    <a:prstGeom prst="rect">
                      <a:avLst/>
                    </a:prstGeom>
                    <a:noFill/>
                  </pic:spPr>
                </pic:pic>
              </a:graphicData>
            </a:graphic>
          </wp:anchor>
        </w:drawing>
        <w:drawing>
          <wp:anchor simplePos="0" relativeHeight="251657728" behindDoc="1" locked="0" layoutInCell="0" allowOverlap="1">
            <wp:simplePos x="0" y="0"/>
            <wp:positionH relativeFrom="column">
              <wp:posOffset>-3281680</wp:posOffset>
            </wp:positionH>
            <wp:positionV relativeFrom="paragraph">
              <wp:posOffset>-323850</wp:posOffset>
            </wp:positionV>
            <wp:extent cx="7103110" cy="141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3110" cy="141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6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900" w:type="dxa"/>
            <w:vAlign w:val="bottom"/>
            <w:gridSpan w:val="2"/>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1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78"/>
        </w:trPr>
        <w:tc>
          <w:tcPr>
            <w:tcW w:w="144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2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1460" w:type="dxa"/>
            <w:vAlign w:val="bottom"/>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4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2021</w:t>
            </w:r>
          </w:p>
        </w:tc>
      </w:tr>
    </w:tbl>
    <w:p>
      <w:pPr>
        <w:spacing w:after="0" w:line="1" w:lineRule="exact"/>
        <w:rPr>
          <w:sz w:val="20"/>
          <w:szCs w:val="20"/>
          <w:color w:val="auto"/>
        </w:rPr>
      </w:pPr>
    </w:p>
    <w:p>
      <w:pPr>
        <w:sectPr>
          <w:pgSz w:w="11900" w:h="16838" w:orient="portrait"/>
          <w:cols w:equalWidth="0" w:num="2">
            <w:col w:w="4480" w:space="720"/>
            <w:col w:w="604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5200" w:type="dxa"/>
            <w:vAlign w:val="bottom"/>
            <w:tcBorders>
              <w:top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Gain on sale and mark-to-market of mutual funds and money market</w:t>
            </w:r>
          </w:p>
        </w:tc>
        <w:tc>
          <w:tcPr>
            <w:tcW w:w="2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80" w:type="dxa"/>
            <w:vAlign w:val="bottom"/>
          </w:tcPr>
          <w:p>
            <w:pPr>
              <w:spacing w:after="0"/>
              <w:rPr>
                <w:sz w:val="14"/>
                <w:szCs w:val="14"/>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funds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center"/>
              <w:ind w:left="313"/>
              <w:spacing w:after="0"/>
              <w:rPr>
                <w:sz w:val="20"/>
                <w:szCs w:val="20"/>
                <w:color w:val="auto"/>
              </w:rPr>
            </w:pPr>
            <w:r>
              <w:rPr>
                <w:rFonts w:ascii="Times New Roman" w:cs="Times New Roman" w:eastAsia="Times New Roman" w:hAnsi="Times New Roman"/>
                <w:sz w:val="17"/>
                <w:szCs w:val="17"/>
                <w:color w:val="auto"/>
              </w:rPr>
              <w:t>1,870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2,758</w:t>
            </w:r>
          </w:p>
        </w:tc>
        <w:tc>
          <w:tcPr>
            <w:tcW w:w="180" w:type="dxa"/>
            <w:vAlign w:val="bottom"/>
          </w:tcPr>
          <w:p>
            <w:pPr>
              <w:spacing w:after="0"/>
              <w:rPr>
                <w:sz w:val="19"/>
                <w:szCs w:val="19"/>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and dividend income</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center"/>
              <w:ind w:left="313"/>
              <w:spacing w:after="0"/>
              <w:rPr>
                <w:sz w:val="20"/>
                <w:szCs w:val="20"/>
                <w:color w:val="auto"/>
              </w:rPr>
            </w:pPr>
            <w:r>
              <w:rPr>
                <w:rFonts w:ascii="Times New Roman" w:cs="Times New Roman" w:eastAsia="Times New Roman" w:hAnsi="Times New Roman"/>
                <w:sz w:val="17"/>
                <w:szCs w:val="17"/>
                <w:color w:val="auto"/>
              </w:rPr>
              <w:t>2,217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180" w:type="dxa"/>
            <w:vAlign w:val="bottom"/>
          </w:tcPr>
          <w:p>
            <w:pPr>
              <w:spacing w:after="0"/>
              <w:rPr>
                <w:sz w:val="19"/>
                <w:szCs w:val="19"/>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Others, net</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273"/>
              <w:spacing w:after="0"/>
              <w:rPr>
                <w:sz w:val="20"/>
                <w:szCs w:val="20"/>
                <w:color w:val="auto"/>
              </w:rPr>
            </w:pPr>
            <w:r>
              <w:rPr>
                <w:rFonts w:ascii="Times New Roman" w:cs="Times New Roman" w:eastAsia="Times New Roman" w:hAnsi="Times New Roman"/>
                <w:sz w:val="17"/>
                <w:szCs w:val="17"/>
                <w:color w:val="auto"/>
              </w:rPr>
              <w:t>(1,850)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80" w:type="dxa"/>
            <w:vAlign w:val="bottom"/>
          </w:tcPr>
          <w:p>
            <w:pPr>
              <w:spacing w:after="0"/>
              <w:rPr>
                <w:sz w:val="19"/>
                <w:szCs w:val="19"/>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income/(loss), net</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2,215</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center"/>
              <w:ind w:left="313"/>
              <w:spacing w:after="0"/>
              <w:rPr>
                <w:sz w:val="20"/>
                <w:szCs w:val="20"/>
                <w:color w:val="auto"/>
              </w:rPr>
            </w:pPr>
            <w:r>
              <w:rPr>
                <w:rFonts w:ascii="Times New Roman" w:cs="Times New Roman" w:eastAsia="Times New Roman" w:hAnsi="Times New Roman"/>
                <w:sz w:val="17"/>
                <w:szCs w:val="17"/>
                <w:color w:val="auto"/>
              </w:rPr>
              <w:t>2,237</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3,625</w:t>
            </w:r>
          </w:p>
        </w:tc>
        <w:tc>
          <w:tcPr>
            <w:tcW w:w="18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71"/>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2"/>
        </w:trPr>
        <w:tc>
          <w:tcPr>
            <w:tcW w:w="5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Property and Equipment, net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Property and equipment, net consists of the following:</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300" w:type="dxa"/>
            <w:vAlign w:val="bottom"/>
          </w:tcPr>
          <w:p>
            <w:pPr>
              <w:spacing w:after="0"/>
              <w:rPr>
                <w:sz w:val="16"/>
                <w:szCs w:val="16"/>
                <w:color w:val="auto"/>
              </w:rPr>
            </w:pPr>
          </w:p>
        </w:tc>
        <w:tc>
          <w:tcPr>
            <w:tcW w:w="1820" w:type="dxa"/>
            <w:vAlign w:val="bottom"/>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80" w:type="dxa"/>
            <w:vAlign w:val="bottom"/>
          </w:tcPr>
          <w:p>
            <w:pPr>
              <w:spacing w:after="0"/>
              <w:rPr>
                <w:sz w:val="2"/>
                <w:szCs w:val="2"/>
                <w:color w:val="auto"/>
              </w:rPr>
            </w:pPr>
          </w:p>
        </w:tc>
        <w:tc>
          <w:tcPr>
            <w:tcW w:w="1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580" w:type="dxa"/>
            <w:vAlign w:val="bottom"/>
          </w:tcPr>
          <w:p>
            <w:pPr>
              <w:spacing w:after="0"/>
              <w:rPr>
                <w:sz w:val="15"/>
                <w:szCs w:val="15"/>
                <w:color w:val="auto"/>
              </w:rPr>
            </w:pPr>
          </w:p>
        </w:tc>
        <w:tc>
          <w:tcPr>
            <w:tcW w:w="19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0" w:type="dxa"/>
            <w:vAlign w:val="bottom"/>
          </w:tcPr>
          <w:p>
            <w:pPr>
              <w:spacing w:after="0"/>
              <w:rPr>
                <w:sz w:val="15"/>
                <w:szCs w:val="15"/>
                <w:color w:val="auto"/>
              </w:rPr>
            </w:pPr>
          </w:p>
        </w:tc>
        <w:tc>
          <w:tcPr>
            <w:tcW w:w="15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09"/>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Owned Assets:</w:t>
            </w:r>
          </w:p>
        </w:tc>
        <w:tc>
          <w:tcPr>
            <w:tcW w:w="1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Network equipment and computers</w:t>
            </w:r>
          </w:p>
        </w:tc>
        <w:tc>
          <w:tcPr>
            <w:tcW w:w="1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123,117</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116,023</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Software</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101,884</w:t>
            </w: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1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46,401</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Office furniture and equipment</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22,302</w:t>
            </w: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Motor vehicles</w:t>
            </w:r>
          </w:p>
        </w:tc>
        <w:tc>
          <w:tcPr>
            <w:tcW w:w="1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Buildings</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w:t>
            </w: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Land</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work in progress</w:t>
            </w:r>
          </w:p>
        </w:tc>
        <w:tc>
          <w:tcPr>
            <w:tcW w:w="1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10,288</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305,150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299,361</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(222,870)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(213,699)</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82,280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85,662</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Right-of-use assets under finance leases:*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Network equipment and computers</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w:t>
            </w: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 furniture and equipment</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Motor vehicles</w:t>
            </w: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2,685</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(2,339)</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0" w:type="dxa"/>
            <w:vAlign w:val="bottom"/>
          </w:tcPr>
          <w:p>
            <w:pPr>
              <w:spacing w:after="0"/>
              <w:rPr>
                <w:sz w:val="1"/>
                <w:szCs w:val="1"/>
                <w:color w:val="auto"/>
              </w:rPr>
            </w:pPr>
          </w:p>
        </w:tc>
      </w:tr>
      <w:tr>
        <w:trPr>
          <w:trHeight w:val="241"/>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82,649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86,008</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393"/>
        <w:spacing w:after="0" w:line="281" w:lineRule="auto"/>
        <w:rPr>
          <w:sz w:val="20"/>
          <w:szCs w:val="20"/>
          <w:color w:val="auto"/>
        </w:rPr>
      </w:pPr>
      <w:r>
        <w:rPr>
          <w:rFonts w:ascii="Times New Roman" w:cs="Times New Roman" w:eastAsia="Times New Roman" w:hAnsi="Times New Roman"/>
          <w:sz w:val="17"/>
          <w:szCs w:val="17"/>
          <w:color w:val="auto"/>
        </w:rPr>
        <w:t>*Depreciation on assets held under finance leases are computed using the straight-line method over the shorter of the assets estimated useful lives or the lease term.</w:t>
      </w:r>
    </w:p>
    <w:p>
      <w:pPr>
        <w:spacing w:after="0" w:line="172" w:lineRule="exact"/>
        <w:rPr>
          <w:sz w:val="20"/>
          <w:szCs w:val="20"/>
          <w:color w:val="auto"/>
        </w:rPr>
      </w:pPr>
    </w:p>
    <w:p>
      <w:pPr>
        <w:jc w:val="both"/>
        <w:ind w:firstLine="393"/>
        <w:spacing w:after="0" w:line="281" w:lineRule="auto"/>
        <w:rPr>
          <w:sz w:val="20"/>
          <w:szCs w:val="20"/>
          <w:color w:val="auto"/>
        </w:rPr>
      </w:pPr>
      <w:r>
        <w:rPr>
          <w:rFonts w:ascii="Times New Roman" w:cs="Times New Roman" w:eastAsia="Times New Roman" w:hAnsi="Times New Roman"/>
          <w:sz w:val="17"/>
          <w:szCs w:val="17"/>
          <w:color w:val="auto"/>
        </w:rPr>
        <w:t>Capital work in progress represents advances paid towards acquisition of property and equipment and costs incurred on internally developed software not yet ready to be placed in service.</w:t>
      </w:r>
    </w:p>
    <w:p>
      <w:pPr>
        <w:spacing w:after="0" w:line="172" w:lineRule="exact"/>
        <w:rPr>
          <w:sz w:val="20"/>
          <w:szCs w:val="20"/>
          <w:color w:val="auto"/>
        </w:rPr>
      </w:pPr>
    </w:p>
    <w:p>
      <w:pPr>
        <w:jc w:val="both"/>
        <w:ind w:firstLine="393"/>
        <w:spacing w:after="0" w:line="281" w:lineRule="auto"/>
        <w:rPr>
          <w:sz w:val="20"/>
          <w:szCs w:val="20"/>
          <w:color w:val="auto"/>
        </w:rPr>
      </w:pPr>
      <w:r>
        <w:rPr>
          <w:rFonts w:ascii="Times New Roman" w:cs="Times New Roman" w:eastAsia="Times New Roman" w:hAnsi="Times New Roman"/>
          <w:sz w:val="17"/>
          <w:szCs w:val="17"/>
          <w:color w:val="auto"/>
        </w:rPr>
        <w:t>During the three and six months ended June 30, 2022, there were no changes in estimated useful lives of property and equipment during the ordinary course of operations.</w:t>
      </w:r>
    </w:p>
    <w:p>
      <w:pPr>
        <w:spacing w:after="0" w:line="172" w:lineRule="exact"/>
        <w:rPr>
          <w:sz w:val="20"/>
          <w:szCs w:val="20"/>
          <w:color w:val="auto"/>
        </w:rPr>
      </w:pPr>
    </w:p>
    <w:p>
      <w:pPr>
        <w:jc w:val="both"/>
        <w:ind w:firstLine="393"/>
        <w:spacing w:after="0" w:line="281" w:lineRule="auto"/>
        <w:rPr>
          <w:sz w:val="20"/>
          <w:szCs w:val="20"/>
          <w:color w:val="auto"/>
        </w:rPr>
      </w:pPr>
      <w:r>
        <w:rPr>
          <w:rFonts w:ascii="Times New Roman" w:cs="Times New Roman" w:eastAsia="Times New Roman" w:hAnsi="Times New Roman"/>
          <w:sz w:val="17"/>
          <w:szCs w:val="17"/>
          <w:color w:val="auto"/>
        </w:rPr>
        <w:t>The depreciation and amortization expense, excluding amortization of acquisition-related intangibles, recognized in the unaudited consolidated statements of income was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40" w:type="dxa"/>
            <w:vAlign w:val="bottom"/>
          </w:tcPr>
          <w:p>
            <w:pPr>
              <w:spacing w:after="0"/>
              <w:rPr>
                <w:sz w:val="16"/>
                <w:szCs w:val="16"/>
                <w:color w:val="auto"/>
              </w:rPr>
            </w:pPr>
          </w:p>
        </w:tc>
        <w:tc>
          <w:tcPr>
            <w:tcW w:w="2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0" w:type="dxa"/>
            <w:vAlign w:val="bottom"/>
            <w:gridSpan w:val="4"/>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6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56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7"/>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9,929</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21"/>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17,653</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effect of foreign exchange gain/(loss) upon settlement of cash flow hedges recorded under depreciation and amortization, was as follows: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78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4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84"/>
        </w:trPr>
        <w:tc>
          <w:tcPr>
            <w:tcW w:w="460" w:type="dxa"/>
            <w:vAlign w:val="bottom"/>
            <w:tcBorders>
              <w:bottom w:val="single" w:sz="8" w:color="CCEEFF"/>
            </w:tcBorders>
          </w:tcPr>
          <w:p>
            <w:pPr>
              <w:spacing w:after="0"/>
              <w:rPr>
                <w:sz w:val="15"/>
                <w:szCs w:val="15"/>
                <w:color w:val="auto"/>
              </w:rPr>
            </w:pPr>
          </w:p>
        </w:tc>
        <w:tc>
          <w:tcPr>
            <w:tcW w:w="51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r>
      <w:tr>
        <w:trPr>
          <w:trHeight w:val="247"/>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foreign exchange gain/(loss)</w:t>
            </w: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510"/>
        </w:trPr>
        <w:tc>
          <w:tcPr>
            <w:tcW w:w="6580" w:type="dxa"/>
            <w:vAlign w:val="bottom"/>
            <w:gridSpan w:val="3"/>
          </w:tcPr>
          <w:p>
            <w:pPr>
              <w:jc w:val="right"/>
              <w:ind w:right="664"/>
              <w:spacing w:after="0"/>
              <w:rPr>
                <w:sz w:val="20"/>
                <w:szCs w:val="20"/>
                <w:color w:val="auto"/>
              </w:rPr>
            </w:pPr>
            <w:r>
              <w:rPr>
                <w:rFonts w:ascii="Times New Roman" w:cs="Times New Roman" w:eastAsia="Times New Roman" w:hAnsi="Times New Roman"/>
                <w:sz w:val="17"/>
                <w:szCs w:val="17"/>
                <w:color w:val="auto"/>
              </w:rPr>
              <w:t>Internally developed software costs, included under Software, was as follows: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0"/>
        </w:trPr>
        <w:tc>
          <w:tcPr>
            <w:tcW w:w="4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
        </w:trPr>
        <w:tc>
          <w:tcPr>
            <w:tcW w:w="4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gridSpan w:val="5"/>
          </w:tcPr>
          <w:p>
            <w:pPr>
              <w:spacing w:after="0"/>
              <w:rPr>
                <w:sz w:val="2"/>
                <w:szCs w:val="2"/>
                <w:color w:val="auto"/>
              </w:rPr>
            </w:pPr>
          </w:p>
        </w:tc>
      </w:tr>
      <w:tr>
        <w:trPr>
          <w:trHeight w:val="184"/>
        </w:trPr>
        <w:tc>
          <w:tcPr>
            <w:tcW w:w="460" w:type="dxa"/>
            <w:vAlign w:val="bottom"/>
          </w:tcPr>
          <w:p>
            <w:pPr>
              <w:spacing w:after="0"/>
              <w:rPr>
                <w:sz w:val="15"/>
                <w:szCs w:val="15"/>
                <w:color w:val="auto"/>
              </w:rPr>
            </w:pPr>
          </w:p>
        </w:tc>
        <w:tc>
          <w:tcPr>
            <w:tcW w:w="514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2140" w:type="dxa"/>
            <w:vAlign w:val="bottom"/>
            <w:tcBorders>
              <w:top w:val="single" w:sz="8" w:color="auto"/>
              <w:bottom w:val="single" w:sz="8" w:color="auto"/>
            </w:tcBorders>
            <w:gridSpan w:val="4"/>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0" w:type="dxa"/>
            <w:vAlign w:val="bottom"/>
          </w:tcPr>
          <w:p>
            <w:pPr>
              <w:spacing w:after="0"/>
              <w:rPr>
                <w:sz w:val="15"/>
                <w:szCs w:val="15"/>
                <w:color w:val="auto"/>
              </w:rPr>
            </w:pPr>
          </w:p>
        </w:tc>
      </w:tr>
      <w:tr>
        <w:trPr>
          <w:trHeight w:val="222"/>
        </w:trPr>
        <w:tc>
          <w:tcPr>
            <w:tcW w:w="460" w:type="dxa"/>
            <w:vAlign w:val="bottom"/>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w:t>
            </w: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27,015</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81"/>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19,289</w:t>
            </w:r>
          </w:p>
        </w:tc>
        <w:tc>
          <w:tcPr>
            <w:tcW w:w="4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Less : Accumulated amortization</w:t>
            </w:r>
          </w:p>
        </w:tc>
        <w:tc>
          <w:tcPr>
            <w:tcW w:w="9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jc w:val="center"/>
              <w:ind w:left="901"/>
              <w:spacing w:after="0"/>
              <w:rPr>
                <w:sz w:val="20"/>
                <w:szCs w:val="20"/>
                <w:color w:val="auto"/>
              </w:rPr>
            </w:pPr>
            <w:r>
              <w:rPr>
                <w:rFonts w:ascii="Times New Roman" w:cs="Times New Roman" w:eastAsia="Times New Roman" w:hAnsi="Times New Roman"/>
                <w:sz w:val="17"/>
                <w:szCs w:val="17"/>
                <w:color w:val="auto"/>
              </w:rPr>
              <w:t>(12,788)</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(10,226)</w:t>
            </w:r>
          </w:p>
        </w:tc>
        <w:tc>
          <w:tcPr>
            <w:tcW w:w="40" w:type="dxa"/>
            <w:vAlign w:val="bottom"/>
          </w:tcPr>
          <w:p>
            <w:pPr>
              <w:spacing w:after="0"/>
              <w:rPr>
                <w:sz w:val="19"/>
                <w:szCs w:val="19"/>
                <w:color w:val="auto"/>
              </w:rPr>
            </w:pPr>
          </w:p>
        </w:tc>
      </w:tr>
      <w:tr>
        <w:trPr>
          <w:trHeight w:val="241"/>
        </w:trPr>
        <w:tc>
          <w:tcPr>
            <w:tcW w:w="460" w:type="dxa"/>
            <w:vAlign w:val="bottom"/>
          </w:tcPr>
          <w:p>
            <w:pPr>
              <w:spacing w:after="0"/>
              <w:rPr>
                <w:sz w:val="20"/>
                <w:szCs w:val="20"/>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Internally developed software, net</w:t>
            </w:r>
          </w:p>
        </w:tc>
        <w:tc>
          <w:tcPr>
            <w:tcW w:w="9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14,227</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9,063</w:t>
            </w:r>
          </w:p>
        </w:tc>
        <w:tc>
          <w:tcPr>
            <w:tcW w:w="40" w:type="dxa"/>
            <w:vAlign w:val="bottom"/>
          </w:tcPr>
          <w:p>
            <w:pPr>
              <w:spacing w:after="0"/>
              <w:rPr>
                <w:sz w:val="20"/>
                <w:szCs w:val="20"/>
                <w:color w:val="auto"/>
              </w:rPr>
            </w:pPr>
          </w:p>
        </w:tc>
      </w:tr>
      <w:tr>
        <w:trPr>
          <w:trHeight w:val="20"/>
        </w:trPr>
        <w:tc>
          <w:tcPr>
            <w:tcW w:w="46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amortization expense on internally developed software recognized in the unaudited consolidated statements of income was as follows:</w:t>
      </w:r>
    </w:p>
    <w:p>
      <w:pPr>
        <w:spacing w:after="0" w:line="139" w:lineRule="exact"/>
        <w:rPr>
          <w:sz w:val="20"/>
          <w:szCs w:val="20"/>
          <w:color w:val="auto"/>
        </w:rPr>
      </w:pPr>
    </w:p>
    <w:tbl>
      <w:tblPr>
        <w:tblLayout w:type="fixed"/>
        <w:tblInd w:w="28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2420" w:type="dxa"/>
            <w:vAlign w:val="bottom"/>
            <w:gridSpan w:val="4"/>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4"/>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Pr>
          <w:p>
            <w:pPr>
              <w:spacing w:after="0"/>
              <w:rPr>
                <w:sz w:val="16"/>
                <w:szCs w:val="16"/>
                <w:color w:val="auto"/>
              </w:rPr>
            </w:pPr>
          </w:p>
        </w:tc>
      </w:tr>
      <w:tr>
        <w:trPr>
          <w:trHeight w:val="24"/>
        </w:trPr>
        <w:tc>
          <w:tcPr>
            <w:tcW w:w="46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4"/>
        </w:trPr>
        <w:tc>
          <w:tcPr>
            <w:tcW w:w="46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r>
      <w:tr>
        <w:trPr>
          <w:trHeight w:val="222"/>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expense</w:t>
            </w:r>
          </w:p>
        </w:tc>
        <w:tc>
          <w:tcPr>
            <w:tcW w:w="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2,582</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2,079</w:t>
            </w:r>
          </w:p>
        </w:tc>
      </w:tr>
    </w:tbl>
    <w:p>
      <w:pPr>
        <w:spacing w:after="0" w:line="296" w:lineRule="exact"/>
        <w:rPr>
          <w:sz w:val="20"/>
          <w:szCs w:val="20"/>
          <w:color w:val="auto"/>
        </w:rPr>
      </w:pPr>
    </w:p>
    <w:p>
      <w:pPr>
        <w:jc w:val="both"/>
        <w:ind w:firstLine="393"/>
        <w:spacing w:after="0" w:line="245" w:lineRule="auto"/>
        <w:rPr>
          <w:sz w:val="20"/>
          <w:szCs w:val="20"/>
          <w:color w:val="auto"/>
        </w:rPr>
      </w:pPr>
      <w:r>
        <w:rPr>
          <w:rFonts w:ascii="Times New Roman" w:cs="Times New Roman" w:eastAsia="Times New Roman" w:hAnsi="Times New Roman"/>
          <w:sz w:val="17"/>
          <w:szCs w:val="17"/>
          <w:color w:val="auto"/>
        </w:rPr>
        <w:t>As of June 30, 2022 and December 31, 2021, the Company believes no impairment exists because the long-lived asset's future undiscounted net cash flows expected to be generated exceeds its carrying value; however, there can be no assurances that long-lived assets will not be impaired in future periods. Determining whether an impairment has occurred typically requires various estimates and assumptions, including determining which undiscounted cash flows are directly related to the potentially impaired asset, the useful life over which cash flows will occur, their amount, and the asset’s residual value, if any. It is reasonably possible that the judgments and estimates described above could change in future periods. The duration and severity of COVID-19 and continued market volatility is highly uncertain and, as such, the impact on undiscounted cash flows is subject to significant judgment and may cause variability in the Company’s assessment of the existence of any impairment.</w:t>
      </w:r>
    </w:p>
    <w:p>
      <w:pPr>
        <w:spacing w:after="0" w:line="319" w:lineRule="exact"/>
        <w:rPr>
          <w:sz w:val="20"/>
          <w:szCs w:val="20"/>
          <w:color w:val="auto"/>
        </w:rPr>
      </w:pPr>
    </w:p>
    <w:p>
      <w:pPr>
        <w:ind w:right="6980" w:firstLine="5"/>
        <w:spacing w:after="0" w:line="548" w:lineRule="auto"/>
        <w:tabs>
          <w:tab w:leader="none" w:pos="175"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Combination, Goodwill and Intangible Assets Clairvoyant AI Inc.</w:t>
      </w:r>
    </w:p>
    <w:p>
      <w:pPr>
        <w:spacing w:after="0" w:line="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On December 16, 2021, the Company, through its wholly owned subsidiary ExlService.com, LLC (“Buyer”), completed the acquisition of Clairvoyant, a Delaware corporation, pursuant to an equity securities purchase agreement dated December 16, 2021 (the “Purchase Agreement”). The Company purchased 100% of the issued and outstanding equity securities in Clairvoyant.</w:t>
      </w:r>
    </w:p>
    <w:p>
      <w:pPr>
        <w:spacing w:after="0" w:line="189"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Clairvoyant is a global technology consulting and services company that helps organizations in their business transformation by maximizing the value of data through actionable insights. It provides data engineering, analytics, machine learning, product engineering, and cloud-based solutions. The acquisition strengthens the Company’s capabilities by adding additional expertise in data engineering and cloud enablement, further supporting its clients in insurance, healthcare, banking and financial services, and retail.</w:t>
      </w:r>
    </w:p>
    <w:p>
      <w:pPr>
        <w:spacing w:after="0" w:line="183" w:lineRule="exact"/>
        <w:rPr>
          <w:sz w:val="20"/>
          <w:szCs w:val="20"/>
          <w:color w:val="auto"/>
        </w:rPr>
      </w:pPr>
    </w:p>
    <w:p>
      <w:pPr>
        <w:jc w:val="both"/>
        <w:ind w:firstLine="393"/>
        <w:spacing w:after="0" w:line="244" w:lineRule="auto"/>
        <w:rPr>
          <w:sz w:val="20"/>
          <w:szCs w:val="20"/>
          <w:color w:val="auto"/>
        </w:rPr>
      </w:pPr>
      <w:r>
        <w:rPr>
          <w:rFonts w:ascii="Times New Roman" w:cs="Times New Roman" w:eastAsia="Times New Roman" w:hAnsi="Times New Roman"/>
          <w:sz w:val="17"/>
          <w:szCs w:val="17"/>
          <w:color w:val="auto"/>
        </w:rPr>
        <w:t>The aggregate purchase consideration payable was $90,325, including cash and cash equivalents acquired, debt, other post-closing adjustments and contingent consideration. The base purchase consideration payable at closing of the acquisition (the “Closing”) was $80,080, excluding cash and cash equivalents acquired, debt and estimated other post-closing adjustments. As of June 30, 2022 and December 31, 2021, of the total purchase consideration, the Company has paid $78,234 and $76,831, respectively, net of cash and cash equivalents acquired. The Purchase Agreement also allows sellers the ability to earn up to $20,000 of contingent consideration, based on the achievement of certain performance goals by Clairvoyant during the 2022 and 2023 calendar years. The contingent consideration had an estimated fair value of $10,000 and $9,000, as of June 30, 2022 and December 31, 2021, respectively, and has been presented as contingent consideration under “Other non-current liabilities” and “Accrued expenses and other current liabilities,” as applicable, in the consolidated balance sheets. Changes in the fair value of contingent consideration were recognized in the unaudited consolidated statements of income and presented as a part of</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3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“Other income/(loss), net.” A portion of the purchase consideration otherwise payable was placed into escrow as security for the post-closing working capital adjustments and the indemnification obligations under the Purchase Agreement. To finance the acquisition at the Closing, the Company utilized its revolving Credit Facility in the amount of $75,000 and paid the balance with available cash on hand.</w:t>
      </w:r>
    </w:p>
    <w:p>
      <w:pPr>
        <w:spacing w:after="0" w:line="2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 accounted for the business combination using the acquisition method of accounting.</w:t>
      </w:r>
    </w:p>
    <w:p>
      <w:pPr>
        <w:spacing w:after="0" w:line="250"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 xml:space="preserve">Pursuant to the Company’s business combinations accounting policy, the aggregate purchase consideration for Clairvoyant was allocated to identifiable net tangible and intangible assets based upon their fair values. The excess of the estimated purchase consideration over fair value of identifiable net tangible and intangible assets was recorded as goodwill. In order to allocate the consideration transferred for Clairvoyant, the fair values of all identifiable assets and liabilities must be established. For accounting and financial reporting purposes, fair value is defined under ASC No. 820, </w:t>
      </w:r>
      <w:r>
        <w:rPr>
          <w:rFonts w:ascii="Times New Roman" w:cs="Times New Roman" w:eastAsia="Times New Roman" w:hAnsi="Times New Roman"/>
          <w:sz w:val="17"/>
          <w:szCs w:val="17"/>
          <w:i w:val="1"/>
          <w:iCs w:val="1"/>
          <w:color w:val="auto"/>
        </w:rPr>
        <w:t>Fair Value Measurement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Disclosure</w:t>
      </w:r>
      <w:r>
        <w:rPr>
          <w:rFonts w:ascii="Times New Roman" w:cs="Times New Roman" w:eastAsia="Times New Roman" w:hAnsi="Times New Roman"/>
          <w:sz w:val="17"/>
          <w:szCs w:val="17"/>
          <w:color w:val="auto"/>
        </w:rPr>
        <w:t>, as the price that would be received upon sale of an asset or the amount paid to transfer a liability in an orderly transaction between market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participants at the measurement date. Market participants are assumed to be buyers and sellers in the principal (most advantageous) market for the asset or liability. Additionally, fair value measurements for an asset assume the highest and best use of that asset by market participants. Use of different estimates and judgments could yield different results.</w:t>
      </w:r>
    </w:p>
    <w:p>
      <w:pPr>
        <w:spacing w:after="0" w:line="201"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tables below presents the fair value of the consideration exchanged and the allocation of purchase consideration to the major classes of assets and liabilities of Clairvoyant as of December 16, 2021:</w:t>
      </w:r>
    </w:p>
    <w:p>
      <w:pPr>
        <w:spacing w:after="0" w:line="214" w:lineRule="exact"/>
        <w:rPr>
          <w:sz w:val="20"/>
          <w:szCs w:val="20"/>
          <w:color w:val="auto"/>
        </w:rPr>
      </w:pPr>
    </w:p>
    <w:tbl>
      <w:tblPr>
        <w:tblLayout w:type="fixed"/>
        <w:tblInd w:w="640" w:type="dxa"/>
        <w:tblCellMar>
          <w:top w:w="0" w:type="dxa"/>
          <w:left w:w="0" w:type="dxa"/>
          <w:bottom w:w="0" w:type="dxa"/>
          <w:right w:w="0" w:type="dxa"/>
        </w:tblCellMar>
      </w:tblPr>
      <w:tr>
        <w:trPr>
          <w:trHeight w:val="217"/>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60" w:type="dxa"/>
            <w:vAlign w:val="bottom"/>
            <w:tcBorders>
              <w:bottom w:val="single" w:sz="8" w:color="CCEEFF"/>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5,598</w:t>
            </w:r>
          </w:p>
        </w:tc>
      </w:tr>
      <w:tr>
        <w:trPr>
          <w:trHeight w:val="228"/>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8,709</w:t>
            </w:r>
          </w:p>
        </w:tc>
      </w:tr>
      <w:tr>
        <w:trPr>
          <w:trHeight w:val="21"/>
        </w:trPr>
        <w:tc>
          <w:tcPr>
            <w:tcW w:w="6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9"/>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5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w:t>
            </w:r>
          </w:p>
        </w:tc>
      </w:tr>
      <w:tr>
        <w:trPr>
          <w:trHeight w:val="228"/>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w:t>
            </w:r>
          </w:p>
        </w:tc>
      </w:tr>
      <w:tr>
        <w:trPr>
          <w:trHeight w:val="21"/>
        </w:trPr>
        <w:tc>
          <w:tcPr>
            <w:tcW w:w="6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8"/>
        </w:trPr>
        <w:tc>
          <w:tcPr>
            <w:tcW w:w="6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Customer relationships</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31,600</w:t>
            </w:r>
          </w:p>
        </w:tc>
      </w:tr>
      <w:tr>
        <w:trPr>
          <w:trHeight w:val="21"/>
        </w:trPr>
        <w:tc>
          <w:tcPr>
            <w:tcW w:w="6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9"/>
        </w:trPr>
        <w:tc>
          <w:tcPr>
            <w:tcW w:w="6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Developed technology</w:t>
            </w:r>
          </w:p>
        </w:tc>
        <w:tc>
          <w:tcPr>
            <w:tcW w:w="5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2,070</w:t>
            </w:r>
          </w:p>
        </w:tc>
      </w:tr>
      <w:tr>
        <w:trPr>
          <w:trHeight w:val="228"/>
        </w:trPr>
        <w:tc>
          <w:tcPr>
            <w:tcW w:w="6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Trade names and trademarks</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21"/>
        </w:trPr>
        <w:tc>
          <w:tcPr>
            <w:tcW w:w="6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9"/>
        </w:trPr>
        <w:tc>
          <w:tcPr>
            <w:tcW w:w="6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Non-compete agreements</w:t>
            </w:r>
          </w:p>
        </w:tc>
        <w:tc>
          <w:tcPr>
            <w:tcW w:w="5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228"/>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w:t>
            </w:r>
          </w:p>
        </w:tc>
      </w:tr>
      <w:tr>
        <w:trPr>
          <w:trHeight w:val="21"/>
        </w:trPr>
        <w:tc>
          <w:tcPr>
            <w:tcW w:w="68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2"/>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560" w:type="dxa"/>
            <w:vAlign w:val="bottom"/>
            <w:tcBorders>
              <w:bottom w:val="single" w:sz="8" w:color="CCEEFF"/>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49,552</w:t>
            </w:r>
          </w:p>
        </w:tc>
      </w:tr>
      <w:tr>
        <w:trPr>
          <w:trHeight w:val="92"/>
        </w:trPr>
        <w:tc>
          <w:tcPr>
            <w:tcW w:w="68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8"/>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56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w:t>
            </w:r>
          </w:p>
        </w:tc>
      </w:tr>
      <w:tr>
        <w:trPr>
          <w:trHeight w:val="21"/>
        </w:trPr>
        <w:tc>
          <w:tcPr>
            <w:tcW w:w="6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9"/>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5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(4,873)</w:t>
            </w:r>
          </w:p>
        </w:tc>
      </w:tr>
      <w:tr>
        <w:trPr>
          <w:trHeight w:val="228"/>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(9,383)</w:t>
            </w:r>
          </w:p>
        </w:tc>
      </w:tr>
      <w:tr>
        <w:trPr>
          <w:trHeight w:val="21"/>
        </w:trPr>
        <w:tc>
          <w:tcPr>
            <w:tcW w:w="6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49"/>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5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w:t>
            </w:r>
          </w:p>
        </w:tc>
      </w:tr>
      <w:tr>
        <w:trPr>
          <w:trHeight w:val="221"/>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5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(16,681)</w:t>
            </w:r>
          </w:p>
        </w:tc>
      </w:tr>
      <w:tr>
        <w:trPr>
          <w:trHeight w:val="21"/>
        </w:trPr>
        <w:tc>
          <w:tcPr>
            <w:tcW w:w="68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2"/>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 acquired</w:t>
            </w:r>
          </w:p>
        </w:tc>
        <w:tc>
          <w:tcPr>
            <w:tcW w:w="5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32,871</w:t>
            </w:r>
          </w:p>
        </w:tc>
      </w:tr>
      <w:tr>
        <w:trPr>
          <w:trHeight w:val="228"/>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57,454</w:t>
            </w:r>
          </w:p>
        </w:tc>
      </w:tr>
      <w:tr>
        <w:trPr>
          <w:trHeight w:val="21"/>
        </w:trPr>
        <w:tc>
          <w:tcPr>
            <w:tcW w:w="68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5"/>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purchase consideration*</w:t>
            </w:r>
          </w:p>
        </w:tc>
        <w:tc>
          <w:tcPr>
            <w:tcW w:w="56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90,325</w:t>
            </w: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Includes contingent consideration of $9,000 recognized at fair value as of the date of acquisition</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During the three and six months ended June 30, 2022, the Company recognized measurement period adjustments, which led to increase in goodwill in an amount of $1,081 and $2,229, respectively. These adjustments primarily relate to an increase in income tax liabilities of $988 included under “other non-current liabilities” and post-closing purchase adjustments.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373"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fair values of customer relationships were determined by using an “income approach,” specifically the Multi-Period Excess Earnings Method. The customer relationship assets are being amortized on a straight-line basis (which approximates the economic pattern of benefits) over the estimated economic life of 7 years.</w:t>
      </w:r>
    </w:p>
    <w:p>
      <w:pPr>
        <w:spacing w:after="0" w:line="189" w:lineRule="exact"/>
        <w:rPr>
          <w:sz w:val="20"/>
          <w:szCs w:val="20"/>
          <w:color w:val="auto"/>
        </w:rPr>
      </w:pPr>
    </w:p>
    <w:p>
      <w:pPr>
        <w:jc w:val="both"/>
        <w:ind w:firstLine="393"/>
        <w:spacing w:after="0" w:line="289" w:lineRule="auto"/>
        <w:rPr>
          <w:sz w:val="20"/>
          <w:szCs w:val="20"/>
          <w:color w:val="auto"/>
        </w:rPr>
      </w:pPr>
      <w:r>
        <w:rPr>
          <w:rFonts w:ascii="Times New Roman" w:cs="Times New Roman" w:eastAsia="Times New Roman" w:hAnsi="Times New Roman"/>
          <w:sz w:val="17"/>
          <w:szCs w:val="17"/>
          <w:color w:val="auto"/>
        </w:rPr>
        <w:t>The fair values of the developed technology intangible assets were determined by using the “cost approach,” specifically the replacement cost method. The technology assets are being amortized on a straight-line basis (which approximates the economic pattern of benefits) over the estimated economic life of 3 years.</w:t>
      </w:r>
    </w:p>
    <w:p>
      <w:pPr>
        <w:spacing w:after="0" w:line="395" w:lineRule="exact"/>
        <w:rPr>
          <w:sz w:val="20"/>
          <w:szCs w:val="20"/>
          <w:color w:val="auto"/>
        </w:rPr>
      </w:pPr>
    </w:p>
    <w:p>
      <w:pPr>
        <w:jc w:val="both"/>
        <w:ind w:firstLine="393"/>
        <w:spacing w:after="0" w:line="274" w:lineRule="auto"/>
        <w:rPr>
          <w:sz w:val="20"/>
          <w:szCs w:val="20"/>
          <w:color w:val="auto"/>
        </w:rPr>
      </w:pPr>
      <w:r>
        <w:rPr>
          <w:rFonts w:ascii="Times New Roman" w:cs="Times New Roman" w:eastAsia="Times New Roman" w:hAnsi="Times New Roman"/>
          <w:sz w:val="17"/>
          <w:szCs w:val="17"/>
          <w:color w:val="auto"/>
        </w:rPr>
        <w:t>The goodwill recognized represents the acquired capabilities, operating synergies and other benefits expected to result from combining the acquired operations with the Company’s existing operations. The amount of goodwill recognized from Clairvoyant’s acquisition is not deductible for tax purposes. The goodwill has been assigned to the Company’s Analytics reportable segment based upon the Company’s assessment of nature of services rendered by Clairvoyant.</w:t>
      </w:r>
    </w:p>
    <w:p>
      <w:pPr>
        <w:spacing w:after="0" w:line="200" w:lineRule="exact"/>
        <w:rPr>
          <w:sz w:val="20"/>
          <w:szCs w:val="20"/>
          <w:color w:val="auto"/>
        </w:rPr>
      </w:pPr>
    </w:p>
    <w:p>
      <w:pPr>
        <w:spacing w:after="0" w:line="206"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Acquisition-related costs are being expensed as incurred and are included in general and administrative expenses in the consolidated statements of income. The Company recognized acquisition-related costs of $nil and $134 during the three and six months ended June 30, 2022, respectively, and $761 during the year ended December 31, 2021.</w:t>
      </w:r>
    </w:p>
    <w:p>
      <w:pPr>
        <w:spacing w:after="0" w:line="189"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results of operations of the acquired business and the fair value of the acquired assets and assumed liabilities are included in the Company’s consolidated financial statements with effect from the date of the acquisition. The acquisition did not materially impact the Company’s financial position, results of operations or cash flows, and therefore, the Company has not provided supplemental pro forma results.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Inbound Media Group, LLC</w:t>
      </w:r>
    </w:p>
    <w:p>
      <w:pPr>
        <w:spacing w:after="0" w:line="239" w:lineRule="exact"/>
        <w:rPr>
          <w:sz w:val="20"/>
          <w:szCs w:val="20"/>
          <w:color w:val="auto"/>
        </w:rPr>
      </w:pPr>
    </w:p>
    <w:p>
      <w:pPr>
        <w:jc w:val="both"/>
        <w:ind w:firstLine="393"/>
        <w:spacing w:after="0" w:line="254" w:lineRule="auto"/>
        <w:rPr>
          <w:sz w:val="20"/>
          <w:szCs w:val="20"/>
          <w:color w:val="auto"/>
        </w:rPr>
      </w:pPr>
      <w:r>
        <w:rPr>
          <w:rFonts w:ascii="Times New Roman" w:cs="Times New Roman" w:eastAsia="Times New Roman" w:hAnsi="Times New Roman"/>
          <w:sz w:val="17"/>
          <w:szCs w:val="17"/>
          <w:color w:val="auto"/>
        </w:rPr>
        <w:t>On June 10, 2022, the Company, through its wholly owned subsidiary ExlService.com, LLC, entered into an Asset Purchase Agreement to acquire certain assets of Inbound, a Wyoming limited liability company, which is a digital marketing business focused primarily on lead generation in the insurance space, for cash consideration of $1,469 and contingent consideration with an estimated fair value of $1,439 as of the date of acquisition based on the achievement of certain performance goals by Inbound during the 2022 to 2024 calendar years.</w:t>
      </w:r>
    </w:p>
    <w:p>
      <w:pPr>
        <w:spacing w:after="0" w:line="195" w:lineRule="exact"/>
        <w:rPr>
          <w:sz w:val="20"/>
          <w:szCs w:val="20"/>
          <w:color w:val="auto"/>
        </w:rPr>
      </w:pPr>
    </w:p>
    <w:p>
      <w:pPr>
        <w:jc w:val="both"/>
        <w:ind w:firstLine="393"/>
        <w:spacing w:after="0" w:line="249" w:lineRule="auto"/>
        <w:rPr>
          <w:sz w:val="20"/>
          <w:szCs w:val="20"/>
          <w:color w:val="auto"/>
        </w:rPr>
      </w:pPr>
      <w:r>
        <w:rPr>
          <w:rFonts w:ascii="Times New Roman" w:cs="Times New Roman" w:eastAsia="Times New Roman" w:hAnsi="Times New Roman"/>
          <w:sz w:val="17"/>
          <w:szCs w:val="17"/>
          <w:color w:val="auto"/>
        </w:rPr>
        <w:t>The Company accounted for this business combination using the acquisition method of accounting. Goodwill and intangible assets of $1,992 and $916, respectively, were recognized by the Company as a result of this transaction. The goodwill recognized for this business is deductible for income tax purposes. The acquisition strengthens the Company’s capabilities in digital direct-to-consumer marketing by adding performance marketing, lead generation and customer engagement capabilities to its suite of end-to-end marketing solutions, proprietary data sets and robust consumer analytics.</w:t>
      </w:r>
    </w:p>
    <w:p>
      <w:pPr>
        <w:spacing w:after="0" w:line="198"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results of operations of the acquired business and the fair value of the net assets acquired are included in the Company’s consolidated financial statements with effect from the date of the acquisition. The acquisition did not materially impact the Company’s financial position, results of operations or cash flows, and therefore, the Company has not provided unaudited supplemental pro forma results.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Goodwill</w:t>
      </w: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sets forth details of changes in goodwill by reportable segment of the Company: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60" w:type="dxa"/>
            <w:vAlign w:val="bottom"/>
          </w:tcPr>
          <w:p>
            <w:pPr>
              <w:spacing w:after="0"/>
              <w:rPr>
                <w:sz w:val="16"/>
                <w:szCs w:val="16"/>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Emerging</w:t>
            </w:r>
          </w:p>
        </w:tc>
        <w:tc>
          <w:tcPr>
            <w:tcW w:w="160" w:type="dxa"/>
            <w:vAlign w:val="bottom"/>
          </w:tcPr>
          <w:p>
            <w:pPr>
              <w:spacing w:after="0"/>
              <w:rPr>
                <w:sz w:val="16"/>
                <w:szCs w:val="16"/>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Analytics</w:t>
            </w:r>
          </w:p>
        </w:tc>
        <w:tc>
          <w:tcPr>
            <w:tcW w:w="260" w:type="dxa"/>
            <w:vAlign w:val="bottom"/>
          </w:tcPr>
          <w:p>
            <w:pPr>
              <w:spacing w:after="0"/>
              <w:rPr>
                <w:sz w:val="16"/>
                <w:szCs w:val="16"/>
                <w:color w:val="auto"/>
              </w:rPr>
            </w:pPr>
          </w:p>
        </w:tc>
        <w:tc>
          <w:tcPr>
            <w:tcW w:w="860" w:type="dxa"/>
            <w:vAlign w:val="bottom"/>
            <w:vMerge w:val="restart"/>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9"/>
        </w:trPr>
        <w:tc>
          <w:tcPr>
            <w:tcW w:w="4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Business</w:t>
            </w: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January 1, 2022</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50,428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21,942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49,020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282,512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403,902</w:t>
            </w:r>
          </w:p>
        </w:tc>
        <w:tc>
          <w:tcPr>
            <w:tcW w:w="0" w:type="dxa"/>
            <w:vAlign w:val="bottom"/>
          </w:tcPr>
          <w:p>
            <w:pPr>
              <w:spacing w:after="0"/>
              <w:rPr>
                <w:sz w:val="1"/>
                <w:szCs w:val="1"/>
                <w:color w:val="auto"/>
              </w:rPr>
            </w:pPr>
          </w:p>
        </w:tc>
      </w:tr>
      <w:tr>
        <w:trPr>
          <w:trHeight w:val="223"/>
        </w:trPr>
        <w:tc>
          <w:tcPr>
            <w:tcW w:w="4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Acquisition</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1,992</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Measurement period adjustments</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2,229</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Currency translation adjustments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(1,548)</w:t>
            </w:r>
          </w:p>
        </w:tc>
        <w:tc>
          <w:tcPr>
            <w:tcW w:w="0" w:type="dxa"/>
            <w:vAlign w:val="bottom"/>
          </w:tcPr>
          <w:p>
            <w:pPr>
              <w:spacing w:after="0"/>
              <w:rPr>
                <w:sz w:val="1"/>
                <w:szCs w:val="1"/>
                <w:color w:val="auto"/>
              </w:rPr>
            </w:pPr>
          </w:p>
        </w:tc>
      </w:tr>
      <w:tr>
        <w:trPr>
          <w:trHeight w:val="241"/>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June 30,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286,732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406,575</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3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During the fourth quarter of 2021, the Company performed its annual impairment test of goodwill for those reporting units that had goodwill recorded.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Based on the results, the fair values of each of the Company’s reporting units exceeded their carrying value and the goodwill was not impaired.</w:t>
      </w:r>
    </w:p>
    <w:p>
      <w:pPr>
        <w:spacing w:after="0" w:line="217" w:lineRule="exact"/>
        <w:rPr>
          <w:sz w:val="20"/>
          <w:szCs w:val="20"/>
          <w:color w:val="auto"/>
        </w:rPr>
      </w:pPr>
    </w:p>
    <w:p>
      <w:pPr>
        <w:jc w:val="both"/>
        <w:ind w:firstLine="393"/>
        <w:spacing w:after="0" w:line="245" w:lineRule="auto"/>
        <w:rPr>
          <w:sz w:val="20"/>
          <w:szCs w:val="20"/>
          <w:color w:val="auto"/>
        </w:rPr>
      </w:pPr>
      <w:r>
        <w:rPr>
          <w:rFonts w:ascii="Times New Roman" w:cs="Times New Roman" w:eastAsia="Times New Roman" w:hAnsi="Times New Roman"/>
          <w:sz w:val="17"/>
          <w:szCs w:val="17"/>
          <w:color w:val="auto"/>
        </w:rPr>
        <w:t>As of June 30, 2022, the Company evaluated the continuing effects of COVID-19 and its impact on the global economy, on each of the Company’s reporting units to assess whether there was a triggering event during the quarter requiring the Company to perform a goodwill impairment test. The Company considered certain improvements in current and forecasted economic and market conditions and qualitative factors, such as the Company’s performance in the first and second quarters, business forecasts for the remainder of the year, stock price movements, generation and availability of cash and expansion plans. The Company reviewed key assumptions, including revisions of projected future revenues for reporting units against the results of the annual impairment test performed during the fourth quarter of 2021. The Company did not identify any triggers or indications of potential impairment for its reporting units as of June 30, 2022.</w:t>
      </w:r>
    </w:p>
    <w:p>
      <w:pPr>
        <w:spacing w:after="0" w:line="200" w:lineRule="exact"/>
        <w:rPr>
          <w:sz w:val="20"/>
          <w:szCs w:val="20"/>
          <w:color w:val="auto"/>
        </w:rPr>
      </w:pPr>
    </w:p>
    <w:p>
      <w:pPr>
        <w:spacing w:after="0" w:line="203" w:lineRule="exact"/>
        <w:rPr>
          <w:sz w:val="20"/>
          <w:szCs w:val="20"/>
          <w:color w:val="auto"/>
        </w:rPr>
      </w:pPr>
    </w:p>
    <w:p>
      <w:pPr>
        <w:jc w:val="both"/>
        <w:ind w:firstLine="393"/>
        <w:spacing w:after="0" w:line="248" w:lineRule="auto"/>
        <w:rPr>
          <w:sz w:val="20"/>
          <w:szCs w:val="20"/>
          <w:color w:val="auto"/>
        </w:rPr>
      </w:pPr>
      <w:r>
        <w:rPr>
          <w:rFonts w:ascii="Times New Roman" w:cs="Times New Roman" w:eastAsia="Times New Roman" w:hAnsi="Times New Roman"/>
          <w:sz w:val="17"/>
          <w:szCs w:val="17"/>
          <w:color w:val="auto"/>
        </w:rPr>
        <w:t>There can be no assurances that goodwill will not be impaired in future periods. Estimating the fair value of reporting units requires the use of estimates and significant judgments that are based on a number of factors including actual operating results. These estimates and judgements may not be within the control of the Company and accordingly it is reasonably possible that the judgments and estimates described above could change in future periods. The duration and severity of COVID-19 and continued market volatility is highly uncertain and, as such, the impact on cash flows, long-term debt-free net cash flow growth rate in the terminal year and discount rates are subject to significant judgments and may cause variability in the Company’s assessment of existence of any impairment. The Company continues to monitor the impacts of COVID-19 on the Company and significant changes in key assumptions that could result in future period impairment charges.</w:t>
      </w:r>
    </w:p>
    <w:p>
      <w:pPr>
        <w:spacing w:after="0" w:line="200" w:lineRule="exact"/>
        <w:rPr>
          <w:sz w:val="20"/>
          <w:szCs w:val="20"/>
          <w:color w:val="auto"/>
        </w:rPr>
      </w:pPr>
    </w:p>
    <w:p>
      <w:pPr>
        <w:spacing w:after="0" w:line="201"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recoverability of goodwill is dependent upon the continued growth of cash flows from the Company’s business activities. This growth is based on business forecasts and improvement in profitability of its reporting units. The Company continues to maintain its focus on cultivating long-term client relationships as well as attracting new clients.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Information regarding the Company’s intangible assets is set forth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2"/>
          </w:tcPr>
          <w:p>
            <w:pPr>
              <w:jc w:val="center"/>
              <w:ind w:right="320"/>
              <w:spacing w:after="0" w:line="125"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ind w:left="100"/>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center"/>
              <w:ind w:right="116"/>
              <w:spacing w:after="0" w:line="125"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Finite-lived intangible assets:</w:t>
            </w:r>
          </w:p>
        </w:tc>
        <w:tc>
          <w:tcPr>
            <w:tcW w:w="2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282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99,146</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(34,139)</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2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 names and trademarks</w:t>
            </w:r>
          </w:p>
        </w:tc>
        <w:tc>
          <w:tcPr>
            <w:tcW w:w="2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Non-compete agreements</w:t>
            </w:r>
          </w:p>
        </w:tc>
        <w:tc>
          <w:tcPr>
            <w:tcW w:w="26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126,060</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(53,662)</w:t>
            </w:r>
          </w:p>
        </w:tc>
        <w:tc>
          <w:tcPr>
            <w:tcW w:w="10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Indefinite-lived intangible assets:</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 names and trademarks</w:t>
            </w:r>
          </w:p>
        </w:tc>
        <w:tc>
          <w:tcPr>
            <w:tcW w:w="282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intangible assets</w:t>
            </w:r>
          </w:p>
        </w:tc>
        <w:tc>
          <w:tcPr>
            <w:tcW w:w="26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bottom w:val="single" w:sz="8" w:color="CCEEFF"/>
            </w:tcBorders>
            <w:vMerge w:val="restart"/>
          </w:tcPr>
          <w:p>
            <w:pPr>
              <w:jc w:val="right"/>
              <w:ind w:right="693"/>
              <w:spacing w:after="0"/>
              <w:rPr>
                <w:sz w:val="20"/>
                <w:szCs w:val="20"/>
                <w:color w:val="auto"/>
              </w:rPr>
            </w:pPr>
            <w:r>
              <w:rPr>
                <w:rFonts w:ascii="Times New Roman" w:cs="Times New Roman" w:eastAsia="Times New Roman" w:hAnsi="Times New Roman"/>
                <w:sz w:val="17"/>
                <w:szCs w:val="17"/>
                <w:color w:val="auto"/>
              </w:rPr>
              <w:t>22</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7"/>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26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6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Gross Carrying Amount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0"/>
                <w:szCs w:val="10"/>
                <w:color w:val="auto"/>
              </w:rPr>
            </w:pPr>
          </w:p>
        </w:tc>
        <w:tc>
          <w:tcPr>
            <w:tcW w:w="1220" w:type="dxa"/>
            <w:vAlign w:val="bottom"/>
          </w:tcPr>
          <w:p>
            <w:pPr>
              <w:jc w:val="right"/>
              <w:ind w:right="236"/>
              <w:spacing w:after="0" w:line="126"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0"/>
        </w:trPr>
        <w:tc>
          <w:tcPr>
            <w:tcW w:w="6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2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8"/>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Finite-lived intangible assets:</w:t>
            </w:r>
          </w:p>
        </w:tc>
        <w:tc>
          <w:tcPr>
            <w:tcW w:w="1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103,016</w:t>
            </w:r>
          </w:p>
        </w:tc>
        <w:tc>
          <w:tcPr>
            <w:tcW w:w="36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(33,018)</w:t>
            </w: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69,998</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25,040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9,190</w:t>
            </w:r>
          </w:p>
        </w:tc>
        <w:tc>
          <w:tcPr>
            <w:tcW w:w="0" w:type="dxa"/>
            <w:vAlign w:val="bottom"/>
          </w:tcPr>
          <w:p>
            <w:pPr>
              <w:spacing w:after="0"/>
              <w:rPr>
                <w:sz w:val="1"/>
                <w:szCs w:val="1"/>
                <w:color w:val="auto"/>
              </w:rPr>
            </w:pP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 names and trademarks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Non-compete agreements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130,056</w:t>
            </w: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(49,874)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80,182</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Indefinite-lived intangible assets:</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 names and trademarks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36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0" w:type="dxa"/>
            <w:vAlign w:val="bottom"/>
          </w:tcPr>
          <w:p>
            <w:pPr>
              <w:spacing w:after="0"/>
              <w:rPr>
                <w:sz w:val="1"/>
                <w:szCs w:val="1"/>
                <w:color w:val="auto"/>
              </w:rPr>
            </w:pPr>
          </w:p>
        </w:tc>
      </w:tr>
      <w:tr>
        <w:trPr>
          <w:trHeight w:val="241"/>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intangible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130,956</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81,082</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amortization expense recognized in the unaudited consolidated statements of income was as follows:</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2880" w:type="dxa"/>
            <w:vAlign w:val="bottom"/>
            <w:gridSpan w:val="7"/>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4"/>
        </w:trPr>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7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r>
      <w:tr>
        <w:trPr>
          <w:trHeight w:val="247"/>
        </w:trPr>
        <w:tc>
          <w:tcPr>
            <w:tcW w:w="44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expense</w:t>
            </w: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4,146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6,758</w:t>
            </w: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483"/>
        </w:trPr>
        <w:tc>
          <w:tcPr>
            <w:tcW w:w="6200" w:type="dxa"/>
            <w:vAlign w:val="bottom"/>
            <w:gridSpan w:val="6"/>
          </w:tcPr>
          <w:p>
            <w:pPr>
              <w:ind w:left="340"/>
              <w:spacing w:after="0"/>
              <w:rPr>
                <w:sz w:val="20"/>
                <w:szCs w:val="20"/>
                <w:color w:val="auto"/>
              </w:rPr>
            </w:pPr>
            <w:r>
              <w:rPr>
                <w:rFonts w:ascii="Times New Roman" w:cs="Times New Roman" w:eastAsia="Times New Roman" w:hAnsi="Times New Roman"/>
                <w:sz w:val="17"/>
                <w:szCs w:val="17"/>
                <w:color w:val="auto"/>
              </w:rPr>
              <w:t>The remaining weighted average life of intangible assets is as follows: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49"/>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3"/>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(in years)</w:t>
            </w: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names and trademarks (Finite lived)</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8"/>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Non-compete agreements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441"/>
        </w:trPr>
        <w:tc>
          <w:tcPr>
            <w:tcW w:w="620" w:type="dxa"/>
            <w:vAlign w:val="bottom"/>
          </w:tcPr>
          <w:p>
            <w:pPr>
              <w:spacing w:after="0"/>
              <w:rPr>
                <w:sz w:val="24"/>
                <w:szCs w:val="24"/>
                <w:color w:val="auto"/>
              </w:rPr>
            </w:pPr>
          </w:p>
        </w:tc>
        <w:tc>
          <w:tcPr>
            <w:tcW w:w="8940" w:type="dxa"/>
            <w:vAlign w:val="bottom"/>
            <w:gridSpan w:val="12"/>
          </w:tcPr>
          <w:p>
            <w:pPr>
              <w:ind w:left="20"/>
              <w:spacing w:after="0"/>
              <w:rPr>
                <w:sz w:val="20"/>
                <w:szCs w:val="20"/>
                <w:color w:val="auto"/>
              </w:rPr>
            </w:pPr>
            <w:r>
              <w:rPr>
                <w:rFonts w:ascii="Times New Roman" w:cs="Times New Roman" w:eastAsia="Times New Roman" w:hAnsi="Times New Roman"/>
                <w:sz w:val="17"/>
                <w:szCs w:val="17"/>
                <w:color w:val="auto"/>
              </w:rPr>
              <w:t>Estimated future amortization expense related to finite-lived intangible assets as of June 30, 2022 was as follows: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7"/>
        </w:trPr>
        <w:tc>
          <w:tcPr>
            <w:tcW w:w="620" w:type="dxa"/>
            <w:vAlign w:val="bottom"/>
          </w:tcPr>
          <w:p>
            <w:pPr>
              <w:spacing w:after="0"/>
              <w:rPr>
                <w:sz w:val="2"/>
                <w:szCs w:val="2"/>
                <w:color w:val="auto"/>
              </w:rPr>
            </w:pPr>
          </w:p>
        </w:tc>
        <w:tc>
          <w:tcPr>
            <w:tcW w:w="38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r>
      <w:tr>
        <w:trPr>
          <w:trHeight w:val="223"/>
        </w:trPr>
        <w:tc>
          <w:tcPr>
            <w:tcW w:w="620" w:type="dxa"/>
            <w:vAlign w:val="bottom"/>
          </w:tcPr>
          <w:p>
            <w:pPr>
              <w:spacing w:after="0"/>
              <w:rPr>
                <w:sz w:val="19"/>
                <w:szCs w:val="19"/>
                <w:color w:val="auto"/>
              </w:rPr>
            </w:pPr>
          </w:p>
        </w:tc>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 (July 1 - December 31)</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8,445</w:t>
            </w:r>
          </w:p>
        </w:tc>
        <w:tc>
          <w:tcPr>
            <w:tcW w:w="620" w:type="dxa"/>
            <w:vAlign w:val="bottom"/>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14,595</w:t>
            </w:r>
          </w:p>
        </w:tc>
        <w:tc>
          <w:tcPr>
            <w:tcW w:w="620" w:type="dxa"/>
            <w:vAlign w:val="bottom"/>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12,084</w:t>
            </w:r>
          </w:p>
        </w:tc>
        <w:tc>
          <w:tcPr>
            <w:tcW w:w="620" w:type="dxa"/>
            <w:vAlign w:val="bottom"/>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10,648</w:t>
            </w:r>
          </w:p>
        </w:tc>
        <w:tc>
          <w:tcPr>
            <w:tcW w:w="620" w:type="dxa"/>
            <w:vAlign w:val="bottom"/>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10,313</w:t>
            </w:r>
          </w:p>
        </w:tc>
        <w:tc>
          <w:tcPr>
            <w:tcW w:w="620" w:type="dxa"/>
            <w:vAlign w:val="bottom"/>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3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2027 and thereafter</w:t>
            </w:r>
          </w:p>
        </w:tc>
        <w:tc>
          <w:tcPr>
            <w:tcW w:w="3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16,313</w:t>
            </w:r>
          </w:p>
        </w:tc>
        <w:tc>
          <w:tcPr>
            <w:tcW w:w="620" w:type="dxa"/>
            <w:vAlign w:val="bottom"/>
          </w:tcPr>
          <w:p>
            <w:pPr>
              <w:spacing w:after="0"/>
              <w:rPr>
                <w:sz w:val="19"/>
                <w:szCs w:val="19"/>
                <w:color w:val="auto"/>
              </w:rPr>
            </w:pPr>
          </w:p>
        </w:tc>
      </w:tr>
      <w:tr>
        <w:trPr>
          <w:trHeight w:val="241"/>
        </w:trPr>
        <w:tc>
          <w:tcPr>
            <w:tcW w:w="620" w:type="dxa"/>
            <w:vAlign w:val="bottom"/>
          </w:tcPr>
          <w:p>
            <w:pPr>
              <w:spacing w:after="0"/>
              <w:rPr>
                <w:sz w:val="20"/>
                <w:szCs w:val="20"/>
                <w:color w:val="auto"/>
              </w:rPr>
            </w:pPr>
          </w:p>
        </w:tc>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72,398</w:t>
            </w:r>
          </w:p>
        </w:tc>
        <w:tc>
          <w:tcPr>
            <w:tcW w:w="62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Other Current Assets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Other current assets consist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40" w:type="dxa"/>
            <w:vAlign w:val="bottom"/>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7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Receivables from statutory authorities</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13,299</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18,023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Derivative instruments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2,865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Advances to suppliers</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2,172</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contract fulfillment costs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1,315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Contract assets</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872</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accrued on term deposits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645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Others</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1,975</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23,143</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34,009</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11. Other Assets</w:t>
            </w: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718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40" w:type="dxa"/>
            <w:vAlign w:val="bottom"/>
          </w:tcPr>
          <w:p>
            <w:pPr>
              <w:spacing w:after="0"/>
              <w:rPr>
                <w:sz w:val="24"/>
                <w:szCs w:val="24"/>
                <w:color w:val="auto"/>
              </w:rPr>
            </w:pPr>
          </w:p>
        </w:tc>
        <w:tc>
          <w:tcPr>
            <w:tcW w:w="68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Other assets consist of the following:</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investments</w:t>
            </w:r>
          </w:p>
        </w:tc>
        <w:tc>
          <w:tcPr>
            <w:tcW w:w="340" w:type="dxa"/>
            <w:vAlign w:val="bottom"/>
            <w:tcBorders>
              <w:top w:val="single" w:sz="8" w:color="auto"/>
            </w:tcBorders>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22,997</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deposits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contract fulfillment costs</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Deposits with statutory authorities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instruments</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Contract assets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 from Statutory authorities</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Others</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340" w:type="dxa"/>
            <w:vAlign w:val="bottom"/>
            <w:tcBorders>
              <w:bottom w:val="single" w:sz="8" w:color="auto"/>
            </w:tcBorders>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53,195</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20"/>
          </w:cols>
          <w:pgMar w:left="320" w:top="11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20"/>
          </w:cols>
          <w:pgMar w:left="320" w:top="119" w:right="6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Accrued Expenses and Other Current Liabilities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Accrued expenses and other current liabilities consist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69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expenses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47,611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44,405</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6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Payable to statutory authorities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13,902</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instruments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1,852</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6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Client liabilities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6,097</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consideration</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6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Accrued capital expenditures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8,630</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payable</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252</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6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Finance lease liabilities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1,071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89,030</w:t>
            </w:r>
          </w:p>
        </w:tc>
        <w:tc>
          <w:tcPr>
            <w:tcW w:w="10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76,350</w:t>
            </w:r>
          </w:p>
        </w:tc>
        <w:tc>
          <w:tcPr>
            <w:tcW w:w="0" w:type="dxa"/>
            <w:vAlign w:val="bottom"/>
          </w:tcPr>
          <w:p>
            <w:pPr>
              <w:spacing w:after="0"/>
              <w:rPr>
                <w:sz w:val="1"/>
                <w:szCs w:val="1"/>
                <w:color w:val="auto"/>
              </w:rPr>
            </w:pPr>
          </w:p>
        </w:tc>
      </w:tr>
      <w:tr>
        <w:trPr>
          <w:trHeight w:val="20"/>
        </w:trPr>
        <w:tc>
          <w:tcPr>
            <w:tcW w:w="7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13. Other Non-Current Liabilities</w:t>
            </w: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72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60" w:type="dxa"/>
            <w:vAlign w:val="bottom"/>
          </w:tcPr>
          <w:p>
            <w:pPr>
              <w:spacing w:after="0"/>
              <w:rPr>
                <w:sz w:val="24"/>
                <w:szCs w:val="24"/>
                <w:color w:val="auto"/>
              </w:rPr>
            </w:pPr>
          </w:p>
        </w:tc>
        <w:tc>
          <w:tcPr>
            <w:tcW w:w="6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Other non-current liabilities consist of the following:</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Retirement benefits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11,029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Contingent consideration</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6,159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 instruments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3,978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Unrecognized tax benefits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transition revenue</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2,957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Finance lease liabilities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Others</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27,412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Accumulated Other Comprehensive Income/(Loss)</w:t>
      </w:r>
    </w:p>
    <w:p>
      <w:pPr>
        <w:spacing w:after="0" w:line="239" w:lineRule="exact"/>
        <w:rPr>
          <w:sz w:val="20"/>
          <w:szCs w:val="20"/>
          <w:color w:val="auto"/>
        </w:rPr>
      </w:pPr>
    </w:p>
    <w:p>
      <w:pPr>
        <w:jc w:val="both"/>
        <w:ind w:firstLine="393"/>
        <w:spacing w:after="0" w:line="246" w:lineRule="auto"/>
        <w:rPr>
          <w:sz w:val="20"/>
          <w:szCs w:val="20"/>
          <w:color w:val="auto"/>
        </w:rPr>
      </w:pPr>
      <w:r>
        <w:rPr>
          <w:rFonts w:ascii="Times New Roman" w:cs="Times New Roman" w:eastAsia="Times New Roman" w:hAnsi="Times New Roman"/>
          <w:sz w:val="17"/>
          <w:szCs w:val="17"/>
          <w:color w:val="auto"/>
        </w:rPr>
        <w:t>Accumulated other comprehensive income/(loss) (“AOCI”) consists of actuarial gain/(loss) on retirement benefits and foreign currency translation adjustments. In addition, the Company enters into foreign currency exchange contracts, which are designated as cash flow hedges and net investment hedges in accordance with ASC 815. Cumulative changes in the fair values of these foreign currency exchange contracts are recognized in AOCI on the Company’s unaudited consolidated balance sheets. Upon settlement of foreign exchange contracts designated as cash flow hedges, fair value changes are reclassified from AOCI to net income, whereas such fair value changes related to net investment hedges are included in net income when a foreign operation is disposed or partially disposed. The balances as of June 30, 2022 and 2021 are as follows: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Accumulated Other Comprehensive Income/(Loss)</w:t>
      </w:r>
    </w:p>
    <w:p>
      <w:pPr>
        <w:spacing w:after="0" w:line="34"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5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w w:val="97"/>
              </w:rPr>
              <w:t>Retirement</w:t>
            </w: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234"/>
              <w:spacing w:after="0" w:line="127"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43"/>
        </w:trPr>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rPr>
              <w:t>translation loss</w:t>
            </w:r>
          </w:p>
        </w:tc>
        <w:tc>
          <w:tcPr>
            <w:tcW w:w="1360" w:type="dxa"/>
            <w:vAlign w:val="bottom"/>
            <w:gridSpan w:val="3"/>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9"/>
              </w:rPr>
              <w:t>gain/(loss) on cash</w:t>
            </w: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w w:val="98"/>
              </w:rPr>
              <w:t>benefits</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91"/>
        </w:trPr>
        <w:tc>
          <w:tcPr>
            <w:tcW w:w="52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22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January 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(89,474)</w:t>
            </w: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Losses recognized during the period</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(15,149)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(45,376)</w:t>
            </w:r>
          </w:p>
        </w:tc>
      </w:tr>
      <w:tr>
        <w:trPr>
          <w:trHeight w:val="223"/>
        </w:trPr>
        <w:tc>
          <w:tcPr>
            <w:tcW w:w="52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Reclassification to net income </w:t>
            </w:r>
            <w:r>
              <w:rPr>
                <w:rFonts w:ascii="Times New Roman" w:cs="Times New Roman" w:eastAsia="Times New Roman" w:hAnsi="Times New Roman"/>
                <w:sz w:val="22"/>
                <w:szCs w:val="22"/>
                <w:color w:val="auto"/>
                <w:vertAlign w:val="superscript"/>
              </w:rPr>
              <w:t>(1)</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(3,144)</w:t>
            </w:r>
          </w:p>
        </w:tc>
      </w:tr>
      <w:tr>
        <w:trPr>
          <w:trHeight w:val="223"/>
        </w:trPr>
        <w:tc>
          <w:tcPr>
            <w:tcW w:w="528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Income tax effects </w:t>
            </w:r>
            <w:r>
              <w:rPr>
                <w:rFonts w:ascii="Times New Roman" w:cs="Times New Roman" w:eastAsia="Times New Roman" w:hAnsi="Times New Roman"/>
                <w:sz w:val="22"/>
                <w:szCs w:val="22"/>
                <w:color w:val="auto"/>
                <w:vertAlign w:val="superscript"/>
              </w:rPr>
              <w:t>(2)</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4,620</w:t>
            </w:r>
          </w:p>
        </w:tc>
      </w:tr>
      <w:tr>
        <w:trPr>
          <w:trHeight w:val="241"/>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other comprehensive income/(loss) as of June 30,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(124,685)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(133,374)</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January 1, 2021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(74,984)</w:t>
            </w: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Losses recognized during the period</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(6,989)</w:t>
            </w: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Losses on net investment hedges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w:t>
            </w:r>
          </w:p>
        </w:tc>
      </w:tr>
      <w:tr>
        <w:trPr>
          <w:trHeight w:val="223"/>
        </w:trPr>
        <w:tc>
          <w:tcPr>
            <w:tcW w:w="5280" w:type="dxa"/>
            <w:vAlign w:val="bottom"/>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Reclassification to net income </w:t>
            </w:r>
            <w:r>
              <w:rPr>
                <w:rFonts w:ascii="Times New Roman" w:cs="Times New Roman" w:eastAsia="Times New Roman" w:hAnsi="Times New Roman"/>
                <w:sz w:val="22"/>
                <w:szCs w:val="22"/>
                <w:color w:val="auto"/>
                <w:vertAlign w:val="superscript"/>
              </w:rPr>
              <w:t>(1)</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(5,340)</w:t>
            </w:r>
          </w:p>
        </w:tc>
      </w:tr>
      <w:tr>
        <w:trPr>
          <w:trHeight w:val="223"/>
        </w:trPr>
        <w:tc>
          <w:tcPr>
            <w:tcW w:w="52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Income tax effects </w:t>
            </w:r>
            <w:r>
              <w:rPr>
                <w:rFonts w:ascii="Times New Roman" w:cs="Times New Roman" w:eastAsia="Times New Roman" w:hAnsi="Times New Roman"/>
                <w:sz w:val="22"/>
                <w:szCs w:val="22"/>
                <w:color w:val="auto"/>
                <w:vertAlign w:val="superscript"/>
              </w:rPr>
              <w:t>(2)</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1,702</w:t>
            </w: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other comprehensive income/(loss) as of June 30, 2021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(92,776)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8,396</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(2,365)</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(86,745)</w:t>
            </w: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480" w:right="220" w:hanging="160"/>
        <w:spacing w:after="0" w:line="253" w:lineRule="auto"/>
        <w:tabs>
          <w:tab w:leader="none" w:pos="471" w:val="left"/>
        </w:tabs>
        <w:numPr>
          <w:ilvl w:val="1"/>
          <w:numId w:val="7"/>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6"/>
          <w:szCs w:val="16"/>
          <w:i w:val="1"/>
          <w:iCs w:val="1"/>
          <w:color w:val="auto"/>
        </w:rPr>
        <w:t>Refer to Note 16 - Derivatives and Hedge Accounting and Note 19 - Employee Benefit Plans to the unaudited consolidated financial statements for reclassification to net income.</w:t>
      </w:r>
    </w:p>
    <w:p>
      <w:pPr>
        <w:spacing w:after="0" w:line="202" w:lineRule="exact"/>
        <w:rPr>
          <w:rFonts w:ascii="Times New Roman" w:cs="Times New Roman" w:eastAsia="Times New Roman" w:hAnsi="Times New Roman"/>
          <w:sz w:val="10"/>
          <w:szCs w:val="10"/>
          <w:i w:val="1"/>
          <w:iCs w:val="1"/>
          <w:color w:val="auto"/>
        </w:rPr>
      </w:pPr>
    </w:p>
    <w:p>
      <w:pPr>
        <w:ind w:left="480" w:right="240" w:hanging="160"/>
        <w:spacing w:after="0" w:line="271" w:lineRule="auto"/>
        <w:tabs>
          <w:tab w:leader="none" w:pos="471" w:val="left"/>
        </w:tabs>
        <w:numPr>
          <w:ilvl w:val="1"/>
          <w:numId w:val="7"/>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6"/>
          <w:szCs w:val="16"/>
          <w:i w:val="1"/>
          <w:iCs w:val="1"/>
          <w:color w:val="auto"/>
        </w:rPr>
        <w:t>These are income tax effects recognized on cash flow hedges, retirement benefits and foreign currency translation gains / (losses). Refer to Note 21 - Income Taxes to the unaudited consolidated financial statements.</w:t>
      </w:r>
    </w:p>
    <w:p>
      <w:pPr>
        <w:spacing w:after="0" w:line="200" w:lineRule="exact"/>
        <w:rPr>
          <w:rFonts w:ascii="Times New Roman" w:cs="Times New Roman" w:eastAsia="Times New Roman" w:hAnsi="Times New Roman"/>
          <w:sz w:val="10"/>
          <w:szCs w:val="10"/>
          <w:i w:val="1"/>
          <w:iCs w:val="1"/>
          <w:color w:val="auto"/>
        </w:rPr>
      </w:pPr>
    </w:p>
    <w:p>
      <w:pPr>
        <w:spacing w:after="0" w:line="311" w:lineRule="exact"/>
        <w:rPr>
          <w:rFonts w:ascii="Times New Roman" w:cs="Times New Roman" w:eastAsia="Times New Roman" w:hAnsi="Times New Roman"/>
          <w:sz w:val="10"/>
          <w:szCs w:val="10"/>
          <w:i w:val="1"/>
          <w:iCs w:val="1"/>
          <w:color w:val="auto"/>
        </w:rPr>
      </w:pPr>
    </w:p>
    <w:p>
      <w:pPr>
        <w:ind w:left="260" w:hanging="255"/>
        <w:spacing w:after="0"/>
        <w:tabs>
          <w:tab w:leader="none" w:pos="26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Assets and Liabilities Measured at Fair Value</w:t>
      </w:r>
    </w:p>
    <w:p>
      <w:pPr>
        <w:spacing w:after="0" w:line="2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sets forth the Company’s assets and liabilities that were accounted for at fair value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30, 2022 and December 31, 2021:</w:t>
      </w:r>
    </w:p>
    <w:p>
      <w:pPr>
        <w:spacing w:after="0" w:line="19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Quoted Prices</w:t>
            </w:r>
          </w:p>
        </w:tc>
        <w:tc>
          <w:tcPr>
            <w:tcW w:w="280" w:type="dxa"/>
            <w:vAlign w:val="bottom"/>
          </w:tcPr>
          <w:p>
            <w:pPr>
              <w:spacing w:after="0"/>
              <w:rPr>
                <w:sz w:val="13"/>
                <w:szCs w:val="13"/>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240" w:type="dxa"/>
            <w:vAlign w:val="bottom"/>
          </w:tcPr>
          <w:p>
            <w:pPr>
              <w:spacing w:after="0"/>
              <w:rPr>
                <w:sz w:val="13"/>
                <w:szCs w:val="13"/>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 Active</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46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3"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3"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240" w:type="dxa"/>
            <w:vAlign w:val="bottom"/>
          </w:tcPr>
          <w:p>
            <w:pPr>
              <w:spacing w:after="0"/>
              <w:rPr>
                <w:sz w:val="12"/>
                <w:szCs w:val="12"/>
                <w:color w:val="auto"/>
              </w:rPr>
            </w:pPr>
          </w:p>
        </w:tc>
        <w:tc>
          <w:tcPr>
            <w:tcW w:w="1460" w:type="dxa"/>
            <w:vAlign w:val="bottom"/>
            <w:gridSpan w:val="2"/>
          </w:tcPr>
          <w:p>
            <w:pPr>
              <w:jc w:val="center"/>
              <w:ind w:right="3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280" w:type="dxa"/>
            <w:vAlign w:val="bottom"/>
          </w:tcPr>
          <w:p>
            <w:pPr>
              <w:spacing w:after="0"/>
              <w:rPr>
                <w:sz w:val="16"/>
                <w:szCs w:val="16"/>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24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22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equivalents - Money market funds*</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100" w:type="dxa"/>
            <w:vAlign w:val="bottom"/>
          </w:tcPr>
          <w:p>
            <w:pPr>
              <w:spacing w:after="0"/>
              <w:rPr>
                <w:sz w:val="21"/>
                <w:szCs w:val="21"/>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Mutual funds**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107,425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41"/>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107,757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49"/>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Contingent consideration***</w:t>
            </w:r>
          </w:p>
        </w:tc>
        <w:tc>
          <w:tcPr>
            <w:tcW w:w="22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41"/>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Quoted Prices</w:t>
            </w:r>
          </w:p>
        </w:tc>
        <w:tc>
          <w:tcPr>
            <w:tcW w:w="2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24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center"/>
              <w:ind w:right="320"/>
              <w:spacing w:after="0" w:line="133" w:lineRule="exact"/>
              <w:rPr>
                <w:sz w:val="20"/>
                <w:szCs w:val="20"/>
                <w:color w:val="auto"/>
              </w:rPr>
            </w:pPr>
            <w:r>
              <w:rPr>
                <w:rFonts w:ascii="Times New Roman" w:cs="Times New Roman" w:eastAsia="Times New Roman" w:hAnsi="Times New Roman"/>
                <w:sz w:val="14"/>
                <w:szCs w:val="14"/>
                <w:b w:val="1"/>
                <w:bCs w:val="1"/>
                <w:color w:val="auto"/>
                <w:w w:val="97"/>
              </w:rPr>
              <w:t>in Active</w:t>
            </w:r>
          </w:p>
        </w:tc>
        <w:tc>
          <w:tcPr>
            <w:tcW w:w="28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center"/>
              <w:ind w:right="380"/>
              <w:spacing w:after="0" w:line="133"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jc w:val="center"/>
              <w:ind w:right="360"/>
              <w:spacing w:after="0" w:line="133"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2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5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3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22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4"/>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equivalents - Money market funds*</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5,374</w:t>
            </w:r>
          </w:p>
        </w:tc>
        <w:tc>
          <w:tcPr>
            <w:tcW w:w="100" w:type="dxa"/>
            <w:vAlign w:val="bottom"/>
          </w:tcPr>
          <w:p>
            <w:pPr>
              <w:spacing w:after="0"/>
              <w:rPr>
                <w:sz w:val="21"/>
                <w:szCs w:val="21"/>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Mutual funds**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127,551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41"/>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132,925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49"/>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Contingent consideration***</w:t>
            </w:r>
          </w:p>
        </w:tc>
        <w:tc>
          <w:tcPr>
            <w:tcW w:w="22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41"/>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Represents money market funds which are carried at the fair value option under ASC 825 “Financial Instruments”.</w:t>
      </w:r>
    </w:p>
    <w:p>
      <w:pPr>
        <w:spacing w:after="0" w:line="250" w:lineRule="exact"/>
        <w:rPr>
          <w:sz w:val="20"/>
          <w:szCs w:val="20"/>
          <w:color w:val="auto"/>
        </w:rPr>
      </w:pPr>
    </w:p>
    <w:p>
      <w:pPr>
        <w:ind w:left="220" w:hanging="215"/>
        <w:spacing w:after="0"/>
        <w:tabs>
          <w:tab w:leader="none" w:pos="220"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Represents those short-term investments which are carried at the fair value option under ASC 825 “Financial Instruments”.</w:t>
      </w:r>
    </w:p>
    <w:p>
      <w:pPr>
        <w:spacing w:after="0" w:line="250" w:lineRule="exact"/>
        <w:rPr>
          <w:rFonts w:ascii="Times New Roman" w:cs="Times New Roman" w:eastAsia="Times New Roman" w:hAnsi="Times New Roman"/>
          <w:sz w:val="17"/>
          <w:szCs w:val="17"/>
          <w:i w:val="1"/>
          <w:iCs w:val="1"/>
          <w:color w:val="auto"/>
        </w:rPr>
      </w:pPr>
    </w:p>
    <w:p>
      <w:pPr>
        <w:ind w:right="160" w:firstLine="5"/>
        <w:spacing w:after="0" w:line="299" w:lineRule="auto"/>
        <w:tabs>
          <w:tab w:leader="none" w:pos="306"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Contingent consideration is presented under “Accrued Expenses and Other Current Liabilities” and “Other Non-Current Liabilities,” as applicable, in the consolidated balance sheets.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Derivative Financial Instruments:</w:t>
      </w:r>
    </w:p>
    <w:p>
      <w:pPr>
        <w:spacing w:after="0" w:line="226" w:lineRule="exact"/>
        <w:rPr>
          <w:sz w:val="20"/>
          <w:szCs w:val="20"/>
          <w:color w:val="auto"/>
        </w:rPr>
      </w:pPr>
    </w:p>
    <w:p>
      <w:pPr>
        <w:jc w:val="both"/>
        <w:ind w:right="100" w:firstLine="393"/>
        <w:spacing w:after="0" w:line="261" w:lineRule="auto"/>
        <w:rPr>
          <w:sz w:val="20"/>
          <w:szCs w:val="20"/>
          <w:color w:val="auto"/>
        </w:rPr>
      </w:pPr>
      <w:r>
        <w:rPr>
          <w:rFonts w:ascii="Times New Roman" w:cs="Times New Roman" w:eastAsia="Times New Roman" w:hAnsi="Times New Roman"/>
          <w:sz w:val="17"/>
          <w:szCs w:val="17"/>
          <w:color w:val="auto"/>
        </w:rPr>
        <w:t>The Company’s derivative financial instruments consist of foreign currency forward exchange contracts. Fair values for derivative financial instruments are based on independent sources including highly rated financial institutions and are classified as Level 2. Refer to Note 16 - Derivatives and Hedge Accounting to the unaudited consolidated financial statements for further details.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of Contingent Consideration:</w:t>
      </w:r>
    </w:p>
    <w:p>
      <w:pPr>
        <w:spacing w:after="0" w:line="252" w:lineRule="exact"/>
        <w:rPr>
          <w:sz w:val="20"/>
          <w:szCs w:val="20"/>
          <w:color w:val="auto"/>
        </w:rPr>
      </w:pPr>
    </w:p>
    <w:p>
      <w:pPr>
        <w:jc w:val="both"/>
        <w:ind w:right="100" w:firstLine="393"/>
        <w:spacing w:after="0" w:line="265" w:lineRule="auto"/>
        <w:rPr>
          <w:sz w:val="20"/>
          <w:szCs w:val="20"/>
          <w:color w:val="auto"/>
        </w:rPr>
      </w:pPr>
      <w:r>
        <w:rPr>
          <w:rFonts w:ascii="Times New Roman" w:cs="Times New Roman" w:eastAsia="Times New Roman" w:hAnsi="Times New Roman"/>
          <w:sz w:val="17"/>
          <w:szCs w:val="17"/>
          <w:color w:val="auto"/>
        </w:rPr>
        <w:t>The fair value measurement of contingent consideration is determined using Level 3 inputs. The Company’s contingent consideration represents a component of the total purchase consideration for its acquisition of Clairvoyant and Inbound. The measurement is calculated using unobservable inputs based on the Company’s own assessment of achievement of certain performance goals by Clairvoyant during the 2022 and 2023 calendar years and Inbound during the 2022 to 2024 calendar years. The Company estimated the fair value of the contingent consideration to be $11,439 and $9,000, as of June 30, 2022 and December 31, 2021, respectively, based on the Monte Carlo simulation model and scenario-based method. Refer to Note 9 - Business Combination, Goodwill and Intangible Asset</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7"/>
          <w:szCs w:val="17"/>
          <w:color w:val="auto"/>
        </w:rPr>
        <w:t xml:space="preserve"> to the unaudited consolidated financial statements for further details.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Instruments Not Carried at Fair Value</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right="100" w:firstLine="393"/>
        <w:spacing w:after="0" w:line="247" w:lineRule="auto"/>
        <w:rPr>
          <w:sz w:val="20"/>
          <w:szCs w:val="20"/>
          <w:color w:val="auto"/>
        </w:rPr>
      </w:pPr>
      <w:r>
        <w:rPr>
          <w:rFonts w:ascii="Times New Roman" w:cs="Times New Roman" w:eastAsia="Times New Roman" w:hAnsi="Times New Roman"/>
          <w:sz w:val="17"/>
          <w:szCs w:val="17"/>
          <w:color w:val="auto"/>
        </w:rPr>
        <w:t>The Company’s other financial instruments not carried at fair value consist primarily of cash and cash equivalents (except investments in money market funds, as disclosed above), short-term investments (except investments in mutual funds, as disclosed above), restricted cash, accounts receivable, net, interest accrued on short-term and long-term investments, long-term investments, accrued capital expenditures, accrued expenses, client liabilities and interest payable on borrowings for which fair values approximate their carrying amounts. The carrying value of the Company’s outstanding revolving credit facility approximates its fair value because the Company’s interest rate yield is near current market rates for comparable debt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Derivatives and Hedge Accounting</w:t>
      </w:r>
    </w:p>
    <w:p>
      <w:pPr>
        <w:spacing w:after="0" w:line="239" w:lineRule="exact"/>
        <w:rPr>
          <w:sz w:val="20"/>
          <w:szCs w:val="20"/>
          <w:color w:val="auto"/>
        </w:rPr>
      </w:pPr>
    </w:p>
    <w:p>
      <w:pPr>
        <w:jc w:val="both"/>
        <w:ind w:firstLine="393"/>
        <w:spacing w:after="0" w:line="252" w:lineRule="auto"/>
        <w:rPr>
          <w:sz w:val="20"/>
          <w:szCs w:val="20"/>
          <w:color w:val="auto"/>
        </w:rPr>
      </w:pPr>
      <w:r>
        <w:rPr>
          <w:rFonts w:ascii="Times New Roman" w:cs="Times New Roman" w:eastAsia="Times New Roman" w:hAnsi="Times New Roman"/>
          <w:sz w:val="17"/>
          <w:szCs w:val="17"/>
          <w:color w:val="auto"/>
        </w:rPr>
        <w:t>The Company uses derivative instruments and hedging transactions to mitigate exposure to foreign currency fluctuation risks associated with forecasted transactions denominated in certain foreign currencies so as to minimize earnings and cash flow volatility associated with changes in foreign currency exchange rates. The Company’s derivative financial instruments are largely forward foreign exchange contracts that are designated as effective hedges and that qualify as cash flow hedges under ASC 815. The Company had outstanding cash flow hedges totaling $568,300 as of June 30, 2022 and $514,580 as of December 31, 2021.</w:t>
      </w:r>
    </w:p>
    <w:p>
      <w:pPr>
        <w:spacing w:after="0" w:line="399" w:lineRule="exact"/>
        <w:rPr>
          <w:sz w:val="20"/>
          <w:szCs w:val="20"/>
          <w:color w:val="auto"/>
        </w:rPr>
      </w:pPr>
    </w:p>
    <w:p>
      <w:pPr>
        <w:jc w:val="both"/>
        <w:ind w:firstLine="393"/>
        <w:spacing w:after="0" w:line="249" w:lineRule="auto"/>
        <w:rPr>
          <w:sz w:val="20"/>
          <w:szCs w:val="20"/>
          <w:color w:val="auto"/>
        </w:rPr>
      </w:pPr>
      <w:r>
        <w:rPr>
          <w:rFonts w:ascii="Times New Roman" w:cs="Times New Roman" w:eastAsia="Times New Roman" w:hAnsi="Times New Roman"/>
          <w:sz w:val="17"/>
          <w:szCs w:val="17"/>
          <w:color w:val="auto"/>
        </w:rPr>
        <w:t>Changes in the fair value of these cash flow hedges are recorded as a component of accumulated other comprehensive income/(loss), net of tax, until the hedged transactions occurs. The resultant foreign exchange gain/(loss) upon settlement of these cash flow hedges is recorded along with the underlying hedged item in the same line of unaudited consolidated statements of income as a part of “Cost of revenues,” “General and administrative expenses,” “Selling and marketing expenses,” and “Depreciation and amortization expense,” as applicable.</w:t>
      </w:r>
    </w:p>
    <w:p>
      <w:pPr>
        <w:spacing w:after="0" w:line="198"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Company evaluates hedge effectiveness at the time a contract is entered into as well as on an ongoing basis. For hedging positions that are discontinued because the forecasted transaction is not expected to occur by the end of the originally specified period, any related amounts recorded in equity are reclassified to earnings.</w:t>
      </w:r>
    </w:p>
    <w:p>
      <w:pPr>
        <w:spacing w:after="0" w:line="188"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Company estimates that approximately $3,795 of derivative losses, net, excluding tax effects, included in AOCI, representing changes in the value of cash flow hedges based on exchange rates prevailing as of June 30, 2022, could be reclassified into earnings within the next twelve months. At June 30, 2022, the maximum outstanding term of the cash flow hedges was approximately 42 months.</w:t>
      </w:r>
    </w:p>
    <w:p>
      <w:pPr>
        <w:spacing w:after="0" w:line="188" w:lineRule="exact"/>
        <w:rPr>
          <w:sz w:val="20"/>
          <w:szCs w:val="20"/>
          <w:color w:val="auto"/>
        </w:rPr>
      </w:pPr>
    </w:p>
    <w:p>
      <w:pPr>
        <w:jc w:val="both"/>
        <w:ind w:firstLine="393"/>
        <w:spacing w:after="0" w:line="244" w:lineRule="auto"/>
        <w:rPr>
          <w:sz w:val="20"/>
          <w:szCs w:val="20"/>
          <w:color w:val="auto"/>
        </w:rPr>
      </w:pPr>
      <w:r>
        <w:rPr>
          <w:rFonts w:ascii="Times New Roman" w:cs="Times New Roman" w:eastAsia="Times New Roman" w:hAnsi="Times New Roman"/>
          <w:sz w:val="17"/>
          <w:szCs w:val="17"/>
          <w:color w:val="auto"/>
        </w:rPr>
        <w:t>The Company also enters into foreign currency forward contracts to economically hedge its intercompany balances and other monetary assets and liabilities denominated in currencies other than functional currencies, against the risk of foreign currency fluctuations associated with remeasurement of such assets and liabilities to functional currency. These derivatives do not qualify as fair value hedges under ASC 815. Changes in the fair value of these derivatives are recognized in the unaudited consolidated statements of income and are included in the foreign exchange gain/(loss) line item. The Company’s primary exchange rate exposure is with the Indian rupee, the U.K. pound sterling (GBP) and the Philippine peso. The Company also has exposure to Colombian pesos (COP), Czech koruna, the Euro (EUR), South African ZAR, the Australian dollar (AUD) and other local currencies in which it operates. Outstanding foreign currency forward contracts amounted to USD 156,066, GBP 8,700, EUR 1,736 and COP 2,777,668 as of June 30, 2022 and USD 134,612, GBP 6,763, EUR 1,343 and COP 2,541,902 as of December 31, 2021.</w:t>
      </w:r>
    </w:p>
    <w:p>
      <w:pPr>
        <w:spacing w:after="0" w:line="207" w:lineRule="exact"/>
        <w:rPr>
          <w:sz w:val="20"/>
          <w:szCs w:val="20"/>
          <w:color w:val="auto"/>
        </w:rPr>
      </w:pPr>
    </w:p>
    <w:p>
      <w:pPr>
        <w:jc w:val="both"/>
        <w:ind w:firstLine="393"/>
        <w:spacing w:after="0" w:line="281" w:lineRule="auto"/>
        <w:rPr>
          <w:sz w:val="20"/>
          <w:szCs w:val="20"/>
          <w:color w:val="auto"/>
        </w:rPr>
      </w:pPr>
      <w:r>
        <w:rPr>
          <w:rFonts w:ascii="Times New Roman" w:cs="Times New Roman" w:eastAsia="Times New Roman" w:hAnsi="Times New Roman"/>
          <w:sz w:val="17"/>
          <w:szCs w:val="17"/>
          <w:color w:val="auto"/>
        </w:rPr>
        <w:t>The Company uses forward contracts designated as net investment hedges to hedge the foreign currency risks related to our investments in foreign subsidiaries. Gains and losses on these net investment hedges are recognized in AOCI as part of foreign currency translation adjustments.</w:t>
      </w:r>
    </w:p>
    <w:p>
      <w:pPr>
        <w:spacing w:after="0" w:line="185"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All of the assets and liabilities related to our foreign exchange forward contracts are subject to master netting arrangements with each individual counterparty. These master netting arrangements generally provide for net settlement of all outstanding contracts with the counterparty in the case of an event of default or a termination event. We have presented all of the assets and liabilities related to our foreign exchange forward contracts on a gross basis, with no offsets, in our unaudited consolidated statements of financial position. There is no financial collateral (including cash collateral) provided or received by us related to our foreign exchange forward contracts.</w:t>
      </w:r>
    </w:p>
    <w:p>
      <w:pPr>
        <w:spacing w:after="0" w:line="185" w:lineRule="exact"/>
        <w:rPr>
          <w:sz w:val="20"/>
          <w:szCs w:val="20"/>
          <w:color w:val="auto"/>
        </w:rPr>
      </w:pPr>
    </w:p>
    <w:p>
      <w:pPr>
        <w:ind w:right="720" w:firstLine="393"/>
        <w:spacing w:after="0" w:line="281" w:lineRule="auto"/>
        <w:rPr>
          <w:sz w:val="20"/>
          <w:szCs w:val="20"/>
          <w:color w:val="auto"/>
        </w:rPr>
      </w:pPr>
      <w:r>
        <w:rPr>
          <w:rFonts w:ascii="Times New Roman" w:cs="Times New Roman" w:eastAsia="Times New Roman" w:hAnsi="Times New Roman"/>
          <w:sz w:val="17"/>
          <w:szCs w:val="17"/>
          <w:color w:val="auto"/>
        </w:rPr>
        <w:t>The following tables set forth the fair value of the foreign currency exchange contracts and their location on the unaudited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9" w:lineRule="exact"/>
        <w:rPr>
          <w:sz w:val="20"/>
          <w:szCs w:val="20"/>
          <w:color w:val="auto"/>
        </w:rPr>
      </w:pPr>
    </w:p>
    <w:p>
      <w:pPr>
        <w:jc w:val="right"/>
        <w:ind w:right="236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ectPr>
          <w:pgSz w:w="11900" w:h="16838" w:orient="portrait"/>
          <w:cols w:equalWidth="0" w:num="1">
            <w:col w:w="11340"/>
          </w:cols>
          <w:pgMar w:left="320" w:top="1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5"/>
          <w:szCs w:val="15"/>
          <w:b w:val="1"/>
          <w:bCs w:val="1"/>
          <w:color w:val="auto"/>
        </w:rPr>
        <w:t>Derivatives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25400</wp:posOffset>
            </wp:positionV>
            <wp:extent cx="37636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763645" cy="8255"/>
                    </a:xfrm>
                    <a:prstGeom prst="rect">
                      <a:avLst/>
                    </a:prstGeom>
                    <a:noFill/>
                  </pic:spPr>
                </pic:pic>
              </a:graphicData>
            </a:graphic>
          </wp:anchor>
        </w:drawing>
      </w:r>
    </w:p>
    <w:p>
      <w:pPr>
        <w:spacing w:after="0" w:line="3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color w:val="auto"/>
        </w:rPr>
        <w:t>Foreign currency exchange contracts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18415</wp:posOffset>
            </wp:positionV>
            <wp:extent cx="26231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9"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6"/>
          <w:szCs w:val="16"/>
          <w:b w:val="1"/>
          <w:bCs w:val="1"/>
          <w:color w:val="auto"/>
        </w:rPr>
        <w:t>June 30, 2022</w:t>
      </w:r>
      <w:r>
        <w:rPr>
          <w:sz w:val="20"/>
          <w:szCs w:val="20"/>
          <w:color w:val="auto"/>
        </w:rPr>
        <w:tab/>
      </w:r>
      <w:r>
        <w:rPr>
          <w:rFonts w:ascii="Times New Roman" w:cs="Times New Roman" w:eastAsia="Times New Roman" w:hAnsi="Times New Roman"/>
          <w:sz w:val="15"/>
          <w:szCs w:val="15"/>
          <w:b w:val="1"/>
          <w:bCs w:val="1"/>
          <w:color w:val="auto"/>
        </w:rPr>
        <w:t>December 31, 2021</w:t>
      </w:r>
    </w:p>
    <w:p>
      <w:pPr>
        <w:spacing w:after="0" w:line="24" w:lineRule="exact"/>
        <w:rPr>
          <w:sz w:val="20"/>
          <w:szCs w:val="20"/>
          <w:color w:val="auto"/>
        </w:rPr>
      </w:pPr>
    </w:p>
    <w:p>
      <w:pPr>
        <w:sectPr>
          <w:pgSz w:w="11900" w:h="16838" w:orient="portrait"/>
          <w:cols w:equalWidth="0" w:num="2">
            <w:col w:w="6560" w:space="720"/>
            <w:col w:w="4060"/>
          </w:cols>
          <w:pgMar w:left="320" w:top="119" w:right="239" w:bottom="1440" w:gutter="0" w:footer="0" w:header="0"/>
          <w:type w:val="continuous"/>
        </w:sectPr>
      </w:pPr>
    </w:p>
    <w:tbl>
      <w:tblPr>
        <w:tblLayout w:type="fixed"/>
        <w:tblInd w:w="760" w:type="dxa"/>
        <w:tblCellMar>
          <w:top w:w="0" w:type="dxa"/>
          <w:left w:w="0" w:type="dxa"/>
          <w:bottom w:w="0" w:type="dxa"/>
          <w:right w:w="0" w:type="dxa"/>
        </w:tblCellMar>
      </w:tblPr>
      <w:tr>
        <w:trPr>
          <w:trHeight w:val="220"/>
        </w:trPr>
        <w:tc>
          <w:tcPr>
            <w:tcW w:w="5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2,727</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8,669</w:t>
            </w:r>
          </w:p>
        </w:tc>
      </w:tr>
      <w:tr>
        <w:trPr>
          <w:trHeight w:val="22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76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1,043</w:t>
            </w:r>
          </w:p>
        </w:tc>
        <w:tc>
          <w:tcPr>
            <w:tcW w:w="100" w:type="dxa"/>
            <w:vAlign w:val="bottom"/>
          </w:tcPr>
          <w:p>
            <w:pPr>
              <w:spacing w:after="0"/>
              <w:rPr>
                <w:sz w:val="19"/>
                <w:szCs w:val="19"/>
                <w:color w:val="auto"/>
              </w:rPr>
            </w:pPr>
          </w:p>
        </w:tc>
        <w:tc>
          <w:tcPr>
            <w:tcW w:w="880" w:type="dxa"/>
            <w:vAlign w:val="bottom"/>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6,307</w:t>
            </w:r>
          </w:p>
        </w:tc>
      </w:tr>
      <w:tr>
        <w:trPr>
          <w:trHeight w:val="223"/>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76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1,324</w:t>
            </w:r>
          </w:p>
        </w:tc>
      </w:tr>
      <w:tr>
        <w:trPr>
          <w:trHeight w:val="22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76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3,978</w:t>
            </w:r>
          </w:p>
        </w:tc>
        <w:tc>
          <w:tcPr>
            <w:tcW w:w="100" w:type="dxa"/>
            <w:vAlign w:val="bottom"/>
          </w:tcPr>
          <w:p>
            <w:pPr>
              <w:spacing w:after="0"/>
              <w:rPr>
                <w:sz w:val="19"/>
                <w:szCs w:val="19"/>
                <w:color w:val="auto"/>
              </w:rPr>
            </w:pPr>
          </w:p>
        </w:tc>
        <w:tc>
          <w:tcPr>
            <w:tcW w:w="880" w:type="dxa"/>
            <w:vAlign w:val="bottom"/>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1,785</w:t>
            </w:r>
          </w:p>
        </w:tc>
      </w:tr>
      <w:tr>
        <w:trPr>
          <w:trHeight w:val="262"/>
        </w:trPr>
        <w:tc>
          <w:tcPr>
            <w:tcW w:w="5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bl>
    <w:p>
      <w:pPr>
        <w:spacing w:after="0" w:line="1" w:lineRule="exact"/>
        <w:rPr>
          <w:sz w:val="20"/>
          <w:szCs w:val="20"/>
          <w:color w:val="auto"/>
        </w:rPr>
      </w:pPr>
    </w:p>
    <w:p>
      <w:pPr>
        <w:sectPr>
          <w:pgSz w:w="11900" w:h="16838" w:orient="portrait"/>
          <w:cols w:equalWidth="0" w:num="1">
            <w:col w:w="11340"/>
          </w:cols>
          <w:pgMar w:left="320" w:top="119" w:right="239"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5"/>
          <w:szCs w:val="15"/>
          <w:b w:val="1"/>
          <w:bCs w:val="1"/>
          <w:color w:val="auto"/>
        </w:rPr>
        <w:t>Derivatives not designated as hedging instruments:</w:t>
      </w:r>
    </w:p>
    <w:p>
      <w:pPr>
        <w:spacing w:after="0" w:line="4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color w:val="auto"/>
        </w:rPr>
        <w:t>Foreign currency exchange contracts</w:t>
      </w:r>
    </w:p>
    <w:p>
      <w:pPr>
        <w:spacing w:after="0" w:line="20" w:lineRule="exact"/>
        <w:rPr>
          <w:sz w:val="20"/>
          <w:szCs w:val="20"/>
          <w:color w:val="auto"/>
        </w:rPr>
      </w:pPr>
      <w:r>
        <w:rPr>
          <w:sz w:val="20"/>
          <w:szCs w:val="20"/>
          <w:color w:val="auto"/>
        </w:rPr>
        <w:br w:type="column"/>
      </w:r>
    </w:p>
    <w:p>
      <w:pPr>
        <w:jc w:val="center"/>
        <w:ind w:right="92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16510</wp:posOffset>
            </wp:positionV>
            <wp:extent cx="6453505" cy="141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53505" cy="141605"/>
                    </a:xfrm>
                    <a:prstGeom prst="rect">
                      <a:avLst/>
                    </a:prstGeom>
                    <a:noFill/>
                  </pic:spPr>
                </pic:pic>
              </a:graphicData>
            </a:graphic>
          </wp:anchor>
        </w:drawing>
      </w:r>
    </w:p>
    <w:p>
      <w:pPr>
        <w:spacing w:after="0" w:line="16"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6"/>
          <w:szCs w:val="16"/>
          <w:b w:val="1"/>
          <w:bCs w:val="1"/>
          <w:color w:val="auto"/>
        </w:rPr>
        <w:t>June 30, 2022</w:t>
      </w:r>
      <w:r>
        <w:rPr>
          <w:sz w:val="20"/>
          <w:szCs w:val="20"/>
          <w:color w:val="auto"/>
        </w:rPr>
        <w:tab/>
      </w:r>
      <w:r>
        <w:rPr>
          <w:rFonts w:ascii="Times New Roman" w:cs="Times New Roman" w:eastAsia="Times New Roman" w:hAnsi="Times New Roman"/>
          <w:sz w:val="15"/>
          <w:szCs w:val="15"/>
          <w:b w:val="1"/>
          <w:bCs w:val="1"/>
          <w:color w:val="auto"/>
        </w:rPr>
        <w:t>December 31, 2021</w:t>
      </w:r>
    </w:p>
    <w:p>
      <w:pPr>
        <w:spacing w:after="0" w:line="24" w:lineRule="exact"/>
        <w:rPr>
          <w:sz w:val="20"/>
          <w:szCs w:val="20"/>
          <w:color w:val="auto"/>
        </w:rPr>
      </w:pPr>
    </w:p>
    <w:p>
      <w:pPr>
        <w:sectPr>
          <w:pgSz w:w="11900" w:h="16838" w:orient="portrait"/>
          <w:cols w:equalWidth="0" w:num="2">
            <w:col w:w="6560" w:space="720"/>
            <w:col w:w="4060"/>
          </w:cols>
          <w:pgMar w:left="320" w:top="119" w:right="239" w:bottom="1440" w:gutter="0" w:footer="0" w:header="0"/>
          <w:type w:val="continuous"/>
        </w:sectPr>
      </w:pPr>
    </w:p>
    <w:tbl>
      <w:tblPr>
        <w:tblLayout w:type="fixed"/>
        <w:tblInd w:w="760" w:type="dxa"/>
        <w:tblCellMar>
          <w:top w:w="0" w:type="dxa"/>
          <w:left w:w="0" w:type="dxa"/>
          <w:bottom w:w="0" w:type="dxa"/>
          <w:right w:w="0" w:type="dxa"/>
        </w:tblCellMar>
      </w:tblPr>
      <w:tr>
        <w:trPr>
          <w:trHeight w:val="220"/>
        </w:trPr>
        <w:tc>
          <w:tcPr>
            <w:tcW w:w="5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100" w:type="dxa"/>
            <w:vAlign w:val="bottom"/>
          </w:tcPr>
          <w:p>
            <w:pPr>
              <w:spacing w:after="0"/>
              <w:rPr>
                <w:sz w:val="19"/>
                <w:szCs w:val="19"/>
                <w:color w:val="auto"/>
              </w:rPr>
            </w:pPr>
          </w:p>
        </w:tc>
        <w:tc>
          <w:tcPr>
            <w:tcW w:w="820" w:type="dxa"/>
            <w:vAlign w:val="bottom"/>
            <w:tcBorders>
              <w:top w:val="single" w:sz="8" w:color="auto"/>
            </w:tcBorders>
          </w:tcPr>
          <w:p>
            <w:pPr>
              <w:jc w:val="right"/>
              <w:ind w:right="6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23"/>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8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w:t>
            </w:r>
          </w:p>
        </w:tc>
      </w:tr>
    </w:tbl>
    <w:p>
      <w:pPr>
        <w:spacing w:after="0" w:line="283" w:lineRule="exact"/>
        <w:rPr>
          <w:sz w:val="20"/>
          <w:szCs w:val="20"/>
          <w:color w:val="auto"/>
        </w:rPr>
      </w:pPr>
    </w:p>
    <w:p>
      <w:pPr>
        <w:ind w:right="100" w:firstLine="393"/>
        <w:spacing w:after="0" w:line="281" w:lineRule="auto"/>
        <w:rPr>
          <w:sz w:val="20"/>
          <w:szCs w:val="20"/>
          <w:color w:val="auto"/>
        </w:rPr>
      </w:pPr>
      <w:r>
        <w:rPr>
          <w:rFonts w:ascii="Times New Roman" w:cs="Times New Roman" w:eastAsia="Times New Roman" w:hAnsi="Times New Roman"/>
          <w:sz w:val="17"/>
          <w:szCs w:val="17"/>
          <w:color w:val="auto"/>
        </w:rPr>
        <w:t>The following tables set forth the effect of foreign currency exchange contracts on accumulated other comprehensive income/(loss) and the unaudited consolidated statements of income for the three and six months ended June 30, 2022 and 2021:</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276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4"/>
        </w:trPr>
        <w:tc>
          <w:tcPr>
            <w:tcW w:w="440" w:type="dxa"/>
            <w:vAlign w:val="bottom"/>
          </w:tcPr>
          <w:p>
            <w:pPr>
              <w:spacing w:after="0"/>
              <w:rPr>
                <w:sz w:val="17"/>
                <w:szCs w:val="17"/>
                <w:color w:val="auto"/>
              </w:rPr>
            </w:pPr>
          </w:p>
        </w:tc>
        <w:tc>
          <w:tcPr>
            <w:tcW w:w="4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Forward Exchange Contracts:</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r>
      <w:tr>
        <w:trPr>
          <w:trHeight w:val="204"/>
        </w:trPr>
        <w:tc>
          <w:tcPr>
            <w:tcW w:w="440" w:type="dxa"/>
            <w:vAlign w:val="bottom"/>
          </w:tcPr>
          <w:p>
            <w:pPr>
              <w:spacing w:after="0"/>
              <w:rPr>
                <w:sz w:val="17"/>
                <w:szCs w:val="17"/>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Unrealized loss recognized in AOCI</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440" w:type="dxa"/>
            <w:vAlign w:val="bottom"/>
          </w:tcPr>
          <w:p>
            <w:pPr>
              <w:spacing w:after="0"/>
              <w:rPr>
                <w:sz w:val="19"/>
                <w:szCs w:val="19"/>
                <w:color w:val="auto"/>
              </w:rPr>
            </w:pPr>
          </w:p>
        </w:tc>
        <w:tc>
          <w:tcPr>
            <w:tcW w:w="4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Derivatives in cash flow hedging relationships</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(14,632)</w:t>
            </w:r>
          </w:p>
        </w:tc>
        <w:tc>
          <w:tcPr>
            <w:tcW w:w="12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w:t>
            </w:r>
          </w:p>
        </w:tc>
        <w:tc>
          <w:tcPr>
            <w:tcW w:w="8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(15,149)</w:t>
            </w:r>
          </w:p>
        </w:tc>
        <w:tc>
          <w:tcPr>
            <w:tcW w:w="10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(303)</w:t>
            </w:r>
          </w:p>
        </w:tc>
      </w:tr>
      <w:tr>
        <w:trPr>
          <w:trHeight w:val="262"/>
        </w:trPr>
        <w:tc>
          <w:tcPr>
            <w:tcW w:w="440" w:type="dxa"/>
            <w:vAlign w:val="bottom"/>
          </w:tcPr>
          <w:p>
            <w:pPr>
              <w:spacing w:after="0"/>
              <w:rPr>
                <w:sz w:val="22"/>
                <w:szCs w:val="22"/>
                <w:color w:val="auto"/>
              </w:rPr>
            </w:pPr>
          </w:p>
        </w:tc>
        <w:tc>
          <w:tcPr>
            <w:tcW w:w="4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9"/>
        </w:trPr>
        <w:tc>
          <w:tcPr>
            <w:tcW w:w="440" w:type="dxa"/>
            <w:vAlign w:val="bottom"/>
          </w:tcPr>
          <w:p>
            <w:pPr>
              <w:spacing w:after="0"/>
              <w:rPr>
                <w:sz w:val="18"/>
                <w:szCs w:val="18"/>
                <w:color w:val="auto"/>
              </w:rPr>
            </w:pPr>
          </w:p>
        </w:tc>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Loss recognized in unaudited consolidated statements of income</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4"/>
        </w:trPr>
        <w:tc>
          <w:tcPr>
            <w:tcW w:w="440" w:type="dxa"/>
            <w:vAlign w:val="bottom"/>
          </w:tcPr>
          <w:p>
            <w:pPr>
              <w:spacing w:after="0"/>
              <w:rPr>
                <w:sz w:val="19"/>
                <w:szCs w:val="19"/>
                <w:color w:val="auto"/>
              </w:rPr>
            </w:pPr>
          </w:p>
        </w:tc>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Derivatives not designated as hedging instruments</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w:t>
            </w:r>
          </w:p>
        </w:tc>
      </w:tr>
      <w:tr>
        <w:trPr>
          <w:trHeight w:val="865"/>
        </w:trPr>
        <w:tc>
          <w:tcPr>
            <w:tcW w:w="4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696"/>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2"/>
        </w:trPr>
        <w:tc>
          <w:tcPr>
            <w:tcW w:w="440" w:type="dxa"/>
            <w:vAlign w:val="bottom"/>
            <w:tcBorders>
              <w:bottom w:val="single" w:sz="8" w:color="9A9A9A"/>
            </w:tcBorders>
          </w:tcPr>
          <w:p>
            <w:pPr>
              <w:spacing w:after="0"/>
              <w:rPr>
                <w:sz w:val="9"/>
                <w:szCs w:val="9"/>
                <w:color w:val="auto"/>
              </w:rPr>
            </w:pPr>
          </w:p>
        </w:tc>
        <w:tc>
          <w:tcPr>
            <w:tcW w:w="4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1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60" w:right="80"/>
        <w:spacing w:after="0" w:line="238" w:lineRule="auto"/>
        <w:rPr>
          <w:sz w:val="20"/>
          <w:szCs w:val="20"/>
          <w:color w:val="auto"/>
        </w:rPr>
      </w:pPr>
      <w:r>
        <w:rPr>
          <w:rFonts w:ascii="Times New Roman" w:cs="Times New Roman" w:eastAsia="Times New Roman" w:hAnsi="Times New Roman"/>
          <w:sz w:val="16"/>
          <w:szCs w:val="16"/>
          <w:b w:val="1"/>
          <w:bCs w:val="1"/>
          <w:color w:val="auto"/>
        </w:rPr>
        <w:t>Location and amount of gain/(loss) recognized in unaudited consolidated statements of income for cash flow hedging relationships and derivatives not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3175</wp:posOffset>
            </wp:positionV>
            <wp:extent cx="68948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94830" cy="8255"/>
                    </a:xfrm>
                    <a:prstGeom prst="rect">
                      <a:avLst/>
                    </a:prstGeom>
                    <a:noFill/>
                  </pic:spPr>
                </pic:pic>
              </a:graphicData>
            </a:graphic>
          </wp:anchor>
        </w:drawing>
      </w:r>
    </w:p>
    <w:p>
      <w:pPr>
        <w:ind w:left="75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3616960</wp:posOffset>
            </wp:positionH>
            <wp:positionV relativeFrom="paragraph">
              <wp:posOffset>18415</wp:posOffset>
            </wp:positionV>
            <wp:extent cx="35553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55365" cy="8255"/>
                    </a:xfrm>
                    <a:prstGeom prst="rect">
                      <a:avLst/>
                    </a:prstGeom>
                    <a:noFill/>
                  </pic:spPr>
                </pic:pic>
              </a:graphicData>
            </a:graphic>
          </wp:anchor>
        </w:drawing>
      </w:r>
    </w:p>
    <w:p>
      <w:pPr>
        <w:sectPr>
          <w:pgSz w:w="11900" w:h="16838" w:orient="portrait"/>
          <w:cols w:equalWidth="0" w:num="1">
            <w:col w:w="11300"/>
          </w:cols>
          <w:pgMar w:left="320" w:top="119" w:right="279" w:bottom="1440" w:gutter="0" w:footer="0" w:header="0"/>
        </w:sectPr>
      </w:pPr>
    </w:p>
    <w:p>
      <w:pPr>
        <w:spacing w:after="0" w:line="39"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18415</wp:posOffset>
            </wp:positionV>
            <wp:extent cx="32727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72790" cy="8255"/>
                    </a:xfrm>
                    <a:prstGeom prst="rect">
                      <a:avLst/>
                    </a:prstGeom>
                    <a:noFill/>
                  </pic:spPr>
                </pic:pic>
              </a:graphicData>
            </a:graphic>
          </wp:anchor>
        </w:drawing>
      </w:r>
    </w:p>
    <w:p>
      <w:pPr>
        <w:spacing w:after="0" w:line="4" w:lineRule="exact"/>
        <w:rPr>
          <w:sz w:val="20"/>
          <w:szCs w:val="20"/>
          <w:color w:val="auto"/>
        </w:rPr>
      </w:pPr>
    </w:p>
    <w:tbl>
      <w:tblPr>
        <w:tblLayout w:type="fixed"/>
        <w:tblInd w:w="5700" w:type="dxa"/>
        <w:tblCellMar>
          <w:top w:w="0" w:type="dxa"/>
          <w:left w:w="0" w:type="dxa"/>
          <w:bottom w:w="0" w:type="dxa"/>
          <w:right w:w="0" w:type="dxa"/>
        </w:tblCellMar>
      </w:tblPr>
      <w:tr>
        <w:trPr>
          <w:trHeight w:val="155"/>
        </w:trPr>
        <w:tc>
          <w:tcPr>
            <w:tcW w:w="134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As per unaudited</w:t>
            </w:r>
          </w:p>
        </w:tc>
        <w:tc>
          <w:tcPr>
            <w:tcW w:w="14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4"/>
              </w:rPr>
              <w:t>Gain</w:t>
            </w:r>
          </w:p>
        </w:tc>
      </w:tr>
      <w:tr>
        <w:trPr>
          <w:trHeight w:val="157"/>
        </w:trPr>
        <w:tc>
          <w:tcPr>
            <w:tcW w:w="13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consolidated</w:t>
            </w:r>
          </w:p>
        </w:tc>
        <w:tc>
          <w:tcPr>
            <w:tcW w:w="1400" w:type="dxa"/>
            <w:vAlign w:val="bottom"/>
          </w:tcPr>
          <w:p>
            <w:pPr>
              <w:jc w:val="center"/>
              <w:ind w:left="1"/>
              <w:spacing w:after="0" w:line="158" w:lineRule="exact"/>
              <w:rPr>
                <w:sz w:val="20"/>
                <w:szCs w:val="20"/>
                <w:color w:val="auto"/>
              </w:rPr>
            </w:pPr>
            <w:r>
              <w:rPr>
                <w:rFonts w:ascii="Times New Roman" w:cs="Times New Roman" w:eastAsia="Times New Roman" w:hAnsi="Times New Roman"/>
                <w:sz w:val="16"/>
                <w:szCs w:val="16"/>
                <w:b w:val="1"/>
                <w:bCs w:val="1"/>
                <w:color w:val="auto"/>
                <w:w w:val="97"/>
              </w:rPr>
              <w:t>on foreign</w:t>
            </w:r>
          </w:p>
        </w:tc>
      </w:tr>
      <w:tr>
        <w:trPr>
          <w:trHeight w:val="157"/>
        </w:trPr>
        <w:tc>
          <w:tcPr>
            <w:tcW w:w="13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statements of</w:t>
            </w:r>
          </w:p>
        </w:tc>
        <w:tc>
          <w:tcPr>
            <w:tcW w:w="1400" w:type="dxa"/>
            <w:vAlign w:val="bottom"/>
          </w:tcPr>
          <w:p>
            <w:pPr>
              <w:jc w:val="center"/>
              <w:ind w:left="21"/>
              <w:spacing w:after="0" w:line="158" w:lineRule="exact"/>
              <w:rPr>
                <w:sz w:val="20"/>
                <w:szCs w:val="20"/>
                <w:color w:val="auto"/>
              </w:rPr>
            </w:pPr>
            <w:r>
              <w:rPr>
                <w:rFonts w:ascii="Times New Roman" w:cs="Times New Roman" w:eastAsia="Times New Roman" w:hAnsi="Times New Roman"/>
                <w:sz w:val="16"/>
                <w:szCs w:val="16"/>
                <w:b w:val="1"/>
                <w:bCs w:val="1"/>
                <w:color w:val="auto"/>
                <w:w w:val="98"/>
              </w:rPr>
              <w:t>currency exchange</w:t>
            </w: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400" w:type="dxa"/>
            <w:vAlign w:val="bottom"/>
          </w:tcPr>
          <w:p>
            <w:pPr>
              <w:jc w:val="center"/>
              <w:ind w:left="21"/>
              <w:spacing w:after="0"/>
              <w:rPr>
                <w:sz w:val="20"/>
                <w:szCs w:val="20"/>
                <w:color w:val="auto"/>
              </w:rPr>
            </w:pPr>
            <w:r>
              <w:rPr>
                <w:rFonts w:ascii="Times New Roman" w:cs="Times New Roman" w:eastAsia="Times New Roman" w:hAnsi="Times New Roman"/>
                <w:sz w:val="16"/>
                <w:szCs w:val="16"/>
                <w:b w:val="1"/>
                <w:bCs w:val="1"/>
                <w:color w:val="auto"/>
                <w:w w:val="98"/>
              </w:rPr>
              <w:t>contracts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1270</wp:posOffset>
            </wp:positionV>
            <wp:extent cx="6894830" cy="141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94830" cy="14160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6"/>
          <w:szCs w:val="16"/>
          <w:b w:val="1"/>
          <w:bCs w:val="1"/>
          <w:color w:val="auto"/>
        </w:rPr>
        <w:t>Cash flow hedging relationships</w:t>
      </w:r>
    </w:p>
    <w:p>
      <w:pPr>
        <w:spacing w:after="0" w:line="24" w:lineRule="exact"/>
        <w:rPr>
          <w:sz w:val="20"/>
          <w:szCs w:val="20"/>
          <w:color w:val="auto"/>
        </w:rPr>
      </w:pPr>
    </w:p>
    <w:p>
      <w:pPr>
        <w:ind w:left="460" w:right="3180"/>
        <w:spacing w:after="0" w:line="247" w:lineRule="auto"/>
        <w:rPr>
          <w:sz w:val="20"/>
          <w:szCs w:val="20"/>
          <w:color w:val="auto"/>
        </w:rPr>
      </w:pPr>
      <w:r>
        <w:rPr>
          <w:rFonts w:ascii="Times New Roman" w:cs="Times New Roman" w:eastAsia="Times New Roman" w:hAnsi="Times New Roman"/>
          <w:sz w:val="17"/>
          <w:szCs w:val="17"/>
          <w:color w:val="auto"/>
        </w:rPr>
        <w:t>Location in unaudited consolidated statements of income where gain was reclassed from AOCI</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440" w:type="dxa"/>
            <w:vAlign w:val="bottom"/>
            <w:tcBorders>
              <w:top w:val="single" w:sz="8" w:color="auto"/>
            </w:tcBorders>
            <w:gridSpan w:val="2"/>
          </w:tcPr>
          <w:p>
            <w:pPr>
              <w:jc w:val="center"/>
              <w:ind w:right="120"/>
              <w:spacing w:after="0" w:line="155" w:lineRule="exact"/>
              <w:rPr>
                <w:sz w:val="20"/>
                <w:szCs w:val="20"/>
                <w:color w:val="auto"/>
              </w:rPr>
            </w:pPr>
            <w:r>
              <w:rPr>
                <w:rFonts w:ascii="Times New Roman" w:cs="Times New Roman" w:eastAsia="Times New Roman" w:hAnsi="Times New Roman"/>
                <w:sz w:val="16"/>
                <w:szCs w:val="16"/>
                <w:b w:val="1"/>
                <w:bCs w:val="1"/>
                <w:color w:val="auto"/>
                <w:w w:val="98"/>
              </w:rPr>
              <w:t>As per unaudited</w:t>
            </w:r>
          </w:p>
        </w:tc>
        <w:tc>
          <w:tcPr>
            <w:tcW w:w="13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Gain on foreign</w:t>
            </w:r>
          </w:p>
        </w:tc>
        <w:tc>
          <w:tcPr>
            <w:tcW w:w="0" w:type="dxa"/>
            <w:vAlign w:val="bottom"/>
          </w:tcPr>
          <w:p>
            <w:pPr>
              <w:spacing w:after="0"/>
              <w:rPr>
                <w:sz w:val="1"/>
                <w:szCs w:val="1"/>
                <w:color w:val="auto"/>
              </w:rPr>
            </w:pPr>
          </w:p>
        </w:tc>
      </w:tr>
      <w:tr>
        <w:trPr>
          <w:trHeight w:val="79"/>
        </w:trPr>
        <w:tc>
          <w:tcPr>
            <w:tcW w:w="1440" w:type="dxa"/>
            <w:vAlign w:val="bottom"/>
            <w:gridSpan w:val="2"/>
            <w:vMerge w:val="restart"/>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consolidated</w:t>
            </w: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440" w:type="dxa"/>
            <w:vAlign w:val="bottom"/>
            <w:gridSpan w:val="2"/>
            <w:vMerge w:val="continue"/>
          </w:tcPr>
          <w:p>
            <w:pPr>
              <w:spacing w:after="0"/>
              <w:rPr>
                <w:sz w:val="6"/>
                <w:szCs w:val="6"/>
                <w:color w:val="auto"/>
              </w:rPr>
            </w:pPr>
          </w:p>
        </w:tc>
        <w:tc>
          <w:tcPr>
            <w:tcW w:w="1320" w:type="dxa"/>
            <w:vAlign w:val="bottom"/>
            <w:vMerge w:val="restart"/>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currency exchange</w:t>
            </w:r>
          </w:p>
        </w:tc>
        <w:tc>
          <w:tcPr>
            <w:tcW w:w="0" w:type="dxa"/>
            <w:vAlign w:val="bottom"/>
          </w:tcPr>
          <w:p>
            <w:pPr>
              <w:spacing w:after="0"/>
              <w:rPr>
                <w:sz w:val="1"/>
                <w:szCs w:val="1"/>
                <w:color w:val="auto"/>
              </w:rPr>
            </w:pPr>
          </w:p>
        </w:tc>
      </w:tr>
      <w:tr>
        <w:trPr>
          <w:trHeight w:val="79"/>
        </w:trPr>
        <w:tc>
          <w:tcPr>
            <w:tcW w:w="1440" w:type="dxa"/>
            <w:vAlign w:val="bottom"/>
            <w:gridSpan w:val="2"/>
            <w:vMerge w:val="restart"/>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7"/>
              </w:rPr>
              <w:t>statements of</w:t>
            </w: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440" w:type="dxa"/>
            <w:vAlign w:val="bottom"/>
            <w:gridSpan w:val="2"/>
            <w:vMerge w:val="continue"/>
          </w:tcPr>
          <w:p>
            <w:pPr>
              <w:spacing w:after="0"/>
              <w:rPr>
                <w:sz w:val="6"/>
                <w:szCs w:val="6"/>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contracts</w:t>
            </w:r>
          </w:p>
        </w:tc>
        <w:tc>
          <w:tcPr>
            <w:tcW w:w="0" w:type="dxa"/>
            <w:vAlign w:val="bottom"/>
          </w:tcPr>
          <w:p>
            <w:pPr>
              <w:spacing w:after="0"/>
              <w:rPr>
                <w:sz w:val="1"/>
                <w:szCs w:val="1"/>
                <w:color w:val="auto"/>
              </w:rPr>
            </w:pPr>
          </w:p>
        </w:tc>
      </w:tr>
      <w:tr>
        <w:trPr>
          <w:trHeight w:val="130"/>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20" w:type="dxa"/>
            <w:vAlign w:val="bottom"/>
            <w:vMerge w:val="restart"/>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320" w:type="dxa"/>
            <w:vAlign w:val="bottom"/>
            <w:tcBorders>
              <w:bottom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22" w:lineRule="exact"/>
        <w:rPr>
          <w:sz w:val="20"/>
          <w:szCs w:val="20"/>
          <w:color w:val="auto"/>
        </w:rPr>
      </w:pPr>
    </w:p>
    <w:p>
      <w:pPr>
        <w:sectPr>
          <w:pgSz w:w="11900" w:h="16838" w:orient="portrait"/>
          <w:cols w:equalWidth="0" w:num="2">
            <w:col w:w="8440" w:space="100"/>
            <w:col w:w="2760"/>
          </w:cols>
          <w:pgMar w:left="320" w:top="119" w:right="27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440" w:type="dxa"/>
            <w:vAlign w:val="bottom"/>
          </w:tcPr>
          <w:p>
            <w:pPr>
              <w:spacing w:after="0"/>
              <w:rPr>
                <w:sz w:val="22"/>
                <w:szCs w:val="22"/>
                <w:color w:val="auto"/>
              </w:rPr>
            </w:pPr>
          </w:p>
        </w:tc>
        <w:tc>
          <w:tcPr>
            <w:tcW w:w="47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223"/>
        </w:trPr>
        <w:tc>
          <w:tcPr>
            <w:tcW w:w="44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revenues</w:t>
            </w:r>
          </w:p>
        </w:tc>
        <w:tc>
          <w:tcPr>
            <w:tcW w:w="880" w:type="dxa"/>
            <w:vAlign w:val="bottom"/>
            <w:gridSpan w:val="2"/>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221,207</w:t>
            </w:r>
          </w:p>
        </w:tc>
        <w:tc>
          <w:tcPr>
            <w:tcW w:w="100" w:type="dxa"/>
            <w:vAlign w:val="bottom"/>
          </w:tcPr>
          <w:p>
            <w:pPr>
              <w:spacing w:after="0"/>
              <w:rPr>
                <w:sz w:val="19"/>
                <w:szCs w:val="19"/>
                <w:color w:val="auto"/>
              </w:rPr>
            </w:pPr>
          </w:p>
        </w:tc>
        <w:tc>
          <w:tcPr>
            <w:tcW w:w="44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170,701</w:t>
            </w:r>
          </w:p>
        </w:tc>
        <w:tc>
          <w:tcPr>
            <w:tcW w:w="120" w:type="dxa"/>
            <w:vAlign w:val="bottom"/>
          </w:tcPr>
          <w:p>
            <w:pPr>
              <w:spacing w:after="0"/>
              <w:rPr>
                <w:sz w:val="19"/>
                <w:szCs w:val="19"/>
                <w:color w:val="auto"/>
              </w:rPr>
            </w:pPr>
          </w:p>
        </w:tc>
        <w:tc>
          <w:tcPr>
            <w:tcW w:w="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2,418</w:t>
            </w:r>
          </w:p>
        </w:tc>
        <w:tc>
          <w:tcPr>
            <w:tcW w:w="60" w:type="dxa"/>
            <w:vAlign w:val="bottom"/>
          </w:tcPr>
          <w:p>
            <w:pPr>
              <w:spacing w:after="0"/>
              <w:rPr>
                <w:sz w:val="19"/>
                <w:szCs w:val="19"/>
                <w:color w:val="auto"/>
              </w:rPr>
            </w:pPr>
          </w:p>
        </w:tc>
      </w:tr>
      <w:tr>
        <w:trPr>
          <w:trHeight w:val="223"/>
        </w:trPr>
        <w:tc>
          <w:tcPr>
            <w:tcW w:w="440" w:type="dxa"/>
            <w:vAlign w:val="bottom"/>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880" w:type="dxa"/>
            <w:vAlign w:val="bottom"/>
            <w:gridSpan w:val="2"/>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36,499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60" w:type="dxa"/>
            <w:vAlign w:val="bottom"/>
            <w:shd w:val="clear" w:color="auto" w:fill="CCEEFF"/>
          </w:tcPr>
          <w:p>
            <w:pPr>
              <w:spacing w:after="0"/>
              <w:rPr>
                <w:sz w:val="19"/>
                <w:szCs w:val="19"/>
                <w:color w:val="auto"/>
              </w:rPr>
            </w:pPr>
          </w:p>
        </w:tc>
      </w:tr>
      <w:tr>
        <w:trPr>
          <w:trHeight w:val="223"/>
        </w:trPr>
        <w:tc>
          <w:tcPr>
            <w:tcW w:w="44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880" w:type="dxa"/>
            <w:vAlign w:val="bottom"/>
            <w:gridSpan w:val="2"/>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23,985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19,724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60" w:type="dxa"/>
            <w:vAlign w:val="bottom"/>
          </w:tcPr>
          <w:p>
            <w:pPr>
              <w:spacing w:after="0"/>
              <w:rPr>
                <w:sz w:val="19"/>
                <w:szCs w:val="19"/>
                <w:color w:val="auto"/>
              </w:rPr>
            </w:pPr>
          </w:p>
        </w:tc>
      </w:tr>
      <w:tr>
        <w:trPr>
          <w:trHeight w:val="223"/>
        </w:trPr>
        <w:tc>
          <w:tcPr>
            <w:tcW w:w="440" w:type="dxa"/>
            <w:vAlign w:val="bottom"/>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880" w:type="dxa"/>
            <w:vAlign w:val="bottom"/>
            <w:gridSpan w:val="2"/>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14,075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60" w:type="dxa"/>
            <w:vAlign w:val="bottom"/>
            <w:tcBorders>
              <w:bottom w:val="single" w:sz="8" w:color="auto"/>
            </w:tcBorders>
            <w:shd w:val="clear" w:color="auto" w:fill="CCEEFF"/>
          </w:tcPr>
          <w:p>
            <w:pPr>
              <w:spacing w:after="0"/>
              <w:rPr>
                <w:sz w:val="19"/>
                <w:szCs w:val="19"/>
                <w:color w:val="auto"/>
              </w:rPr>
            </w:pPr>
          </w:p>
        </w:tc>
      </w:tr>
      <w:tr>
        <w:trPr>
          <w:trHeight w:val="216"/>
        </w:trPr>
        <w:tc>
          <w:tcPr>
            <w:tcW w:w="44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before tax</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2,866</w:t>
            </w:r>
          </w:p>
        </w:tc>
        <w:tc>
          <w:tcPr>
            <w:tcW w:w="60" w:type="dxa"/>
            <w:vAlign w:val="bottom"/>
          </w:tcPr>
          <w:p>
            <w:pPr>
              <w:spacing w:after="0"/>
              <w:rPr>
                <w:sz w:val="18"/>
                <w:szCs w:val="18"/>
                <w:color w:val="auto"/>
              </w:rPr>
            </w:pPr>
          </w:p>
        </w:tc>
      </w:tr>
      <w:tr>
        <w:trPr>
          <w:trHeight w:val="223"/>
        </w:trPr>
        <w:tc>
          <w:tcPr>
            <w:tcW w:w="440" w:type="dxa"/>
            <w:vAlign w:val="bottom"/>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effects on above</w:t>
            </w:r>
          </w:p>
        </w:tc>
        <w:tc>
          <w:tcPr>
            <w:tcW w:w="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(427)</w:t>
            </w:r>
          </w:p>
        </w:tc>
      </w:tr>
      <w:tr>
        <w:trPr>
          <w:trHeight w:val="216"/>
        </w:trPr>
        <w:tc>
          <w:tcPr>
            <w:tcW w:w="44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2,439</w:t>
            </w:r>
          </w:p>
        </w:tc>
        <w:tc>
          <w:tcPr>
            <w:tcW w:w="60" w:type="dxa"/>
            <w:vAlign w:val="bottom"/>
            <w:tcBorders>
              <w:bottom w:val="single" w:sz="8" w:color="auto"/>
            </w:tcBorders>
          </w:tcPr>
          <w:p>
            <w:pPr>
              <w:spacing w:after="0"/>
              <w:rPr>
                <w:sz w:val="18"/>
                <w:szCs w:val="18"/>
                <w:color w:val="auto"/>
              </w:rPr>
            </w:pPr>
          </w:p>
        </w:tc>
      </w:tr>
      <w:tr>
        <w:trPr>
          <w:trHeight w:val="20"/>
        </w:trPr>
        <w:tc>
          <w:tcPr>
            <w:tcW w:w="440" w:type="dxa"/>
            <w:vAlign w:val="bottom"/>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28"/>
        </w:trPr>
        <w:tc>
          <w:tcPr>
            <w:tcW w:w="440" w:type="dxa"/>
            <w:vAlign w:val="bottom"/>
          </w:tcPr>
          <w:p>
            <w:pPr>
              <w:spacing w:after="0"/>
              <w:rPr>
                <w:sz w:val="19"/>
                <w:szCs w:val="19"/>
                <w:color w:val="auto"/>
              </w:rPr>
            </w:pPr>
          </w:p>
        </w:tc>
        <w:tc>
          <w:tcPr>
            <w:tcW w:w="4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9"/>
        </w:trPr>
        <w:tc>
          <w:tcPr>
            <w:tcW w:w="44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71"/>
        </w:trPr>
        <w:tc>
          <w:tcPr>
            <w:tcW w:w="440" w:type="dxa"/>
            <w:vAlign w:val="bottom"/>
          </w:tcPr>
          <w:p>
            <w:pPr>
              <w:spacing w:after="0"/>
              <w:rPr>
                <w:sz w:val="14"/>
                <w:szCs w:val="14"/>
                <w:color w:val="auto"/>
              </w:rPr>
            </w:pPr>
          </w:p>
        </w:tc>
        <w:tc>
          <w:tcPr>
            <w:tcW w:w="47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Location in unaudited consolidated statements of income where</w:t>
            </w: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36"/>
        </w:trPr>
        <w:tc>
          <w:tcPr>
            <w:tcW w:w="440" w:type="dxa"/>
            <w:vAlign w:val="bottom"/>
          </w:tcPr>
          <w:p>
            <w:pPr>
              <w:spacing w:after="0"/>
              <w:rPr>
                <w:sz w:val="20"/>
                <w:szCs w:val="20"/>
                <w:color w:val="auto"/>
              </w:rPr>
            </w:pP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gain/(loss) was recognized</w:t>
            </w:r>
          </w:p>
        </w:tc>
        <w:tc>
          <w:tcPr>
            <w:tcW w:w="4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62"/>
        </w:trPr>
        <w:tc>
          <w:tcPr>
            <w:tcW w:w="44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gridSpan w:val="2"/>
          </w:tcPr>
          <w:p>
            <w:pPr>
              <w:spacing w:after="0"/>
              <w:rPr>
                <w:sz w:val="22"/>
                <w:szCs w:val="22"/>
                <w:color w:val="auto"/>
              </w:rPr>
            </w:pPr>
          </w:p>
        </w:tc>
      </w:tr>
      <w:tr>
        <w:trPr>
          <w:trHeight w:val="223"/>
        </w:trPr>
        <w:tc>
          <w:tcPr>
            <w:tcW w:w="440" w:type="dxa"/>
            <w:vAlign w:val="bottom"/>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gain/(loss), net</w:t>
            </w:r>
          </w:p>
        </w:tc>
        <w:tc>
          <w:tcPr>
            <w:tcW w:w="880" w:type="dxa"/>
            <w:vAlign w:val="bottom"/>
            <w:gridSpan w:val="2"/>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(805)</w:t>
            </w:r>
          </w:p>
        </w:tc>
      </w:tr>
      <w:tr>
        <w:trPr>
          <w:trHeight w:val="216"/>
        </w:trPr>
        <w:tc>
          <w:tcPr>
            <w:tcW w:w="4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1,423</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(5,457)</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1,353</w:t>
            </w: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(805)</w:t>
            </w:r>
          </w:p>
        </w:tc>
      </w:tr>
      <w:tr>
        <w:trPr>
          <w:trHeight w:val="20"/>
        </w:trPr>
        <w:tc>
          <w:tcPr>
            <w:tcW w:w="4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871"/>
        </w:trPr>
        <w:tc>
          <w:tcPr>
            <w:tcW w:w="4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880" w:type="dxa"/>
            <w:vAlign w:val="bottom"/>
            <w:gridSpan w:val="2"/>
          </w:tcPr>
          <w:p>
            <w:pPr>
              <w:jc w:val="right"/>
              <w:ind w:right="293"/>
              <w:spacing w:after="0"/>
              <w:rPr>
                <w:sz w:val="20"/>
                <w:szCs w:val="20"/>
                <w:color w:val="auto"/>
              </w:rPr>
            </w:pPr>
            <w:r>
              <w:rPr>
                <w:rFonts w:ascii="Times New Roman" w:cs="Times New Roman" w:eastAsia="Times New Roman" w:hAnsi="Times New Roman"/>
                <w:sz w:val="17"/>
                <w:szCs w:val="17"/>
                <w:color w:val="auto"/>
              </w:rPr>
              <w:t>30</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2"/>
        </w:trPr>
        <w:tc>
          <w:tcPr>
            <w:tcW w:w="440" w:type="dxa"/>
            <w:vAlign w:val="bottom"/>
            <w:tcBorders>
              <w:bottom w:val="single" w:sz="8" w:color="9A9A9A"/>
            </w:tcBorders>
          </w:tcPr>
          <w:p>
            <w:pPr>
              <w:spacing w:after="0"/>
              <w:rPr>
                <w:sz w:val="9"/>
                <w:szCs w:val="9"/>
                <w:color w:val="auto"/>
              </w:rPr>
            </w:pPr>
          </w:p>
        </w:tc>
        <w:tc>
          <w:tcPr>
            <w:tcW w:w="47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00"/>
          </w:cols>
          <w:pgMar w:left="320" w:top="119" w:right="27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60"/>
        <w:spacing w:after="0" w:line="238" w:lineRule="auto"/>
        <w:rPr>
          <w:sz w:val="20"/>
          <w:szCs w:val="20"/>
          <w:color w:val="auto"/>
        </w:rPr>
      </w:pPr>
      <w:r>
        <w:rPr>
          <w:rFonts w:ascii="Times New Roman" w:cs="Times New Roman" w:eastAsia="Times New Roman" w:hAnsi="Times New Roman"/>
          <w:sz w:val="16"/>
          <w:szCs w:val="16"/>
          <w:b w:val="1"/>
          <w:bCs w:val="1"/>
          <w:color w:val="auto"/>
        </w:rPr>
        <w:t>Location and amount of gain/(loss) recognized in unaudited consolidated statements of income for cash flow hedging relationships and derivatives not designated a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3175</wp:posOffset>
            </wp:positionV>
            <wp:extent cx="69227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22770" cy="8255"/>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-563880</wp:posOffset>
            </wp:positionV>
            <wp:extent cx="32975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97555" cy="8255"/>
                    </a:xfrm>
                    <a:prstGeom prst="rect">
                      <a:avLst/>
                    </a:prstGeom>
                    <a:noFill/>
                  </pic:spPr>
                </pic:pic>
              </a:graphicData>
            </a:graphic>
          </wp:anchor>
        </w:drawing>
      </w:r>
    </w:p>
    <w:p>
      <w:pPr>
        <w:spacing w:after="0" w:line="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Location in unaudited consolidated statements of income where gain was</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reclassed from AOCI</w:t>
      </w:r>
    </w:p>
    <w:p>
      <w:pPr>
        <w:spacing w:after="0" w:line="20" w:lineRule="exact"/>
        <w:rPr>
          <w:sz w:val="20"/>
          <w:szCs w:val="20"/>
          <w:color w:val="auto"/>
        </w:rPr>
      </w:pPr>
      <w:r>
        <w:rPr>
          <w:sz w:val="20"/>
          <w:szCs w:val="20"/>
          <w:color w:val="auto"/>
        </w:rPr>
        <w:br w:type="column"/>
      </w:r>
    </w:p>
    <w:p>
      <w:pPr>
        <w:ind w:left="20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3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2"/>
          </w:tcPr>
          <w:p>
            <w:pPr>
              <w:jc w:val="right"/>
              <w:ind w:right="90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150"/>
        </w:trPr>
        <w:tc>
          <w:tcPr>
            <w:tcW w:w="1620" w:type="dxa"/>
            <w:vAlign w:val="bottom"/>
            <w:gridSpan w:val="3"/>
          </w:tcPr>
          <w:p>
            <w:pPr>
              <w:jc w:val="center"/>
              <w:ind w:right="100"/>
              <w:spacing w:after="0" w:line="151" w:lineRule="exact"/>
              <w:rPr>
                <w:sz w:val="20"/>
                <w:szCs w:val="20"/>
                <w:color w:val="auto"/>
              </w:rPr>
            </w:pPr>
            <w:r>
              <w:rPr>
                <w:rFonts w:ascii="Times New Roman" w:cs="Times New Roman" w:eastAsia="Times New Roman" w:hAnsi="Times New Roman"/>
                <w:sz w:val="16"/>
                <w:szCs w:val="16"/>
                <w:b w:val="1"/>
                <w:bCs w:val="1"/>
                <w:color w:val="auto"/>
                <w:w w:val="98"/>
              </w:rPr>
              <w:t>As per unaudited</w:t>
            </w: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Gain on foreign</w:t>
            </w:r>
          </w:p>
        </w:tc>
        <w:tc>
          <w:tcPr>
            <w:tcW w:w="1300" w:type="dxa"/>
            <w:vAlign w:val="bottom"/>
          </w:tcPr>
          <w:p>
            <w:pPr>
              <w:jc w:val="center"/>
              <w:spacing w:after="0" w:line="151" w:lineRule="exact"/>
              <w:rPr>
                <w:sz w:val="20"/>
                <w:szCs w:val="20"/>
                <w:color w:val="auto"/>
              </w:rPr>
            </w:pPr>
            <w:r>
              <w:rPr>
                <w:rFonts w:ascii="Times New Roman" w:cs="Times New Roman" w:eastAsia="Times New Roman" w:hAnsi="Times New Roman"/>
                <w:sz w:val="16"/>
                <w:szCs w:val="16"/>
                <w:b w:val="1"/>
                <w:bCs w:val="1"/>
                <w:color w:val="auto"/>
                <w:w w:val="98"/>
              </w:rPr>
              <w:t>As per unaudited</w:t>
            </w:r>
          </w:p>
        </w:tc>
        <w:tc>
          <w:tcPr>
            <w:tcW w:w="100" w:type="dxa"/>
            <w:vAlign w:val="bottom"/>
          </w:tcPr>
          <w:p>
            <w:pPr>
              <w:spacing w:after="0"/>
              <w:rPr>
                <w:sz w:val="13"/>
                <w:szCs w:val="13"/>
                <w:color w:val="auto"/>
              </w:rPr>
            </w:pPr>
          </w:p>
        </w:tc>
        <w:tc>
          <w:tcPr>
            <w:tcW w:w="1220" w:type="dxa"/>
            <w:vAlign w:val="bottom"/>
            <w:vMerge w:val="restart"/>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Gain</w:t>
            </w:r>
          </w:p>
        </w:tc>
        <w:tc>
          <w:tcPr>
            <w:tcW w:w="0" w:type="dxa"/>
            <w:vAlign w:val="bottom"/>
          </w:tcPr>
          <w:p>
            <w:pPr>
              <w:spacing w:after="0"/>
              <w:rPr>
                <w:sz w:val="1"/>
                <w:szCs w:val="1"/>
                <w:color w:val="auto"/>
              </w:rPr>
            </w:pPr>
          </w:p>
        </w:tc>
      </w:tr>
      <w:tr>
        <w:trPr>
          <w:trHeight w:val="79"/>
        </w:trPr>
        <w:tc>
          <w:tcPr>
            <w:tcW w:w="1620" w:type="dxa"/>
            <w:vAlign w:val="bottom"/>
            <w:gridSpan w:val="3"/>
            <w:vMerge w:val="restart"/>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8"/>
              </w:rPr>
              <w:t>consolidated</w:t>
            </w:r>
          </w:p>
        </w:tc>
        <w:tc>
          <w:tcPr>
            <w:tcW w:w="1380" w:type="dxa"/>
            <w:vAlign w:val="bottom"/>
            <w:gridSpan w:val="2"/>
            <w:vMerge w:val="continue"/>
          </w:tcPr>
          <w:p>
            <w:pPr>
              <w:spacing w:after="0"/>
              <w:rPr>
                <w:sz w:val="6"/>
                <w:szCs w:val="6"/>
                <w:color w:val="auto"/>
              </w:rPr>
            </w:pPr>
          </w:p>
        </w:tc>
        <w:tc>
          <w:tcPr>
            <w:tcW w:w="1300" w:type="dxa"/>
            <w:vAlign w:val="bottom"/>
            <w:vMerge w:val="restart"/>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consolidated</w:t>
            </w:r>
          </w:p>
        </w:tc>
        <w:tc>
          <w:tcPr>
            <w:tcW w:w="10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620" w:type="dxa"/>
            <w:vAlign w:val="bottom"/>
            <w:gridSpan w:val="3"/>
            <w:vMerge w:val="continue"/>
          </w:tcPr>
          <w:p>
            <w:pPr>
              <w:spacing w:after="0"/>
              <w:rPr>
                <w:sz w:val="6"/>
                <w:szCs w:val="6"/>
                <w:color w:val="auto"/>
              </w:rPr>
            </w:pPr>
          </w:p>
        </w:tc>
        <w:tc>
          <w:tcPr>
            <w:tcW w:w="1380" w:type="dxa"/>
            <w:vAlign w:val="bottom"/>
            <w:gridSpan w:val="2"/>
            <w:vMerge w:val="restart"/>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currency exchange</w:t>
            </w: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vMerge w:val="restart"/>
          </w:tcPr>
          <w:p>
            <w:pPr>
              <w:jc w:val="center"/>
              <w:ind w:left="21"/>
              <w:spacing w:after="0" w:line="158" w:lineRule="exact"/>
              <w:rPr>
                <w:sz w:val="20"/>
                <w:szCs w:val="20"/>
                <w:color w:val="auto"/>
              </w:rPr>
            </w:pPr>
            <w:r>
              <w:rPr>
                <w:rFonts w:ascii="Times New Roman" w:cs="Times New Roman" w:eastAsia="Times New Roman" w:hAnsi="Times New Roman"/>
                <w:sz w:val="16"/>
                <w:szCs w:val="16"/>
                <w:b w:val="1"/>
                <w:bCs w:val="1"/>
                <w:color w:val="auto"/>
                <w:w w:val="97"/>
              </w:rPr>
              <w:t>on foreign curre</w:t>
            </w:r>
          </w:p>
        </w:tc>
        <w:tc>
          <w:tcPr>
            <w:tcW w:w="0" w:type="dxa"/>
            <w:vAlign w:val="bottom"/>
          </w:tcPr>
          <w:p>
            <w:pPr>
              <w:spacing w:after="0"/>
              <w:rPr>
                <w:sz w:val="1"/>
                <w:szCs w:val="1"/>
                <w:color w:val="auto"/>
              </w:rPr>
            </w:pPr>
          </w:p>
        </w:tc>
      </w:tr>
      <w:tr>
        <w:trPr>
          <w:trHeight w:val="79"/>
        </w:trPr>
        <w:tc>
          <w:tcPr>
            <w:tcW w:w="1620" w:type="dxa"/>
            <w:vAlign w:val="bottom"/>
            <w:gridSpan w:val="3"/>
            <w:vMerge w:val="restart"/>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7"/>
              </w:rPr>
              <w:t>statements of</w:t>
            </w:r>
          </w:p>
        </w:tc>
        <w:tc>
          <w:tcPr>
            <w:tcW w:w="1380" w:type="dxa"/>
            <w:vAlign w:val="bottom"/>
            <w:gridSpan w:val="2"/>
            <w:vMerge w:val="continue"/>
          </w:tcPr>
          <w:p>
            <w:pPr>
              <w:spacing w:after="0"/>
              <w:rPr>
                <w:sz w:val="6"/>
                <w:szCs w:val="6"/>
                <w:color w:val="auto"/>
              </w:rPr>
            </w:pPr>
          </w:p>
        </w:tc>
        <w:tc>
          <w:tcPr>
            <w:tcW w:w="1300" w:type="dxa"/>
            <w:vAlign w:val="bottom"/>
            <w:vMerge w:val="restart"/>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statements of</w:t>
            </w:r>
          </w:p>
        </w:tc>
        <w:tc>
          <w:tcPr>
            <w:tcW w:w="10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620" w:type="dxa"/>
            <w:vAlign w:val="bottom"/>
            <w:gridSpan w:val="3"/>
            <w:vMerge w:val="continue"/>
          </w:tcPr>
          <w:p>
            <w:pPr>
              <w:spacing w:after="0"/>
              <w:rPr>
                <w:sz w:val="6"/>
                <w:szCs w:val="6"/>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contracts</w:t>
            </w: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vMerge w:val="restart"/>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6"/>
              </w:rPr>
              <w:t>exchange contra</w:t>
            </w:r>
          </w:p>
        </w:tc>
        <w:tc>
          <w:tcPr>
            <w:tcW w:w="0" w:type="dxa"/>
            <w:vAlign w:val="bottom"/>
          </w:tcPr>
          <w:p>
            <w:pPr>
              <w:spacing w:after="0"/>
              <w:rPr>
                <w:sz w:val="1"/>
                <w:szCs w:val="1"/>
                <w:color w:val="auto"/>
              </w:rPr>
            </w:pPr>
          </w:p>
        </w:tc>
      </w:tr>
      <w:tr>
        <w:trPr>
          <w:trHeight w:val="130"/>
        </w:trPr>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8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520" w:type="dxa"/>
            <w:vAlign w:val="bottom"/>
            <w:tcBorders>
              <w:bottom w:val="single" w:sz="8" w:color="auto"/>
            </w:tcBorders>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-7620</wp:posOffset>
            </wp:positionV>
            <wp:extent cx="6922770" cy="141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22770" cy="141605"/>
                    </a:xfrm>
                    <a:prstGeom prst="rect">
                      <a:avLst/>
                    </a:prstGeom>
                    <a:noFill/>
                  </pic:spPr>
                </pic:pic>
              </a:graphicData>
            </a:graphic>
          </wp:anchor>
        </w:drawing>
      </w:r>
    </w:p>
    <w:p>
      <w:pPr>
        <w:spacing w:after="0" w:line="635" w:lineRule="exact"/>
        <w:rPr>
          <w:sz w:val="20"/>
          <w:szCs w:val="20"/>
          <w:color w:val="auto"/>
        </w:rPr>
      </w:pPr>
    </w:p>
    <w:p>
      <w:pPr>
        <w:sectPr>
          <w:pgSz w:w="11900" w:h="16838" w:orient="portrait"/>
          <w:cols w:equalWidth="0" w:num="2">
            <w:col w:w="5580" w:space="140"/>
            <w:col w:w="5620"/>
          </w:cols>
          <w:pgMar w:left="320" w:top="119" w:right="239" w:bottom="1440" w:gutter="0" w:footer="0" w:header="0"/>
          <w:type w:val="continuous"/>
        </w:sectPr>
      </w:pPr>
    </w:p>
    <w:tbl>
      <w:tblPr>
        <w:tblLayout w:type="fixed"/>
        <w:tblInd w:w="440" w:type="dxa"/>
        <w:tblCellMar>
          <w:top w:w="0" w:type="dxa"/>
          <w:left w:w="0" w:type="dxa"/>
          <w:bottom w:w="0" w:type="dxa"/>
          <w:right w:w="0" w:type="dxa"/>
        </w:tblCellMar>
      </w:tblPr>
      <w:tr>
        <w:trPr>
          <w:trHeight w:val="243"/>
        </w:trPr>
        <w:tc>
          <w:tcPr>
            <w:tcW w:w="52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revenues</w:t>
            </w:r>
          </w:p>
        </w:tc>
        <w:tc>
          <w:tcPr>
            <w:tcW w:w="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428,723</w:t>
            </w:r>
          </w:p>
        </w:tc>
        <w:tc>
          <w:tcPr>
            <w:tcW w:w="80" w:type="dxa"/>
            <w:vAlign w:val="bottom"/>
          </w:tcPr>
          <w:p>
            <w:pPr>
              <w:spacing w:after="0"/>
              <w:rPr>
                <w:sz w:val="19"/>
                <w:szCs w:val="19"/>
                <w:color w:val="auto"/>
              </w:rPr>
            </w:pP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2,777</w:t>
            </w:r>
          </w:p>
        </w:tc>
        <w:tc>
          <w:tcPr>
            <w:tcW w:w="8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329,522</w:t>
            </w:r>
          </w:p>
        </w:tc>
        <w:tc>
          <w:tcPr>
            <w:tcW w:w="100" w:type="dxa"/>
            <w:vAlign w:val="bottom"/>
          </w:tcPr>
          <w:p>
            <w:pPr>
              <w:spacing w:after="0"/>
              <w:rPr>
                <w:sz w:val="19"/>
                <w:szCs w:val="19"/>
                <w:color w:val="auto"/>
              </w:rPr>
            </w:pPr>
          </w:p>
        </w:tc>
        <w:tc>
          <w:tcPr>
            <w:tcW w:w="60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80,379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67,202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48,155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37,959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27,677</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24,411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before tax</w:t>
            </w: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effects on above</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28"/>
        </w:trPr>
        <w:tc>
          <w:tcPr>
            <w:tcW w:w="5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79"/>
        </w:trPr>
        <w:tc>
          <w:tcPr>
            <w:tcW w:w="528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auto"/>
              </w:rPr>
              <w:t>Location in unaudited consolidated statements of income where</w:t>
            </w:r>
          </w:p>
        </w:tc>
        <w:tc>
          <w:tcPr>
            <w:tcW w:w="4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228"/>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gain/(loss) was recognized</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62"/>
        </w:trPr>
        <w:tc>
          <w:tcPr>
            <w:tcW w:w="5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gain/(loss), net</w:t>
            </w: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3,179</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5280" w:type="dxa"/>
            <w:vAlign w:val="bottom"/>
          </w:tcPr>
          <w:p>
            <w:pPr>
              <w:spacing w:after="0"/>
              <w:rPr>
                <w:sz w:val="18"/>
                <w:szCs w:val="18"/>
                <w:color w:val="auto"/>
              </w:rPr>
            </w:pP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3,179</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(6,356)</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1,787</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5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Effect of net investment hedges on accumulated other comprehensive income/(loss):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Borders>
              <w:bottom w:val="single" w:sz="8" w:color="auto"/>
            </w:tcBorders>
            <w:gridSpan w:val="7"/>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w w:val="97"/>
              </w:rPr>
              <w:t>Six months ended June 30,</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40" w:type="dxa"/>
            <w:vAlign w:val="bottom"/>
          </w:tcPr>
          <w:p>
            <w:pPr>
              <w:spacing w:after="0"/>
              <w:rPr>
                <w:sz w:val="17"/>
                <w:szCs w:val="17"/>
                <w:color w:val="auto"/>
              </w:rPr>
            </w:pPr>
          </w:p>
        </w:tc>
        <w:tc>
          <w:tcPr>
            <w:tcW w:w="4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6"/>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Amount of loss recognized in AOCI</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tcBorders>
              <w:bottom w:val="single" w:sz="8" w:color="auto"/>
            </w:tcBorders>
            <w:gridSpan w:val="8"/>
          </w:tcPr>
          <w:p>
            <w:pPr>
              <w:jc w:val="center"/>
              <w:ind w:left="240"/>
              <w:spacing w:after="0"/>
              <w:rPr>
                <w:sz w:val="20"/>
                <w:szCs w:val="20"/>
                <w:color w:val="auto"/>
              </w:rPr>
            </w:pPr>
            <w:r>
              <w:rPr>
                <w:rFonts w:ascii="Times New Roman" w:cs="Times New Roman" w:eastAsia="Times New Roman" w:hAnsi="Times New Roman"/>
                <w:sz w:val="16"/>
                <w:szCs w:val="16"/>
                <w:b w:val="1"/>
                <w:bCs w:val="1"/>
                <w:color w:val="auto"/>
                <w:w w:val="97"/>
              </w:rPr>
              <w:t>Amount of loss recognized in AOCI</w:t>
            </w: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investment hedging relationships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8"/>
                <w:szCs w:val="18"/>
                <w:color w:val="auto"/>
              </w:rPr>
            </w:pPr>
          </w:p>
        </w:tc>
        <w:tc>
          <w:tcPr>
            <w:tcW w:w="144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603"/>
        </w:trPr>
        <w:tc>
          <w:tcPr>
            <w:tcW w:w="47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17. Borrowings</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5"/>
        </w:trPr>
        <w:tc>
          <w:tcPr>
            <w:tcW w:w="5060" w:type="dxa"/>
            <w:vAlign w:val="bottom"/>
            <w:gridSpan w:val="4"/>
          </w:tcPr>
          <w:p>
            <w:pPr>
              <w:ind w:left="400"/>
              <w:spacing w:after="0"/>
              <w:rPr>
                <w:sz w:val="20"/>
                <w:szCs w:val="20"/>
                <w:color w:val="auto"/>
              </w:rPr>
            </w:pPr>
            <w:r>
              <w:rPr>
                <w:rFonts w:ascii="Times New Roman" w:cs="Times New Roman" w:eastAsia="Times New Roman" w:hAnsi="Times New Roman"/>
                <w:sz w:val="17"/>
                <w:szCs w:val="17"/>
                <w:color w:val="auto"/>
              </w:rPr>
              <w:t>The following tables summarizes the Company’s debt position:</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gridSpan w:val="7"/>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4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4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140"/>
              <w:spacing w:after="0" w:line="126" w:lineRule="exact"/>
              <w:rPr>
                <w:sz w:val="20"/>
                <w:szCs w:val="20"/>
                <w:color w:val="auto"/>
              </w:rPr>
            </w:pPr>
            <w:r>
              <w:rPr>
                <w:rFonts w:ascii="Times New Roman" w:cs="Times New Roman" w:eastAsia="Times New Roman" w:hAnsi="Times New Roman"/>
                <w:sz w:val="14"/>
                <w:szCs w:val="14"/>
                <w:b w:val="1"/>
                <w:bCs w:val="1"/>
                <w:color w:val="auto"/>
                <w:w w:val="99"/>
              </w:rPr>
              <w:t>Revolving Credit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vMerge w:val="restart"/>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0"/>
                <w:szCs w:val="10"/>
                <w:color w:val="auto"/>
              </w:rPr>
            </w:pPr>
          </w:p>
        </w:tc>
        <w:tc>
          <w:tcPr>
            <w:tcW w:w="1520" w:type="dxa"/>
            <w:vAlign w:val="bottom"/>
            <w:gridSpan w:val="4"/>
          </w:tcPr>
          <w:p>
            <w:pPr>
              <w:jc w:val="center"/>
              <w:ind w:right="100"/>
              <w:spacing w:after="0" w:line="126" w:lineRule="exact"/>
              <w:rPr>
                <w:sz w:val="20"/>
                <w:szCs w:val="20"/>
                <w:color w:val="auto"/>
              </w:rPr>
            </w:pPr>
            <w:r>
              <w:rPr>
                <w:rFonts w:ascii="Times New Roman" w:cs="Times New Roman" w:eastAsia="Times New Roman" w:hAnsi="Times New Roman"/>
                <w:sz w:val="14"/>
                <w:szCs w:val="14"/>
                <w:b w:val="1"/>
                <w:bCs w:val="1"/>
                <w:color w:val="auto"/>
                <w:w w:val="99"/>
              </w:rPr>
              <w:t>Revolving Credit</w:t>
            </w:r>
          </w:p>
        </w:tc>
        <w:tc>
          <w:tcPr>
            <w:tcW w:w="200" w:type="dxa"/>
            <w:vAlign w:val="bottom"/>
          </w:tcPr>
          <w:p>
            <w:pPr>
              <w:spacing w:after="0"/>
              <w:rPr>
                <w:sz w:val="10"/>
                <w:szCs w:val="10"/>
                <w:color w:val="auto"/>
              </w:rPr>
            </w:pPr>
          </w:p>
        </w:tc>
        <w:tc>
          <w:tcPr>
            <w:tcW w:w="1440" w:type="dxa"/>
            <w:vAlign w:val="bottom"/>
            <w:gridSpan w:val="4"/>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Facility</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200" w:type="dxa"/>
            <w:vAlign w:val="bottom"/>
          </w:tcPr>
          <w:p>
            <w:pPr>
              <w:spacing w:after="0"/>
              <w:rPr>
                <w:sz w:val="16"/>
                <w:szCs w:val="16"/>
                <w:color w:val="auto"/>
              </w:rPr>
            </w:pPr>
          </w:p>
        </w:tc>
        <w:tc>
          <w:tcPr>
            <w:tcW w:w="144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70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 portion of long-term borrowings</w:t>
            </w:r>
          </w:p>
        </w:tc>
        <w:tc>
          <w:tcPr>
            <w:tcW w:w="3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gridSpan w:val="2"/>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260,016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260,016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700" w:type="dxa"/>
            <w:vAlign w:val="bottom"/>
            <w:gridSpan w:val="3"/>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borrowings</w:t>
            </w: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Total borrowings</w:t>
            </w:r>
          </w:p>
        </w:tc>
        <w:tc>
          <w:tcPr>
            <w:tcW w:w="3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285,000</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260,016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260,016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360" w:lineRule="exact"/>
        <w:rPr>
          <w:sz w:val="20"/>
          <w:szCs w:val="20"/>
          <w:color w:val="auto"/>
        </w:rPr>
      </w:pPr>
    </w:p>
    <w:p>
      <w:pPr>
        <w:jc w:val="both"/>
        <w:ind w:firstLine="433"/>
        <w:spacing w:after="0" w:line="281" w:lineRule="auto"/>
        <w:rPr>
          <w:sz w:val="20"/>
          <w:szCs w:val="20"/>
          <w:color w:val="auto"/>
        </w:rPr>
      </w:pPr>
      <w:r>
        <w:rPr>
          <w:rFonts w:ascii="Times New Roman" w:cs="Times New Roman" w:eastAsia="Times New Roman" w:hAnsi="Times New Roman"/>
          <w:sz w:val="17"/>
          <w:szCs w:val="17"/>
          <w:color w:val="auto"/>
        </w:rPr>
        <w:t>Unamortized debt issuance costs for the Company’s revolving Credit Facility of $1,314 and $232 as of June 30, 2022 and December 31, 2021, respectively, are presented under “Other current assets” and “Other assets,” as applicable in the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Credit Agreement</w:t>
      </w:r>
    </w:p>
    <w:p>
      <w:pPr>
        <w:spacing w:after="0" w:line="226"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Company held a $300,000 revolving credit facility pursuant to its credit agreement (the “Credit Agreement”), dated as of November 21, 2017 with certain lenders and Citibank N.A. as Administrative Agent (the “Credit Facility”). The Credit Facility had a maturity date of November 21, 2022 and was voluntarily pre-payable from time to time without premium or penalty.</w:t>
      </w:r>
    </w:p>
    <w:p>
      <w:pPr>
        <w:spacing w:after="0" w:line="188" w:lineRule="exact"/>
        <w:rPr>
          <w:sz w:val="20"/>
          <w:szCs w:val="20"/>
          <w:color w:val="auto"/>
        </w:rPr>
      </w:pPr>
    </w:p>
    <w:p>
      <w:pPr>
        <w:jc w:val="both"/>
        <w:ind w:firstLine="393"/>
        <w:spacing w:after="0" w:line="249" w:lineRule="auto"/>
        <w:rPr>
          <w:sz w:val="20"/>
          <w:szCs w:val="20"/>
          <w:color w:val="auto"/>
        </w:rPr>
      </w:pPr>
      <w:r>
        <w:rPr>
          <w:rFonts w:ascii="Times New Roman" w:cs="Times New Roman" w:eastAsia="Times New Roman" w:hAnsi="Times New Roman"/>
          <w:sz w:val="17"/>
          <w:szCs w:val="17"/>
          <w:color w:val="auto"/>
        </w:rPr>
        <w:t>On April 18, 2022, the Company and each of the Company’s wholly owned material domestic subsidiaries entered into an Amendment and Restatement Agreement with Citibank, N.A. as Administrative Agent and certain lenders (the “2022 Credit Agreement”), pursuant to which the parties thereto amended and restated the Credit Agreement. Among other things, the 2022 Credit Agreement (a) provides for the issuance of new revolving credit commitments such that the aggregate amount of revolving credit commitments available to the Company is equal to $400,000; (b) extends the maturity date of the Credit Facility from November 21, 2022 to April 18, 2027; and (c) replaces LIBOR with Secured Overnight Financing Rate (“SOFR”) as the reference rate for the U.S. dollar borrowings.</w:t>
      </w:r>
    </w:p>
    <w:p>
      <w:pPr>
        <w:spacing w:after="0" w:line="186"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2022 Credit Agreement provides an option to increase the commitments by up to $200,000, subject to certain approvals and conditions. The 2022 Credit Agreement includes a letter of credit sub facility and is voluntarily pre-payable from time to time without premium or penalty. Borrowings under the 2022 Credit Agreement can be used for working capital and general corporate purposes, including permitted acquisitions.</w:t>
      </w:r>
    </w:p>
    <w:p>
      <w:pPr>
        <w:spacing w:after="0" w:line="188" w:lineRule="exact"/>
        <w:rPr>
          <w:sz w:val="20"/>
          <w:szCs w:val="20"/>
          <w:color w:val="auto"/>
        </w:rPr>
      </w:pPr>
    </w:p>
    <w:p>
      <w:pPr>
        <w:jc w:val="both"/>
        <w:ind w:firstLine="393"/>
        <w:spacing w:after="0" w:line="254" w:lineRule="auto"/>
        <w:rPr>
          <w:sz w:val="20"/>
          <w:szCs w:val="20"/>
          <w:color w:val="auto"/>
        </w:rPr>
      </w:pPr>
      <w:r>
        <w:rPr>
          <w:rFonts w:ascii="Times New Roman" w:cs="Times New Roman" w:eastAsia="Times New Roman" w:hAnsi="Times New Roman"/>
          <w:sz w:val="17"/>
          <w:szCs w:val="17"/>
          <w:color w:val="auto"/>
        </w:rPr>
        <w:t>Obligations under the 2022 Credit Agreement are guaranteed by the Company’s material domestic subsidiaries and are secured by all or substantially all of the assets of the Company and our material domestic subsidiaries. The 2022 Credit Agreement contains customary affirmative and negative covenants, including, but not limited to, restrictions on the ability to incur indebtedness, create liens, make certain investments, make certain dividends and related distributions, enter into, or undertake, certain liquidations, mergers, consolidations or acquisitions and dispose of certain assets or subsidiaries.</w:t>
      </w:r>
    </w:p>
    <w:p>
      <w:pPr>
        <w:spacing w:after="0" w:line="1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Credit Facility carried an effective interest rate as shown below:</w:t>
      </w:r>
    </w:p>
    <w:p>
      <w:pPr>
        <w:spacing w:after="0" w:line="292"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4940" w:type="dxa"/>
            <w:vAlign w:val="bottom"/>
          </w:tcPr>
          <w:p>
            <w:pPr>
              <w:spacing w:after="0"/>
              <w:rPr>
                <w:sz w:val="18"/>
                <w:szCs w:val="18"/>
                <w:color w:val="auto"/>
              </w:rPr>
            </w:pPr>
          </w:p>
        </w:tc>
        <w:tc>
          <w:tcPr>
            <w:tcW w:w="290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0" w:type="dxa"/>
            <w:vAlign w:val="bottom"/>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4"/>
        </w:trPr>
        <w:tc>
          <w:tcPr>
            <w:tcW w:w="494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Effective Interest Rate</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r>
    </w:tbl>
    <w:p>
      <w:pPr>
        <w:spacing w:after="0" w:line="296"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As of June 30, 2022 and December 31, 2021, the Company was in compliance with all financial and non-financial covenants listed under the Credit Agreement.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Convertible Senior Notes</w:t>
      </w:r>
    </w:p>
    <w:p>
      <w:pPr>
        <w:spacing w:after="0" w:line="239" w:lineRule="exact"/>
        <w:rPr>
          <w:sz w:val="20"/>
          <w:szCs w:val="20"/>
          <w:color w:val="auto"/>
        </w:rPr>
      </w:pPr>
    </w:p>
    <w:p>
      <w:pPr>
        <w:jc w:val="both"/>
        <w:ind w:firstLine="393"/>
        <w:spacing w:after="0" w:line="248" w:lineRule="auto"/>
        <w:rPr>
          <w:sz w:val="20"/>
          <w:szCs w:val="20"/>
          <w:color w:val="auto"/>
        </w:rPr>
      </w:pPr>
      <w:r>
        <w:rPr>
          <w:rFonts w:ascii="Times New Roman" w:cs="Times New Roman" w:eastAsia="Times New Roman" w:hAnsi="Times New Roman"/>
          <w:sz w:val="17"/>
          <w:szCs w:val="17"/>
          <w:color w:val="auto"/>
        </w:rPr>
        <w:t>On October 1, 2018, the Company entered into an investment agreement (the “Investment Agreement”) with Orogen Echo LLC (the “Purchaser”), an affiliate of The Orogen Group LLC, relating to the issuance to the Purchaser of $150,000, in an aggregate principal amount (the “Notes”). The Notes carried interest at a rate of 3.5% per annum, payable semi-annually in arrears in cash on April 1 and October 1 of each year. The Notes were convertible at an initial conversion rate of 13.3333 shares of the common stock per one thousand dollar principal amount of the Notes (which represented an initial conversion price of approximately $75 per share). The Company had the option to redeem the principal amount of the Notes, at its option, if the closing sale price of the common stock exceeded 150% of the then-current conversion price for 20 or more trading days in the 30 consecutive trading day period preceding the Company’s exercise of this redemption right (including the trading day immediately prior to the date of the notice of redemption).</w:t>
      </w:r>
    </w:p>
    <w:p>
      <w:pPr>
        <w:spacing w:after="0" w:line="199"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On August 27, 2021, the Company entered into a Payoff and Termination Agreement with the Purchaser, pursuant to which the Company prepaid and settled its outstanding obligations under the Notes, by electing a combination of cash and shares of the Company’s common stock. During the three and six months ended June 30, 2021, the Company recognized interest expense and amortization of debt discount of $2,003 and $3,989, respectively, on the Notes.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3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Expected payments for all of the Company’s borrowings as of June 30, 2022 were as follows:</w:t>
      </w:r>
    </w:p>
    <w:p>
      <w:pPr>
        <w:spacing w:after="0" w:line="275" w:lineRule="exact"/>
        <w:rPr>
          <w:sz w:val="20"/>
          <w:szCs w:val="20"/>
          <w:color w:val="auto"/>
        </w:rPr>
      </w:pPr>
    </w:p>
    <w:tbl>
      <w:tblPr>
        <w:tblLayout w:type="fixed"/>
        <w:tblInd w:w="1900" w:type="dxa"/>
        <w:tblCellMar>
          <w:top w:w="0" w:type="dxa"/>
          <w:left w:w="0" w:type="dxa"/>
          <w:bottom w:w="0" w:type="dxa"/>
          <w:right w:w="0" w:type="dxa"/>
        </w:tblCellMar>
      </w:tblPr>
      <w:tr>
        <w:trPr>
          <w:trHeight w:val="217"/>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Revolving Credit</w:t>
            </w:r>
          </w:p>
        </w:tc>
        <w:tc>
          <w:tcPr>
            <w:tcW w:w="220" w:type="dxa"/>
            <w:vAlign w:val="bottom"/>
          </w:tcPr>
          <w:p>
            <w:pPr>
              <w:spacing w:after="0"/>
              <w:rPr>
                <w:sz w:val="18"/>
                <w:szCs w:val="18"/>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Interest</w:t>
            </w:r>
          </w:p>
        </w:tc>
      </w:tr>
      <w:tr>
        <w:trPr>
          <w:trHeight w:val="233"/>
        </w:trPr>
        <w:tc>
          <w:tcPr>
            <w:tcW w:w="4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Facility</w:t>
            </w:r>
          </w:p>
        </w:tc>
        <w:tc>
          <w:tcPr>
            <w:tcW w:w="220" w:type="dxa"/>
            <w:vAlign w:val="bottom"/>
          </w:tcPr>
          <w:p>
            <w:pPr>
              <w:spacing w:after="0"/>
              <w:rPr>
                <w:sz w:val="20"/>
                <w:szCs w:val="20"/>
                <w:color w:val="auto"/>
              </w:rPr>
            </w:pP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Payments*</w:t>
            </w:r>
          </w:p>
        </w:tc>
      </w:tr>
      <w:tr>
        <w:trPr>
          <w:trHeight w:val="219"/>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 (July 1 - December 31)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4,273</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7,850</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7,734</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6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7,734</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7,734</w:t>
            </w:r>
          </w:p>
        </w:tc>
      </w:tr>
      <w:tr>
        <w:trPr>
          <w:trHeight w:val="223"/>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2027 and thereafter</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2,900</w:t>
            </w:r>
          </w:p>
        </w:tc>
      </w:tr>
      <w:tr>
        <w:trPr>
          <w:trHeight w:val="241"/>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285,000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38,225</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Interest payments are based on effective interest rate as of June 30, 2022.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Letters of Credit</w:t>
      </w:r>
    </w:p>
    <w:p>
      <w:pPr>
        <w:spacing w:after="0" w:line="239" w:lineRule="exact"/>
        <w:rPr>
          <w:sz w:val="20"/>
          <w:szCs w:val="20"/>
          <w:color w:val="auto"/>
        </w:rPr>
      </w:pPr>
    </w:p>
    <w:p>
      <w:pPr>
        <w:ind w:firstLine="393"/>
        <w:spacing w:after="0" w:line="281" w:lineRule="auto"/>
        <w:rPr>
          <w:sz w:val="20"/>
          <w:szCs w:val="20"/>
          <w:color w:val="auto"/>
        </w:rPr>
      </w:pPr>
      <w:r>
        <w:rPr>
          <w:rFonts w:ascii="Times New Roman" w:cs="Times New Roman" w:eastAsia="Times New Roman" w:hAnsi="Times New Roman"/>
          <w:sz w:val="17"/>
          <w:szCs w:val="17"/>
          <w:color w:val="auto"/>
        </w:rPr>
        <w:t>In the ordinary course of business, the Company provides standby letters of credit to third parties primarily for facility leases. As of June 30, 2022 and December 31, 2021, the Company had outstanding letters of credit of $461, each, that were not recognized in the consolidated balance sheets.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Capital Structure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 has one class of common stock outstanding.</w:t>
      </w:r>
    </w:p>
    <w:p>
      <w:pPr>
        <w:spacing w:after="0" w:line="237" w:lineRule="exact"/>
        <w:rPr>
          <w:sz w:val="20"/>
          <w:szCs w:val="20"/>
          <w:color w:val="auto"/>
        </w:rPr>
      </w:pPr>
    </w:p>
    <w:p>
      <w:pPr>
        <w:ind w:firstLine="433"/>
        <w:spacing w:after="0" w:line="281" w:lineRule="auto"/>
        <w:rPr>
          <w:sz w:val="20"/>
          <w:szCs w:val="20"/>
          <w:color w:val="auto"/>
        </w:rPr>
      </w:pPr>
      <w:r>
        <w:rPr>
          <w:rFonts w:ascii="Times New Roman" w:cs="Times New Roman" w:eastAsia="Times New Roman" w:hAnsi="Times New Roman"/>
          <w:sz w:val="17"/>
          <w:szCs w:val="17"/>
          <w:color w:val="auto"/>
        </w:rPr>
        <w:t>The Company purchased shares of common stock from employees in connection with withholding tax payments related to the vesting of restricted stock units and performance-based restricted stock units, as below:</w:t>
      </w:r>
    </w:p>
    <w:p>
      <w:pPr>
        <w:spacing w:after="0" w:line="178"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5680" w:type="dxa"/>
            <w:vAlign w:val="bottom"/>
          </w:tcPr>
          <w:p>
            <w:pPr>
              <w:spacing w:after="0"/>
              <w:rPr>
                <w:sz w:val="16"/>
                <w:szCs w:val="16"/>
                <w:color w:val="auto"/>
              </w:rPr>
            </w:pP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right"/>
              <w:ind w:right="198"/>
              <w:spacing w:after="0"/>
              <w:rPr>
                <w:sz w:val="20"/>
                <w:szCs w:val="20"/>
                <w:color w:val="auto"/>
              </w:rPr>
            </w:pPr>
            <w:r>
              <w:rPr>
                <w:rFonts w:ascii="Times New Roman" w:cs="Times New Roman" w:eastAsia="Times New Roman" w:hAnsi="Times New Roman"/>
                <w:sz w:val="17"/>
                <w:szCs w:val="17"/>
                <w:b w:val="1"/>
                <w:bCs w:val="1"/>
                <w:color w:val="auto"/>
              </w:rPr>
              <w:t>Weighted average</w:t>
            </w:r>
          </w:p>
        </w:tc>
        <w:tc>
          <w:tcPr>
            <w:tcW w:w="0" w:type="dxa"/>
            <w:vAlign w:val="bottom"/>
          </w:tcPr>
          <w:p>
            <w:pPr>
              <w:spacing w:after="0"/>
              <w:rPr>
                <w:sz w:val="1"/>
                <w:szCs w:val="1"/>
                <w:color w:val="auto"/>
              </w:rPr>
            </w:pPr>
          </w:p>
        </w:tc>
      </w:tr>
      <w:tr>
        <w:trPr>
          <w:trHeight w:val="170"/>
        </w:trPr>
        <w:tc>
          <w:tcPr>
            <w:tcW w:w="56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60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Total consideration</w:t>
            </w:r>
          </w:p>
        </w:tc>
        <w:tc>
          <w:tcPr>
            <w:tcW w:w="190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7"/>
                <w:szCs w:val="17"/>
                <w:b w:val="1"/>
                <w:bCs w:val="1"/>
                <w:color w:val="auto"/>
              </w:rPr>
              <w:t>purchase price per share</w:t>
            </w:r>
          </w:p>
        </w:tc>
        <w:tc>
          <w:tcPr>
            <w:tcW w:w="0" w:type="dxa"/>
            <w:vAlign w:val="bottom"/>
          </w:tcPr>
          <w:p>
            <w:pPr>
              <w:spacing w:after="0"/>
              <w:rPr>
                <w:sz w:val="1"/>
                <w:szCs w:val="1"/>
                <w:color w:val="auto"/>
              </w:rPr>
            </w:pPr>
          </w:p>
        </w:tc>
      </w:tr>
      <w:tr>
        <w:trPr>
          <w:trHeight w:val="170"/>
        </w:trPr>
        <w:tc>
          <w:tcPr>
            <w:tcW w:w="5680" w:type="dxa"/>
            <w:vAlign w:val="bottom"/>
          </w:tcPr>
          <w:p>
            <w:pPr>
              <w:spacing w:after="0"/>
              <w:rPr>
                <w:sz w:val="14"/>
                <w:szCs w:val="14"/>
                <w:color w:val="auto"/>
              </w:rPr>
            </w:pPr>
          </w:p>
        </w:tc>
        <w:tc>
          <w:tcPr>
            <w:tcW w:w="1500" w:type="dxa"/>
            <w:vAlign w:val="bottom"/>
            <w:gridSpan w:val="2"/>
          </w:tcPr>
          <w:p>
            <w:pPr>
              <w:jc w:val="center"/>
              <w:ind w:right="80"/>
              <w:spacing w:after="0" w:line="171" w:lineRule="exact"/>
              <w:rPr>
                <w:sz w:val="20"/>
                <w:szCs w:val="20"/>
                <w:color w:val="auto"/>
              </w:rPr>
            </w:pPr>
            <w:r>
              <w:rPr>
                <w:rFonts w:ascii="Times New Roman" w:cs="Times New Roman" w:eastAsia="Times New Roman" w:hAnsi="Times New Roman"/>
                <w:sz w:val="17"/>
                <w:szCs w:val="17"/>
                <w:b w:val="1"/>
                <w:bCs w:val="1"/>
                <w:color w:val="auto"/>
              </w:rPr>
              <w:t>repurchased</w:t>
            </w:r>
          </w:p>
        </w:tc>
        <w:tc>
          <w:tcPr>
            <w:tcW w:w="16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jc w:val="right"/>
              <w:ind w:right="798"/>
              <w:spacing w:after="0"/>
              <w:rPr>
                <w:sz w:val="20"/>
                <w:szCs w:val="20"/>
                <w:color w:val="auto"/>
              </w:rPr>
            </w:pPr>
            <w:r>
              <w:rPr>
                <w:rFonts w:ascii="Times New Roman" w:cs="Times New Roman" w:eastAsia="Times New Roman" w:hAnsi="Times New Roman"/>
                <w:sz w:val="11"/>
                <w:szCs w:val="11"/>
                <w:b w:val="1"/>
                <w:bCs w:val="1"/>
                <w:color w:val="auto"/>
              </w:rPr>
              <w:t>(1)</w:t>
            </w:r>
          </w:p>
        </w:tc>
        <w:tc>
          <w:tcPr>
            <w:tcW w:w="0" w:type="dxa"/>
            <w:vAlign w:val="bottom"/>
          </w:tcPr>
          <w:p>
            <w:pPr>
              <w:spacing w:after="0"/>
              <w:rPr>
                <w:sz w:val="1"/>
                <w:szCs w:val="1"/>
                <w:color w:val="auto"/>
              </w:rPr>
            </w:pPr>
          </w:p>
        </w:tc>
      </w:tr>
      <w:tr>
        <w:trPr>
          <w:trHeight w:val="216"/>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months ended June 30, 2022</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Three months ended June 30, 2021</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2"/>
        </w:trPr>
        <w:tc>
          <w:tcPr>
            <w:tcW w:w="56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Six months ended June 30, 2022</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27,219</w:t>
            </w:r>
          </w:p>
        </w:tc>
        <w:tc>
          <w:tcPr>
            <w:tcW w:w="8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3,191</w:t>
            </w: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117.23</w:t>
            </w:r>
          </w:p>
        </w:tc>
        <w:tc>
          <w:tcPr>
            <w:tcW w:w="0" w:type="dxa"/>
            <w:vAlign w:val="bottom"/>
          </w:tcPr>
          <w:p>
            <w:pPr>
              <w:spacing w:after="0"/>
              <w:rPr>
                <w:sz w:val="1"/>
                <w:szCs w:val="1"/>
                <w:color w:val="auto"/>
              </w:rPr>
            </w:pPr>
          </w:p>
        </w:tc>
      </w:tr>
      <w:tr>
        <w:trPr>
          <w:trHeight w:val="22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Six months ended June 30, 2021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25,450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79.18</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firstLine="393"/>
        <w:spacing w:after="0" w:line="227" w:lineRule="auto"/>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The weighted average purchase price per share is based on the closing price of the Company’s common stock on the Nasdaq Global Select Market on the trading day prior to the applicable vesting date of the shares of restricted stock.</w:t>
      </w:r>
    </w:p>
    <w:p>
      <w:pPr>
        <w:spacing w:after="0" w:line="205" w:lineRule="exact"/>
        <w:rPr>
          <w:sz w:val="20"/>
          <w:szCs w:val="20"/>
          <w:color w:val="auto"/>
        </w:rPr>
      </w:pPr>
    </w:p>
    <w:p>
      <w:pPr>
        <w:ind w:firstLine="393"/>
        <w:spacing w:after="0" w:line="281" w:lineRule="auto"/>
        <w:rPr>
          <w:sz w:val="20"/>
          <w:szCs w:val="20"/>
          <w:color w:val="auto"/>
        </w:rPr>
      </w:pPr>
      <w:r>
        <w:rPr>
          <w:rFonts w:ascii="Times New Roman" w:cs="Times New Roman" w:eastAsia="Times New Roman" w:hAnsi="Times New Roman"/>
          <w:sz w:val="17"/>
          <w:szCs w:val="17"/>
          <w:color w:val="auto"/>
        </w:rPr>
        <w:t>On December 16, 2019, the Company’s Board of Directors authorized a $200,000 common stock repurchase program beginning January 1, 2020 through December 31, 2022 (the “2019 Repurchase Program”).</w:t>
      </w:r>
    </w:p>
    <w:p>
      <w:pPr>
        <w:spacing w:after="0" w:line="172" w:lineRule="exact"/>
        <w:rPr>
          <w:sz w:val="20"/>
          <w:szCs w:val="20"/>
          <w:color w:val="auto"/>
        </w:rPr>
      </w:pPr>
    </w:p>
    <w:p>
      <w:pPr>
        <w:ind w:firstLine="393"/>
        <w:spacing w:after="0" w:line="281" w:lineRule="auto"/>
        <w:rPr>
          <w:sz w:val="20"/>
          <w:szCs w:val="20"/>
          <w:color w:val="auto"/>
        </w:rPr>
      </w:pPr>
      <w:r>
        <w:rPr>
          <w:rFonts w:ascii="Times New Roman" w:cs="Times New Roman" w:eastAsia="Times New Roman" w:hAnsi="Times New Roman"/>
          <w:sz w:val="17"/>
          <w:szCs w:val="17"/>
          <w:color w:val="auto"/>
        </w:rPr>
        <w:t>On October 5, 2021, the Company’s Board of Directors authorized a $300,000 common stock repurchase program beginning January 1, 2022 (the “2022 Repurchase Program”), and terminated the 2019 Repurchase Program on December 31, 2021.</w:t>
      </w:r>
    </w:p>
    <w:p>
      <w:pPr>
        <w:spacing w:after="0" w:line="185" w:lineRule="exact"/>
        <w:rPr>
          <w:sz w:val="20"/>
          <w:szCs w:val="20"/>
          <w:color w:val="auto"/>
        </w:rPr>
      </w:pPr>
    </w:p>
    <w:p>
      <w:pPr>
        <w:ind w:right="20" w:firstLine="393"/>
        <w:spacing w:after="0" w:line="277" w:lineRule="auto"/>
        <w:rPr>
          <w:sz w:val="20"/>
          <w:szCs w:val="20"/>
          <w:color w:val="auto"/>
        </w:rPr>
      </w:pPr>
      <w:r>
        <w:rPr>
          <w:rFonts w:ascii="Times New Roman" w:cs="Times New Roman" w:eastAsia="Times New Roman" w:hAnsi="Times New Roman"/>
          <w:sz w:val="17"/>
          <w:szCs w:val="17"/>
          <w:color w:val="auto"/>
        </w:rPr>
        <w:t>Under the 2022 Repurchase Program and 2019 Repurchase Program, shares may be purchased by the Company from time to time from the open market and through private transactions, or otherwise, as determined by the Company’s management as market conditions warrant. Repurchases may be discontinued at any time by the management.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 purchased shares of its common stock, including commissions, under repurchase programs, as below:</w:t>
      </w:r>
    </w:p>
    <w:p>
      <w:pPr>
        <w:spacing w:after="0" w:line="244"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522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0" w:type="dxa"/>
            <w:vAlign w:val="bottom"/>
          </w:tcPr>
          <w:p>
            <w:pPr>
              <w:spacing w:after="0"/>
              <w:rPr>
                <w:sz w:val="17"/>
                <w:szCs w:val="17"/>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Total consideration</w:t>
            </w:r>
          </w:p>
        </w:tc>
        <w:tc>
          <w:tcPr>
            <w:tcW w:w="200" w:type="dxa"/>
            <w:vAlign w:val="bottom"/>
          </w:tcPr>
          <w:p>
            <w:pPr>
              <w:spacing w:after="0"/>
              <w:rPr>
                <w:sz w:val="17"/>
                <w:szCs w:val="17"/>
                <w:color w:val="auto"/>
              </w:rPr>
            </w:pPr>
          </w:p>
        </w:tc>
        <w:tc>
          <w:tcPr>
            <w:tcW w:w="1740" w:type="dxa"/>
            <w:vAlign w:val="bottom"/>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Weighted average</w:t>
            </w:r>
          </w:p>
        </w:tc>
      </w:tr>
      <w:tr>
        <w:trPr>
          <w:trHeight w:val="233"/>
        </w:trPr>
        <w:tc>
          <w:tcPr>
            <w:tcW w:w="522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repurchased</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purchase price per share</w:t>
            </w:r>
          </w:p>
        </w:tc>
      </w:tr>
      <w:tr>
        <w:trPr>
          <w:trHeight w:val="219"/>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months ended June 30, 2022</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205,716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28,806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140.03</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Three months ended June 30, 2021</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287,044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28,409</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98.97</w:t>
            </w:r>
          </w:p>
        </w:tc>
      </w:tr>
      <w:tr>
        <w:trPr>
          <w:trHeight w:val="262"/>
        </w:trPr>
        <w:tc>
          <w:tcPr>
            <w:tcW w:w="5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Six months ended June 30, 2022</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427,049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57,000</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133.47</w:t>
            </w: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Six months ended June 30, 2021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92.34</w:t>
            </w:r>
          </w:p>
        </w:tc>
      </w:tr>
    </w:tbl>
    <w:p>
      <w:pPr>
        <w:spacing w:after="0" w:line="296" w:lineRule="exact"/>
        <w:rPr>
          <w:sz w:val="20"/>
          <w:szCs w:val="20"/>
          <w:color w:val="auto"/>
        </w:rPr>
      </w:pPr>
    </w:p>
    <w:p>
      <w:pPr>
        <w:jc w:val="both"/>
        <w:ind w:firstLine="393"/>
        <w:spacing w:after="0" w:line="281" w:lineRule="auto"/>
        <w:rPr>
          <w:sz w:val="20"/>
          <w:szCs w:val="20"/>
          <w:color w:val="auto"/>
        </w:rPr>
      </w:pPr>
      <w:r>
        <w:rPr>
          <w:rFonts w:ascii="Times New Roman" w:cs="Times New Roman" w:eastAsia="Times New Roman" w:hAnsi="Times New Roman"/>
          <w:sz w:val="17"/>
          <w:szCs w:val="17"/>
          <w:color w:val="auto"/>
        </w:rPr>
        <w:t>Repurchased shares have been recorded as treasury shares and will be held until the Company’s Board of Directors designates that these shares be retired or used for other purposes.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Employee Benefit Plans</w:t>
      </w:r>
    </w:p>
    <w:p>
      <w:pPr>
        <w:spacing w:after="0" w:line="239" w:lineRule="exact"/>
        <w:rPr>
          <w:sz w:val="20"/>
          <w:szCs w:val="20"/>
          <w:color w:val="auto"/>
        </w:rPr>
      </w:pPr>
    </w:p>
    <w:p>
      <w:pPr>
        <w:jc w:val="both"/>
        <w:ind w:firstLine="393"/>
        <w:spacing w:after="0" w:line="248" w:lineRule="auto"/>
        <w:rPr>
          <w:sz w:val="20"/>
          <w:szCs w:val="20"/>
          <w:color w:val="auto"/>
        </w:rPr>
      </w:pPr>
      <w:r>
        <w:rPr>
          <w:rFonts w:ascii="Times New Roman" w:cs="Times New Roman" w:eastAsia="Times New Roman" w:hAnsi="Times New Roman"/>
          <w:sz w:val="17"/>
          <w:szCs w:val="17"/>
          <w:color w:val="auto"/>
        </w:rPr>
        <w:t>The Company’s Gratuity Plan in India (the “India Plan”) provides for a lump sum payment to vested employees on retirement or upon termination of employment in an amount based on the respective employee’s salary and years of employment with the Company. 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Liabilities with regard to the India Plan and the Philippines Plan are determined by actuarial valuation using the projected unit credit method. Current service costs for these Plans are accrued in the year to which they relate. Actuarial gains or losses or prior service costs, if any, resulting from amendments to the plans are recognized and amortized over the remaining period of service of the employees.</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Components of net periodic benefit costs, were as follows:</w:t>
      </w:r>
    </w:p>
    <w:p>
      <w:pPr>
        <w:spacing w:after="0" w:line="139" w:lineRule="exact"/>
        <w:rPr>
          <w:sz w:val="20"/>
          <w:szCs w:val="20"/>
          <w:color w:val="auto"/>
        </w:rPr>
      </w:pPr>
    </w:p>
    <w:tbl>
      <w:tblPr>
        <w:tblLayout w:type="fixed"/>
        <w:tblInd w:w="8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00" w:type="dxa"/>
            <w:vAlign w:val="bottom"/>
          </w:tcPr>
          <w:p>
            <w:pPr>
              <w:spacing w:after="0"/>
              <w:rPr>
                <w:sz w:val="16"/>
                <w:szCs w:val="16"/>
                <w:color w:val="auto"/>
              </w:rPr>
            </w:pPr>
          </w:p>
        </w:tc>
      </w:tr>
      <w:tr>
        <w:trPr>
          <w:trHeight w:val="24"/>
        </w:trPr>
        <w:tc>
          <w:tcPr>
            <w:tcW w:w="5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4"/>
        </w:trPr>
        <w:tc>
          <w:tcPr>
            <w:tcW w:w="52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r>
      <w:tr>
        <w:trPr>
          <w:trHeight w:val="222"/>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 cost</w:t>
            </w:r>
          </w:p>
        </w:tc>
        <w:tc>
          <w:tcPr>
            <w:tcW w:w="90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1,948</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7"/>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1,774</w:t>
            </w: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Interest cost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w:t>
            </w:r>
          </w:p>
        </w:tc>
      </w:tr>
      <w:tr>
        <w:trPr>
          <w:trHeight w:val="22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r>
      <w:tr>
        <w:trPr>
          <w:trHeight w:val="223"/>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Amortization of actuarial loss, gross of tax</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w:t>
            </w:r>
          </w:p>
        </w:tc>
      </w:tr>
      <w:tr>
        <w:trPr>
          <w:trHeight w:val="241"/>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gratuity cost</w:t>
            </w:r>
          </w:p>
        </w:tc>
        <w:tc>
          <w:tcPr>
            <w:tcW w:w="900" w:type="dxa"/>
            <w:vAlign w:val="bottom"/>
            <w:tcBorders>
              <w:bottom w:val="single" w:sz="8" w:color="auto"/>
            </w:tcBorders>
            <w:shd w:val="clear" w:color="auto" w:fill="CCEEFF"/>
          </w:tcPr>
          <w:p>
            <w:pPr>
              <w:jc w:val="right"/>
              <w:ind w:right="720"/>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2,439</w:t>
            </w: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37"/>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2,197</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5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effects on amortization of actuarial loss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of actuarial loss, net of tax</w:t>
            </w:r>
          </w:p>
        </w:tc>
        <w:tc>
          <w:tcPr>
            <w:tcW w:w="90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w:t>
            </w:r>
          </w:p>
        </w:tc>
      </w:tr>
    </w:tbl>
    <w:p>
      <w:pPr>
        <w:spacing w:after="0" w:line="296" w:lineRule="exact"/>
        <w:rPr>
          <w:sz w:val="20"/>
          <w:szCs w:val="20"/>
          <w:color w:val="auto"/>
        </w:rPr>
      </w:pPr>
    </w:p>
    <w:p>
      <w:pPr>
        <w:jc w:val="both"/>
        <w:ind w:firstLine="393"/>
        <w:spacing w:after="0" w:line="251" w:lineRule="auto"/>
        <w:rPr>
          <w:sz w:val="20"/>
          <w:szCs w:val="20"/>
          <w:color w:val="auto"/>
        </w:rPr>
      </w:pPr>
      <w:r>
        <w:rPr>
          <w:rFonts w:ascii="Times New Roman" w:cs="Times New Roman" w:eastAsia="Times New Roman" w:hAnsi="Times New Roman"/>
          <w:sz w:val="17"/>
          <w:szCs w:val="17"/>
          <w:color w:val="auto"/>
        </w:rPr>
        <w:t>The India Plan is partially funded whereas the Philippines plan is unfunded. The Company makes annual contributions to the employees’ gratuity fund of the India Plan established with Life Insurance Corporation of India and HDFC Standard Life Insurance Company. Fund managers manage these funds and calculate the annual contribution required to be made by the Company and manage the India Plan, including any required payouts. These funds are managed on a cash accumulation basis and interest is declared retrospectively on March 31 of each year. The Company expects to earn a return of approximately 7.2% per annum on the India Plan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1020" w:type="dxa"/>
        <w:tblCellMar>
          <w:top w:w="0" w:type="dxa"/>
          <w:left w:w="0" w:type="dxa"/>
          <w:bottom w:w="0" w:type="dxa"/>
          <w:right w:w="0" w:type="dxa"/>
        </w:tblCellMar>
      </w:tblP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Change in Plan Assets</w:t>
            </w: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Plan assets at January 1, 2022</w:t>
            </w:r>
          </w:p>
        </w:tc>
        <w:tc>
          <w:tcPr>
            <w:tcW w:w="56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13,605</w:t>
            </w:r>
          </w:p>
        </w:tc>
      </w:tr>
      <w:tr>
        <w:trPr>
          <w:trHeight w:val="223"/>
        </w:trPr>
        <w:tc>
          <w:tcPr>
            <w:tcW w:w="7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Actual return</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w:t>
            </w:r>
          </w:p>
        </w:tc>
      </w:tr>
      <w:tr>
        <w:trPr>
          <w:trHeight w:val="223"/>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Employer contribution</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7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Benefits paid*</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w:t>
            </w:r>
          </w:p>
        </w:tc>
      </w:tr>
      <w:tr>
        <w:trPr>
          <w:trHeight w:val="223"/>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Effect of exchange rate changes</w:t>
            </w: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w:t>
            </w: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Plan assets at June 30, 2022</w:t>
            </w:r>
          </w:p>
        </w:tc>
        <w:tc>
          <w:tcPr>
            <w:tcW w:w="5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12,396</w:t>
            </w:r>
          </w:p>
        </w:tc>
      </w:tr>
      <w:tr>
        <w:trPr>
          <w:trHeight w:val="20"/>
        </w:trPr>
        <w:tc>
          <w:tcPr>
            <w:tcW w:w="7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i w:val="1"/>
          <w:iCs w:val="1"/>
          <w:color w:val="auto"/>
        </w:rPr>
        <w:t>* Benefits payments were substantially made through the plan assets during the six-months ended June 30, 2022.</w:t>
      </w:r>
    </w:p>
    <w:p>
      <w:pPr>
        <w:spacing w:after="0" w:line="239" w:lineRule="exact"/>
        <w:rPr>
          <w:sz w:val="20"/>
          <w:szCs w:val="20"/>
          <w:color w:val="auto"/>
        </w:rPr>
      </w:pPr>
    </w:p>
    <w:p>
      <w:pPr>
        <w:jc w:val="both"/>
        <w:ind w:right="20" w:firstLine="472"/>
        <w:spacing w:after="0" w:line="261" w:lineRule="auto"/>
        <w:rPr>
          <w:sz w:val="20"/>
          <w:szCs w:val="20"/>
          <w:color w:val="auto"/>
        </w:rPr>
      </w:pPr>
      <w:r>
        <w:rPr>
          <w:rFonts w:ascii="Times New Roman" w:cs="Times New Roman" w:eastAsia="Times New Roman" w:hAnsi="Times New Roman"/>
          <w:sz w:val="17"/>
          <w:szCs w:val="17"/>
          <w:color w:val="auto"/>
        </w:rPr>
        <w:t>The Company maintains several 401(k) plans (the “401(k) Plans”) under Section 401(k) of the Internal Revenue Code of 1986, as amended (the “Code”), covering all eligible employees, as defined in the Code as a defined social security contribution plan. The Company may make discretionary contributions of up to a maximum of 4.0% of employee compensation within certain limits.</w:t>
      </w: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Company’s accrual for contributions to the 401(k) Plans were as follows:</w:t>
      </w:r>
    </w:p>
    <w:p>
      <w:pPr>
        <w:spacing w:after="0" w:line="279"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6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60" w:type="dxa"/>
            <w:vAlign w:val="bottom"/>
          </w:tcPr>
          <w:p>
            <w:pPr>
              <w:spacing w:after="0"/>
              <w:rPr>
                <w:sz w:val="18"/>
                <w:szCs w:val="18"/>
                <w:color w:val="auto"/>
              </w:rPr>
            </w:pPr>
          </w:p>
        </w:tc>
        <w:tc>
          <w:tcPr>
            <w:tcW w:w="2060" w:type="dxa"/>
            <w:vAlign w:val="bottom"/>
            <w:gridSpan w:val="4"/>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186"/>
        </w:trPr>
        <w:tc>
          <w:tcPr>
            <w:tcW w:w="626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Contribution to the 401(k) Plans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2,052</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ind w:right="140" w:firstLine="472"/>
        <w:spacing w:after="0" w:line="297" w:lineRule="auto"/>
        <w:rPr>
          <w:sz w:val="20"/>
          <w:szCs w:val="20"/>
          <w:color w:val="auto"/>
        </w:rPr>
      </w:pPr>
      <w:r>
        <w:rPr>
          <w:rFonts w:ascii="Times New Roman" w:cs="Times New Roman" w:eastAsia="Times New Roman" w:hAnsi="Times New Roman"/>
          <w:sz w:val="17"/>
          <w:szCs w:val="17"/>
          <w:color w:val="auto"/>
        </w:rPr>
        <w:t>The Company’s contribution for various defined social security contribution plans on behalf of employees in India, the Philippines, the Czech Republic, South Africa, Colombia, Mexico, Australia and Singapore were as follows:</w:t>
      </w:r>
    </w:p>
    <w:p>
      <w:pPr>
        <w:spacing w:after="0" w:line="214"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6340" w:type="dxa"/>
            <w:vAlign w:val="bottom"/>
          </w:tcPr>
          <w:p>
            <w:pPr>
              <w:spacing w:after="0"/>
              <w:rPr>
                <w:sz w:val="18"/>
                <w:szCs w:val="18"/>
                <w:color w:val="auto"/>
              </w:rPr>
            </w:pPr>
          </w:p>
        </w:tc>
        <w:tc>
          <w:tcPr>
            <w:tcW w:w="224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60" w:type="dxa"/>
            <w:vAlign w:val="bottom"/>
          </w:tcPr>
          <w:p>
            <w:pPr>
              <w:spacing w:after="0"/>
              <w:rPr>
                <w:sz w:val="18"/>
                <w:szCs w:val="18"/>
                <w:color w:val="auto"/>
              </w:rPr>
            </w:pPr>
          </w:p>
        </w:tc>
        <w:tc>
          <w:tcPr>
            <w:tcW w:w="2000" w:type="dxa"/>
            <w:vAlign w:val="bottom"/>
            <w:gridSpan w:val="4"/>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8"/>
              </w:rPr>
              <w:t>Six months ended June 30,</w:t>
            </w:r>
          </w:p>
        </w:tc>
      </w:tr>
      <w:tr>
        <w:trPr>
          <w:trHeight w:val="186"/>
        </w:trPr>
        <w:tc>
          <w:tcPr>
            <w:tcW w:w="634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7"/>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Contributions to the defined social security contribution plans</w:t>
            </w:r>
          </w:p>
        </w:tc>
        <w:tc>
          <w:tcPr>
            <w:tcW w:w="2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4,549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3,418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6,712</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Leases</w:t>
      </w:r>
    </w:p>
    <w:p>
      <w:pPr>
        <w:spacing w:after="0" w:line="252" w:lineRule="exact"/>
        <w:rPr>
          <w:sz w:val="20"/>
          <w:szCs w:val="20"/>
          <w:color w:val="auto"/>
        </w:rPr>
      </w:pPr>
    </w:p>
    <w:p>
      <w:pPr>
        <w:jc w:val="both"/>
        <w:ind w:right="20" w:firstLine="393"/>
        <w:spacing w:after="0" w:line="269" w:lineRule="auto"/>
        <w:rPr>
          <w:sz w:val="20"/>
          <w:szCs w:val="20"/>
          <w:color w:val="auto"/>
        </w:rPr>
      </w:pPr>
      <w:r>
        <w:rPr>
          <w:rFonts w:ascii="Times New Roman" w:cs="Times New Roman" w:eastAsia="Times New Roman" w:hAnsi="Times New Roman"/>
          <w:sz w:val="17"/>
          <w:szCs w:val="17"/>
          <w:color w:val="auto"/>
        </w:rPr>
        <w:t>The Company conducts its operations using facilities leased under operating lease agreements that expire at various dates. The Company finances its use of certain motor vehicles and other equipment under various lease arrangements provided by financial institutions. The lease agreements do not contain any covenants to impose any restrictions except for market-standard practice for similar lease arrangements.</w:t>
      </w:r>
    </w:p>
    <w:p>
      <w:pPr>
        <w:spacing w:after="0" w:line="167" w:lineRule="exact"/>
        <w:rPr>
          <w:sz w:val="20"/>
          <w:szCs w:val="20"/>
          <w:color w:val="auto"/>
        </w:rPr>
      </w:pPr>
    </w:p>
    <w:p>
      <w:pPr>
        <w:jc w:val="both"/>
        <w:ind w:right="20" w:firstLine="393"/>
        <w:spacing w:after="0" w:line="249" w:lineRule="auto"/>
        <w:rPr>
          <w:sz w:val="20"/>
          <w:szCs w:val="20"/>
          <w:color w:val="auto"/>
        </w:rPr>
      </w:pPr>
      <w:r>
        <w:rPr>
          <w:rFonts w:ascii="Times New Roman" w:cs="Times New Roman" w:eastAsia="Times New Roman" w:hAnsi="Times New Roman"/>
          <w:sz w:val="17"/>
          <w:szCs w:val="17"/>
          <w:color w:val="auto"/>
        </w:rPr>
        <w:t xml:space="preserve">The Company had performed an evaluation of its contracts with suppliers in accordance with Topic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and had determined that, except for leases for office facilities, motor vehicles and other equipment as described above, none of the Company’s contracts contain a lease. In assessment of the lease term, the Company considers the extension option as part of its lease term for those lease arrangements where the Company is reasonably certain of availing the extension option. As part of the Company’s effort to moderate the impact of COVID-19, the Company continued to evaluate its office facilities to determine where it can exit, consolidate, or otherwise optimize its use of office space. The Company recognizes changes to the lease term by remeasuring lease liabilities as of the date of such modification with the resultant adjustment to the ROU assets.</w:t>
      </w:r>
    </w:p>
    <w:p>
      <w:pPr>
        <w:spacing w:after="0" w:line="201" w:lineRule="exact"/>
        <w:rPr>
          <w:sz w:val="20"/>
          <w:szCs w:val="20"/>
          <w:color w:val="auto"/>
        </w:rPr>
      </w:pPr>
    </w:p>
    <w:p>
      <w:pPr>
        <w:jc w:val="both"/>
        <w:ind w:right="20" w:firstLine="393"/>
        <w:spacing w:after="0" w:line="281" w:lineRule="auto"/>
        <w:rPr>
          <w:sz w:val="20"/>
          <w:szCs w:val="20"/>
          <w:color w:val="auto"/>
        </w:rPr>
      </w:pPr>
      <w:r>
        <w:rPr>
          <w:rFonts w:ascii="Times New Roman" w:cs="Times New Roman" w:eastAsia="Times New Roman" w:hAnsi="Times New Roman"/>
          <w:sz w:val="17"/>
          <w:szCs w:val="17"/>
          <w:color w:val="auto"/>
        </w:rPr>
        <w:t>The impact of COVID-19 on the economic environment is uncertain and has caused variability in the determination of the incremental borrowing rate and extension option, which have an impact on measurement of lease liabilities and ROU assets.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60"/>
          </w:cols>
          <w:pgMar w:left="320" w:top="119"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Supplemental balance sheet information</w:t>
      </w:r>
    </w:p>
    <w:p>
      <w:pPr>
        <w:spacing w:after="0" w:line="244"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68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60" w:type="dxa"/>
            <w:vAlign w:val="bottom"/>
            <w:tcBorders>
              <w:bottom w:val="single" w:sz="8" w:color="auto"/>
            </w:tcBorders>
          </w:tcPr>
          <w:p>
            <w:pPr>
              <w:spacing w:after="0"/>
              <w:rPr>
                <w:sz w:val="18"/>
                <w:szCs w:val="18"/>
                <w:color w:val="auto"/>
              </w:rPr>
            </w:pPr>
          </w:p>
        </w:tc>
      </w:tr>
      <w:tr>
        <w:trPr>
          <w:trHeight w:val="204"/>
        </w:trPr>
        <w:tc>
          <w:tcPr>
            <w:tcW w:w="6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00" w:type="dxa"/>
            <w:vAlign w:val="bottom"/>
          </w:tcPr>
          <w:p>
            <w:pPr>
              <w:spacing w:after="0"/>
              <w:rPr>
                <w:sz w:val="17"/>
                <w:szCs w:val="17"/>
                <w:color w:val="auto"/>
              </w:rPr>
            </w:pPr>
          </w:p>
        </w:tc>
        <w:tc>
          <w:tcPr>
            <w:tcW w:w="166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91"/>
        </w:trPr>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Lease</w:t>
            </w:r>
          </w:p>
        </w:tc>
        <w:tc>
          <w:tcPr>
            <w:tcW w:w="28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r>
      <w:tr>
        <w:trPr>
          <w:trHeight w:val="208"/>
        </w:trPr>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67,962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76,692</w:t>
            </w:r>
          </w:p>
        </w:tc>
      </w:tr>
      <w:tr>
        <w:trPr>
          <w:trHeight w:val="244"/>
        </w:trPr>
        <w:tc>
          <w:tcPr>
            <w:tcW w:w="68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08"/>
        </w:trPr>
        <w:tc>
          <w:tcPr>
            <w:tcW w:w="68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 Current</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18,548</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18,487</w:t>
            </w:r>
          </w:p>
        </w:tc>
      </w:tr>
      <w:tr>
        <w:trPr>
          <w:trHeight w:val="212"/>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 Non-current</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59,224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68,506</w:t>
            </w:r>
          </w:p>
        </w:tc>
      </w:tr>
      <w:tr>
        <w:trPr>
          <w:trHeight w:val="201"/>
        </w:trPr>
        <w:tc>
          <w:tcPr>
            <w:tcW w:w="68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Total operating lease liabilities</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77,772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86,993</w:t>
            </w:r>
          </w:p>
        </w:tc>
      </w:tr>
      <w:tr>
        <w:trPr>
          <w:trHeight w:val="192"/>
        </w:trPr>
        <w:tc>
          <w:tcPr>
            <w:tcW w:w="6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r>
      <w:tr>
        <w:trPr>
          <w:trHeight w:val="209"/>
        </w:trPr>
        <w:tc>
          <w:tcPr>
            <w:tcW w:w="6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Finance Lease</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1"/>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2,685</w:t>
            </w:r>
          </w:p>
        </w:tc>
      </w:tr>
      <w:tr>
        <w:trPr>
          <w:trHeight w:val="208"/>
        </w:trPr>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Accumulated depreciation</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(2,339)</w:t>
            </w:r>
          </w:p>
        </w:tc>
      </w:tr>
      <w:tr>
        <w:trPr>
          <w:trHeight w:val="203"/>
        </w:trPr>
        <w:tc>
          <w:tcPr>
            <w:tcW w:w="6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346</w:t>
            </w:r>
          </w:p>
        </w:tc>
      </w:tr>
      <w:tr>
        <w:trPr>
          <w:trHeight w:val="192"/>
        </w:trPr>
        <w:tc>
          <w:tcPr>
            <w:tcW w:w="6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lease liabilities - Current</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141</w:t>
            </w:r>
          </w:p>
        </w:tc>
      </w:tr>
      <w:tr>
        <w:trPr>
          <w:trHeight w:val="208"/>
        </w:trPr>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Finance lease liabilities - Non-current</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229</w:t>
            </w:r>
          </w:p>
        </w:tc>
      </w:tr>
      <w:tr>
        <w:trPr>
          <w:trHeight w:val="228"/>
        </w:trPr>
        <w:tc>
          <w:tcPr>
            <w:tcW w:w="68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Total finance lease liabilities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370</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20" w:firstLine="472"/>
        <w:spacing w:after="0" w:line="281" w:lineRule="auto"/>
        <w:rPr>
          <w:sz w:val="20"/>
          <w:szCs w:val="20"/>
          <w:color w:val="auto"/>
        </w:rPr>
      </w:pPr>
      <w:r>
        <w:rPr>
          <w:rFonts w:ascii="Times New Roman" w:cs="Times New Roman" w:eastAsia="Times New Roman" w:hAnsi="Times New Roman"/>
          <w:sz w:val="17"/>
          <w:szCs w:val="17"/>
          <w:color w:val="auto"/>
        </w:rPr>
        <w:t>Finance lease liabilities are presented as a part of “Accrued expenses and other current liabilities” and “Other non-current liabilities,” as applicable, in the Company’s unaudited consolidated balance sheets.</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components of lease cost, which are included in the Company’s unaudited consolidated statements of income, are as follows:</w:t>
      </w:r>
    </w:p>
    <w:p>
      <w:pPr>
        <w:spacing w:after="0" w:line="275" w:lineRule="exact"/>
        <w:rPr>
          <w:sz w:val="20"/>
          <w:szCs w:val="20"/>
          <w:color w:val="auto"/>
        </w:rPr>
      </w:pPr>
    </w:p>
    <w:tbl>
      <w:tblPr>
        <w:tblLayout w:type="fixed"/>
        <w:tblInd w:w="480" w:type="dxa"/>
        <w:tblCellMar>
          <w:top w:w="0" w:type="dxa"/>
          <w:left w:w="0" w:type="dxa"/>
          <w:bottom w:w="0" w:type="dxa"/>
          <w:right w:w="0" w:type="dxa"/>
        </w:tblCellMar>
      </w:tblP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Lease cost</w:t>
            </w:r>
          </w:p>
        </w:tc>
        <w:tc>
          <w:tcPr>
            <w:tcW w:w="340" w:type="dxa"/>
            <w:vAlign w:val="bottom"/>
            <w:tcBorders>
              <w:top w:val="single" w:sz="8" w:color="auto"/>
              <w:bottom w:val="single" w:sz="8" w:color="auto"/>
            </w:tcBorders>
          </w:tcPr>
          <w:p>
            <w:pPr>
              <w:spacing w:after="0"/>
              <w:rPr>
                <w:sz w:val="19"/>
                <w:szCs w:val="19"/>
                <w:color w:val="auto"/>
              </w:rPr>
            </w:pPr>
          </w:p>
        </w:tc>
        <w:tc>
          <w:tcPr>
            <w:tcW w:w="2300" w:type="dxa"/>
            <w:vAlign w:val="bottom"/>
            <w:tcBorders>
              <w:top w:val="single" w:sz="8" w:color="auto"/>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580" w:type="dxa"/>
            <w:vAlign w:val="bottom"/>
            <w:tcBorders>
              <w:top w:val="single" w:sz="8" w:color="auto"/>
              <w:bottom w:val="single" w:sz="8" w:color="auto"/>
            </w:tcBorders>
            <w:gridSpan w:val="4"/>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420" w:type="dxa"/>
            <w:vAlign w:val="bottom"/>
            <w:tcBorders>
              <w:top w:val="single" w:sz="8" w:color="auto"/>
              <w:bottom w:val="single" w:sz="8" w:color="auto"/>
            </w:tcBorders>
          </w:tcPr>
          <w:p>
            <w:pPr>
              <w:spacing w:after="0"/>
              <w:rPr>
                <w:sz w:val="19"/>
                <w:szCs w:val="19"/>
                <w:color w:val="auto"/>
              </w:rPr>
            </w:pPr>
          </w:p>
        </w:tc>
      </w:tr>
      <w:tr>
        <w:trPr>
          <w:trHeight w:val="20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5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20" w:type="dxa"/>
            <w:vAlign w:val="bottom"/>
            <w:tcBorders>
              <w:bottom w:val="single" w:sz="8" w:color="auto"/>
            </w:tcBorders>
            <w:shd w:val="clear" w:color="auto" w:fill="CCEEFF"/>
          </w:tcPr>
          <w:p>
            <w:pPr>
              <w:spacing w:after="0"/>
              <w:rPr>
                <w:sz w:val="17"/>
                <w:szCs w:val="17"/>
                <w:color w:val="auto"/>
              </w:rPr>
            </w:pPr>
          </w:p>
        </w:tc>
      </w:tr>
      <w:tr>
        <w:trPr>
          <w:trHeight w:val="201"/>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7"/>
                <w:szCs w:val="17"/>
                <w:color w:val="auto"/>
              </w:rPr>
            </w:pP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7"/>
                <w:szCs w:val="17"/>
                <w:color w:val="auto"/>
              </w:rPr>
            </w:pPr>
          </w:p>
        </w:tc>
        <w:tc>
          <w:tcPr>
            <w:tcW w:w="96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tcPr>
          <w:p>
            <w:pPr>
              <w:spacing w:after="0"/>
              <w:rPr>
                <w:sz w:val="17"/>
                <w:szCs w:val="17"/>
                <w:color w:val="auto"/>
              </w:rPr>
            </w:pP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0"/>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4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2"/>
        </w:trPr>
        <w:tc>
          <w:tcPr>
            <w:tcW w:w="462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6"/>
                <w:szCs w:val="16"/>
                <w:b w:val="1"/>
                <w:bCs w:val="1"/>
                <w:color w:val="auto"/>
              </w:rPr>
              <w:t>Operating lease</w:t>
            </w:r>
            <w:r>
              <w:rPr>
                <w:rFonts w:ascii="Times New Roman" w:cs="Times New Roman" w:eastAsia="Times New Roman" w:hAnsi="Times New Roman"/>
                <w:sz w:val="20"/>
                <w:szCs w:val="20"/>
                <w:b w:val="1"/>
                <w:bCs w:val="1"/>
                <w:color w:val="auto"/>
                <w:vertAlign w:val="superscript"/>
              </w:rPr>
              <w:t>(a)</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5,962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12,005</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w:t>
            </w:r>
          </w:p>
        </w:tc>
      </w:tr>
      <w:tr>
        <w:trPr>
          <w:trHeight w:val="209"/>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Variable lease costs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1,408</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2,053</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2,529</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w:t>
            </w:r>
          </w:p>
        </w:tc>
      </w:tr>
      <w:tr>
        <w:trPr>
          <w:trHeight w:val="202"/>
        </w:trPr>
        <w:tc>
          <w:tcPr>
            <w:tcW w:w="46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7,370</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8,924</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14,534</w:t>
            </w:r>
          </w:p>
        </w:tc>
        <w:tc>
          <w:tcPr>
            <w:tcW w:w="8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w:t>
            </w:r>
          </w:p>
        </w:tc>
      </w:tr>
      <w:tr>
        <w:trPr>
          <w:trHeight w:val="205"/>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lease cost</w:t>
            </w:r>
          </w:p>
        </w:tc>
        <w:tc>
          <w:tcPr>
            <w:tcW w:w="3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7,434</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8,996</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14,650</w:t>
            </w:r>
          </w:p>
        </w:tc>
        <w:tc>
          <w:tcPr>
            <w:tcW w:w="80" w:type="dxa"/>
            <w:vAlign w:val="bottom"/>
          </w:tcPr>
          <w:p>
            <w:pPr>
              <w:spacing w:after="0"/>
              <w:rPr>
                <w:sz w:val="17"/>
                <w:szCs w:val="17"/>
                <w:color w:val="auto"/>
              </w:rPr>
            </w:pPr>
          </w:p>
        </w:tc>
        <w:tc>
          <w:tcPr>
            <w:tcW w:w="98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17,66</w:t>
            </w:r>
          </w:p>
        </w:tc>
      </w:tr>
      <w:tr>
        <w:trPr>
          <w:trHeight w:val="20"/>
        </w:trPr>
        <w:tc>
          <w:tcPr>
            <w:tcW w:w="4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 Includes short-term leases, which are immaterial.</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Supplemental cash flow and other information related to leases are as follows:</w:t>
      </w:r>
    </w:p>
    <w:p>
      <w:pPr>
        <w:spacing w:after="0" w:line="152"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7260" w:type="dxa"/>
            <w:vAlign w:val="bottom"/>
          </w:tcPr>
          <w:p>
            <w:pPr>
              <w:spacing w:after="0"/>
              <w:rPr>
                <w:sz w:val="18"/>
                <w:szCs w:val="18"/>
                <w:color w:val="auto"/>
              </w:rPr>
            </w:pPr>
          </w:p>
        </w:tc>
        <w:tc>
          <w:tcPr>
            <w:tcW w:w="2580" w:type="dxa"/>
            <w:vAlign w:val="bottom"/>
            <w:tcBorders>
              <w:bottom w:val="single" w:sz="8" w:color="auto"/>
            </w:tcBorders>
            <w:gridSpan w:val="4"/>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00" w:type="dxa"/>
            <w:vAlign w:val="bottom"/>
            <w:tcBorders>
              <w:bottom w:val="single" w:sz="8" w:color="auto"/>
            </w:tcBorders>
          </w:tcPr>
          <w:p>
            <w:pPr>
              <w:spacing w:after="0"/>
              <w:rPr>
                <w:sz w:val="18"/>
                <w:szCs w:val="18"/>
                <w:color w:val="auto"/>
              </w:rPr>
            </w:pPr>
          </w:p>
        </w:tc>
      </w:tr>
      <w:tr>
        <w:trPr>
          <w:trHeight w:val="204"/>
        </w:trPr>
        <w:tc>
          <w:tcPr>
            <w:tcW w:w="7260" w:type="dxa"/>
            <w:vAlign w:val="bottom"/>
          </w:tcPr>
          <w:p>
            <w:pPr>
              <w:spacing w:after="0"/>
              <w:rPr>
                <w:sz w:val="17"/>
                <w:szCs w:val="17"/>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00" w:type="dxa"/>
            <w:vAlign w:val="bottom"/>
            <w:tcBorders>
              <w:bottom w:val="single" w:sz="8" w:color="auto"/>
            </w:tcBorders>
          </w:tcPr>
          <w:p>
            <w:pPr>
              <w:spacing w:after="0"/>
              <w:rPr>
                <w:sz w:val="17"/>
                <w:szCs w:val="17"/>
                <w:color w:val="auto"/>
              </w:rPr>
            </w:pPr>
          </w:p>
        </w:tc>
      </w:tr>
      <w:tr>
        <w:trPr>
          <w:trHeight w:val="189"/>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payments for amounts included in the measurement of lease liabilities :</w:t>
            </w: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12"/>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cash outflows for operating leases</w:t>
            </w:r>
          </w:p>
        </w:tc>
        <w:tc>
          <w:tcPr>
            <w:tcW w:w="106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13,327</w:t>
            </w:r>
          </w:p>
        </w:tc>
      </w:tr>
      <w:tr>
        <w:trPr>
          <w:trHeight w:val="208"/>
        </w:trPr>
        <w:tc>
          <w:tcPr>
            <w:tcW w:w="7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Operating cash outflows for finance leases</w:t>
            </w:r>
          </w:p>
        </w:tc>
        <w:tc>
          <w:tcPr>
            <w:tcW w:w="106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84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2"/>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Financing cash outflows for finance leases</w:t>
            </w:r>
          </w:p>
        </w:tc>
        <w:tc>
          <w:tcPr>
            <w:tcW w:w="106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08"/>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new operating lease liabilities</w:t>
            </w:r>
          </w:p>
        </w:tc>
        <w:tc>
          <w:tcPr>
            <w:tcW w:w="106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3,540</w:t>
            </w:r>
          </w:p>
        </w:tc>
        <w:tc>
          <w:tcPr>
            <w:tcW w:w="100" w:type="dxa"/>
            <w:vAlign w:val="bottom"/>
          </w:tcPr>
          <w:p>
            <w:pPr>
              <w:spacing w:after="0"/>
              <w:rPr>
                <w:sz w:val="18"/>
                <w:szCs w:val="18"/>
                <w:color w:val="auto"/>
              </w:rPr>
            </w:pPr>
          </w:p>
        </w:tc>
        <w:tc>
          <w:tcPr>
            <w:tcW w:w="84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w:t>
            </w:r>
          </w:p>
        </w:tc>
      </w:tr>
      <w:tr>
        <w:trPr>
          <w:trHeight w:val="21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new finance lease liabilities</w:t>
            </w:r>
          </w:p>
        </w:tc>
        <w:tc>
          <w:tcPr>
            <w:tcW w:w="106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400" w:type="dxa"/>
        <w:tblCellMar>
          <w:top w:w="0" w:type="dxa"/>
          <w:left w:w="0" w:type="dxa"/>
          <w:bottom w:w="0" w:type="dxa"/>
          <w:right w:w="0" w:type="dxa"/>
        </w:tblCellMar>
      </w:tblPr>
      <w:tr>
        <w:trPr>
          <w:trHeight w:val="208"/>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35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5"/>
        </w:trPr>
        <w:tc>
          <w:tcPr>
            <w:tcW w:w="5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Finance lease</w:t>
            </w:r>
          </w:p>
        </w:tc>
        <w:tc>
          <w:tcPr>
            <w:tcW w:w="358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7"/>
                <w:szCs w:val="17"/>
                <w:color w:val="auto"/>
              </w:rPr>
              <w:t>2.5 years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years</w:t>
            </w:r>
          </w:p>
        </w:tc>
      </w:tr>
      <w:tr>
        <w:trPr>
          <w:trHeight w:val="223"/>
        </w:trPr>
        <w:tc>
          <w:tcPr>
            <w:tcW w:w="5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Operating lease</w:t>
            </w:r>
          </w:p>
        </w:tc>
        <w:tc>
          <w:tcPr>
            <w:tcW w:w="3580" w:type="dxa"/>
            <w:vAlign w:val="bottom"/>
          </w:tcPr>
          <w:p>
            <w:pPr>
              <w:jc w:val="right"/>
              <w:ind w:right="357"/>
              <w:spacing w:after="0"/>
              <w:rPr>
                <w:sz w:val="20"/>
                <w:szCs w:val="20"/>
                <w:color w:val="auto"/>
              </w:rPr>
            </w:pPr>
            <w:r>
              <w:rPr>
                <w:rFonts w:ascii="Times New Roman" w:cs="Times New Roman" w:eastAsia="Times New Roman" w:hAnsi="Times New Roman"/>
                <w:sz w:val="17"/>
                <w:szCs w:val="17"/>
                <w:color w:val="auto"/>
              </w:rPr>
              <w:t>5.5 years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 years</w:t>
            </w: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3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8"/>
        </w:trPr>
        <w:tc>
          <w:tcPr>
            <w:tcW w:w="5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Finance lease</w:t>
            </w:r>
          </w:p>
        </w:tc>
        <w:tc>
          <w:tcPr>
            <w:tcW w:w="3580" w:type="dxa"/>
            <w:vAlign w:val="bottom"/>
          </w:tcPr>
          <w:p>
            <w:pPr>
              <w:jc w:val="right"/>
              <w:ind w:right="357"/>
              <w:spacing w:after="0"/>
              <w:rPr>
                <w:sz w:val="20"/>
                <w:szCs w:val="20"/>
                <w:color w:val="auto"/>
              </w:rPr>
            </w:pPr>
            <w:r>
              <w:rPr>
                <w:rFonts w:ascii="Times New Roman" w:cs="Times New Roman" w:eastAsia="Times New Roman" w:hAnsi="Times New Roman"/>
                <w:sz w:val="16"/>
                <w:szCs w:val="16"/>
                <w:color w:val="auto"/>
              </w:rPr>
              <w:t>14.5 %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14.1 %</w:t>
            </w:r>
          </w:p>
        </w:tc>
      </w:tr>
      <w:tr>
        <w:trPr>
          <w:trHeight w:val="212"/>
        </w:trPr>
        <w:tc>
          <w:tcPr>
            <w:tcW w:w="5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w:t>
            </w:r>
          </w:p>
        </w:tc>
        <w:tc>
          <w:tcPr>
            <w:tcW w:w="358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6"/>
                <w:szCs w:val="16"/>
                <w:color w:val="auto"/>
              </w:rPr>
              <w:t>7.0 %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r>
    </w:tbl>
    <w:p>
      <w:pPr>
        <w:spacing w:after="0" w:line="139" w:lineRule="exact"/>
        <w:rPr>
          <w:sz w:val="20"/>
          <w:szCs w:val="20"/>
          <w:color w:val="auto"/>
        </w:rPr>
      </w:pPr>
    </w:p>
    <w:p>
      <w:pPr>
        <w:ind w:firstLine="393"/>
        <w:spacing w:after="0" w:line="281" w:lineRule="auto"/>
        <w:rPr>
          <w:sz w:val="20"/>
          <w:szCs w:val="20"/>
          <w:color w:val="auto"/>
        </w:rPr>
      </w:pPr>
      <w:r>
        <w:rPr>
          <w:rFonts w:ascii="Times New Roman" w:cs="Times New Roman" w:eastAsia="Times New Roman" w:hAnsi="Times New Roman"/>
          <w:sz w:val="17"/>
          <w:szCs w:val="17"/>
          <w:color w:val="auto"/>
        </w:rPr>
        <w:t>The Company determines the incremental borrowing rate by adjusting the benchmark reference rates, with appropriate financing spreads applicable to the respective geographies where the leases were entered and lease specific adjustments for the effects of collateral.</w:t>
      </w:r>
    </w:p>
    <w:p>
      <w:pPr>
        <w:spacing w:after="0" w:line="172" w:lineRule="exact"/>
        <w:rPr>
          <w:sz w:val="20"/>
          <w:szCs w:val="20"/>
          <w:color w:val="auto"/>
        </w:rPr>
      </w:pPr>
    </w:p>
    <w:p>
      <w:pPr>
        <w:ind w:firstLine="393"/>
        <w:spacing w:after="0" w:line="281" w:lineRule="auto"/>
        <w:rPr>
          <w:sz w:val="20"/>
          <w:szCs w:val="20"/>
          <w:color w:val="auto"/>
        </w:rPr>
      </w:pPr>
      <w:r>
        <w:rPr>
          <w:rFonts w:ascii="Times New Roman" w:cs="Times New Roman" w:eastAsia="Times New Roman" w:hAnsi="Times New Roman"/>
          <w:sz w:val="17"/>
          <w:szCs w:val="17"/>
          <w:color w:val="auto"/>
        </w:rPr>
        <w:t>The Company modified certain of its operating leases, resulting in an increase of its lease liabilities by $263 and a decrease of its lease liabilities by $226 during the six months ended June 30, 2022 and 2021, respectively, with a corresponding adjustment to ROU assets.</w:t>
      </w:r>
    </w:p>
    <w:p>
      <w:pPr>
        <w:spacing w:after="0" w:line="172" w:lineRule="exact"/>
        <w:rPr>
          <w:sz w:val="20"/>
          <w:szCs w:val="20"/>
          <w:color w:val="auto"/>
        </w:rPr>
      </w:pPr>
    </w:p>
    <w:p>
      <w:pPr>
        <w:ind w:firstLine="393"/>
        <w:spacing w:after="0" w:line="281" w:lineRule="auto"/>
        <w:rPr>
          <w:sz w:val="20"/>
          <w:szCs w:val="20"/>
          <w:color w:val="auto"/>
        </w:rPr>
      </w:pPr>
      <w:r>
        <w:rPr>
          <w:rFonts w:ascii="Times New Roman" w:cs="Times New Roman" w:eastAsia="Times New Roman" w:hAnsi="Times New Roman"/>
          <w:sz w:val="17"/>
          <w:szCs w:val="17"/>
          <w:color w:val="auto"/>
        </w:rPr>
        <w:t>As of June 30, 2022 and December 31, 2021, the Company did not have any significant leases that have not yet commenced but that create significant rights and obligations for the Company.</w:t>
      </w:r>
    </w:p>
    <w:p>
      <w:pPr>
        <w:spacing w:after="0" w:line="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Maturities of lease liabilities as of June 30, 2022 were as follows:</w:t>
      </w:r>
    </w:p>
    <w:p>
      <w:pPr>
        <w:spacing w:after="0" w:line="45"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6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20" w:type="dxa"/>
            <w:vAlign w:val="bottom"/>
          </w:tcPr>
          <w:p>
            <w:pPr>
              <w:spacing w:after="0"/>
              <w:rPr>
                <w:sz w:val="18"/>
                <w:szCs w:val="18"/>
                <w:color w:val="auto"/>
              </w:rPr>
            </w:pPr>
          </w:p>
        </w:tc>
        <w:tc>
          <w:tcPr>
            <w:tcW w:w="152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 (July 1 - December 31)</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11,801</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2027 and thereafter</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24,233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96,097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18,325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77,772</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Maturities of lease liabilities as of December 31, 2021 were as follows:</w:t>
            </w: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64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20" w:type="dxa"/>
            <w:vAlign w:val="bottom"/>
          </w:tcPr>
          <w:p>
            <w:pPr>
              <w:spacing w:after="0"/>
              <w:rPr>
                <w:sz w:val="24"/>
                <w:szCs w:val="24"/>
                <w:color w:val="auto"/>
              </w:rPr>
            </w:pPr>
          </w:p>
        </w:tc>
        <w:tc>
          <w:tcPr>
            <w:tcW w:w="152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24,020</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2027 and thereafter</w:t>
            </w: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25,198</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108,765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21,772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86,993</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Income Taxes</w:t>
      </w:r>
    </w:p>
    <w:p>
      <w:pPr>
        <w:spacing w:after="0" w:line="239" w:lineRule="exact"/>
        <w:rPr>
          <w:sz w:val="20"/>
          <w:szCs w:val="20"/>
          <w:color w:val="auto"/>
        </w:rPr>
      </w:pPr>
    </w:p>
    <w:p>
      <w:pPr>
        <w:jc w:val="both"/>
        <w:ind w:right="100" w:firstLine="393"/>
        <w:spacing w:after="0" w:line="261" w:lineRule="auto"/>
        <w:rPr>
          <w:sz w:val="20"/>
          <w:szCs w:val="20"/>
          <w:color w:val="auto"/>
        </w:rPr>
      </w:pPr>
      <w:r>
        <w:rPr>
          <w:rFonts w:ascii="Times New Roman" w:cs="Times New Roman" w:eastAsia="Times New Roman" w:hAnsi="Times New Roman"/>
          <w:sz w:val="17"/>
          <w:szCs w:val="17"/>
          <w:color w:val="auto"/>
        </w:rPr>
        <w:t>The Company determines the tax provision for interim periods using an estimate of its annual effective tax rate. Each quarter, the Company updates its estimate of annual effective tax rate, and if its estimated tax rate changes, the Company makes a cumulative adjustment. The impact of COVID-19 on the economic environment is uncertain and may change the annual effective tax rate, which could impact tax expense.</w:t>
      </w:r>
    </w:p>
    <w:p>
      <w:pPr>
        <w:spacing w:after="0" w:line="188" w:lineRule="exact"/>
        <w:rPr>
          <w:sz w:val="20"/>
          <w:szCs w:val="20"/>
          <w:color w:val="auto"/>
        </w:rPr>
      </w:pPr>
    </w:p>
    <w:p>
      <w:pPr>
        <w:jc w:val="both"/>
        <w:ind w:right="100" w:firstLine="393"/>
        <w:spacing w:after="0" w:line="261" w:lineRule="auto"/>
        <w:rPr>
          <w:sz w:val="20"/>
          <w:szCs w:val="20"/>
          <w:color w:val="auto"/>
        </w:rPr>
      </w:pPr>
      <w:r>
        <w:rPr>
          <w:rFonts w:ascii="Times New Roman" w:cs="Times New Roman" w:eastAsia="Times New Roman" w:hAnsi="Times New Roman"/>
          <w:sz w:val="17"/>
          <w:szCs w:val="17"/>
          <w:color w:val="auto"/>
        </w:rPr>
        <w:t>The Company’s effective tax rate decreased from 24.0% during the three months ended June 30, 2021 to 23.8% during the three months ended June 30, 2022. The Company recorded income tax expense of $11,125 and $8,865 for the three months ended June 30, 2022 and 2021, respectively. The increase in income tax expense was primarily as a result of higher profit during the three months ended June 30, 2022, compared to the three months ended June 30, 2021.</w:t>
      </w:r>
    </w:p>
    <w:p>
      <w:pPr>
        <w:spacing w:after="0" w:line="188" w:lineRule="exact"/>
        <w:rPr>
          <w:sz w:val="20"/>
          <w:szCs w:val="20"/>
          <w:color w:val="auto"/>
        </w:rPr>
      </w:pPr>
    </w:p>
    <w:p>
      <w:pPr>
        <w:jc w:val="both"/>
        <w:ind w:right="100" w:firstLine="433"/>
        <w:spacing w:after="0" w:line="249" w:lineRule="auto"/>
        <w:rPr>
          <w:sz w:val="20"/>
          <w:szCs w:val="20"/>
          <w:color w:val="auto"/>
        </w:rPr>
      </w:pPr>
      <w:r>
        <w:rPr>
          <w:rFonts w:ascii="Times New Roman" w:cs="Times New Roman" w:eastAsia="Times New Roman" w:hAnsi="Times New Roman"/>
          <w:sz w:val="17"/>
          <w:szCs w:val="17"/>
          <w:color w:val="auto"/>
        </w:rPr>
        <w:t>The Company’s effective tax rate increased from 22.9% during the six months ended June 30, 2021 to 23.7% during the six months ended June 30, 2022. The Company recorded income tax expense of $22,327 and $17,823 for the six months ended June 30, 2022 and 2021, respectively. The increase in income tax expense was primarily as a result of higher profit during the six months ended June 30, 2022, compared to the six months ended June 30, 2021, and an increase in non-deductible expenses, partially offset by higher excess tax benefits during the six months ended June 30, 2022.</w:t>
      </w:r>
    </w:p>
    <w:p>
      <w:pPr>
        <w:spacing w:after="0" w:line="196" w:lineRule="exact"/>
        <w:rPr>
          <w:sz w:val="20"/>
          <w:szCs w:val="20"/>
          <w:color w:val="auto"/>
        </w:rPr>
      </w:pPr>
    </w:p>
    <w:p>
      <w:pPr>
        <w:jc w:val="both"/>
        <w:ind w:right="100" w:firstLine="433"/>
        <w:spacing w:after="0" w:line="249" w:lineRule="auto"/>
        <w:rPr>
          <w:sz w:val="20"/>
          <w:szCs w:val="20"/>
          <w:color w:val="auto"/>
        </w:rPr>
      </w:pPr>
      <w:r>
        <w:rPr>
          <w:rFonts w:ascii="Times New Roman" w:cs="Times New Roman" w:eastAsia="Times New Roman" w:hAnsi="Times New Roman"/>
          <w:sz w:val="17"/>
          <w:szCs w:val="17"/>
          <w:color w:val="auto"/>
        </w:rPr>
        <w:t xml:space="preserve">Effective for taxable years beginning after December 31, 2021, Internal Code Section 174, </w:t>
      </w:r>
      <w:r>
        <w:rPr>
          <w:rFonts w:ascii="Times New Roman" w:cs="Times New Roman" w:eastAsia="Times New Roman" w:hAnsi="Times New Roman"/>
          <w:sz w:val="17"/>
          <w:szCs w:val="17"/>
          <w:i w:val="1"/>
          <w:iCs w:val="1"/>
          <w:color w:val="auto"/>
        </w:rPr>
        <w:t>Amortization of Research and Experimental Expenditures</w:t>
      </w:r>
      <w:r>
        <w:rPr>
          <w:rFonts w:ascii="Times New Roman" w:cs="Times New Roman" w:eastAsia="Times New Roman" w:hAnsi="Times New Roman"/>
          <w:sz w:val="17"/>
          <w:szCs w:val="17"/>
          <w:color w:val="auto"/>
        </w:rPr>
        <w:t>, provides that research and experimentation expenses can no longer be currently deducted, and instead are required to be capitalized. Such capitalized expenses are to be amortized over a period of five and fifteen years for the U.S. and foreign research, respectively. Although this change has no impact on the income statement due to offsetting current tax expense with corresponding deferred tax benefit, the change has resulted in an increase of $13,929 in the current tax liability and deferred tax asset balances, presented under “Income taxes payable, net” and “Deferred tax assets, net,” respectively, in the unaudited consolidated balance sheets as of June 30, 2022.</w:t>
      </w:r>
    </w:p>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Income tax (deferred) recognized in AOCI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40" w:type="dxa"/>
            <w:vAlign w:val="bottom"/>
            <w:shd w:val="clear" w:color="auto" w:fill="CCEEFF"/>
          </w:tcPr>
          <w:p>
            <w:pPr>
              <w:spacing w:after="0"/>
              <w:rPr>
                <w:sz w:val="18"/>
                <w:szCs w:val="18"/>
                <w:color w:val="auto"/>
              </w:rPr>
            </w:pPr>
          </w:p>
        </w:tc>
        <w:tc>
          <w:tcPr>
            <w:tcW w:w="26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980" w:type="dxa"/>
            <w:vAlign w:val="bottom"/>
            <w:tcBorders>
              <w:bottom w:val="single" w:sz="8" w:color="auto"/>
            </w:tcBorders>
            <w:gridSpan w:val="4"/>
            <w:shd w:val="clear" w:color="auto" w:fill="CCEEFF"/>
          </w:tcPr>
          <w:p>
            <w:pPr>
              <w:jc w:val="right"/>
              <w:ind w:right="694"/>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2"/>
        </w:trPr>
        <w:tc>
          <w:tcPr>
            <w:tcW w:w="46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4"/>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taxes benefit / (expense) recognized on:</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Unrealized loss on cash flow hedges</w:t>
            </w:r>
          </w:p>
        </w:tc>
        <w:tc>
          <w:tcPr>
            <w:tcW w:w="940" w:type="dxa"/>
            <w:vAlign w:val="bottom"/>
          </w:tcPr>
          <w:p>
            <w:pPr>
              <w:jc w:val="right"/>
              <w:ind w:right="737"/>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2,801</w:t>
            </w:r>
          </w:p>
        </w:tc>
        <w:tc>
          <w:tcPr>
            <w:tcW w:w="100" w:type="dxa"/>
            <w:vAlign w:val="bottom"/>
          </w:tcPr>
          <w:p>
            <w:pPr>
              <w:spacing w:after="0"/>
              <w:rPr>
                <w:sz w:val="19"/>
                <w:szCs w:val="19"/>
                <w:color w:val="auto"/>
              </w:rPr>
            </w:pP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2,798</w:t>
            </w:r>
          </w:p>
        </w:tc>
        <w:tc>
          <w:tcPr>
            <w:tcW w:w="8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Reclassification adjustment for cash flow hedges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Reclassification adjustment for retirement benefits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loss</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w:t>
            </w: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income tax benefit recognized in AOCI</w:t>
            </w:r>
          </w:p>
        </w:tc>
        <w:tc>
          <w:tcPr>
            <w:tcW w:w="94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7"/>
                <w:szCs w:val="17"/>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3,656</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7"/>
                <w:szCs w:val="17"/>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1,478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4,620</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1,702</w:t>
            </w:r>
          </w:p>
        </w:tc>
      </w:tr>
      <w:tr>
        <w:trPr>
          <w:trHeight w:val="20"/>
        </w:trPr>
        <w:tc>
          <w:tcPr>
            <w:tcW w:w="4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 Stock-Based Compensation</w:t>
      </w: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costs related to the Company’s stock-based compensation plan are included in the unaudited consolidated statements of income:</w:t>
      </w:r>
    </w:p>
    <w:p>
      <w:pPr>
        <w:spacing w:after="0" w:line="126"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290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320" w:type="dxa"/>
            <w:vAlign w:val="bottom"/>
            <w:gridSpan w:val="4"/>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4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revenues</w:t>
            </w:r>
          </w:p>
        </w:tc>
        <w:tc>
          <w:tcPr>
            <w:tcW w:w="84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3,390</w:t>
            </w: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7,906</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6,606</w:t>
            </w:r>
          </w:p>
        </w:tc>
        <w:tc>
          <w:tcPr>
            <w:tcW w:w="0" w:type="dxa"/>
            <w:vAlign w:val="bottom"/>
          </w:tcPr>
          <w:p>
            <w:pPr>
              <w:spacing w:after="0"/>
              <w:rPr>
                <w:sz w:val="1"/>
                <w:szCs w:val="1"/>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84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13,340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10,070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24,564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17,902</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4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5420" w:type="dxa"/>
            <w:vAlign w:val="bottom"/>
          </w:tcPr>
          <w:p>
            <w:pPr>
              <w:ind w:left="20"/>
              <w:spacing w:after="0" w:line="159" w:lineRule="exact"/>
              <w:rPr>
                <w:sz w:val="20"/>
                <w:szCs w:val="20"/>
                <w:color w:val="auto"/>
              </w:rPr>
            </w:pPr>
            <w:r>
              <w:rPr>
                <w:rFonts w:ascii="Times New Roman" w:cs="Times New Roman" w:eastAsia="Times New Roman" w:hAnsi="Times New Roman"/>
                <w:sz w:val="17"/>
                <w:szCs w:val="17"/>
                <w:color w:val="auto"/>
              </w:rPr>
              <w:t>Income tax benefit related to share-based compensation, including excess</w:t>
            </w:r>
          </w:p>
        </w:tc>
        <w:tc>
          <w:tcPr>
            <w:tcW w:w="840" w:type="dxa"/>
            <w:vAlign w:val="bottom"/>
            <w:vMerge w:val="restart"/>
          </w:tcPr>
          <w:p>
            <w:pPr>
              <w:jc w:val="right"/>
              <w:ind w:right="6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3,216</w:t>
            </w:r>
          </w:p>
        </w:tc>
        <w:tc>
          <w:tcPr>
            <w:tcW w:w="100" w:type="dxa"/>
            <w:vAlign w:val="bottom"/>
          </w:tcPr>
          <w:p>
            <w:pPr>
              <w:spacing w:after="0"/>
              <w:rPr>
                <w:sz w:val="13"/>
                <w:szCs w:val="13"/>
                <w:color w:val="auto"/>
              </w:rPr>
            </w:pPr>
          </w:p>
        </w:tc>
        <w:tc>
          <w:tcPr>
            <w:tcW w:w="320" w:type="dxa"/>
            <w:vAlign w:val="bottom"/>
            <w:vMerge w:val="restart"/>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2,074</w:t>
            </w:r>
          </w:p>
        </w:tc>
        <w:tc>
          <w:tcPr>
            <w:tcW w:w="100" w:type="dxa"/>
            <w:vAlign w:val="bottom"/>
          </w:tcPr>
          <w:p>
            <w:pPr>
              <w:spacing w:after="0"/>
              <w:rPr>
                <w:sz w:val="13"/>
                <w:szCs w:val="13"/>
                <w:color w:val="auto"/>
              </w:rPr>
            </w:pPr>
          </w:p>
        </w:tc>
        <w:tc>
          <w:tcPr>
            <w:tcW w:w="300" w:type="dxa"/>
            <w:vAlign w:val="bottom"/>
            <w:vMerge w:val="restart"/>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6,022</w:t>
            </w:r>
          </w:p>
        </w:tc>
        <w:tc>
          <w:tcPr>
            <w:tcW w:w="100" w:type="dxa"/>
            <w:vAlign w:val="bottom"/>
          </w:tcPr>
          <w:p>
            <w:pPr>
              <w:spacing w:after="0"/>
              <w:rPr>
                <w:sz w:val="13"/>
                <w:szCs w:val="13"/>
                <w:color w:val="auto"/>
              </w:rPr>
            </w:pPr>
          </w:p>
        </w:tc>
        <w:tc>
          <w:tcPr>
            <w:tcW w:w="300" w:type="dxa"/>
            <w:vAlign w:val="bottom"/>
            <w:vMerge w:val="restart"/>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4,432</w:t>
            </w:r>
          </w:p>
        </w:tc>
        <w:tc>
          <w:tcPr>
            <w:tcW w:w="0" w:type="dxa"/>
            <w:vAlign w:val="bottom"/>
          </w:tcPr>
          <w:p>
            <w:pPr>
              <w:spacing w:after="0"/>
              <w:rPr>
                <w:sz w:val="1"/>
                <w:szCs w:val="1"/>
                <w:color w:val="auto"/>
              </w:rPr>
            </w:pPr>
          </w:p>
        </w:tc>
      </w:tr>
      <w:tr>
        <w:trPr>
          <w:trHeight w:val="207"/>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benefits</w:t>
            </w:r>
          </w:p>
        </w:tc>
        <w:tc>
          <w:tcPr>
            <w:tcW w:w="84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3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June 30, 2022, the Company had 1,250,148 shares available for grant under the 2018 Omnibus Incentive Plan.</w:t>
      </w:r>
    </w:p>
    <w:p>
      <w:pPr>
        <w:spacing w:after="0" w:line="2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Stock Options</w:t>
      </w:r>
    </w:p>
    <w:p>
      <w:pPr>
        <w:spacing w:after="0" w:line="2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Stock option activity under the Company’s stock-based compensation plans is shown below:</w:t>
      </w:r>
    </w:p>
    <w:p>
      <w:pPr>
        <w:spacing w:after="0" w:line="226"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220" w:type="dxa"/>
            <w:vAlign w:val="bottom"/>
          </w:tcPr>
          <w:p>
            <w:pPr>
              <w:spacing w:after="0"/>
              <w:rPr>
                <w:sz w:val="13"/>
                <w:szCs w:val="13"/>
                <w:color w:val="auto"/>
              </w:rPr>
            </w:pPr>
          </w:p>
        </w:tc>
        <w:tc>
          <w:tcPr>
            <w:tcW w:w="11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0" w:type="dxa"/>
            <w:vAlign w:val="bottom"/>
          </w:tcPr>
          <w:p>
            <w:pPr>
              <w:spacing w:after="0"/>
              <w:rPr>
                <w:sz w:val="1"/>
                <w:szCs w:val="1"/>
                <w:color w:val="auto"/>
              </w:rPr>
            </w:pPr>
          </w:p>
        </w:tc>
      </w:tr>
      <w:tr>
        <w:trPr>
          <w:trHeight w:val="66"/>
        </w:trPr>
        <w:tc>
          <w:tcPr>
            <w:tcW w:w="4840" w:type="dxa"/>
            <w:vAlign w:val="bottom"/>
          </w:tcPr>
          <w:p>
            <w:pPr>
              <w:spacing w:after="0"/>
              <w:rPr>
                <w:sz w:val="5"/>
                <w:szCs w:val="5"/>
                <w:color w:val="auto"/>
              </w:rPr>
            </w:pPr>
          </w:p>
        </w:tc>
        <w:tc>
          <w:tcPr>
            <w:tcW w:w="1360" w:type="dxa"/>
            <w:vAlign w:val="bottom"/>
            <w:gridSpan w:val="2"/>
            <w:vMerge w:val="restart"/>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8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0" w:type="dxa"/>
            <w:vAlign w:val="bottom"/>
          </w:tcPr>
          <w:p>
            <w:pPr>
              <w:spacing w:after="0"/>
              <w:rPr>
                <w:sz w:val="1"/>
                <w:szCs w:val="1"/>
                <w:color w:val="auto"/>
              </w:rPr>
            </w:pPr>
          </w:p>
        </w:tc>
      </w:tr>
      <w:tr>
        <w:trPr>
          <w:trHeight w:val="79"/>
        </w:trPr>
        <w:tc>
          <w:tcPr>
            <w:tcW w:w="484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restart"/>
          </w:tcPr>
          <w:p>
            <w:pPr>
              <w:jc w:val="center"/>
              <w:ind w:right="340"/>
              <w:spacing w:after="0" w:line="133"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20" w:type="dxa"/>
            <w:vAlign w:val="bottom"/>
          </w:tcPr>
          <w:p>
            <w:pPr>
              <w:spacing w:after="0"/>
              <w:rPr>
                <w:sz w:val="6"/>
                <w:szCs w:val="6"/>
                <w:color w:val="auto"/>
              </w:rPr>
            </w:pPr>
          </w:p>
        </w:tc>
        <w:tc>
          <w:tcPr>
            <w:tcW w:w="1160" w:type="dxa"/>
            <w:vAlign w:val="bottom"/>
            <w:gridSpan w:val="2"/>
            <w:vMerge w:val="restart"/>
          </w:tcPr>
          <w:p>
            <w:pPr>
              <w:jc w:val="center"/>
              <w:ind w:right="340"/>
              <w:spacing w:after="0" w:line="133" w:lineRule="exact"/>
              <w:rPr>
                <w:sz w:val="20"/>
                <w:szCs w:val="20"/>
                <w:color w:val="auto"/>
              </w:rPr>
            </w:pPr>
            <w:r>
              <w:rPr>
                <w:rFonts w:ascii="Times New Roman" w:cs="Times New Roman" w:eastAsia="Times New Roman" w:hAnsi="Times New Roman"/>
                <w:sz w:val="14"/>
                <w:szCs w:val="14"/>
                <w:b w:val="1"/>
                <w:bCs w:val="1"/>
                <w:color w:val="auto"/>
                <w:w w:val="97"/>
              </w:rPr>
              <w:t>Intrinsic</w:t>
            </w: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4840" w:type="dxa"/>
            <w:vAlign w:val="bottom"/>
          </w:tcPr>
          <w:p>
            <w:pPr>
              <w:spacing w:after="0"/>
              <w:rPr>
                <w:sz w:val="4"/>
                <w:szCs w:val="4"/>
                <w:color w:val="auto"/>
              </w:rPr>
            </w:pPr>
          </w:p>
        </w:tc>
        <w:tc>
          <w:tcPr>
            <w:tcW w:w="1360" w:type="dxa"/>
            <w:vAlign w:val="bottom"/>
            <w:gridSpan w:val="2"/>
            <w:vMerge w:val="restart"/>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8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0" w:type="dxa"/>
            <w:vAlign w:val="bottom"/>
          </w:tcPr>
          <w:p>
            <w:pPr>
              <w:spacing w:after="0"/>
              <w:rPr>
                <w:sz w:val="1"/>
                <w:szCs w:val="1"/>
                <w:color w:val="auto"/>
              </w:rPr>
            </w:pPr>
          </w:p>
        </w:tc>
      </w:tr>
      <w:tr>
        <w:trPr>
          <w:trHeight w:val="77"/>
        </w:trPr>
        <w:tc>
          <w:tcPr>
            <w:tcW w:w="484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6"/>
                <w:szCs w:val="6"/>
                <w:color w:val="auto"/>
              </w:rPr>
            </w:pPr>
          </w:p>
        </w:tc>
        <w:tc>
          <w:tcPr>
            <w:tcW w:w="11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48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Life (Years)</w:t>
            </w:r>
          </w:p>
        </w:tc>
        <w:tc>
          <w:tcPr>
            <w:tcW w:w="0" w:type="dxa"/>
            <w:vAlign w:val="bottom"/>
          </w:tcPr>
          <w:p>
            <w:pPr>
              <w:spacing w:after="0"/>
              <w:rPr>
                <w:sz w:val="1"/>
                <w:szCs w:val="1"/>
                <w:color w:val="auto"/>
              </w:rPr>
            </w:pPr>
          </w:p>
        </w:tc>
      </w:tr>
      <w:tr>
        <w:trPr>
          <w:trHeight w:val="77"/>
        </w:trPr>
        <w:tc>
          <w:tcPr>
            <w:tcW w:w="48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48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23"/>
        </w:trPr>
        <w:tc>
          <w:tcPr>
            <w:tcW w:w="48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Granted</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Exercised</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48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Forfeited</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June 30, 2022</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Vested and exercisable at June 30, 2022</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40" w:type="dxa"/>
            <w:vAlign w:val="bottom"/>
            <w:vMerge w:val="continue"/>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3,093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27.62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370</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7"/>
                <w:szCs w:val="17"/>
                <w:b w:val="1"/>
                <w:bCs w:val="1"/>
                <w:color w:val="auto"/>
              </w:rPr>
              <w:t>1.5</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Matching Program</w:t>
      </w:r>
    </w:p>
    <w:p>
      <w:pPr>
        <w:spacing w:after="0" w:line="134" w:lineRule="exact"/>
        <w:rPr>
          <w:sz w:val="20"/>
          <w:szCs w:val="20"/>
          <w:color w:val="auto"/>
        </w:rPr>
      </w:pPr>
    </w:p>
    <w:p>
      <w:pPr>
        <w:jc w:val="both"/>
        <w:ind w:firstLine="433"/>
        <w:spacing w:after="0" w:line="251" w:lineRule="auto"/>
        <w:rPr>
          <w:sz w:val="20"/>
          <w:szCs w:val="20"/>
          <w:color w:val="auto"/>
        </w:rPr>
      </w:pPr>
      <w:r>
        <w:rPr>
          <w:rFonts w:ascii="Times New Roman" w:cs="Times New Roman" w:eastAsia="Times New Roman" w:hAnsi="Times New Roman"/>
          <w:sz w:val="17"/>
          <w:szCs w:val="17"/>
          <w:color w:val="auto"/>
        </w:rPr>
        <w:t>Under the Company’s 2018 Omnibus Incentive Plan (the “2018 Plan”), the Company established a share matching program (“SMP”) for executive officers and other specified employees. Under the SMP, the Company agreed to issue a number of restricted stock units equal to the number of newly acquired shares of the Company's common stock. For purposes of the match, “newly acquired shares” includes the employee’s open market purchase of the common stock and crediting of equity awards vesting under any existing stock award plan of the Company as having been purchased by such employees, in an amount between $100 to $500 per such employee.</w:t>
      </w:r>
    </w:p>
    <w:p>
      <w:pPr>
        <w:spacing w:after="0" w:line="79" w:lineRule="exact"/>
        <w:rPr>
          <w:sz w:val="20"/>
          <w:szCs w:val="20"/>
          <w:color w:val="auto"/>
        </w:rPr>
      </w:pPr>
    </w:p>
    <w:p>
      <w:pPr>
        <w:jc w:val="both"/>
        <w:ind w:firstLine="393"/>
        <w:spacing w:after="0" w:line="254" w:lineRule="auto"/>
        <w:rPr>
          <w:sz w:val="20"/>
          <w:szCs w:val="20"/>
          <w:color w:val="auto"/>
        </w:rPr>
      </w:pPr>
      <w:r>
        <w:rPr>
          <w:rFonts w:ascii="Times New Roman" w:cs="Times New Roman" w:eastAsia="Times New Roman" w:hAnsi="Times New Roman"/>
          <w:sz w:val="17"/>
          <w:szCs w:val="17"/>
          <w:color w:val="auto"/>
        </w:rPr>
        <w:t>The matching restricted stock units granted under the SMP will vest in two installments, with one-third to vest on the second anniversary of the grant date and the remaining two-thirds to vest on the third anniversary of the grant date; the newly acquired shares for which the matching restricted stock units were granted must also be held by the employee until such vesting dates. The Company’s underlying common stock issued pursuant to the vesting of the matching restricted stock units will not be marketable or transferable for a period of two years following the vesting date. Certain forfeiture and other conditions apply.</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During the six months ended June 30, 2022, the Company granted 52,636 matching restricted stock units under the SMP.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Stock Units</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Restricted stock unit activity under the Company’s stock-based compensation plans is shown below:</w:t>
      </w:r>
    </w:p>
    <w:p>
      <w:pPr>
        <w:spacing w:after="0" w:line="139"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4500" w:type="dxa"/>
            <w:vAlign w:val="bottom"/>
          </w:tcPr>
          <w:p>
            <w:pPr>
              <w:spacing w:after="0"/>
              <w:rPr>
                <w:sz w:val="16"/>
                <w:szCs w:val="16"/>
                <w:color w:val="auto"/>
              </w:rPr>
            </w:pPr>
          </w:p>
        </w:tc>
        <w:tc>
          <w:tcPr>
            <w:tcW w:w="30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Restricted Stock Units (Others)</w:t>
            </w:r>
          </w:p>
        </w:tc>
        <w:tc>
          <w:tcPr>
            <w:tcW w:w="29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Restricted Stock Units (SMP)</w:t>
            </w:r>
          </w:p>
        </w:tc>
        <w:tc>
          <w:tcPr>
            <w:tcW w:w="0" w:type="dxa"/>
            <w:vAlign w:val="bottom"/>
          </w:tcPr>
          <w:p>
            <w:pPr>
              <w:spacing w:after="0"/>
              <w:rPr>
                <w:sz w:val="1"/>
                <w:szCs w:val="1"/>
                <w:color w:val="auto"/>
              </w:rPr>
            </w:pPr>
          </w:p>
        </w:tc>
      </w:tr>
      <w:tr>
        <w:trPr>
          <w:trHeight w:val="24"/>
        </w:trPr>
        <w:tc>
          <w:tcPr>
            <w:tcW w:w="4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500" w:type="dxa"/>
            <w:vAlign w:val="bottom"/>
          </w:tcPr>
          <w:p>
            <w:pPr>
              <w:spacing w:after="0"/>
              <w:rPr>
                <w:sz w:val="10"/>
                <w:szCs w:val="10"/>
                <w:color w:val="auto"/>
              </w:rPr>
            </w:pPr>
          </w:p>
        </w:tc>
        <w:tc>
          <w:tcPr>
            <w:tcW w:w="1420" w:type="dxa"/>
            <w:vAlign w:val="bottom"/>
            <w:tcBorders>
              <w:top w:val="single" w:sz="8" w:color="auto"/>
            </w:tcBorders>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center"/>
              <w:ind w:right="58"/>
              <w:spacing w:after="0" w:line="126" w:lineRule="exact"/>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100" w:type="dxa"/>
            <w:vAlign w:val="bottom"/>
          </w:tcPr>
          <w:p>
            <w:pPr>
              <w:spacing w:after="0"/>
              <w:rPr>
                <w:sz w:val="10"/>
                <w:szCs w:val="10"/>
                <w:color w:val="auto"/>
              </w:rPr>
            </w:pPr>
          </w:p>
        </w:tc>
        <w:tc>
          <w:tcPr>
            <w:tcW w:w="1400" w:type="dxa"/>
            <w:vAlign w:val="bottom"/>
            <w:tcBorders>
              <w:top w:val="single" w:sz="8" w:color="auto"/>
            </w:tcBorders>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right"/>
              <w:ind w:right="138"/>
              <w:spacing w:after="0" w:line="126"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06"/>
        </w:trPr>
        <w:tc>
          <w:tcPr>
            <w:tcW w:w="450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vMerge w:val="restart"/>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84"/>
        </w:trPr>
        <w:tc>
          <w:tcPr>
            <w:tcW w:w="45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2021*</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982,187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81.61</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45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349,748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120.49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124.76</w:t>
            </w:r>
          </w:p>
        </w:tc>
        <w:tc>
          <w:tcPr>
            <w:tcW w:w="0" w:type="dxa"/>
            <w:vAlign w:val="bottom"/>
          </w:tcPr>
          <w:p>
            <w:pPr>
              <w:spacing w:after="0"/>
              <w:rPr>
                <w:sz w:val="1"/>
                <w:szCs w:val="1"/>
                <w:color w:val="auto"/>
              </w:rPr>
            </w:pPr>
          </w:p>
        </w:tc>
      </w:tr>
      <w:tr>
        <w:trPr>
          <w:trHeight w:val="223"/>
        </w:trPr>
        <w:tc>
          <w:tcPr>
            <w:tcW w:w="4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(298,830)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73.89</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45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Forfeited</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95.11</w:t>
            </w:r>
          </w:p>
        </w:tc>
        <w:tc>
          <w:tcPr>
            <w:tcW w:w="1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4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June 30, 2022*</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997,382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52,636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124.76</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ind w:firstLine="398"/>
        <w:spacing w:after="0" w:line="283" w:lineRule="auto"/>
        <w:tabs>
          <w:tab w:leader="none" w:pos="538" w:val="left"/>
        </w:tabs>
        <w:numPr>
          <w:ilvl w:val="0"/>
          <w:numId w:val="1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As of June 30, 2022 and December 31, 2021 restricted stock units vested for which the underlying common stock is yet to be issued are 174,490 and 162,481 respectively.</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June 30, 2022, unrecognized compensation cost of $85,851 is expected to be expensed over a weighted average period of 2.7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Based Stock Awards</w:t>
      </w:r>
    </w:p>
    <w:p>
      <w:pPr>
        <w:spacing w:after="0" w:line="239" w:lineRule="exact"/>
        <w:rPr>
          <w:sz w:val="20"/>
          <w:szCs w:val="20"/>
          <w:color w:val="auto"/>
        </w:rPr>
      </w:pPr>
    </w:p>
    <w:p>
      <w:pPr>
        <w:jc w:val="both"/>
        <w:ind w:firstLine="393"/>
        <w:spacing w:after="0" w:line="248" w:lineRule="auto"/>
        <w:rPr>
          <w:sz w:val="20"/>
          <w:szCs w:val="20"/>
          <w:color w:val="auto"/>
        </w:rPr>
      </w:pPr>
      <w:r>
        <w:rPr>
          <w:rFonts w:ascii="Times New Roman" w:cs="Times New Roman" w:eastAsia="Times New Roman" w:hAnsi="Times New Roman"/>
          <w:sz w:val="17"/>
          <w:szCs w:val="17"/>
          <w:color w:val="auto"/>
        </w:rPr>
        <w:t>Under the 2018 Plan, the Company grants performance-based restricted stock units (“PRSUs”) to executive officers and other specified employees. During the six months ended June 30, 2022, the Company granted 40% of each award recipient’s equity grants in the form of PRSUs that cliff vest at the end of a three-year period based on an aggregated revenue target for a three year period. The remaining 60% of each award recipient’s equity grants are PRSUs that are based on a market condition that is contingent on the Company’s meeting the total shareholder return relative to a group of peer companies specified under the program measured over a three-year performance period. However, the features of the equity incentive compensation program are subject to change by the Compensation Committee of our Board of Directors. The award recipient may earn up to two hundred percent (200%) of the PRSUs granted based on the actual achievement of targets.</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Performance restricted stock unit activity under the Company’s stock plans is shown below:</w:t>
      </w:r>
    </w:p>
    <w:p>
      <w:pPr>
        <w:spacing w:after="0" w:line="139" w:lineRule="exact"/>
        <w:rPr>
          <w:sz w:val="20"/>
          <w:szCs w:val="20"/>
          <w:color w:val="auto"/>
        </w:rPr>
      </w:pPr>
    </w:p>
    <w:tbl>
      <w:tblPr>
        <w:tblLayout w:type="fixed"/>
        <w:tblInd w:w="60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286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Revenue Based PRSUs</w:t>
            </w:r>
          </w:p>
        </w:tc>
        <w:tc>
          <w:tcPr>
            <w:tcW w:w="274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Market Condition Based PRSUs</w:t>
            </w:r>
          </w:p>
        </w:tc>
        <w:tc>
          <w:tcPr>
            <w:tcW w:w="0" w:type="dxa"/>
            <w:vAlign w:val="bottom"/>
          </w:tcPr>
          <w:p>
            <w:pPr>
              <w:spacing w:after="0"/>
              <w:rPr>
                <w:sz w:val="1"/>
                <w:szCs w:val="1"/>
                <w:color w:val="auto"/>
              </w:rPr>
            </w:pPr>
          </w:p>
        </w:tc>
      </w:tr>
      <w:tr>
        <w:trPr>
          <w:trHeight w:val="24"/>
        </w:trPr>
        <w:tc>
          <w:tcPr>
            <w:tcW w:w="4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840" w:type="dxa"/>
            <w:vAlign w:val="bottom"/>
          </w:tcPr>
          <w:p>
            <w:pPr>
              <w:spacing w:after="0"/>
              <w:rPr>
                <w:sz w:val="10"/>
                <w:szCs w:val="10"/>
                <w:color w:val="auto"/>
              </w:rPr>
            </w:pPr>
          </w:p>
        </w:tc>
        <w:tc>
          <w:tcPr>
            <w:tcW w:w="1420" w:type="dxa"/>
            <w:vAlign w:val="bottom"/>
            <w:tcBorders>
              <w:top w:val="single" w:sz="8" w:color="auto"/>
            </w:tcBorders>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38"/>
              <w:spacing w:after="0" w:line="126" w:lineRule="exact"/>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20" w:type="dxa"/>
            <w:vAlign w:val="bottom"/>
          </w:tcPr>
          <w:p>
            <w:pPr>
              <w:spacing w:after="0"/>
              <w:rPr>
                <w:sz w:val="10"/>
                <w:szCs w:val="10"/>
                <w:color w:val="auto"/>
              </w:rPr>
            </w:pPr>
          </w:p>
        </w:tc>
        <w:tc>
          <w:tcPr>
            <w:tcW w:w="1400" w:type="dxa"/>
            <w:vAlign w:val="bottom"/>
            <w:tcBorders>
              <w:top w:val="single" w:sz="8" w:color="auto"/>
            </w:tcBorders>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right"/>
              <w:ind w:right="38"/>
              <w:spacing w:after="0" w:line="126" w:lineRule="exact"/>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0" w:type="dxa"/>
            <w:vAlign w:val="bottom"/>
          </w:tcPr>
          <w:p>
            <w:pPr>
              <w:spacing w:after="0"/>
              <w:rPr>
                <w:sz w:val="1"/>
                <w:szCs w:val="1"/>
                <w:color w:val="auto"/>
              </w:rPr>
            </w:pPr>
          </w:p>
        </w:tc>
      </w:tr>
      <w:tr>
        <w:trPr>
          <w:trHeight w:val="106"/>
        </w:trPr>
        <w:tc>
          <w:tcPr>
            <w:tcW w:w="484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4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vMerge w:val="restart"/>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84"/>
        </w:trPr>
        <w:tc>
          <w:tcPr>
            <w:tcW w:w="48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2021</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58,864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78.29</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172,042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113.74</w:t>
            </w:r>
          </w:p>
        </w:tc>
        <w:tc>
          <w:tcPr>
            <w:tcW w:w="0" w:type="dxa"/>
            <w:vAlign w:val="bottom"/>
          </w:tcPr>
          <w:p>
            <w:pPr>
              <w:spacing w:after="0"/>
              <w:rPr>
                <w:sz w:val="1"/>
                <w:szCs w:val="1"/>
                <w:color w:val="auto"/>
              </w:rPr>
            </w:pPr>
          </w:p>
        </w:tc>
      </w:tr>
      <w:tr>
        <w:trPr>
          <w:trHeight w:val="223"/>
        </w:trPr>
        <w:tc>
          <w:tcPr>
            <w:tcW w:w="4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155.67</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Vested</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119.98</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155.67</w:t>
            </w:r>
          </w:p>
        </w:tc>
        <w:tc>
          <w:tcPr>
            <w:tcW w:w="0" w:type="dxa"/>
            <w:vAlign w:val="bottom"/>
          </w:tcPr>
          <w:p>
            <w:pPr>
              <w:spacing w:after="0"/>
              <w:rPr>
                <w:sz w:val="1"/>
                <w:szCs w:val="1"/>
                <w:color w:val="auto"/>
              </w:rPr>
            </w:pPr>
          </w:p>
        </w:tc>
      </w:tr>
      <w:tr>
        <w:trPr>
          <w:trHeight w:val="241"/>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June 30, 2022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97.91</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250,515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126.88</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June 30, 2022, unrecognized compensation cost of $29,712 is expected to be expensed over a weighted average period of 2.2 years.</w:t>
      </w:r>
    </w:p>
    <w:p>
      <w:pPr>
        <w:spacing w:after="0" w:line="119" w:lineRule="exact"/>
        <w:rPr>
          <w:sz w:val="20"/>
          <w:szCs w:val="20"/>
          <w:color w:val="auto"/>
        </w:rPr>
      </w:pPr>
    </w:p>
    <w:p>
      <w:pPr>
        <w:jc w:val="both"/>
        <w:ind w:firstLine="433"/>
        <w:spacing w:after="0" w:line="281" w:lineRule="auto"/>
        <w:rPr>
          <w:sz w:val="20"/>
          <w:szCs w:val="20"/>
          <w:color w:val="auto"/>
        </w:rPr>
      </w:pPr>
      <w:r>
        <w:rPr>
          <w:rFonts w:ascii="Times New Roman" w:cs="Times New Roman" w:eastAsia="Times New Roman" w:hAnsi="Times New Roman"/>
          <w:sz w:val="17"/>
          <w:szCs w:val="17"/>
          <w:color w:val="auto"/>
        </w:rPr>
        <w:t>The impact of COVID-19 on the economic environment is uncertain and has caused variability in the estimation of number of performance based restricted stock units that will eventually vest and the related compensation cost to be recognized in the unaudited consolidated statements of income.</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Employee Stock Purchase Plan</w:t>
      </w:r>
    </w:p>
    <w:p>
      <w:pPr>
        <w:spacing w:after="0" w:line="226"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On June 21, 2022, at the annual meeting of stockholders of the Company, the Company’s stockholders approved the ExlService Holdings, Inc. 2022 Employee Stock Purchase Plan (the “2022 ESPP”). The 2022 ESPP was approved, subject to stockholder approval, by the board of directors of the Company on April 13, 2022.</w:t>
      </w:r>
    </w:p>
    <w:p>
      <w:pPr>
        <w:spacing w:after="0" w:line="188" w:lineRule="exact"/>
        <w:rPr>
          <w:sz w:val="20"/>
          <w:szCs w:val="20"/>
          <w:color w:val="auto"/>
        </w:rPr>
      </w:pPr>
    </w:p>
    <w:p>
      <w:pPr>
        <w:jc w:val="both"/>
        <w:ind w:firstLine="393"/>
        <w:spacing w:after="0" w:line="251" w:lineRule="auto"/>
        <w:rPr>
          <w:sz w:val="20"/>
          <w:szCs w:val="20"/>
          <w:color w:val="auto"/>
        </w:rPr>
      </w:pPr>
      <w:r>
        <w:rPr>
          <w:rFonts w:ascii="Times New Roman" w:cs="Times New Roman" w:eastAsia="Times New Roman" w:hAnsi="Times New Roman"/>
          <w:sz w:val="17"/>
          <w:szCs w:val="17"/>
          <w:color w:val="auto"/>
        </w:rPr>
        <w:t>The 2022 ESPP allows eligible employees to purchase the Company’s shares of common stock through payroll deductions at a pre-specified discount to the lower of closing price of the Company’s common shares on the date of offering or the last business day of each purchase interval. The dollar amount of shares of common stock that can be purchased under the 2022 ESPP must not exceed 15% of the participating employee’s compensation during the offering period, subject to a cap of $25 per employee per calendar year. The first offering period under the 2022 ESPP is expected to occur in the fourth quarter of 2022. The Company has registered 800,000 shares of common stock to be reserved for issuance over the term of the 2022 ESPP.</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23. Related Party Disclosures</w:t>
      </w:r>
    </w:p>
    <w:p>
      <w:pPr>
        <w:spacing w:after="0" w:line="252" w:lineRule="exact"/>
        <w:rPr>
          <w:sz w:val="20"/>
          <w:szCs w:val="20"/>
          <w:color w:val="auto"/>
        </w:rPr>
      </w:pPr>
    </w:p>
    <w:p>
      <w:pPr>
        <w:jc w:val="both"/>
        <w:ind w:firstLine="433"/>
        <w:spacing w:after="0" w:line="262" w:lineRule="auto"/>
        <w:rPr>
          <w:sz w:val="20"/>
          <w:szCs w:val="20"/>
          <w:color w:val="auto"/>
        </w:rPr>
      </w:pPr>
      <w:r>
        <w:rPr>
          <w:rFonts w:ascii="Times New Roman" w:cs="Times New Roman" w:eastAsia="Times New Roman" w:hAnsi="Times New Roman"/>
          <w:sz w:val="17"/>
          <w:szCs w:val="17"/>
          <w:color w:val="auto"/>
        </w:rPr>
        <w:t>In April 2022, the Company entered into a service contract for providing analytics services to The Vanguard Group Inc. which beneficially owns more than 10% of the Company’s common stock as of June 30, 2022. During the three and six month periods ended June 30, 2022, the Company recognized revenues, net of $574 related to this service contract. The Company had outstanding accounts receivable, net of $574 related to this service contract as of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24. Commitments and Contingencies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Commitments</w:t>
      </w:r>
    </w:p>
    <w:p>
      <w:pPr>
        <w:spacing w:after="0" w:line="241" w:lineRule="exact"/>
        <w:rPr>
          <w:sz w:val="20"/>
          <w:szCs w:val="20"/>
          <w:color w:val="auto"/>
        </w:rPr>
      </w:pPr>
    </w:p>
    <w:p>
      <w:pPr>
        <w:jc w:val="both"/>
        <w:ind w:firstLine="433"/>
        <w:spacing w:after="0" w:line="281" w:lineRule="auto"/>
        <w:rPr>
          <w:sz w:val="20"/>
          <w:szCs w:val="20"/>
          <w:color w:val="auto"/>
        </w:rPr>
      </w:pPr>
      <w:r>
        <w:rPr>
          <w:rFonts w:ascii="Times New Roman" w:cs="Times New Roman" w:eastAsia="Times New Roman" w:hAnsi="Times New Roman"/>
          <w:sz w:val="17"/>
          <w:szCs w:val="17"/>
          <w:color w:val="auto"/>
        </w:rPr>
        <w:t>At June 30, 2022, the Company had committed to spend approximately $5,600 under agreements to purchase property and equipment. This amount is net of capital advances paid which are recognized in the unaudited consolidated balance sheets as “Capital work in progress” under “Property and equipment, net.”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Commitments</w:t>
      </w:r>
    </w:p>
    <w:p>
      <w:pPr>
        <w:spacing w:after="0" w:line="241" w:lineRule="exact"/>
        <w:rPr>
          <w:sz w:val="20"/>
          <w:szCs w:val="20"/>
          <w:color w:val="auto"/>
        </w:rPr>
      </w:pPr>
    </w:p>
    <w:p>
      <w:pPr>
        <w:jc w:val="both"/>
        <w:ind w:firstLine="393"/>
        <w:spacing w:after="0" w:line="251" w:lineRule="auto"/>
        <w:rPr>
          <w:sz w:val="20"/>
          <w:szCs w:val="20"/>
          <w:color w:val="auto"/>
        </w:rPr>
      </w:pPr>
      <w:r>
        <w:rPr>
          <w:rFonts w:ascii="Times New Roman" w:cs="Times New Roman" w:eastAsia="Times New Roman" w:hAnsi="Times New Roman"/>
          <w:sz w:val="17"/>
          <w:szCs w:val="17"/>
          <w:color w:val="auto"/>
        </w:rPr>
        <w:t>Certain units of the Company’s Indian subsidiaries were established as 100% Export-Oriented units or under the Software Technology Parks of India or Special Economic Zone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 believes, however, that these units have in the past satisfied and will continue to satisfy the required conditions.</w:t>
      </w:r>
    </w:p>
    <w:p>
      <w:pPr>
        <w:spacing w:after="0" w:line="184" w:lineRule="exact"/>
        <w:rPr>
          <w:sz w:val="20"/>
          <w:szCs w:val="20"/>
          <w:color w:val="auto"/>
        </w:rPr>
      </w:pPr>
    </w:p>
    <w:p>
      <w:pPr>
        <w:jc w:val="both"/>
        <w:ind w:firstLine="393"/>
        <w:spacing w:after="0" w:line="254" w:lineRule="auto"/>
        <w:rPr>
          <w:sz w:val="20"/>
          <w:szCs w:val="20"/>
          <w:color w:val="auto"/>
        </w:rPr>
      </w:pPr>
      <w:r>
        <w:rPr>
          <w:rFonts w:ascii="Times New Roman" w:cs="Times New Roman" w:eastAsia="Times New Roman" w:hAnsi="Times New Roman"/>
          <w:sz w:val="17"/>
          <w:szCs w:val="17"/>
          <w:color w:val="auto"/>
        </w:rPr>
        <w:t>The Company’s operations centers in the Philippines are registered with the Philippine Economic Zone Authority. The registration provides the Company with certain fiscal incentives on the import of capital goods and local purchase of services and materials and requires ExlService Philippines, Inc. to meet certain performance investment criteria and certain other criteria, including but not limited to work-from-office norms, etc. The Company believes that these centers have in the past complied with the requirements.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Contingencies</w:t>
      </w:r>
    </w:p>
    <w:p>
      <w:pPr>
        <w:spacing w:after="0" w:line="254" w:lineRule="exact"/>
        <w:rPr>
          <w:sz w:val="20"/>
          <w:szCs w:val="20"/>
          <w:color w:val="auto"/>
        </w:rPr>
      </w:pPr>
    </w:p>
    <w:p>
      <w:pPr>
        <w:jc w:val="both"/>
        <w:ind w:firstLine="393"/>
        <w:spacing w:after="0" w:line="255" w:lineRule="auto"/>
        <w:rPr>
          <w:sz w:val="20"/>
          <w:szCs w:val="20"/>
          <w:color w:val="auto"/>
        </w:rPr>
      </w:pPr>
      <w:r>
        <w:rPr>
          <w:rFonts w:ascii="Times New Roman" w:cs="Times New Roman" w:eastAsia="Times New Roman" w:hAnsi="Times New Roman"/>
          <w:sz w:val="17"/>
          <w:szCs w:val="17"/>
          <w:color w:val="auto"/>
        </w:rPr>
        <w:t>Transfer pricing regulations generally require that any controlled intercompany transactions involving related entities be at an arm’s-length price. Accordingly, the Company determines the appropriate transfer prices for transactions among its related entities on the basis of a detailed functional and economic analysis involving benchmarking against transactions among unrelated entities. Tax authorities have jurisdiction to review transfer pricing results, and in the event that they determine that the transfer price applied was not appropriate, the Company may incur additional tax, interest and penalties. The Company is currently involved in transfer pricing disputes with Indian tax authorities regarding transactions with some of its related entities. In addition, the Company and a U.S. subsidiary are engaged in tax litigation with Indian tax authorities regarding a permanent establishment matter.</w:t>
      </w:r>
    </w:p>
    <w:p>
      <w:pPr>
        <w:spacing w:after="0" w:line="183" w:lineRule="exact"/>
        <w:rPr>
          <w:sz w:val="20"/>
          <w:szCs w:val="20"/>
          <w:color w:val="auto"/>
        </w:rPr>
      </w:pPr>
    </w:p>
    <w:p>
      <w:pPr>
        <w:jc w:val="both"/>
        <w:ind w:firstLine="393"/>
        <w:spacing w:after="0" w:line="249" w:lineRule="auto"/>
        <w:rPr>
          <w:sz w:val="20"/>
          <w:szCs w:val="20"/>
          <w:color w:val="auto"/>
        </w:rPr>
      </w:pPr>
      <w:r>
        <w:rPr>
          <w:rFonts w:ascii="Times New Roman" w:cs="Times New Roman" w:eastAsia="Times New Roman" w:hAnsi="Times New Roman"/>
          <w:sz w:val="17"/>
          <w:szCs w:val="17"/>
          <w:color w:val="auto"/>
        </w:rPr>
        <w:t>The aggregate amount demanded by Indian tax authorities (net of advance payments) from the Company related to its transfer pricing and other corporate tax issues for tax years 2003 to 2019 and its permanent establishment issues for tax years 2003 to 2006 as of June 30, 2022 and December 31, 2021 is $29,474 and $34,276, respectively. The Company has made payments and/or provided bank guarantees against these demands in the amounts of $7,889 and $7,954, respectively. Amounts paid as deposits in respect of such assessments aggregating to $6,212 and $6,172 as of June 30, 2022 and December 31, 2021, respectively, are included in “Other assets” and amounts deposited for bank guarantees aggregating to $1,677 and $1,782 as of June 30, 2022 and December 31, 2021, respectively, are included in “Restricted cash” in the non-current assets section of the Company’s unaudited consolidated balance sheets.</w:t>
      </w:r>
    </w:p>
    <w:p>
      <w:pPr>
        <w:spacing w:after="0" w:line="199" w:lineRule="exact"/>
        <w:rPr>
          <w:sz w:val="20"/>
          <w:szCs w:val="20"/>
          <w:color w:val="auto"/>
        </w:rPr>
      </w:pPr>
    </w:p>
    <w:p>
      <w:pPr>
        <w:jc w:val="both"/>
        <w:ind w:firstLine="393"/>
        <w:spacing w:after="0" w:line="247" w:lineRule="auto"/>
        <w:rPr>
          <w:sz w:val="20"/>
          <w:szCs w:val="20"/>
          <w:color w:val="auto"/>
        </w:rPr>
      </w:pPr>
      <w:r>
        <w:rPr>
          <w:rFonts w:ascii="Times New Roman" w:cs="Times New Roman" w:eastAsia="Times New Roman" w:hAnsi="Times New Roman"/>
          <w:sz w:val="17"/>
          <w:szCs w:val="17"/>
          <w:color w:val="auto"/>
        </w:rPr>
        <w:t>Based on the facts underlying the Company’s position and its experience with these types of assessments, the Company believes that its position will more likely than not be sustained upon final examination by the tax authorities based on its technical merits as of the reporting date and accordingly has not accrued any amount with respect to these matters in its consolidated financial statements. It is possible that the Company might receive similar orders or assessments from tax authorities for subsequent years. Accordingly, even if these disputes are resolved, the Indian tax authorities may still serve additional orders or assessments.</w:t>
      </w:r>
    </w:p>
    <w:p>
      <w:pPr>
        <w:spacing w:after="0" w:line="200" w:lineRule="exact"/>
        <w:rPr>
          <w:sz w:val="20"/>
          <w:szCs w:val="20"/>
          <w:color w:val="auto"/>
        </w:rPr>
      </w:pPr>
    </w:p>
    <w:p>
      <w:pPr>
        <w:spacing w:after="0" w:line="215"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India’s Value Added Tax (“VAT”) regime ended in June 2017 and was replaced by the current Goods and Service Tax (“GST”) regime. Pursuant to reviewing the Company’s annual VAT filings, the Indian tax authorities raised aggregate VAT tax demands for tax years 2015 and 2017 in an amount of $5,788 and $6,387 as of June 30, 2022 and December 31, 2021, respectively. Beginning in the first quarter of 2020, the GST authorities rejected the Company’s refunds claims in an amount of $3,655 and $3,322 as of June 30, 2022 and December 31, 2021, respectively. The Company has filed appeals against these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37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matters and believes that it is more likely than not that upon final examination its position will be sustained based on its technical merits. Accordingly, no provision was recognized as of June 30, 2022 and December 31, 2021.</w:t>
      </w:r>
    </w:p>
    <w:p>
      <w:pPr>
        <w:spacing w:after="0" w:line="172"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One of the Company’s subsidiaries in India is undergoing an assessment with the statutory authority with respect to defined social security contribution plan. The Company believes that the amount demanded by such authority is not meaningful indicator of the potential liabilities of the Company, and that the matter is without merit, and the Company intends to vigorously defend against it. As of the reporting date, based on legal advice, the Company believes it is currently impracticable to reliably estimate the timing and amount of any payments the Company may be required to make in this ongoing matter. The Company will continue to monitor and evaluate its position based on future events and developments in this matter for implications on the Company’s financial statements, if any. The Company’s management does not believe that any ultimate assessment will have a material adverse effect on the Company’s consolidated financial condition, results of operations or cash flows.</w:t>
      </w:r>
    </w:p>
    <w:p>
      <w:pPr>
        <w:spacing w:after="0" w:line="186" w:lineRule="exact"/>
        <w:rPr>
          <w:sz w:val="20"/>
          <w:szCs w:val="20"/>
          <w:color w:val="auto"/>
        </w:rPr>
      </w:pPr>
    </w:p>
    <w:p>
      <w:pPr>
        <w:jc w:val="both"/>
        <w:ind w:firstLine="393"/>
        <w:spacing w:after="0" w:line="248" w:lineRule="auto"/>
        <w:rPr>
          <w:sz w:val="20"/>
          <w:szCs w:val="20"/>
          <w:color w:val="auto"/>
        </w:rPr>
      </w:pPr>
      <w:r>
        <w:rPr>
          <w:rFonts w:ascii="Times New Roman" w:cs="Times New Roman" w:eastAsia="Times New Roman" w:hAnsi="Times New Roman"/>
          <w:sz w:val="17"/>
          <w:szCs w:val="17"/>
          <w:color w:val="auto"/>
        </w:rPr>
        <w:t>In September 2020, the Indian Parliament passed various consolidating labor codes, including the Code on Social Security, 2020 (the “Indian Social Security Code”) which aims to rationalize labor laws. The Indian Social Security Code has implications on defined social security contribution plans, provision of certain benefits or facilities to employees at employer’s costs and post-retirement benefits. Most specifically, it broadens the definition of an employee and wages and liberalizes the definition of “continuous period” for the purpose of determining employee benefits, amongst others. However, the rules for the Indian Social Security Code are yet to be published and the effective date from which these changes are applicable is yet to be notified. The Company will complete its evaluation once the subject rules are notified and will give appropriate impact in the financial statements in the period in which, the Indian Social Security Code becomes effective and the related rules to determine the financial impact are published.</w:t>
      </w:r>
    </w:p>
    <w:p>
      <w:pPr>
        <w:spacing w:after="0" w:line="186" w:lineRule="exact"/>
        <w:rPr>
          <w:sz w:val="20"/>
          <w:szCs w:val="20"/>
          <w:color w:val="auto"/>
        </w:rPr>
      </w:pPr>
    </w:p>
    <w:p>
      <w:pPr>
        <w:jc w:val="both"/>
        <w:ind w:firstLine="393"/>
        <w:spacing w:after="0" w:line="251" w:lineRule="auto"/>
        <w:rPr>
          <w:sz w:val="20"/>
          <w:szCs w:val="20"/>
          <w:color w:val="auto"/>
        </w:rPr>
      </w:pPr>
      <w:r>
        <w:rPr>
          <w:rFonts w:ascii="Times New Roman" w:cs="Times New Roman" w:eastAsia="Times New Roman" w:hAnsi="Times New Roman"/>
          <w:sz w:val="17"/>
          <w:szCs w:val="17"/>
          <w:color w:val="auto"/>
        </w:rPr>
        <w:t>From time to time, the Company, its subsidiaries, and/or their present officers or directors, on individual basis, may be or have been, named as a defendant in litigation matters, including employment-related claims. The plaintiffs in those cases seek damages, including, where applicable, compensatory damages, punitive damages and attorney’s fees. With respect to pending litigation matters as of the reporting date, the Company believes that the damages amounts claimed in such cases are not meaningful indicators of the potential liabilities of the Company, that these matters are without merit, and that the Company intends to vigorously defend each of them.</w:t>
      </w:r>
    </w:p>
    <w:p>
      <w:pPr>
        <w:spacing w:after="0" w:line="197" w:lineRule="exact"/>
        <w:rPr>
          <w:sz w:val="20"/>
          <w:szCs w:val="20"/>
          <w:color w:val="auto"/>
        </w:rPr>
      </w:pPr>
    </w:p>
    <w:p>
      <w:pPr>
        <w:jc w:val="both"/>
        <w:ind w:firstLine="393"/>
        <w:spacing w:after="0" w:line="249" w:lineRule="auto"/>
        <w:rPr>
          <w:sz w:val="20"/>
          <w:szCs w:val="20"/>
          <w:color w:val="auto"/>
        </w:rPr>
      </w:pPr>
      <w:r>
        <w:rPr>
          <w:rFonts w:ascii="Times New Roman" w:cs="Times New Roman" w:eastAsia="Times New Roman" w:hAnsi="Times New Roman"/>
          <w:sz w:val="17"/>
          <w:szCs w:val="17"/>
          <w:color w:val="auto"/>
        </w:rPr>
        <w:t>The outcomes of legal actions are unpredictable and subject to significant uncertainties, and thus it is inherently difficult to determine the likelihood of the Company incurring a material loss or quantification of any such loss. With respect to pending litigation matters as of the reporting date, based on information currently available, including the Company’s assessment of the facts underlying each matter and advice of counsel, the amount or range of reasonably possible losses, if any, cannot be reasonably estimated. Based on the Company’s assessment, including the availability of insurance recoveries, the Company’s management does not believe that currently pending litigation, individually or in aggregate, will have a material adverse effect on the Company’s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50" w:lineRule="exact"/>
        <w:rPr>
          <w:sz w:val="20"/>
          <w:szCs w:val="20"/>
          <w:color w:val="auto"/>
        </w:rPr>
      </w:pPr>
    </w:p>
    <w:p>
      <w:pPr>
        <w:jc w:val="both"/>
        <w:ind w:firstLine="393"/>
        <w:spacing w:after="0" w:line="278"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2021. Some of the statements in the following discussion are forward looking statements.</w:t>
      </w:r>
    </w:p>
    <w:p>
      <w:pPr>
        <w:spacing w:after="0" w:line="186"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i w:val="1"/>
          <w:iCs w:val="1"/>
          <w:color w:val="auto"/>
        </w:rPr>
        <w:t>We have described in this Quarterly Report on Form 10-Q, the impact of the global Coronavirus Disease 2019 pandemic (“COVID-19”) on our financial results for the quarter ended June 30, 2022. See “Cautionary Note Regarding Forward-Looking Statements” below, and Part I, Item 1A, “Risk Factors” in our Annual Report on Form 10-K for the fiscal year ended December 31, 2021 for further information regarding risks and uncertainties relating to COVID-19.</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52" w:lineRule="exact"/>
        <w:rPr>
          <w:sz w:val="20"/>
          <w:szCs w:val="20"/>
          <w:color w:val="auto"/>
        </w:rPr>
      </w:pPr>
    </w:p>
    <w:p>
      <w:pPr>
        <w:jc w:val="both"/>
        <w:ind w:firstLine="393"/>
        <w:spacing w:after="0" w:line="251"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the United States Private Securities Litigation Reform Act of 1995.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Many of the following risks, uncertainties and other factors identified below have been, and will be, amplified by the COVID-19 pandemic (“COVID-19”). These factors include but are not limited to:</w:t>
      </w:r>
    </w:p>
    <w:p>
      <w:pPr>
        <w:spacing w:after="0" w:line="250" w:lineRule="exact"/>
        <w:rPr>
          <w:sz w:val="20"/>
          <w:szCs w:val="20"/>
          <w:color w:val="auto"/>
        </w:rPr>
      </w:pPr>
    </w:p>
    <w:p>
      <w:pPr>
        <w:ind w:left="640" w:right="680" w:hanging="320"/>
        <w:spacing w:after="0" w:line="289" w:lineRule="auto"/>
        <w:tabs>
          <w:tab w:leader="none" w:pos="6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COVID-19 and related response measures on our business, results of operations and financial condition, including the impact of governmental lockdowns and other restrictions on our operations and processes and those of our clients and suppliers;</w:t>
      </w:r>
    </w:p>
    <w:p>
      <w:pPr>
        <w:spacing w:after="0" w:line="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dependence on a limited number of clients in a limited number of industries and our ability to withstand the loss of a significant client;</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public reaction in the U.S. or elsewhere to offshore outsourcing;</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our earnings;</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clients including in a timely manner;</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consummate or integrate strategic acquisitions;</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accurately estimate and/or manage the costs;</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immigration;</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hire and retain enough sufficiently trained employees to support our operations;</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grow our business or effectively manage growth and international operations;</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changes in the senior management team;</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competition in our industry;</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telecommunications or technology disruptions or breaches, natural or other disasters, medical epidemics or pandemics, or acts of violence or war;</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realize the entire book value of goodwill and other intangible assets from acquisitions;</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make accurate estimates and assumptions in connection with the preparation of our consolidated financial statements;</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20" w:hanging="30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legislative and judicial developments, including changes to or the withdrawal of governmental fiscal incentives;</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or decisions regarding repatriation of funds held abroad;</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ability to service debt or obtain additional financing on favorable terms;</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risk fluctuations in the market values of our investment and derivatives portfolios;</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liability arising out of customer contracts;</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technological innovation;</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meet our environmental, social and governance-related goals and targets;</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effects of political and economic conditions globally, particularly in the geographies where we operate;</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operational and information security failures arising as a result of remote work solutions adopted due to COVID-19;</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 security incidents, data breaches, or other unauthorized disclosure of sensitive or confidential client and employee data; and</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outcome of our disputes with the tax authorities, in the geographies where we operate.</w:t>
      </w:r>
    </w:p>
    <w:p>
      <w:pPr>
        <w:spacing w:after="0" w:line="355"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These and other factors are more fully discussed in our Annual Report on Form 10-K for the fiscal year ended December 31, 2021. These and other risks could cause actual results to differ materially from those implied by forward-looking statements in this Quarterly Report on Form 10-Q.</w:t>
      </w:r>
    </w:p>
    <w:p>
      <w:pPr>
        <w:spacing w:after="0" w:line="172"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forward-looking statements made by us in this Quarterly Report on Form 10-Q, or elsewhere, speak only as of the date on which they were made. New risks and uncertainties come up from time to time, and it is impossible for us to predict those events or how they may affect us. We have no obligation to update any forward-looking statements in this Quarterly Report on Form 10-Q after the date of this Quarterly Report on Form 10-Q, except as required by federal securities laws.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Overview</w:t>
      </w:r>
    </w:p>
    <w:p>
      <w:pPr>
        <w:spacing w:after="0" w:line="239"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We are a leading data analytics and digital operations and solutions company that partners with clients to improve business outcomes and unlock growth. By bringing together deep domain expertise with robust data, powerful analytics, cloud, AI and ML, we create agile, scalable solutions and execute complex operations for the world’s leading corporations in industries including insurance, healthcare, banking and financial services, media, and retail, among others.</w:t>
      </w:r>
    </w:p>
    <w:p>
      <w:pPr>
        <w:spacing w:after="0" w:line="20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We deliver data analytics and digital operations and solutions to our clients, driving enterprise-scale business transformation initiatives that leverage our deep expertise in advanced analytics, AI, ML and cloud. We manage and report financial information through our four strategic business units: Insurance, Healthcare, Analytics and Emerging Business, which reflects how management reviews financial information and makes operating decisions.</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Our reportable segments are as follows:</w:t>
      </w:r>
    </w:p>
    <w:p>
      <w:pPr>
        <w:spacing w:after="0" w:line="250" w:lineRule="exact"/>
        <w:rPr>
          <w:sz w:val="20"/>
          <w:szCs w:val="20"/>
          <w:color w:val="auto"/>
        </w:rPr>
      </w:pPr>
    </w:p>
    <w:p>
      <w:pPr>
        <w:ind w:left="620" w:hanging="143"/>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w:t>
      </w:r>
    </w:p>
    <w:p>
      <w:pPr>
        <w:spacing w:after="0" w:line="250" w:lineRule="exact"/>
        <w:rPr>
          <w:rFonts w:ascii="Times New Roman" w:cs="Times New Roman" w:eastAsia="Times New Roman" w:hAnsi="Times New Roman"/>
          <w:sz w:val="17"/>
          <w:szCs w:val="17"/>
          <w:color w:val="auto"/>
        </w:rPr>
      </w:pPr>
    </w:p>
    <w:p>
      <w:pPr>
        <w:ind w:left="620" w:hanging="143"/>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Healthcare,</w:t>
      </w:r>
    </w:p>
    <w:p>
      <w:pPr>
        <w:spacing w:after="0" w:line="250" w:lineRule="exact"/>
        <w:rPr>
          <w:rFonts w:ascii="Times New Roman" w:cs="Times New Roman" w:eastAsia="Times New Roman" w:hAnsi="Times New Roman"/>
          <w:sz w:val="17"/>
          <w:szCs w:val="17"/>
          <w:color w:val="auto"/>
        </w:rPr>
      </w:pPr>
    </w:p>
    <w:p>
      <w:pPr>
        <w:ind w:left="620" w:hanging="143"/>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Analytics, and</w:t>
      </w:r>
    </w:p>
    <w:p>
      <w:pPr>
        <w:spacing w:after="0" w:line="250" w:lineRule="exact"/>
        <w:rPr>
          <w:rFonts w:ascii="Times New Roman" w:cs="Times New Roman" w:eastAsia="Times New Roman" w:hAnsi="Times New Roman"/>
          <w:sz w:val="17"/>
          <w:szCs w:val="17"/>
          <w:color w:val="auto"/>
        </w:rPr>
      </w:pPr>
    </w:p>
    <w:p>
      <w:pPr>
        <w:ind w:left="620" w:hanging="143"/>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Emerging Business.</w:t>
      </w:r>
    </w:p>
    <w:p>
      <w:pPr>
        <w:spacing w:after="0" w:line="250"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Our global delivery network, which includes highly trained industry and process specialists across the United States, Latin America, South Africa, Europe and Asia (primarily India and the Philippines), is a key asset. We have operations centers in India, the United States, the United Kingdom, the Philippines, Bulgaria, Colombia, South Africa, Romania and the Czech Republic.</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393"/>
        <w:spacing w:after="0" w:line="254" w:lineRule="auto"/>
        <w:rPr>
          <w:sz w:val="20"/>
          <w:szCs w:val="20"/>
          <w:color w:val="auto"/>
        </w:rPr>
      </w:pPr>
      <w:r>
        <w:rPr>
          <w:rFonts w:ascii="Times New Roman" w:cs="Times New Roman" w:eastAsia="Times New Roman" w:hAnsi="Times New Roman"/>
          <w:sz w:val="17"/>
          <w:szCs w:val="17"/>
          <w:color w:val="auto"/>
        </w:rPr>
        <w:t>On December 16, 2021, we completed the acquisition of Clairvoyant, a global data, AI, ML, and cloud services firm that helps organizations in their business transformation by maximizing the value of data through actionable insights. It provides data engineering, analytics, AI, ML, product engineering, and cloud-based solutions. The acquisition strengthens our Analytics capabilities by adding additional expertise in data engineering and cloud enablement, further supporting our clients in the insurance, healthcare, banking and financial services, and retail industries.</w:t>
      </w:r>
    </w:p>
    <w:p>
      <w:pPr>
        <w:spacing w:after="0" w:line="195" w:lineRule="exact"/>
        <w:rPr>
          <w:sz w:val="20"/>
          <w:szCs w:val="20"/>
          <w:color w:val="auto"/>
        </w:rPr>
      </w:pPr>
    </w:p>
    <w:p>
      <w:pPr>
        <w:jc w:val="both"/>
        <w:ind w:firstLine="393"/>
        <w:spacing w:after="0" w:line="249" w:lineRule="auto"/>
        <w:rPr>
          <w:sz w:val="20"/>
          <w:szCs w:val="20"/>
          <w:color w:val="auto"/>
        </w:rPr>
      </w:pPr>
      <w:r>
        <w:rPr>
          <w:rFonts w:ascii="Times New Roman" w:cs="Times New Roman" w:eastAsia="Times New Roman" w:hAnsi="Times New Roman"/>
          <w:sz w:val="17"/>
          <w:szCs w:val="17"/>
          <w:color w:val="auto"/>
        </w:rPr>
        <w:t>On June 10, 2022, the Company, through its wholly owned subsidiary ExlService.com, LLC, entered into an Asset Purchase Agreement to acquire certain assets of Inbound, a digital marketing business focused primarily on lead generation in the insurance space. The acquisition expands our digital direct-to-consumer marketing services by adding proven performance marketing, lead generation and customer engagement capabilities to our suite of end-to-end marketing solutions, proprietary data sets and robust consumer analytics.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Continued Impact of COVID-19 on Our Business</w:t>
      </w:r>
    </w:p>
    <w:p>
      <w:pPr>
        <w:spacing w:after="0" w:line="239" w:lineRule="exact"/>
        <w:rPr>
          <w:sz w:val="20"/>
          <w:szCs w:val="20"/>
          <w:color w:val="auto"/>
        </w:rPr>
      </w:pPr>
    </w:p>
    <w:p>
      <w:pPr>
        <w:jc w:val="both"/>
        <w:ind w:firstLine="393"/>
        <w:spacing w:after="0" w:line="252" w:lineRule="auto"/>
        <w:rPr>
          <w:sz w:val="20"/>
          <w:szCs w:val="20"/>
          <w:color w:val="auto"/>
        </w:rPr>
      </w:pPr>
      <w:r>
        <w:rPr>
          <w:rFonts w:ascii="Times New Roman" w:cs="Times New Roman" w:eastAsia="Times New Roman" w:hAnsi="Times New Roman"/>
          <w:sz w:val="17"/>
          <w:szCs w:val="17"/>
          <w:color w:val="auto"/>
        </w:rPr>
        <w:t>Over the course of 2020 and 2021, and continuing into first half of 2022, our clients, contractors, suppliers, and other partners adapted in order to conduct business activities in a COVID-19 environment. As the global economy continued to adapt to the impact of COVID-19, our clients are focused on receiving personalized customer experiences, optimizing costs and supporting resilient operating models. We remain committed to helping our clients adapt and thrive through the ongoing uncertainties caused by COVID-19 and, going forward, to the shifting business environment, which has led to increased demand for digital capabilities.</w:t>
      </w:r>
    </w:p>
    <w:p>
      <w:pPr>
        <w:spacing w:after="0" w:line="399" w:lineRule="exact"/>
        <w:rPr>
          <w:sz w:val="20"/>
          <w:szCs w:val="20"/>
          <w:color w:val="auto"/>
        </w:rPr>
      </w:pPr>
    </w:p>
    <w:p>
      <w:pPr>
        <w:jc w:val="both"/>
        <w:ind w:firstLine="393"/>
        <w:spacing w:after="0" w:line="249" w:lineRule="auto"/>
        <w:rPr>
          <w:sz w:val="20"/>
          <w:szCs w:val="20"/>
          <w:color w:val="auto"/>
        </w:rPr>
      </w:pPr>
      <w:r>
        <w:rPr>
          <w:rFonts w:ascii="Times New Roman" w:cs="Times New Roman" w:eastAsia="Times New Roman" w:hAnsi="Times New Roman"/>
          <w:sz w:val="17"/>
          <w:szCs w:val="17"/>
          <w:color w:val="auto"/>
        </w:rPr>
        <w:t>Our remote working delivery capability steadily improved throughout 2021 and during the first half of 2022. We are able to deliver a significant portion of our clients’ current requirements in a remote work model. In 2022, we implemented a new work standard under which employees in many of our locations, where permitted by local laws and regulations, and where the role and client requirements permit, will have the opportunity to choose between different work arrangements. Subject to local rules and regulations, these work arrangements include working in a hybrid arrangement or a fully remote arrangement, with occasional work from the office when warranted. We have begun to re-open our operation centers and offices globally with a focus on safety and consistency with applicable local regulations.</w:t>
      </w:r>
    </w:p>
    <w:p>
      <w:pPr>
        <w:spacing w:after="0" w:line="199" w:lineRule="exact"/>
        <w:rPr>
          <w:sz w:val="20"/>
          <w:szCs w:val="20"/>
          <w:color w:val="auto"/>
        </w:rPr>
      </w:pPr>
    </w:p>
    <w:p>
      <w:pPr>
        <w:jc w:val="both"/>
        <w:ind w:firstLine="393"/>
        <w:spacing w:after="0" w:line="247" w:lineRule="auto"/>
        <w:rPr>
          <w:sz w:val="20"/>
          <w:szCs w:val="20"/>
          <w:color w:val="auto"/>
        </w:rPr>
      </w:pPr>
      <w:r>
        <w:rPr>
          <w:rFonts w:ascii="Times New Roman" w:cs="Times New Roman" w:eastAsia="Times New Roman" w:hAnsi="Times New Roman"/>
          <w:sz w:val="17"/>
          <w:szCs w:val="17"/>
          <w:color w:val="auto"/>
        </w:rPr>
        <w:t>We continue to focus on effectively managing the unprecedented challenges and uncertainties of the pandemic on a global basis. Management has prioritized the health and safety of our employees and their families: we have adopted numerous safety procedures at our global facilities, including hygiene and disinfection protocols, testing and contact tracing, social distancing and wearing personal protective equipment. We share best practices throughout our facilities globally in order to standardize effective safety guidelines and procedures across our operations. Our safety guidelines and procedures are updated on a regular basis.</w:t>
      </w:r>
    </w:p>
    <w:p>
      <w:pPr>
        <w:spacing w:after="0" w:line="200" w:lineRule="exact"/>
        <w:rPr>
          <w:sz w:val="20"/>
          <w:szCs w:val="20"/>
          <w:color w:val="auto"/>
        </w:rPr>
      </w:pPr>
    </w:p>
    <w:p>
      <w:pPr>
        <w:spacing w:after="0" w:line="202" w:lineRule="exact"/>
        <w:rPr>
          <w:sz w:val="20"/>
          <w:szCs w:val="20"/>
          <w:color w:val="auto"/>
        </w:rPr>
      </w:pPr>
    </w:p>
    <w:p>
      <w:pPr>
        <w:jc w:val="both"/>
        <w:ind w:firstLine="393"/>
        <w:spacing w:after="0" w:line="281" w:lineRule="auto"/>
        <w:rPr>
          <w:sz w:val="20"/>
          <w:szCs w:val="20"/>
          <w:color w:val="auto"/>
        </w:rPr>
      </w:pPr>
      <w:r>
        <w:rPr>
          <w:rFonts w:ascii="Times New Roman" w:cs="Times New Roman" w:eastAsia="Times New Roman" w:hAnsi="Times New Roman"/>
          <w:sz w:val="17"/>
          <w:szCs w:val="17"/>
          <w:color w:val="auto"/>
        </w:rPr>
        <w:t>While many of the COVID-19 related restrictions have been lifted in the geographies in which we operate, there have been periodic resurgences of COVID-19 as a result of new strains and variants, which has led us to monitor our work model and / or implement additional safety procedures.</w:t>
      </w:r>
    </w:p>
    <w:p>
      <w:pPr>
        <w:spacing w:after="0" w:line="172"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We believe our actions have been successful and that the pandemic has not significantly affected our business, results of operations, financial position and cash flow during the first half of 2022, however the impact of the pandemic for the period beyond the first half of 2022 will depend on many evolving and uncertain factors that are not within our control.</w:t>
      </w:r>
    </w:p>
    <w:p>
      <w:pPr>
        <w:spacing w:after="0" w:line="201"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For additional information and risks related to COVID-19, see Part I, Item 1A, “Risk Factors” in our Annual Report on Form 10-K for the fiscal year ended December 31, 2021.</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Revenues</w:t>
      </w:r>
    </w:p>
    <w:p>
      <w:pPr>
        <w:spacing w:after="0" w:line="252"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For the three months ended June 30, 2022, we had revenues of $346.8 million compared to revenues of $275.1 million for the three months ended June 30, 2021, an increase of $71.7 million, or 26.1%. For the six months ended June 30, 2022, we had revenues of $676.0 million compared to revenues of $536.5 million for the six months ended June 30, 2021, an increase of $139.5 million, or 26.0%.</w:t>
      </w:r>
    </w:p>
    <w:p>
      <w:pPr>
        <w:spacing w:after="0" w:line="201"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We serve clients mainly in the United States and the United Kingdom, which generated 86.1% and 9.3%, respectively, of our total revenues for the three months ended June 30, 2022, and 85.5% and 9.5%, respectively, of our total revenues for the three months ended June 30, 2021. For the six months ended June 30, 2022, these two regions generated 85.9% and 9.6%,</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respectively, of our total revenues and 85.7% and 9.5%, respectively, of our total revenues for the six months ended June 30, 2021.</w:t>
      </w:r>
    </w:p>
    <w:p>
      <w:pPr>
        <w:spacing w:after="0" w:line="237" w:lineRule="exact"/>
        <w:rPr>
          <w:sz w:val="20"/>
          <w:szCs w:val="20"/>
          <w:color w:val="auto"/>
        </w:rPr>
      </w:pPr>
    </w:p>
    <w:p>
      <w:pPr>
        <w:jc w:val="both"/>
        <w:ind w:firstLine="393"/>
        <w:spacing w:after="0" w:line="260" w:lineRule="auto"/>
        <w:rPr>
          <w:sz w:val="20"/>
          <w:szCs w:val="20"/>
          <w:color w:val="auto"/>
        </w:rPr>
      </w:pPr>
      <w:r>
        <w:rPr>
          <w:rFonts w:ascii="Times New Roman" w:cs="Times New Roman" w:eastAsia="Times New Roman" w:hAnsi="Times New Roman"/>
          <w:sz w:val="17"/>
          <w:szCs w:val="17"/>
          <w:color w:val="auto"/>
        </w:rPr>
        <w:t>For the three months ended June 30, 2022 and 2021, our total revenues from our top ten clients accounted for 36.2% and 37.8% of our total revenues, respectively. For the six months ended June 30, 2022 and 2021, our total revenues from our top ten clients accounted for 36.2% and 38.5% of our total revenues, respectively. Our revenue concentration with our top clients remains largely consistent year-over-year and we continue to develop relationships with new clients to diversify our client base. We believe that the loss of any of our top ten clients could have a material adverse effect on our financial performance.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w:t>
      </w:r>
    </w:p>
    <w:p>
      <w:pPr>
        <w:spacing w:after="0" w:line="252"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We provide data analytics and digital operations and solutions to our clients. We market our services to our existing and prospective clients through our sales and client management teams, which are aligned by key industry verticals and cross-industry domains such as finance and accounting. Our sales and client management teams operate primarily from the United States, Europe and Australia.</w:t>
      </w:r>
    </w:p>
    <w:p>
      <w:pPr>
        <w:spacing w:after="0" w:line="187"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Digital Operations and Solutions: </w:t>
      </w:r>
      <w:r>
        <w:rPr>
          <w:rFonts w:ascii="Times New Roman" w:cs="Times New Roman" w:eastAsia="Times New Roman" w:hAnsi="Times New Roman"/>
          <w:sz w:val="17"/>
          <w:szCs w:val="17"/>
          <w:color w:val="auto"/>
        </w:rPr>
        <w:t>We provide our clients with a range of digital operations and solutions from our Insurance, Healthcare and Emerging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Business strategic business units, which are focused on solving complex industry problems such as the insurance claims lifecycle and financial transactions processing, and typically involve the use of agile delivery models to implement digital technologies and interventions like hyper-automation, customer experience transformation, advanced automation, robotics, enterprise architecture, end-to-end business function management and transformations. We either administer and manage these functions on an ongoing basis via longer-term arrangements or project work. For a portion of our digital operations and solutions,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 We also provide consulting services related to digital operations and solutions that include industry-specific digital transformational services as well as cross-industry finance and accounting services as part of the Emerging Business strategic business unit.</w:t>
      </w:r>
    </w:p>
    <w:p>
      <w:pPr>
        <w:spacing w:after="0" w:line="206" w:lineRule="exact"/>
        <w:rPr>
          <w:sz w:val="20"/>
          <w:szCs w:val="20"/>
          <w:color w:val="auto"/>
        </w:rPr>
      </w:pPr>
    </w:p>
    <w:p>
      <w:pPr>
        <w:jc w:val="both"/>
        <w:ind w:firstLine="393"/>
        <w:spacing w:after="0" w:line="252" w:lineRule="auto"/>
        <w:rPr>
          <w:sz w:val="20"/>
          <w:szCs w:val="20"/>
          <w:color w:val="auto"/>
        </w:rPr>
      </w:pPr>
      <w:r>
        <w:rPr>
          <w:rFonts w:ascii="Times New Roman" w:cs="Times New Roman" w:eastAsia="Times New Roman" w:hAnsi="Times New Roman"/>
          <w:sz w:val="17"/>
          <w:szCs w:val="17"/>
          <w:color w:val="auto"/>
        </w:rPr>
        <w:t>We provide our services under contracts with our clients, which typically have terms of three or more years, with some being rolling contracts with no end dates. Typically, our clients can terminate these contracts with or without cause and with short notice periods. These contracts provide us with a relatively predictable revenue base for a substantial portion of our digital operations and solutions business. However, we have a long selling cycle for our services and the budget and approval processes of prospective clients make it difficult to predict the timing of entering into definitive agreements with new clients. Similarly, new license sales and implementation projects for our technology service platforms and other software-based services have a long selling cycle, however ongoing annual maintenance and support contracts for existing arrangements provide us with a relatively predictable revenue base.</w:t>
      </w:r>
    </w:p>
    <w:p>
      <w:pPr>
        <w:spacing w:after="0" w:line="211" w:lineRule="exact"/>
        <w:rPr>
          <w:sz w:val="20"/>
          <w:szCs w:val="20"/>
          <w:color w:val="auto"/>
        </w:rPr>
      </w:pPr>
    </w:p>
    <w:p>
      <w:pPr>
        <w:jc w:val="both"/>
        <w:ind w:firstLine="393"/>
        <w:spacing w:after="0" w:line="253" w:lineRule="auto"/>
        <w:rPr>
          <w:sz w:val="20"/>
          <w:szCs w:val="20"/>
          <w:color w:val="auto"/>
        </w:rPr>
      </w:pPr>
      <w:r>
        <w:rPr>
          <w:rFonts w:ascii="Times New Roman" w:cs="Times New Roman" w:eastAsia="Times New Roman" w:hAnsi="Times New Roman"/>
          <w:sz w:val="17"/>
          <w:szCs w:val="17"/>
          <w:color w:val="auto"/>
        </w:rPr>
        <w:t>We charge for our services using various pricing models like time-and-material pricing, full-time-equivalent pricing, transaction-based pricing, outcome-based pricing, subscription-based pricing and other alternative pricing models. Outcome-based pricing arrangements are examples of non-linear pricing models where clients link revenues from platforms and solutions and the services we provide to usage or savings rather than the efforts deployed to provide these services. We continue to observe a shift in the industry pricing models toward transaction-based pricing, outcome-based pricing and other alternative pricing models. We believe this trend will continue and we use such alternative pricing models with some of our current clients and are seeking to move certain other clients from a full-time-equivalent pricing model to a transaction-based or other alternative pricing model. These alternative pricing models place the focus on operating efficiency in order to maintain or improve our gross margins.</w:t>
      </w:r>
    </w:p>
    <w:p>
      <w:pPr>
        <w:spacing w:after="0" w:line="184" w:lineRule="exact"/>
        <w:rPr>
          <w:sz w:val="20"/>
          <w:szCs w:val="20"/>
          <w:color w:val="auto"/>
        </w:rPr>
      </w:pPr>
    </w:p>
    <w:p>
      <w:pPr>
        <w:jc w:val="both"/>
        <w:ind w:firstLine="393"/>
        <w:spacing w:after="0" w:line="251" w:lineRule="auto"/>
        <w:rPr>
          <w:sz w:val="20"/>
          <w:szCs w:val="20"/>
          <w:color w:val="auto"/>
        </w:rPr>
      </w:pPr>
      <w:r>
        <w:rPr>
          <w:rFonts w:ascii="Times New Roman" w:cs="Times New Roman" w:eastAsia="Times New Roman" w:hAnsi="Times New Roman"/>
          <w:sz w:val="17"/>
          <w:szCs w:val="17"/>
          <w:color w:val="auto"/>
        </w:rPr>
        <w:t>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gross margins from the provision of services to such client for each vendor. To the extent our large clients expand their use of multi-vendor relationships and are able to extract more favorable contract terms from other vendors, our gross margins and revenues may be reduced with regard to such clients if we are required to modify the terms of our relationships with such clients to meet competition.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393"/>
        <w:spacing w:after="0" w:line="243" w:lineRule="auto"/>
        <w:rPr>
          <w:sz w:val="20"/>
          <w:szCs w:val="20"/>
          <w:color w:val="auto"/>
        </w:rPr>
      </w:pPr>
      <w:r>
        <w:rPr>
          <w:rFonts w:ascii="Times New Roman" w:cs="Times New Roman" w:eastAsia="Times New Roman" w:hAnsi="Times New Roman"/>
          <w:sz w:val="17"/>
          <w:szCs w:val="17"/>
          <w:i w:val="1"/>
          <w:iCs w:val="1"/>
          <w:color w:val="auto"/>
        </w:rPr>
        <w:t xml:space="preserve">Analytics: </w:t>
      </w:r>
      <w:r>
        <w:rPr>
          <w:rFonts w:ascii="Times New Roman" w:cs="Times New Roman" w:eastAsia="Times New Roman" w:hAnsi="Times New Roman"/>
          <w:sz w:val="17"/>
          <w:szCs w:val="17"/>
          <w:color w:val="auto"/>
        </w:rPr>
        <w:t>Our analytics services focus on driving improved business outcomes for our clients by unlocking deep insights from data and create data driven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solutions across all parts of our clients’ business. We also provide care optimization and reimbursement optimization services, for our clients through our healthcare analytics solutions and services. We also offer integrated solutions to help our clients in cost containment by leveraging technology platforms, customizable and configurable analytics and expertise in healthcare reimbursements to help clients enhance their claim payment accuracy. Our teams deliver predictive and prescriptive analytics in the areas of customer acquisition and lifecycle management, risk underwriting and pricing, operational effectiveness, credit and operational risk monitoring and governance, regulatory reporting, payment integrity and care management and data management. We enhance, modernize and enrich structured and unstructured data and use a spectrum of advanced analytical tools and techniques, including our in-house ML and AI capabilities to create insights and improve decision making for our clients. Our acquisition of Clairvoyant in December 2021 strengthens our analytics capabilities by adding additional expertise in data engineering and cloud enablement, further supporting our clients in the insurance, healthcare, banking and financial services, and retail industries. We actively cross-sell and, where appropriate, integrate our analytics services with other digital operations and solutions as part of a comprehensive offering for our clients. Our projects-based analytics services are cyclical and can be significantly affected by variations in business cycles. In addition, our projects-based analytics services are documented in contracts with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fluctuations and uncertainties in the revenues generated from providing analytics services.</w:t>
      </w:r>
    </w:p>
    <w:p>
      <w:pPr>
        <w:spacing w:after="0" w:line="200" w:lineRule="exact"/>
        <w:rPr>
          <w:sz w:val="20"/>
          <w:szCs w:val="20"/>
          <w:color w:val="auto"/>
        </w:rPr>
      </w:pPr>
    </w:p>
    <w:p>
      <w:pPr>
        <w:spacing w:after="0" w:line="218"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We anticipate that revenues from our analytics services will grow as we expand our service offerings and client base, both organically and through acquisitions.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52"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There have been no significant changes in our critical accounting policies and estimates during the three and six months ended June 30, 2022, as compared to the critical accounting policies and estimates referred in Part II, Item 7, “Management’s Discussion and Analysis of Financial Condition and Results of Operations” under “Critical Accounting Policies and Estimates” and Note 2 - Summary of Significant Accounting Policies to our consolidated financial statements included in our Annual Report on Form 10-K for the fiscal year ended December 31, 2021.</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for the three months and six months ended June 30, 2022 and 2021:</w:t>
      </w:r>
    </w:p>
    <w:p>
      <w:pPr>
        <w:sectPr>
          <w:pgSz w:w="11900" w:h="16838" w:orient="portrait"/>
          <w:cols w:equalWidth="0" w:num="1">
            <w:col w:w="11240"/>
          </w:cols>
          <w:pgMar w:left="320" w:top="355" w:right="339" w:bottom="1440" w:gutter="0" w:footer="0" w:header="0"/>
        </w:sectPr>
      </w:pPr>
    </w:p>
    <w:p>
      <w:pPr>
        <w:spacing w:after="0" w:line="24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37465</wp:posOffset>
            </wp:positionV>
            <wp:extent cx="17735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73555" cy="8255"/>
                    </a:xfrm>
                    <a:prstGeom prst="rect">
                      <a:avLst/>
                    </a:prstGeom>
                    <a:noFill/>
                  </pic:spPr>
                </pic:pic>
              </a:graphicData>
            </a:graphic>
          </wp:anchor>
        </w:drawing>
      </w:r>
    </w:p>
    <w:p>
      <w:pPr>
        <w:spacing w:after="0" w:line="40" w:lineRule="exact"/>
        <w:rPr>
          <w:sz w:val="20"/>
          <w:szCs w:val="20"/>
          <w:color w:val="auto"/>
        </w:rPr>
      </w:pPr>
    </w:p>
    <w:p>
      <w:pPr>
        <w:ind w:left="6020"/>
        <w:spacing w:after="0"/>
        <w:tabs>
          <w:tab w:leader="none" w:pos="746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29845</wp:posOffset>
            </wp:positionV>
            <wp:extent cx="17735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73555" cy="8255"/>
                    </a:xfrm>
                    <a:prstGeom prst="rect">
                      <a:avLst/>
                    </a:prstGeom>
                    <a:noFill/>
                  </pic:spPr>
                </pic:pic>
              </a:graphicData>
            </a:graphic>
          </wp:anchor>
        </w:drawing>
      </w:r>
    </w:p>
    <w:p>
      <w:pPr>
        <w:spacing w:after="0" w:line="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29845</wp:posOffset>
            </wp:positionV>
            <wp:extent cx="18072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07210" cy="8255"/>
                    </a:xfrm>
                    <a:prstGeom prst="rect">
                      <a:avLst/>
                    </a:prstGeom>
                    <a:noFill/>
                  </pic:spPr>
                </pic:pic>
              </a:graphicData>
            </a:graphic>
          </wp:anchor>
        </w:drawing>
      </w:r>
    </w:p>
    <w:p>
      <w:pPr>
        <w:spacing w:after="0" w:line="2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29845</wp:posOffset>
            </wp:positionV>
            <wp:extent cx="18072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07210" cy="8255"/>
                    </a:xfrm>
                    <a:prstGeom prst="rect">
                      <a:avLst/>
                    </a:prstGeom>
                    <a:noFill/>
                  </pic:spPr>
                </pic:pic>
              </a:graphicData>
            </a:graphic>
          </wp:anchor>
        </w:drawing>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47" w:lineRule="exact"/>
        <w:rPr>
          <w:sz w:val="20"/>
          <w:szCs w:val="20"/>
          <w:color w:val="auto"/>
        </w:rPr>
      </w:pPr>
    </w:p>
    <w:p>
      <w:pPr>
        <w:sectPr>
          <w:pgSz w:w="11900" w:h="16838" w:orient="portrait"/>
          <w:cols w:equalWidth="0" w:num="2">
            <w:col w:w="8220" w:space="720"/>
            <w:col w:w="2300"/>
          </w:cols>
          <w:pgMar w:left="320" w:top="35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net</w:t>
            </w: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536.5</w:t>
            </w:r>
          </w:p>
        </w:tc>
      </w:tr>
      <w:tr>
        <w:trPr>
          <w:trHeight w:val="223"/>
        </w:trPr>
        <w:tc>
          <w:tcPr>
            <w:tcW w:w="552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7"/>
                <w:szCs w:val="17"/>
                <w:color w:val="auto"/>
              </w:rPr>
              <w:t>Cost of revenues</w:t>
            </w:r>
            <w:r>
              <w:rPr>
                <w:rFonts w:ascii="Times New Roman" w:cs="Times New Roman" w:eastAsia="Times New Roman" w:hAnsi="Times New Roman"/>
                <w:sz w:val="22"/>
                <w:szCs w:val="22"/>
                <w:color w:val="auto"/>
                <w:vertAlign w:val="superscript"/>
              </w:rPr>
              <w:t>(1)</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428.7</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329.5</w:t>
            </w:r>
          </w:p>
        </w:tc>
      </w:tr>
      <w:tr>
        <w:trPr>
          <w:trHeight w:val="216"/>
        </w:trPr>
        <w:tc>
          <w:tcPr>
            <w:tcW w:w="55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b w:val="1"/>
                <w:bCs w:val="1"/>
                <w:color w:val="auto"/>
              </w:rPr>
              <w:t>Gross profit</w:t>
            </w:r>
            <w:r>
              <w:rPr>
                <w:rFonts w:ascii="Times New Roman" w:cs="Times New Roman" w:eastAsia="Times New Roman" w:hAnsi="Times New Roman"/>
                <w:sz w:val="22"/>
                <w:szCs w:val="22"/>
                <w:b w:val="1"/>
                <w:bCs w:val="1"/>
                <w:color w:val="auto"/>
                <w:vertAlign w:val="superscript"/>
              </w:rPr>
              <w:t>(1)</w:t>
            </w: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125.6</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104.4</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247.3</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207.0</w:t>
            </w:r>
          </w:p>
        </w:tc>
      </w:tr>
      <w:tr>
        <w:trPr>
          <w:trHeight w:val="203"/>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w:t>
            </w: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r>
      <w:tr>
        <w:trPr>
          <w:trHeight w:val="216"/>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78.6</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156.3</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129.6</w:t>
            </w: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91.0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77.4</w:t>
            </w: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exchange gain, net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23"/>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income/(loss), net</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income tax expense and earnings from equity affiliates</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94.0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77.8</w:t>
            </w:r>
          </w:p>
        </w:tc>
      </w:tr>
      <w:tr>
        <w:trPr>
          <w:trHeight w:val="223"/>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w:t>
            </w: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earnings from equity affiliates</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71.7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59.9</w:t>
            </w: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from equity-method investment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ExlService Holdings, Inc. stockholders</w:t>
            </w:r>
          </w:p>
        </w:tc>
        <w:tc>
          <w:tcPr>
            <w:tcW w:w="460" w:type="dxa"/>
            <w:vAlign w:val="bottom"/>
            <w:tcBorders>
              <w:top w:val="single" w:sz="8" w:color="auto"/>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59.9</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(1) Exclusive of depreciation and amortization expense.</w:t>
      </w:r>
    </w:p>
    <w:p>
      <w:pPr>
        <w:spacing w:after="0" w:line="236" w:lineRule="exact"/>
        <w:rPr>
          <w:sz w:val="20"/>
          <w:szCs w:val="20"/>
          <w:color w:val="auto"/>
        </w:rPr>
      </w:pPr>
    </w:p>
    <w:p>
      <w:pPr>
        <w:jc w:val="both"/>
        <w:ind w:firstLine="393"/>
        <w:spacing w:after="0" w:line="271" w:lineRule="auto"/>
        <w:rPr>
          <w:sz w:val="20"/>
          <w:szCs w:val="20"/>
          <w:color w:val="auto"/>
        </w:rPr>
      </w:pPr>
      <w:r>
        <w:rPr>
          <w:rFonts w:ascii="Times New Roman" w:cs="Times New Roman" w:eastAsia="Times New Roman" w:hAnsi="Times New Roman"/>
          <w:sz w:val="16"/>
          <w:szCs w:val="16"/>
          <w:i w:val="1"/>
          <w:iCs w:val="1"/>
          <w:color w:val="auto"/>
        </w:rPr>
        <w:t>Due to rounding, the numbers presented in the tables included in this Part I, Item 2, “Management’s Discussion and Analysis of Financial Condition and Results of Operations” may not add up precisely to the totals provided.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Three Months Ended June 30, 2022 Compared to Three Months Ended June 30, 2021</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2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our revenues by reportable segments:</w:t>
      </w:r>
    </w:p>
    <w:p>
      <w:pPr>
        <w:spacing w:after="0" w:line="61" w:lineRule="exact"/>
        <w:rPr>
          <w:sz w:val="20"/>
          <w:szCs w:val="20"/>
          <w:color w:val="auto"/>
        </w:rPr>
      </w:pPr>
    </w:p>
    <w:tbl>
      <w:tblPr>
        <w:tblLayout w:type="fixed"/>
        <w:tblInd w:w="60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vMerge w:val="restart"/>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4"/>
        </w:trPr>
        <w:tc>
          <w:tcPr>
            <w:tcW w:w="4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4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46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Insurance</w:t>
            </w: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13.8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14.6 %</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Healthcare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Emerging Business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32.4 %</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Analytics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7"/>
                <w:szCs w:val="17"/>
                <w:color w:val="auto"/>
              </w:rPr>
              <w:t>49.9</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44.8 %</w:t>
            </w:r>
          </w:p>
        </w:tc>
        <w:tc>
          <w:tcPr>
            <w:tcW w:w="0" w:type="dxa"/>
            <w:vAlign w:val="bottom"/>
          </w:tcPr>
          <w:p>
            <w:pPr>
              <w:spacing w:after="0"/>
              <w:rPr>
                <w:sz w:val="1"/>
                <w:szCs w:val="1"/>
                <w:color w:val="auto"/>
              </w:rPr>
            </w:pPr>
          </w:p>
        </w:tc>
      </w:tr>
      <w:tr>
        <w:trPr>
          <w:trHeight w:val="241"/>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 net</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71.7</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26.1 %</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Revenues for the three months ended June 30, 2022 were $346.8 million, up $71.7 million, or 26.1%, compared to the three months ended June 30, 2021, driven primarily by revenue growth in Analytics.</w:t>
      </w:r>
    </w:p>
    <w:p>
      <w:pPr>
        <w:spacing w:after="0" w:line="172" w:lineRule="exact"/>
        <w:rPr>
          <w:sz w:val="20"/>
          <w:szCs w:val="20"/>
          <w:color w:val="auto"/>
        </w:rPr>
      </w:pPr>
    </w:p>
    <w:p>
      <w:pPr>
        <w:jc w:val="both"/>
        <w:ind w:firstLine="393"/>
        <w:spacing w:after="0" w:line="260" w:lineRule="auto"/>
        <w:rPr>
          <w:sz w:val="20"/>
          <w:szCs w:val="20"/>
          <w:color w:val="auto"/>
        </w:rPr>
      </w:pPr>
      <w:r>
        <w:rPr>
          <w:rFonts w:ascii="Times New Roman" w:cs="Times New Roman" w:eastAsia="Times New Roman" w:hAnsi="Times New Roman"/>
          <w:sz w:val="17"/>
          <w:szCs w:val="17"/>
          <w:color w:val="auto"/>
        </w:rPr>
        <w:t>Revenue growth in Insurance of $13.8 million was primarily driven by expansion of business from our new and existing clients aggregating to $15.1 million. This was partially offset by a loss of $1.3 million mainly attributable to the depreciation of the Australian dollar, the U.K. pound sterling and the Indian rupee against the U.S. dollar during the three months ended June 30, 2022, compared to the three months ended June 30, 2021. Insurance revenues were 31.3% and 34.4% of our total revenues during the three months ended June 30, 2022 and June 30, 2021, respectively.</w:t>
      </w:r>
    </w:p>
    <w:p>
      <w:pPr>
        <w:spacing w:after="0" w:line="189" w:lineRule="exact"/>
        <w:rPr>
          <w:sz w:val="20"/>
          <w:szCs w:val="20"/>
          <w:color w:val="auto"/>
        </w:rPr>
      </w:pPr>
    </w:p>
    <w:p>
      <w:pPr>
        <w:jc w:val="both"/>
        <w:ind w:firstLine="393"/>
        <w:spacing w:after="0" w:line="279" w:lineRule="auto"/>
        <w:rPr>
          <w:sz w:val="20"/>
          <w:szCs w:val="20"/>
          <w:color w:val="auto"/>
        </w:rPr>
      </w:pPr>
      <w:r>
        <w:rPr>
          <w:rFonts w:ascii="Times New Roman" w:cs="Times New Roman" w:eastAsia="Times New Roman" w:hAnsi="Times New Roman"/>
          <w:sz w:val="17"/>
          <w:szCs w:val="17"/>
          <w:color w:val="auto"/>
        </w:rPr>
        <w:t>Revenue decline in Healthcare of $5.2 million was driven by the ramp-down in certain existing clients aggregating to $5.2 million during the three months ended June 30, 2022. Healthcare revenues were 6.7% and 10.3% of our total revenues during the three months ended June 30, 2022 and June 30, 2021, respectively.</w:t>
      </w:r>
    </w:p>
    <w:p>
      <w:pPr>
        <w:spacing w:after="0" w:line="385" w:lineRule="exact"/>
        <w:rPr>
          <w:sz w:val="20"/>
          <w:szCs w:val="20"/>
          <w:color w:val="auto"/>
        </w:rPr>
      </w:pPr>
    </w:p>
    <w:p>
      <w:pPr>
        <w:jc w:val="both"/>
        <w:ind w:firstLine="393"/>
        <w:spacing w:after="0" w:line="260" w:lineRule="auto"/>
        <w:rPr>
          <w:sz w:val="20"/>
          <w:szCs w:val="20"/>
          <w:color w:val="auto"/>
        </w:rPr>
      </w:pPr>
      <w:r>
        <w:rPr>
          <w:rFonts w:ascii="Times New Roman" w:cs="Times New Roman" w:eastAsia="Times New Roman" w:hAnsi="Times New Roman"/>
          <w:sz w:val="17"/>
          <w:szCs w:val="17"/>
          <w:color w:val="auto"/>
        </w:rPr>
        <w:t>Revenue growth in Emerging Business of $13.2 million was primarily driven by expansion of business from our new and existing clients aggregating to $14.7 million. This was partially offset by a loss of $1.5 million mainly attributable to the depreciation of the U.K. pound sterling, the Indian rupee and the Euro against the U.S. dollar during the three months ended June 30, 2022, compared to the three months ended June 30, 2021. Emerging Business revenues were 15.5% and 14.8% of our total revenues during the three months ended June 30, 2022 and June 30, 2021, respectively.</w:t>
      </w:r>
    </w:p>
    <w:p>
      <w:pPr>
        <w:spacing w:after="0" w:line="202" w:lineRule="exact"/>
        <w:rPr>
          <w:sz w:val="20"/>
          <w:szCs w:val="20"/>
          <w:color w:val="auto"/>
        </w:rPr>
      </w:pPr>
    </w:p>
    <w:p>
      <w:pPr>
        <w:jc w:val="both"/>
        <w:ind w:firstLine="393"/>
        <w:spacing w:after="0" w:line="269" w:lineRule="auto"/>
        <w:rPr>
          <w:sz w:val="20"/>
          <w:szCs w:val="20"/>
          <w:color w:val="auto"/>
        </w:rPr>
      </w:pPr>
      <w:r>
        <w:rPr>
          <w:rFonts w:ascii="Times New Roman" w:cs="Times New Roman" w:eastAsia="Times New Roman" w:hAnsi="Times New Roman"/>
          <w:sz w:val="17"/>
          <w:szCs w:val="17"/>
          <w:color w:val="auto"/>
        </w:rPr>
        <w:t>Revenue growth in Analytics of $49.9 million was attributable to the higher volumes in our annuity and project-based engagements from our new and existing clients of $40.2 million, and contributions from our acquisition of Clairvoyant in December 2021 of $11.0 million. This was partially offset by a loss of $1.3 million mainly attributable to the depreciation of the U.K. pound sterling against the U.S. dollar during the three months ended June 30, 2022, compared to the three months ended June 30, 2021. Analytics revenues were 46.5% and 40.5% of our total revenues during the three months ended June 30, 2022 and June 30,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 and Gross Margin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following table sets forth cost of revenues and gross margin of our reportable segments:</w:t>
      </w:r>
    </w:p>
    <w:p>
      <w:pPr>
        <w:spacing w:after="0" w:line="261"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1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920" w:type="dxa"/>
            <w:vAlign w:val="bottom"/>
          </w:tcPr>
          <w:p>
            <w:pPr>
              <w:spacing w:after="0"/>
              <w:rPr>
                <w:sz w:val="2"/>
                <w:szCs w:val="2"/>
                <w:color w:val="auto"/>
              </w:rPr>
            </w:pPr>
          </w:p>
        </w:tc>
        <w:tc>
          <w:tcPr>
            <w:tcW w:w="2720" w:type="dxa"/>
            <w:vAlign w:val="bottom"/>
            <w:tcBorders>
              <w:bottom w:val="single" w:sz="8" w:color="auto"/>
            </w:tcBorders>
            <w:gridSpan w:val="6"/>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tcBorders>
              <w:bottom w:val="single" w:sz="8" w:color="auto"/>
            </w:tcBorders>
            <w:gridSpan w:val="4"/>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920" w:type="dxa"/>
            <w:vAlign w:val="bottom"/>
          </w:tcPr>
          <w:p>
            <w:pPr>
              <w:spacing w:after="0"/>
              <w:rPr>
                <w:sz w:val="15"/>
                <w:szCs w:val="15"/>
                <w:color w:val="auto"/>
              </w:rPr>
            </w:pPr>
          </w:p>
        </w:tc>
        <w:tc>
          <w:tcPr>
            <w:tcW w:w="272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5"/>
                <w:szCs w:val="15"/>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300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8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960" w:type="dxa"/>
            <w:vAlign w:val="bottom"/>
            <w:tcBorders>
              <w:top w:val="single" w:sz="8" w:color="auto"/>
            </w:tcBorders>
            <w:vMerge w:val="restart"/>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380" w:type="dxa"/>
            <w:vAlign w:val="bottom"/>
            <w:tcBorders>
              <w:top w:val="single" w:sz="8" w:color="auto"/>
            </w:tcBorders>
            <w:vMerge w:val="restart"/>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vMerge w:val="restart"/>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9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1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920" w:type="dxa"/>
            <w:vAlign w:val="bottom"/>
          </w:tcPr>
          <w:p>
            <w:pPr>
              <w:spacing w:after="0"/>
              <w:rPr>
                <w:sz w:val="15"/>
                <w:szCs w:val="15"/>
                <w:color w:val="auto"/>
              </w:rPr>
            </w:pPr>
          </w:p>
        </w:tc>
        <w:tc>
          <w:tcPr>
            <w:tcW w:w="2600" w:type="dxa"/>
            <w:vAlign w:val="bottom"/>
            <w:tcBorders>
              <w:top w:val="single" w:sz="8" w:color="auto"/>
            </w:tcBorders>
            <w:gridSpan w:val="5"/>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Insurance</w:t>
            </w:r>
          </w:p>
        </w:tc>
        <w:tc>
          <w:tcPr>
            <w:tcW w:w="76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Healthcare</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37.4 %</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0" w:type="dxa"/>
            <w:vAlign w:val="bottom"/>
          </w:tcPr>
          <w:p>
            <w:pPr>
              <w:spacing w:after="0"/>
              <w:rPr>
                <w:sz w:val="1"/>
                <w:szCs w:val="1"/>
                <w:color w:val="auto"/>
              </w:rPr>
            </w:pPr>
          </w:p>
        </w:tc>
      </w:tr>
      <w:tr>
        <w:trPr>
          <w:trHeight w:val="223"/>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Emerging Business</w:t>
            </w: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23"/>
        </w:trPr>
        <w:tc>
          <w:tcPr>
            <w:tcW w:w="1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Analytics</w:t>
            </w: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101.7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42.6 %</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37.0 %</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36.0 %</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41"/>
        </w:trPr>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760" w:type="dxa"/>
            <w:vAlign w:val="bottom"/>
            <w:tcBorders>
              <w:bottom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221.2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29.6 %</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36.2 %</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37.9 %</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For the three months ended June 30, 2022, cost of revenues was $221.2 million compared to $170.7 million for the three months ended June 30, 2021, an increase of $50.5 million, or 29.6%. Our gross margin for the three months ended June 30, 2022 was 36.2%, compared to 37.9% for the three months ended June 30, 2021, a decrease of 170 basis points (“bps”).</w:t>
      </w:r>
    </w:p>
    <w:p>
      <w:pPr>
        <w:spacing w:after="0" w:line="188" w:lineRule="exact"/>
        <w:rPr>
          <w:sz w:val="20"/>
          <w:szCs w:val="20"/>
          <w:color w:val="auto"/>
        </w:rPr>
      </w:pPr>
    </w:p>
    <w:p>
      <w:pPr>
        <w:jc w:val="both"/>
        <w:ind w:firstLine="393"/>
        <w:spacing w:after="0" w:line="246" w:lineRule="auto"/>
        <w:rPr>
          <w:sz w:val="20"/>
          <w:szCs w:val="20"/>
          <w:color w:val="auto"/>
        </w:rPr>
      </w:pPr>
      <w:r>
        <w:rPr>
          <w:rFonts w:ascii="Times New Roman" w:cs="Times New Roman" w:eastAsia="Times New Roman" w:hAnsi="Times New Roman"/>
          <w:sz w:val="17"/>
          <w:szCs w:val="17"/>
          <w:color w:val="auto"/>
        </w:rPr>
        <w:t>The increase in cost of revenues in Insurance of $11.2 million during the three months ended June 30, 2022 was primarily due to increases in employee-related costs of $11.3 million on account of higher headcount, performance incentives and wage inflation, and higher technology costs of $1.6 million on account of increased leverage of the remote work model, partially offset by foreign exchange gain, net of hedging of $1.7 million. Gross margin in Insurance decreased by 240 bps during the three months ended June 30, 2022, compared to the three months ended June 30, 2021, primarily due to increases in employee-related costs and lower margins in certain new clients due to ramp-ups during the three months ended June 30, 2022, compared to the three months ended June 30, 2021.</w:t>
      </w:r>
    </w:p>
    <w:p>
      <w:pPr>
        <w:spacing w:after="0" w:line="200" w:lineRule="exact"/>
        <w:rPr>
          <w:sz w:val="20"/>
          <w:szCs w:val="20"/>
          <w:color w:val="auto"/>
        </w:rPr>
      </w:pPr>
    </w:p>
    <w:p>
      <w:pPr>
        <w:spacing w:after="0" w:line="201" w:lineRule="exact"/>
        <w:rPr>
          <w:sz w:val="20"/>
          <w:szCs w:val="20"/>
          <w:color w:val="auto"/>
        </w:rPr>
      </w:pPr>
    </w:p>
    <w:p>
      <w:pPr>
        <w:jc w:val="both"/>
        <w:ind w:firstLine="393"/>
        <w:spacing w:after="0" w:line="254" w:lineRule="auto"/>
        <w:rPr>
          <w:sz w:val="20"/>
          <w:szCs w:val="20"/>
          <w:color w:val="auto"/>
        </w:rPr>
      </w:pPr>
      <w:r>
        <w:rPr>
          <w:rFonts w:ascii="Times New Roman" w:cs="Times New Roman" w:eastAsia="Times New Roman" w:hAnsi="Times New Roman"/>
          <w:sz w:val="17"/>
          <w:szCs w:val="17"/>
          <w:color w:val="auto"/>
        </w:rPr>
        <w:t>The cost of revenues in Healthcare remained unchanged at $17.7 million during the three months ended June 30, 2022 and 2021. This was driven by increases in employee-related costs of $0.4 million on account of higher headcount, performance incentives and wage inflation, offset by lower travel costs and optimization of office space aggregating to $0.4 million. Gross margin in Healthcare decreased by 1,420 bps during the three months ended June 30, 2022, compared to the three months ended June 30, 2021, primarily due to lower revenues.</w:t>
      </w:r>
    </w:p>
    <w:p>
      <w:pPr>
        <w:spacing w:after="0" w:line="208" w:lineRule="exact"/>
        <w:rPr>
          <w:sz w:val="20"/>
          <w:szCs w:val="20"/>
          <w:color w:val="auto"/>
        </w:rPr>
      </w:pPr>
    </w:p>
    <w:p>
      <w:pPr>
        <w:jc w:val="both"/>
        <w:ind w:firstLine="393"/>
        <w:spacing w:after="0" w:line="255" w:lineRule="auto"/>
        <w:rPr>
          <w:sz w:val="20"/>
          <w:szCs w:val="20"/>
          <w:color w:val="auto"/>
        </w:rPr>
      </w:pPr>
      <w:r>
        <w:rPr>
          <w:rFonts w:ascii="Times New Roman" w:cs="Times New Roman" w:eastAsia="Times New Roman" w:hAnsi="Times New Roman"/>
          <w:sz w:val="17"/>
          <w:szCs w:val="17"/>
          <w:color w:val="auto"/>
        </w:rPr>
        <w:t>The increase in cost of revenues in Emerging Business of $8.9 million during the three months ended June 30, 2022 was primarily due to increases in employee-related costs of $9.2 million on account of higher headcount, performance incentives and wage inflation, and higher technology costs of $1.0 million on account of increased leverage of the remote work model, partially offset by foreign exchange gain, net of hedging of $1.3 million. Gross margin in Emerging Business decreased by 300 bps during the three months ended June 30, 2022, compared to the three months ended June 30, 2021, primarily due to lower margins associated with ramp-ups in certain new clients during the three months ended June 30, 2022, compared to the three months ended June 30, 2021.</w:t>
      </w:r>
    </w:p>
    <w:p>
      <w:pPr>
        <w:spacing w:after="0" w:line="194" w:lineRule="exact"/>
        <w:rPr>
          <w:sz w:val="20"/>
          <w:szCs w:val="20"/>
          <w:color w:val="auto"/>
        </w:rPr>
      </w:pPr>
    </w:p>
    <w:p>
      <w:pPr>
        <w:jc w:val="both"/>
        <w:ind w:firstLine="393"/>
        <w:spacing w:after="0" w:line="246" w:lineRule="auto"/>
        <w:rPr>
          <w:sz w:val="20"/>
          <w:szCs w:val="20"/>
          <w:color w:val="auto"/>
        </w:rPr>
      </w:pPr>
      <w:r>
        <w:rPr>
          <w:rFonts w:ascii="Times New Roman" w:cs="Times New Roman" w:eastAsia="Times New Roman" w:hAnsi="Times New Roman"/>
          <w:sz w:val="17"/>
          <w:szCs w:val="17"/>
          <w:color w:val="auto"/>
        </w:rPr>
        <w:t>The increase in cost of revenues in Analytics of $30.4 million during the three months ended June 30, 2022 was primarily due to increases in employee-related costs of $27.7 million on account of higher headcount, performance incentives and wage inflation, including incremental cost related to our acquisition of Clairvoyant in December 2021. The remaining increase was attributable to higher travel costs of $1.1 million, higher technology costs of $0.7 million on account of increased leverage of the remote work model, and higher other operating costs of $3.2 million. This was partially offset by foreign exchange gain, net of hedging of $2.3 million. Gross margin in Analytics increased by 100 bps during the three months ended June 30, 2022, compared to the three months ended June 30, 2021, primarily due to higher revenues during the three months ended June 30, 2022, compared to the three months ended June 30, 2021.</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(“SG&amp;A”) Expenses.</w:t>
      </w:r>
    </w:p>
    <w:p>
      <w:pPr>
        <w:spacing w:after="0" w:line="196"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2420" w:type="dxa"/>
            <w:vAlign w:val="bottom"/>
            <w:gridSpan w:val="4"/>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w w:val="98"/>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6"/>
        </w:trPr>
        <w:tc>
          <w:tcPr>
            <w:tcW w:w="5140" w:type="dxa"/>
            <w:vAlign w:val="bottom"/>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42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99"/>
        </w:trPr>
        <w:tc>
          <w:tcPr>
            <w:tcW w:w="514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51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40" w:type="dxa"/>
            <w:vAlign w:val="bottom"/>
            <w:gridSpan w:val="3"/>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88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40.5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36.5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10.8 %</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21.6 %</w:t>
            </w:r>
          </w:p>
        </w:tc>
        <w:tc>
          <w:tcPr>
            <w:tcW w:w="0" w:type="dxa"/>
            <w:vAlign w:val="bottom"/>
          </w:tcPr>
          <w:p>
            <w:pPr>
              <w:spacing w:after="0"/>
              <w:rPr>
                <w:sz w:val="1"/>
                <w:szCs w:val="1"/>
                <w:color w:val="auto"/>
              </w:rPr>
            </w:pPr>
          </w:p>
        </w:tc>
      </w:tr>
      <w:tr>
        <w:trPr>
          <w:trHeight w:val="241"/>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880" w:type="dxa"/>
            <w:vAlign w:val="bottom"/>
            <w:tcBorders>
              <w:bottom w:val="single" w:sz="8" w:color="auto"/>
            </w:tcBorders>
            <w:shd w:val="clear" w:color="auto" w:fill="CCEEFF"/>
          </w:tcPr>
          <w:p>
            <w:pPr>
              <w:jc w:val="right"/>
              <w:ind w:right="681"/>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64.5</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56.3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14.6 %</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As a percentage of revenues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1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18.6 %</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20.4 %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ind w:firstLine="393"/>
        <w:spacing w:after="0" w:line="251" w:lineRule="auto"/>
        <w:rPr>
          <w:sz w:val="20"/>
          <w:szCs w:val="20"/>
          <w:color w:val="auto"/>
        </w:rPr>
      </w:pPr>
      <w:r>
        <w:rPr>
          <w:rFonts w:ascii="Times New Roman" w:cs="Times New Roman" w:eastAsia="Times New Roman" w:hAnsi="Times New Roman"/>
          <w:sz w:val="17"/>
          <w:szCs w:val="17"/>
          <w:color w:val="auto"/>
        </w:rPr>
        <w:t>The increase in SG&amp;A expenses of $8.2 million was primarily due to higher employee-related costs of $6.8 million on account of a higher headcount, performance incentives and wage inflation, including incremental costs related to our acquisition of Clairvoyant in December 2021, increase in technology cost of $1.9 million on account of continued investments in digital capabilities, higher travel costs $1.0 million and other operating costs of $1.8 million, partially offset by higher COVID-19 related expenses of $2.2 million during the three months ended June 30, 2021 and foreign exchange gain, net of hedging of $1.1 million, during the three months ended June 30, 2022.</w:t>
      </w:r>
    </w:p>
    <w:p>
      <w:pPr>
        <w:spacing w:after="0" w:line="2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w:t>
      </w:r>
    </w:p>
    <w:p>
      <w:pPr>
        <w:spacing w:after="0" w:line="183"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5180" w:type="dxa"/>
            <w:vAlign w:val="bottom"/>
          </w:tcPr>
          <w:p>
            <w:pPr>
              <w:spacing w:after="0"/>
              <w:rPr>
                <w:sz w:val="2"/>
                <w:szCs w:val="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18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5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3"/>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w w:val="99"/>
              </w:rPr>
              <w:t>(dollars in millions)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expense</w:t>
            </w:r>
          </w:p>
        </w:tc>
        <w:tc>
          <w:tcPr>
            <w:tcW w:w="90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11.4 %</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Intangible amortization expense</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22.0 %</w:t>
            </w:r>
          </w:p>
        </w:tc>
        <w:tc>
          <w:tcPr>
            <w:tcW w:w="0" w:type="dxa"/>
            <w:vAlign w:val="bottom"/>
          </w:tcPr>
          <w:p>
            <w:pPr>
              <w:spacing w:after="0"/>
              <w:rPr>
                <w:sz w:val="1"/>
                <w:szCs w:val="1"/>
                <w:color w:val="auto"/>
              </w:rPr>
            </w:pPr>
          </w:p>
        </w:tc>
      </w:tr>
      <w:tr>
        <w:trPr>
          <w:trHeight w:val="241"/>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14.3 %</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As a percentage of revenues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18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393"/>
        <w:spacing w:after="0" w:line="247" w:lineRule="auto"/>
        <w:rPr>
          <w:sz w:val="20"/>
          <w:szCs w:val="20"/>
          <w:color w:val="auto"/>
        </w:rPr>
      </w:pPr>
      <w:r>
        <w:rPr>
          <w:rFonts w:ascii="Times New Roman" w:cs="Times New Roman" w:eastAsia="Times New Roman" w:hAnsi="Times New Roman"/>
          <w:sz w:val="17"/>
          <w:szCs w:val="17"/>
          <w:color w:val="auto"/>
        </w:rPr>
        <w:t>The increase in intangibles amortization expense of $0.7 million was primarily due to amortization of intangibles associated with our acquisition of Clairvoyant in December 2021, during the three months ended June 30, 2022, compared to the three months ended June 30, 2021. The increase in depreciation expense of $1.1 million was primarily due to depreciation related to our investments in digital capabilities and computer and networking equipment of $1.3 million, partially offset by foreign exchange gain, net of hedging of $0.2 million during the three months ended June 30, 2022, compared to the three months ended June 30, 2021.</w:t>
      </w:r>
    </w:p>
    <w:p>
      <w:pPr>
        <w:spacing w:after="0" w:line="315" w:lineRule="exact"/>
        <w:rPr>
          <w:sz w:val="20"/>
          <w:szCs w:val="20"/>
          <w:color w:val="auto"/>
        </w:rPr>
      </w:pPr>
    </w:p>
    <w:p>
      <w:pPr>
        <w:jc w:val="both"/>
        <w:ind w:firstLine="393"/>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Income from Operations. </w:t>
      </w:r>
      <w:r>
        <w:rPr>
          <w:rFonts w:ascii="Times New Roman" w:cs="Times New Roman" w:eastAsia="Times New Roman" w:hAnsi="Times New Roman"/>
          <w:sz w:val="17"/>
          <w:szCs w:val="17"/>
          <w:color w:val="auto"/>
        </w:rPr>
        <w:t>Income from operations increased by $11.2 million, or 31.4%, from $35.8 million for the three months ended June 30, 2021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$47.0 million for the three months ended June 30, 2022, primarily due to higher revenues, partially offset by higher cost of revenues and higher SG&amp;A expenses during the three months ended June 30, 2022. As a percentage of revenues, income from operations increased from 13.0% for the three months ended June 30, 2021 to 13.6% for the three months ended June 30, 2022.</w:t>
      </w:r>
    </w:p>
    <w:p>
      <w:pPr>
        <w:spacing w:after="0" w:line="189"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Foreign Exchange Gain/(Loss). </w:t>
      </w:r>
      <w:r>
        <w:rPr>
          <w:rFonts w:ascii="Times New Roman" w:cs="Times New Roman" w:eastAsia="Times New Roman" w:hAnsi="Times New Roman"/>
          <w:sz w:val="17"/>
          <w:szCs w:val="17"/>
          <w:color w:val="auto"/>
        </w:rPr>
        <w:t>Foreign exchange gains and losses are primarily attributable to the movement of the U.S. dollar against the Indian rupee,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U.K. pound sterling, the Philippine peso and the South African ZAR during the three months ended June 30, 2022. The average exchange rate of the U.S. dollar against the Indian rupee increased from 73.67 during the three months ended June 30, 2021 to 77.68 during the three months ended June 30, 2022. The average exchange rate of the U.K. pound sterling against the U.S. dollar decreased from 1.40 during the three months ended June 30, 2021 to 1.24 during the three months ended June 30, 2022. The average exchange rate of the U.S. dollar against the Philippine peso increased from 48.20 during the three months ended June 30, 2021 to 53.18 during the three months ended June 30, 2022. The average exchange rate of the U.S. dollar against the South African ZAR increased from 14.15 during the three months ended June 30, 2021 to 15.94 during the three months ended June 30, 2022.</w:t>
      </w:r>
    </w:p>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recorded a net foreign exchange gain of $1.4 million, each, for the three months ended June 30, 2022 and 2021.</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Interest expens</w:t>
      </w:r>
      <w:r>
        <w:rPr>
          <w:rFonts w:ascii="Times New Roman" w:cs="Times New Roman" w:eastAsia="Times New Roman" w:hAnsi="Times New Roman"/>
          <w:sz w:val="17"/>
          <w:szCs w:val="17"/>
          <w:color w:val="auto"/>
        </w:rPr>
        <w:t>e. Interest expense decreased from $2.5 million for the three months ended June 30, 2021 to $1.5 million for the three months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June 30, 2022, primarily due to the settlement of outstanding obligations under the Notes (as defined under Note 17 – Borrowings-Convertible Senior Notes to our unaudited consolidated financial statements”) on August 27, 2021, partially offset by higher outstanding obligations under our Credit Facility bearing a relatively lower effective interest rate as compared to the Notes during the three months ended June 30, 2022, compared to the three months ended June 30, 2021.</w:t>
      </w:r>
    </w:p>
    <w:p>
      <w:pPr>
        <w:spacing w:after="0" w:line="3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Other Income/(Loss), net.</w:t>
      </w:r>
    </w:p>
    <w:p>
      <w:pPr>
        <w:spacing w:after="0" w:line="366"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320" w:type="dxa"/>
            <w:vAlign w:val="bottom"/>
          </w:tcPr>
          <w:p>
            <w:pPr>
              <w:spacing w:after="0"/>
              <w:rPr>
                <w:sz w:val="16"/>
                <w:szCs w:val="16"/>
                <w:color w:val="auto"/>
              </w:rPr>
            </w:pPr>
          </w:p>
        </w:tc>
        <w:tc>
          <w:tcPr>
            <w:tcW w:w="23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vMerge w:val="restart"/>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4"/>
        </w:trPr>
        <w:tc>
          <w:tcPr>
            <w:tcW w:w="53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36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53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w w:val="99"/>
              </w:rPr>
              <w:t>(dollars in millions)</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sale and mark-to-market of mutual funds and money market funds</w:t>
            </w:r>
          </w:p>
        </w:tc>
        <w:tc>
          <w:tcPr>
            <w:tcW w:w="80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center"/>
              <w:ind w:left="76"/>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center"/>
              <w:ind w:left="516"/>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800" w:type="dxa"/>
            <w:vAlign w:val="bottom"/>
          </w:tcPr>
          <w:p>
            <w:pPr>
              <w:spacing w:after="0"/>
              <w:rPr>
                <w:sz w:val="19"/>
                <w:szCs w:val="19"/>
                <w:color w:val="auto"/>
              </w:rPr>
            </w:pPr>
          </w:p>
        </w:tc>
        <w:tc>
          <w:tcPr>
            <w:tcW w:w="540" w:type="dxa"/>
            <w:vAlign w:val="bottom"/>
          </w:tcPr>
          <w:p>
            <w:pPr>
              <w:jc w:val="center"/>
              <w:ind w:left="76"/>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jc w:val="center"/>
              <w:ind w:left="13"/>
              <w:spacing w:after="0"/>
              <w:rPr>
                <w:sz w:val="20"/>
                <w:szCs w:val="20"/>
                <w:color w:val="auto"/>
              </w:rPr>
            </w:pPr>
            <w:r>
              <w:rPr>
                <w:rFonts w:ascii="Times New Roman" w:cs="Times New Roman" w:eastAsia="Times New Roman" w:hAnsi="Times New Roman"/>
                <w:sz w:val="17"/>
                <w:szCs w:val="17"/>
                <w:color w:val="auto"/>
              </w:rPr>
              <w:t>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center"/>
              <w:ind w:left="556"/>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22.9 %</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net</w:t>
            </w:r>
          </w:p>
        </w:tc>
        <w:tc>
          <w:tcPr>
            <w:tcW w:w="8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center"/>
              <w:ind w:left="76"/>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516"/>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1,182.9 %</w:t>
            </w:r>
          </w:p>
        </w:tc>
        <w:tc>
          <w:tcPr>
            <w:tcW w:w="0" w:type="dxa"/>
            <w:vAlign w:val="bottom"/>
          </w:tcPr>
          <w:p>
            <w:pPr>
              <w:spacing w:after="0"/>
              <w:rPr>
                <w:sz w:val="1"/>
                <w:szCs w:val="1"/>
                <w:color w:val="auto"/>
              </w:rPr>
            </w:pP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income/(loss), net</w:t>
            </w:r>
          </w:p>
        </w:tc>
        <w:tc>
          <w:tcPr>
            <w:tcW w:w="8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center"/>
              <w:ind w:left="76"/>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718"/>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tcPr>
          <w:p>
            <w:pPr>
              <w:jc w:val="center"/>
              <w:ind w:left="13"/>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center"/>
              <w:ind w:left="516"/>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(107.9)%</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393"/>
        <w:spacing w:after="0" w:line="254" w:lineRule="auto"/>
        <w:rPr>
          <w:sz w:val="20"/>
          <w:szCs w:val="20"/>
          <w:color w:val="auto"/>
        </w:rPr>
      </w:pPr>
      <w:r>
        <w:rPr>
          <w:rFonts w:ascii="Times New Roman" w:cs="Times New Roman" w:eastAsia="Times New Roman" w:hAnsi="Times New Roman"/>
          <w:sz w:val="17"/>
          <w:szCs w:val="17"/>
          <w:color w:val="auto"/>
        </w:rPr>
        <w:t>Other income/(loss), net decreased by $2.4 million, from an income of $2.2 million for the three months ended June 30, 2021 to an expense of $0.2 million for the three months ended June 30, 2022. The decrease is primarily due to a fair value adjustment to recognize an increase in contingent consideration liability of $1.0 million related to our acquisition of Clairvoyant in December 2021, and lower return on mutual fund investments of $0.9 million during the three months ended June 30, 2022, compared to the three months ended June 30, 2021.</w:t>
      </w:r>
    </w:p>
    <w:p>
      <w:pPr>
        <w:spacing w:after="0" w:line="191" w:lineRule="exact"/>
        <w:rPr>
          <w:sz w:val="20"/>
          <w:szCs w:val="20"/>
          <w:color w:val="auto"/>
        </w:rPr>
      </w:pPr>
    </w:p>
    <w:p>
      <w:pPr>
        <w:jc w:val="both"/>
        <w:ind w:firstLine="393"/>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Income Tax Expense. </w:t>
      </w:r>
      <w:r>
        <w:rPr>
          <w:rFonts w:ascii="Times New Roman" w:cs="Times New Roman" w:eastAsia="Times New Roman" w:hAnsi="Times New Roman"/>
          <w:sz w:val="17"/>
          <w:szCs w:val="17"/>
          <w:color w:val="auto"/>
        </w:rPr>
        <w:t>The effective tax rate decreased from 24.0% during the three months ended June 30, 2021 to 23.8% during the three months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June 30, 2022. We recorded income tax expense of $11.1 million and $8.9 million for the three months ended June 30, 2022 and 2021, respectively. The increase in income tax expense was primarily a result of higher profit during the three months ended June 30, 2022, compared to the three months ended June 30, 2021.</w:t>
      </w:r>
    </w:p>
    <w:p>
      <w:pPr>
        <w:spacing w:after="0" w:line="392" w:lineRule="exact"/>
        <w:rPr>
          <w:sz w:val="20"/>
          <w:szCs w:val="20"/>
          <w:color w:val="auto"/>
        </w:rPr>
      </w:pPr>
    </w:p>
    <w:p>
      <w:pPr>
        <w:jc w:val="both"/>
        <w:ind w:firstLine="393"/>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Net Income. </w:t>
      </w:r>
      <w:r>
        <w:rPr>
          <w:rFonts w:ascii="Times New Roman" w:cs="Times New Roman" w:eastAsia="Times New Roman" w:hAnsi="Times New Roman"/>
          <w:sz w:val="17"/>
          <w:szCs w:val="17"/>
          <w:color w:val="auto"/>
        </w:rPr>
        <w:t>Net income increased from $28.0 million for the three months ended June 30, 2021 to $35.8 million for the three months ended June 30,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2022, primarily due to increase in income from operations of $11.2 million, lower interest expense of $1.0 million and higher gain from equity-method investment of $0.2 million, partially offset by lower other income/(loss), net of $2.4 million and higher income tax expense of $2.2 million. As a percentage of revenues, net income increased marginally from 10.2% for the three months ended June 30, 2021 to 10.3% for the three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Six Months Ended June 30, 2022 Compared to Six Months Ended June 30, 2021</w:t>
      </w: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2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our revenues by reportable segments: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00" w:type="dxa"/>
            <w:vAlign w:val="bottom"/>
          </w:tcPr>
          <w:p>
            <w:pPr>
              <w:spacing w:after="0"/>
              <w:rPr>
                <w:sz w:val="16"/>
                <w:szCs w:val="16"/>
                <w:color w:val="auto"/>
              </w:rPr>
            </w:pPr>
          </w:p>
        </w:tc>
        <w:tc>
          <w:tcPr>
            <w:tcW w:w="22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vMerge w:val="restart"/>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4"/>
        </w:trPr>
        <w:tc>
          <w:tcPr>
            <w:tcW w:w="59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7"/>
        </w:trPr>
        <w:tc>
          <w:tcPr>
            <w:tcW w:w="5900" w:type="dxa"/>
            <w:vAlign w:val="bottom"/>
          </w:tcPr>
          <w:p>
            <w:pPr>
              <w:spacing w:after="0"/>
              <w:rPr>
                <w:sz w:val="4"/>
                <w:szCs w:val="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59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8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5900" w:type="dxa"/>
            <w:vAlign w:val="bottom"/>
          </w:tcPr>
          <w:p>
            <w:pPr>
              <w:spacing w:after="0"/>
              <w:rPr>
                <w:sz w:val="16"/>
                <w:szCs w:val="16"/>
                <w:color w:val="auto"/>
              </w:rPr>
            </w:pPr>
          </w:p>
        </w:tc>
        <w:tc>
          <w:tcPr>
            <w:tcW w:w="2240" w:type="dxa"/>
            <w:vAlign w:val="bottom"/>
            <w:tcBorders>
              <w:top w:val="single" w:sz="8" w:color="auto"/>
            </w:tcBorders>
            <w:gridSpan w:val="4"/>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Insurance</w:t>
            </w:r>
          </w:p>
        </w:tc>
        <w:tc>
          <w:tcPr>
            <w:tcW w:w="82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211.8</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14.0 %</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Healthcare</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Emerging Business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33.5 %</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Analytics</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310.3</w:t>
            </w: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96.6</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45.2 %</w:t>
            </w:r>
          </w:p>
        </w:tc>
        <w:tc>
          <w:tcPr>
            <w:tcW w:w="0" w:type="dxa"/>
            <w:vAlign w:val="bottom"/>
          </w:tcPr>
          <w:p>
            <w:pPr>
              <w:spacing w:after="0"/>
              <w:rPr>
                <w:sz w:val="1"/>
                <w:szCs w:val="1"/>
                <w:color w:val="auto"/>
              </w:rPr>
            </w:pPr>
          </w:p>
        </w:tc>
      </w:tr>
      <w:tr>
        <w:trPr>
          <w:trHeight w:val="241"/>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 net</w:t>
            </w:r>
          </w:p>
        </w:tc>
        <w:tc>
          <w:tcPr>
            <w:tcW w:w="820" w:type="dxa"/>
            <w:vAlign w:val="bottom"/>
            <w:tcBorders>
              <w:bottom w:val="single" w:sz="8" w:color="auto"/>
            </w:tcBorders>
            <w:shd w:val="clear" w:color="auto" w:fill="CCEEFF"/>
          </w:tcPr>
          <w:p>
            <w:pPr>
              <w:jc w:val="right"/>
              <w:ind w:right="62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676.0</w:t>
            </w: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38"/>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26.0 %</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Revenues for the six months ended June 30, 2022 were $676.0 million, up $139.5 million, or 26.0%, compared to the six months ended June 30, 2021, driven primarily by revenue growth in Analytics.</w:t>
      </w:r>
    </w:p>
    <w:p>
      <w:pPr>
        <w:spacing w:after="0" w:line="172" w:lineRule="exact"/>
        <w:rPr>
          <w:sz w:val="20"/>
          <w:szCs w:val="20"/>
          <w:color w:val="auto"/>
        </w:rPr>
      </w:pPr>
    </w:p>
    <w:p>
      <w:pPr>
        <w:jc w:val="both"/>
        <w:ind w:firstLine="393"/>
        <w:spacing w:after="0" w:line="260" w:lineRule="auto"/>
        <w:rPr>
          <w:sz w:val="20"/>
          <w:szCs w:val="20"/>
          <w:color w:val="auto"/>
        </w:rPr>
      </w:pPr>
      <w:r>
        <w:rPr>
          <w:rFonts w:ascii="Times New Roman" w:cs="Times New Roman" w:eastAsia="Times New Roman" w:hAnsi="Times New Roman"/>
          <w:sz w:val="17"/>
          <w:szCs w:val="17"/>
          <w:color w:val="auto"/>
        </w:rPr>
        <w:t>Revenue growth in Insurance of $26.0 million was primarily driven by expansion of business from our new and existing clients aggregating to $27.8 million. This was partially offset by a loss of $1.8 million mainly attributable to the depreciation of the Australian dollar, U.K. pound sterling and the Indian rupee against the U.S. dollar during the six months ended June 30, 2022, compared to the six months ended June 30, 2021. Insurance revenues were 31.3% and 34.7% of our total revenues during the six months ended June 30, 2022 and June 30, 2021, respectively.</w:t>
      </w:r>
    </w:p>
    <w:p>
      <w:pPr>
        <w:spacing w:after="0" w:line="189" w:lineRule="exact"/>
        <w:rPr>
          <w:sz w:val="20"/>
          <w:szCs w:val="20"/>
          <w:color w:val="auto"/>
        </w:rPr>
      </w:pPr>
    </w:p>
    <w:p>
      <w:pPr>
        <w:jc w:val="both"/>
        <w:ind w:firstLine="393"/>
        <w:spacing w:after="0" w:line="289" w:lineRule="auto"/>
        <w:rPr>
          <w:sz w:val="20"/>
          <w:szCs w:val="20"/>
          <w:color w:val="auto"/>
        </w:rPr>
      </w:pPr>
      <w:r>
        <w:rPr>
          <w:rFonts w:ascii="Times New Roman" w:cs="Times New Roman" w:eastAsia="Times New Roman" w:hAnsi="Times New Roman"/>
          <w:sz w:val="17"/>
          <w:szCs w:val="17"/>
          <w:color w:val="auto"/>
        </w:rPr>
        <w:t>Revenue decline in Healthcare of $9.3 million was driven by the ramp-down in certain existing clients aggregating to $9.3 million during the six months ended June 30, 2022. Healthcare revenues were 7.3% and 10.9% of our total revenues during the six months ended June 30, 2022 and June 30, 2021, respectively.</w:t>
      </w:r>
    </w:p>
    <w:p>
      <w:pPr>
        <w:spacing w:after="0" w:line="382" w:lineRule="exact"/>
        <w:rPr>
          <w:sz w:val="20"/>
          <w:szCs w:val="20"/>
          <w:color w:val="auto"/>
        </w:rPr>
      </w:pPr>
    </w:p>
    <w:p>
      <w:pPr>
        <w:jc w:val="both"/>
        <w:ind w:firstLine="393"/>
        <w:spacing w:after="0" w:line="249" w:lineRule="auto"/>
        <w:rPr>
          <w:sz w:val="20"/>
          <w:szCs w:val="20"/>
          <w:color w:val="auto"/>
        </w:rPr>
      </w:pPr>
      <w:r>
        <w:rPr>
          <w:rFonts w:ascii="Times New Roman" w:cs="Times New Roman" w:eastAsia="Times New Roman" w:hAnsi="Times New Roman"/>
          <w:sz w:val="17"/>
          <w:szCs w:val="17"/>
          <w:color w:val="auto"/>
        </w:rPr>
        <w:t>Revenue growth in Emerging Business of $26.2 million was primarily driven by expansion of business from our new and existing clients of $28.3 million. This was partially offset by a loss of $2.1 million mainly attributable to the depreciation of the U.K. pound sterling, the Indian rupee and the Euro against the U.S. dollar during the six months ended June 30, 2022, compared to the six months ended June 30, 2021. Emerging Business revenues were 15.5% and 14.6% of our total revenues during the six months ended June 30, 2022 and June 30, 2021, respectively.</w:t>
      </w:r>
    </w:p>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Revenue growth in Analytics of $96.6 million was attributable to the higher volumes in our annuity and project based engagements from our new and</w:t>
      </w:r>
    </w:p>
    <w:p>
      <w:pPr>
        <w:spacing w:after="0" w:line="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existing clients of $77.1 million, and contributions from our acquisition of Clairvoyant in December 2021 of $21.2 million. This was partially offset by a loss of $1.7 million mainly attributable to the depreciation of the U.K. pound sterling against the U.S. dollar during the six months ended June 30, 2022, compared to the six months ended June 30, 2021. Analytics revenues were 45.9% and 39.8% of our total revenues during the six months ended June 30, 2022 and June 30, 2021, respectively.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 and Gross Margin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following table sets forth cost of revenues and gross margin of our reportable segments: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980" w:type="dxa"/>
            <w:vAlign w:val="bottom"/>
          </w:tcPr>
          <w:p>
            <w:pPr>
              <w:spacing w:after="0"/>
              <w:rPr>
                <w:sz w:val="16"/>
                <w:szCs w:val="16"/>
                <w:color w:val="auto"/>
              </w:rPr>
            </w:pPr>
          </w:p>
        </w:tc>
      </w:tr>
      <w:tr>
        <w:trPr>
          <w:trHeight w:val="24"/>
        </w:trPr>
        <w:tc>
          <w:tcPr>
            <w:tcW w:w="2520" w:type="dxa"/>
            <w:vAlign w:val="bottom"/>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9"/>
        </w:trPr>
        <w:tc>
          <w:tcPr>
            <w:tcW w:w="2520" w:type="dxa"/>
            <w:vAlign w:val="bottom"/>
          </w:tcPr>
          <w:p>
            <w:pPr>
              <w:spacing w:after="0"/>
              <w:rPr>
                <w:sz w:val="19"/>
                <w:szCs w:val="19"/>
                <w:color w:val="auto"/>
              </w:rPr>
            </w:pP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80" w:type="dxa"/>
            <w:vAlign w:val="bottom"/>
          </w:tcPr>
          <w:p>
            <w:pPr>
              <w:spacing w:after="0"/>
              <w:rPr>
                <w:sz w:val="19"/>
                <w:szCs w:val="19"/>
                <w:color w:val="auto"/>
              </w:rPr>
            </w:pPr>
          </w:p>
        </w:tc>
      </w:tr>
      <w:tr>
        <w:trPr>
          <w:trHeight w:val="24"/>
        </w:trPr>
        <w:tc>
          <w:tcPr>
            <w:tcW w:w="25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9"/>
        </w:trPr>
        <w:tc>
          <w:tcPr>
            <w:tcW w:w="2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136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136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c>
          <w:tcPr>
            <w:tcW w:w="9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
        </w:trPr>
        <w:tc>
          <w:tcPr>
            <w:tcW w:w="2520" w:type="dxa"/>
            <w:vAlign w:val="bottom"/>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2520" w:type="dxa"/>
            <w:vAlign w:val="bottom"/>
          </w:tcPr>
          <w:p>
            <w:pPr>
              <w:spacing w:after="0"/>
              <w:rPr>
                <w:sz w:val="15"/>
                <w:szCs w:val="15"/>
                <w:color w:val="auto"/>
              </w:rPr>
            </w:pPr>
          </w:p>
        </w:tc>
        <w:tc>
          <w:tcPr>
            <w:tcW w:w="2060" w:type="dxa"/>
            <w:vAlign w:val="bottom"/>
            <w:gridSpan w:val="4"/>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Insurance</w:t>
            </w:r>
          </w:p>
        </w:tc>
        <w:tc>
          <w:tcPr>
            <w:tcW w:w="76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135.7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115.5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3"/>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Healthcare</w:t>
            </w:r>
          </w:p>
        </w:tc>
        <w:tc>
          <w:tcPr>
            <w:tcW w:w="7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28.2 %</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40.1 %</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223"/>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Emerging Business</w:t>
            </w: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23"/>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Analytics</w:t>
            </w:r>
          </w:p>
        </w:tc>
        <w:tc>
          <w:tcPr>
            <w:tcW w:w="7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197.3</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135.8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45.2 %</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36.5 %</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36.5 %</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0.0 %</w:t>
            </w:r>
          </w:p>
        </w:tc>
      </w:tr>
      <w:tr>
        <w:trPr>
          <w:trHeight w:val="241"/>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760" w:type="dxa"/>
            <w:vAlign w:val="bottom"/>
            <w:tcBorders>
              <w:bottom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428.7</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329.5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w:t>
            </w: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30.1 %</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36.6 %</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38.6 %</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75"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For the six months ended June 30, 2022, cost of revenues was $428.7 million compared to $329.5 million for the six months ended June 30, 2021, an increase of $99.2 million, or 30.1%. Our gross margin for the six months ended June 30, 2022 was 36.6% compared to 38.6% for six months ended June 30, 2021, a decrease of 200 bps.</w:t>
      </w:r>
    </w:p>
    <w:p>
      <w:pPr>
        <w:spacing w:after="0" w:line="188" w:lineRule="exact"/>
        <w:rPr>
          <w:sz w:val="20"/>
          <w:szCs w:val="20"/>
          <w:color w:val="auto"/>
        </w:rPr>
      </w:pPr>
    </w:p>
    <w:p>
      <w:pPr>
        <w:jc w:val="both"/>
        <w:ind w:firstLine="393"/>
        <w:spacing w:after="0" w:line="251" w:lineRule="auto"/>
        <w:rPr>
          <w:sz w:val="20"/>
          <w:szCs w:val="20"/>
          <w:color w:val="auto"/>
        </w:rPr>
      </w:pPr>
      <w:r>
        <w:rPr>
          <w:rFonts w:ascii="Times New Roman" w:cs="Times New Roman" w:eastAsia="Times New Roman" w:hAnsi="Times New Roman"/>
          <w:sz w:val="17"/>
          <w:szCs w:val="17"/>
          <w:color w:val="auto"/>
        </w:rPr>
        <w:t>The increase in cost of revenues in Insurance of $20.2 million during the six months ended June 30, 2022 was primarily due to increases in employee-related costs of $19.1 million on account of higher headcount, performance incentives and wage inflation, and higher technology costs of $3.0 million on account of increased leverage of the remote work model, partially offset by foreign exchange gain, net of hedging of $1.9 million. Gross margin in Insurance decreased by 200 bps during the six months ended June 30, 2022, compared to the six months ended June 30, 2021, primarily due to increases in employee-related costs during the six months ended June 30, 2022, compared to the six months ended June 30, 2021.</w:t>
      </w:r>
    </w:p>
    <w:p>
      <w:pPr>
        <w:spacing w:after="0" w:line="197" w:lineRule="exact"/>
        <w:rPr>
          <w:sz w:val="20"/>
          <w:szCs w:val="20"/>
          <w:color w:val="auto"/>
        </w:rPr>
      </w:pPr>
    </w:p>
    <w:p>
      <w:pPr>
        <w:jc w:val="both"/>
        <w:ind w:firstLine="393"/>
        <w:spacing w:after="0" w:line="247" w:lineRule="auto"/>
        <w:rPr>
          <w:sz w:val="20"/>
          <w:szCs w:val="20"/>
          <w:color w:val="auto"/>
        </w:rPr>
      </w:pPr>
      <w:r>
        <w:rPr>
          <w:rFonts w:ascii="Times New Roman" w:cs="Times New Roman" w:eastAsia="Times New Roman" w:hAnsi="Times New Roman"/>
          <w:sz w:val="17"/>
          <w:szCs w:val="17"/>
          <w:color w:val="auto"/>
        </w:rPr>
        <w:t>The increase in cost of revenues in Healthcare of $0.2 million during the six months ended June 30, 2022 was primarily due to increases in employee-related costs of $1.1 million on account of wage inflation, partially offset by lower travel costs of $0.5 million and foreign exchange gain, net of hedging of $0.4 million. Gross margin in Healthcare decreased by 1,190 bps during the six months ended June 30, 2022, compared to the six months ended June 30, 2021, primarily due to lower revenues and higher operating expenses associated with the ramp-down of certain existing clients during the six months ended June 30, 2022, compared to the six months ended June 30, 2021.</w:t>
      </w:r>
    </w:p>
    <w:p>
      <w:pPr>
        <w:spacing w:after="0" w:line="201" w:lineRule="exact"/>
        <w:rPr>
          <w:sz w:val="20"/>
          <w:szCs w:val="20"/>
          <w:color w:val="auto"/>
        </w:rPr>
      </w:pPr>
    </w:p>
    <w:p>
      <w:pPr>
        <w:jc w:val="both"/>
        <w:ind w:firstLine="393"/>
        <w:spacing w:after="0" w:line="249" w:lineRule="auto"/>
        <w:rPr>
          <w:sz w:val="20"/>
          <w:szCs w:val="20"/>
          <w:color w:val="auto"/>
        </w:rPr>
      </w:pPr>
      <w:r>
        <w:rPr>
          <w:rFonts w:ascii="Times New Roman" w:cs="Times New Roman" w:eastAsia="Times New Roman" w:hAnsi="Times New Roman"/>
          <w:sz w:val="17"/>
          <w:szCs w:val="17"/>
          <w:color w:val="auto"/>
        </w:rPr>
        <w:t>The increase in cost of revenues in Emerging Business of $17.3 million during the six months ended June 30, 2022 was primarily due to increases in employee-related costs of $16.2 million on account of higher headcount, performance incentives and wage inflation, higher technology costs of $2.2 million on account of increased leverage of the remote work model and higher travel costs of $0.9 million, partially offset by foreign exchange gain, net of hedging of $2.0 million. Gross margin in Emerging Business decreased by 270 bps during the six months ended June 30, 2022, compared to the six months ended June 30, 2021, primarily due to lower margins associated with ramp-ups in certain new clients during the six months ended June 30, 2022, compared to the six months ended June 30, 2021.</w:t>
      </w:r>
    </w:p>
    <w:p>
      <w:pPr>
        <w:spacing w:after="0" w:line="199" w:lineRule="exact"/>
        <w:rPr>
          <w:sz w:val="20"/>
          <w:szCs w:val="20"/>
          <w:color w:val="auto"/>
        </w:rPr>
      </w:pPr>
    </w:p>
    <w:p>
      <w:pPr>
        <w:jc w:val="both"/>
        <w:ind w:firstLine="393"/>
        <w:spacing w:after="0" w:line="246" w:lineRule="auto"/>
        <w:rPr>
          <w:sz w:val="20"/>
          <w:szCs w:val="20"/>
          <w:color w:val="auto"/>
        </w:rPr>
      </w:pPr>
      <w:r>
        <w:rPr>
          <w:rFonts w:ascii="Times New Roman" w:cs="Times New Roman" w:eastAsia="Times New Roman" w:hAnsi="Times New Roman"/>
          <w:sz w:val="17"/>
          <w:szCs w:val="17"/>
          <w:color w:val="auto"/>
        </w:rPr>
        <w:t>The increase in cost of revenues in Analytics of $61.5 million during the six months ended June 30, 2022 was primarily due to increases in employee-related costs of $56.1 million on account of higher headcount, performance incentives and wage inflation, including incremental cost related to our acquisition of Clairvoyant in December 2021. The remaining increase was attributable to higher travel costs of $2.1 million, higher technology costs of $1.2 million on account of increased leverage of the remote work model and higher other operating costs of $5.3 million. This was partially offset by foreign exchange gain, net of hedging of $3.2 million. Gross margin in Analytics remained unchanged during the six months ended June 30, 2022, compared to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(“SG&amp;A”) Expenses.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2680" w:type="dxa"/>
            <w:vAlign w:val="bottom"/>
            <w:gridSpan w:val="4"/>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84"/>
        </w:trPr>
        <w:tc>
          <w:tcPr>
            <w:tcW w:w="5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3"/>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80.4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67.2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19.6 %</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48.2</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38.0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26.9 %</w:t>
            </w:r>
          </w:p>
        </w:tc>
        <w:tc>
          <w:tcPr>
            <w:tcW w:w="0" w:type="dxa"/>
            <w:vAlign w:val="bottom"/>
          </w:tcPr>
          <w:p>
            <w:pPr>
              <w:spacing w:after="0"/>
              <w:rPr>
                <w:sz w:val="1"/>
                <w:szCs w:val="1"/>
                <w:color w:val="auto"/>
              </w:rPr>
            </w:pPr>
          </w:p>
        </w:tc>
      </w:tr>
      <w:tr>
        <w:trPr>
          <w:trHeight w:val="241"/>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99"/>
              </w:rPr>
              <w:t>128.6</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105.2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22.2 %</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As a percentage of revenues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1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19.0 %</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393"/>
        <w:spacing w:after="0" w:line="251" w:lineRule="auto"/>
        <w:rPr>
          <w:sz w:val="20"/>
          <w:szCs w:val="20"/>
          <w:color w:val="auto"/>
        </w:rPr>
      </w:pPr>
      <w:r>
        <w:rPr>
          <w:rFonts w:ascii="Times New Roman" w:cs="Times New Roman" w:eastAsia="Times New Roman" w:hAnsi="Times New Roman"/>
          <w:sz w:val="17"/>
          <w:szCs w:val="17"/>
          <w:color w:val="auto"/>
        </w:rPr>
        <w:t>The increase in SG&amp;A expenses of $23.4 million was primarily due to higher employee-related costs of $17.4 million on account of a higher headcount, performance incentives and wage inflation, including incremental costs related to our acquisition of Clairvoyant in December 2021, increase in technology cost of $5.3 million on account of continued investments in digital capabilities, higher other operating costs of $3.2 million and travel costs of $1.3 million, partially offset by higher COVID-19 related expenses of $2.2 million during the six months ended June 30, 2021 and foreign exchange gain, net of hedging of $1.6 million, during the six months ended June 30, 2022.</w:t>
      </w:r>
    </w:p>
    <w:p>
      <w:pPr>
        <w:spacing w:after="0" w:line="2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2500" w:type="dxa"/>
            <w:vAlign w:val="bottom"/>
            <w:gridSpan w:val="4"/>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2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84"/>
        </w:trPr>
        <w:tc>
          <w:tcPr>
            <w:tcW w:w="5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3"/>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w w:val="99"/>
              </w:rPr>
              <w:t>(dollars in millions)</w:t>
            </w:r>
          </w:p>
        </w:tc>
        <w:tc>
          <w:tcPr>
            <w:tcW w:w="5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expense</w:t>
            </w: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19.1</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7.9 %</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Intangible amortization expense</w:t>
            </w: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8.6</w:t>
            </w: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27.7 %</w:t>
            </w:r>
          </w:p>
        </w:tc>
        <w:tc>
          <w:tcPr>
            <w:tcW w:w="0" w:type="dxa"/>
            <w:vAlign w:val="bottom"/>
          </w:tcPr>
          <w:p>
            <w:pPr>
              <w:spacing w:after="0"/>
              <w:rPr>
                <w:sz w:val="1"/>
                <w:szCs w:val="1"/>
                <w:color w:val="auto"/>
              </w:rPr>
            </w:pPr>
          </w:p>
        </w:tc>
      </w:tr>
      <w:tr>
        <w:trPr>
          <w:trHeight w:val="241"/>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27.7</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24.4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13.4 %</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As a percentage of revenues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1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393"/>
        <w:spacing w:after="0" w:line="247" w:lineRule="auto"/>
        <w:rPr>
          <w:sz w:val="20"/>
          <w:szCs w:val="20"/>
          <w:color w:val="auto"/>
        </w:rPr>
      </w:pPr>
      <w:r>
        <w:rPr>
          <w:rFonts w:ascii="Times New Roman" w:cs="Times New Roman" w:eastAsia="Times New Roman" w:hAnsi="Times New Roman"/>
          <w:sz w:val="17"/>
          <w:szCs w:val="17"/>
          <w:color w:val="auto"/>
        </w:rPr>
        <w:t>The increase in intangibles amortization expense of $1.8 million was primarily due to amortization of intangibles associated with our acquisition of Clairvoyant in December 2021, partially offset by decrease in intangibles amortization expense due to end of useful lives for certain intangible assets during the six months ended June 30, 2022, compared to the six months ended June 30, 2021. The increase in depreciation expense of $1.5 million was primarily due to depreciation related to our investments in digital capabilities and computer and networking equipment of $1.8 million, partially offset by foreign exchange gain, net of hedging of $0.3 million during the six months ended June 30, 2022, compared to the six months ended June 30, 2021.</w:t>
      </w:r>
    </w:p>
    <w:p>
      <w:pPr>
        <w:spacing w:after="0" w:line="210" w:lineRule="exact"/>
        <w:rPr>
          <w:sz w:val="20"/>
          <w:szCs w:val="20"/>
          <w:color w:val="auto"/>
        </w:rPr>
      </w:pPr>
    </w:p>
    <w:p>
      <w:pPr>
        <w:jc w:val="both"/>
        <w:ind w:firstLine="402"/>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Income from Operations. </w:t>
      </w:r>
      <w:r>
        <w:rPr>
          <w:rFonts w:ascii="Times New Roman" w:cs="Times New Roman" w:eastAsia="Times New Roman" w:hAnsi="Times New Roman"/>
          <w:sz w:val="17"/>
          <w:szCs w:val="17"/>
          <w:color w:val="auto"/>
        </w:rPr>
        <w:t>Income from operations increased by $13.6 million, or 17.7%, from $77.4 million for the six months ended June 30, 2021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$91.0 million for the six months ended June 30, 2022, primarily due to higher revenues, partially offset by higher cost of revenues and higher SG&amp;A expenses during the six months ended June 30, 2022. As a percentage of revenues, income from operations decreased from 14.4% for the six months ended June 30, 2021 to 13.5% for the six months ended June 30, 2022.</w:t>
      </w:r>
    </w:p>
    <w:p>
      <w:pPr>
        <w:spacing w:after="0" w:line="189"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Foreign Exchange Gain/(Loss). </w:t>
      </w:r>
      <w:r>
        <w:rPr>
          <w:rFonts w:ascii="Times New Roman" w:cs="Times New Roman" w:eastAsia="Times New Roman" w:hAnsi="Times New Roman"/>
          <w:sz w:val="17"/>
          <w:szCs w:val="17"/>
          <w:color w:val="auto"/>
        </w:rPr>
        <w:t>Foreign exchange gains and losses are primarily attributable to the movement of the U.S. dollar against the Indian rupee,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U.K. pound sterling, the Philippine peso and the South African ZAR during the six months ended June 30, 2022. The average exchange rate of the U.S. dollar against the Indian rupee increased from 73.42 during the six months ended June 30, 2021 to 76.46 during the six months ended June 30, 2022. The average exchange rate of the U.K. pound sterling against the U.S. dollar decreased from 1.39 during the six months ended June 30, 2021 to 1.29 during the six months ended June 30, 2022. The average exchange rate of the U.S. dollar against the Philippine peso increased from 48.29 during the six months ended June 30, 2021 to 52.25 during the six months ended June 30, 2022. The average exchange rate of the U.S. dollar against the South African ZAR increased from 14.58 during the six months ended June 30, 2021 to 15.54 during the six months ended June 30, 2022.</w:t>
      </w:r>
    </w:p>
    <w:p>
      <w:pPr>
        <w:spacing w:after="0" w:line="198"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We recorded a net foreign exchange gain of $3.2 million for the six months ended June 30, 2022, compared to the net foreign exchange gain of $1.8 million for the six months ended June 30, 2021.</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402"/>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expense. </w:t>
      </w:r>
      <w:r>
        <w:rPr>
          <w:rFonts w:ascii="Times New Roman" w:cs="Times New Roman" w:eastAsia="Times New Roman" w:hAnsi="Times New Roman"/>
          <w:sz w:val="17"/>
          <w:szCs w:val="17"/>
          <w:color w:val="auto"/>
        </w:rPr>
        <w:t>Interest expense decreased from $5.0 million for the six months ended June 30, 2021 to $2.4 million for the six months ended June 30,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2022, primarily due to the settlement of outstanding obligations under the Notes (as defined under Note 17 – Borrowings-Convertible Senior Notes to our unaudited consolidated financial statements”) on August 27, 2021, partially offset by higher outstanding obligations under our Credit Facility bearing a relatively lower effective interest rate as compared to the Notes during the six months ended June 30, 2022, compared to the six months ended June 30, 2021.</w:t>
      </w:r>
    </w:p>
    <w:p>
      <w:pPr>
        <w:spacing w:after="0" w:line="1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auto"/>
        </w:rPr>
        <w:t>Other Income/(Loss), net.</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00" w:type="dxa"/>
            <w:vAlign w:val="bottom"/>
          </w:tcPr>
          <w:p>
            <w:pPr>
              <w:spacing w:after="0"/>
              <w:rPr>
                <w:sz w:val="16"/>
                <w:szCs w:val="16"/>
                <w:color w:val="auto"/>
              </w:rPr>
            </w:pPr>
          </w:p>
        </w:tc>
        <w:tc>
          <w:tcPr>
            <w:tcW w:w="2320" w:type="dxa"/>
            <w:vAlign w:val="bottom"/>
            <w:gridSpan w:val="4"/>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9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0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84"/>
        </w:trPr>
        <w:tc>
          <w:tcPr>
            <w:tcW w:w="590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sale and mark-to-market of mutual funds and money market funds</w:t>
            </w:r>
          </w:p>
        </w:tc>
        <w:tc>
          <w:tcPr>
            <w:tcW w:w="940" w:type="dxa"/>
            <w:vAlign w:val="bottom"/>
            <w:tcBorders>
              <w:top w:val="single" w:sz="8" w:color="auto"/>
            </w:tcBorders>
            <w:shd w:val="clear" w:color="auto" w:fill="CCEEFF"/>
          </w:tcPr>
          <w:p>
            <w:pPr>
              <w:jc w:val="right"/>
              <w:ind w:right="761"/>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tcBorders>
            <w:shd w:val="clear" w:color="auto" w:fill="CCEEFF"/>
          </w:tcPr>
          <w:p>
            <w:pPr>
              <w:jc w:val="center"/>
              <w:ind w:left="33"/>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38"/>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center"/>
              <w:ind w:left="416"/>
              <w:spacing w:after="0"/>
              <w:rPr>
                <w:sz w:val="20"/>
                <w:szCs w:val="20"/>
                <w:color w:val="auto"/>
              </w:rPr>
            </w:pPr>
            <w:r>
              <w:rPr>
                <w:rFonts w:ascii="Times New Roman" w:cs="Times New Roman" w:eastAsia="Times New Roman" w:hAnsi="Times New Roman"/>
                <w:sz w:val="17"/>
                <w:szCs w:val="17"/>
                <w:color w:val="auto"/>
              </w:rPr>
              <w:t>(0.8)</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and dividend income</w:t>
            </w:r>
          </w:p>
        </w:tc>
        <w:tc>
          <w:tcPr>
            <w:tcW w:w="940" w:type="dxa"/>
            <w:vAlign w:val="bottom"/>
          </w:tcPr>
          <w:p>
            <w:pPr>
              <w:spacing w:after="0"/>
              <w:rPr>
                <w:sz w:val="19"/>
                <w:szCs w:val="19"/>
                <w:color w:val="auto"/>
              </w:rPr>
            </w:pPr>
          </w:p>
        </w:tc>
        <w:tc>
          <w:tcPr>
            <w:tcW w:w="460" w:type="dxa"/>
            <w:vAlign w:val="bottom"/>
          </w:tcPr>
          <w:p>
            <w:pPr>
              <w:jc w:val="center"/>
              <w:ind w:left="33"/>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center"/>
              <w:ind w:left="456"/>
              <w:spacing w:after="0"/>
              <w:rPr>
                <w:sz w:val="20"/>
                <w:szCs w:val="20"/>
                <w:color w:val="auto"/>
              </w:rPr>
            </w:pPr>
            <w:r>
              <w:rPr>
                <w:rFonts w:ascii="Times New Roman" w:cs="Times New Roman" w:eastAsia="Times New Roman" w:hAnsi="Times New Roman"/>
                <w:sz w:val="17"/>
                <w:szCs w:val="17"/>
                <w:color w:val="auto"/>
              </w:rPr>
              <w:t>0.9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71.7 %</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net</w:t>
            </w:r>
          </w:p>
        </w:tc>
        <w:tc>
          <w:tcPr>
            <w:tcW w:w="9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416"/>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336.3 %</w:t>
            </w: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income/(loss), net</w:t>
            </w:r>
          </w:p>
        </w:tc>
        <w:tc>
          <w:tcPr>
            <w:tcW w:w="94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center"/>
              <w:ind w:left="33"/>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center"/>
              <w:ind w:left="416"/>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393"/>
        <w:spacing w:after="0" w:line="260" w:lineRule="auto"/>
        <w:rPr>
          <w:sz w:val="20"/>
          <w:szCs w:val="20"/>
          <w:color w:val="auto"/>
        </w:rPr>
      </w:pPr>
      <w:r>
        <w:rPr>
          <w:rFonts w:ascii="Times New Roman" w:cs="Times New Roman" w:eastAsia="Times New Roman" w:hAnsi="Times New Roman"/>
          <w:sz w:val="17"/>
          <w:szCs w:val="17"/>
          <w:color w:val="auto"/>
        </w:rPr>
        <w:t>Other income/(loss), net decreased by $1.4 million, from $3.6 million for the six months ended June 30, 2021 to $2.2 million for the six months ended June 30, 2022. The decrease is primarily due to a fair value adjustment to recognize an increase in contingent consideration liability of $1.0 million related to our acquisition of Clairvoyant in December 2021, and lower return on mutual fund investments of $0.8 million, partially offset by interest on income tax refunds of $0.7 million during the six months ended June 30, 2022, compared to the six months ended June 30, 2021.</w:t>
      </w:r>
    </w:p>
    <w:p>
      <w:pPr>
        <w:spacing w:after="0" w:line="185" w:lineRule="exact"/>
        <w:rPr>
          <w:sz w:val="20"/>
          <w:szCs w:val="20"/>
          <w:color w:val="auto"/>
        </w:rPr>
      </w:pPr>
    </w:p>
    <w:p>
      <w:pPr>
        <w:jc w:val="both"/>
        <w:ind w:firstLine="402"/>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Income Tax Expense. </w:t>
      </w:r>
      <w:r>
        <w:rPr>
          <w:rFonts w:ascii="Times New Roman" w:cs="Times New Roman" w:eastAsia="Times New Roman" w:hAnsi="Times New Roman"/>
          <w:sz w:val="17"/>
          <w:szCs w:val="17"/>
          <w:color w:val="auto"/>
        </w:rPr>
        <w:t>The effective tax rate increased from 22.9% during the six months ended June 30, 2021 to 23.7% during the six months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June 30, 2022. We recorded income tax expense of $22.3 million and $17.9 million for the six months ended June 30, 2022 and 2021, respectively. The increase in income tax expense was primarily as a result of higher profit during the six months ended June 30, 2022, compared to the six months ended June 30, 2021, and an increase in non-deductible expenses, partially offset by higher excess tax benefits during the six months ended June 30, 2022.</w:t>
      </w:r>
    </w:p>
    <w:p>
      <w:pPr>
        <w:spacing w:after="0" w:line="195" w:lineRule="exact"/>
        <w:rPr>
          <w:sz w:val="20"/>
          <w:szCs w:val="20"/>
          <w:color w:val="auto"/>
        </w:rPr>
      </w:pPr>
    </w:p>
    <w:p>
      <w:pPr>
        <w:jc w:val="both"/>
        <w:ind w:firstLine="393"/>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Net Income. </w:t>
      </w:r>
      <w:r>
        <w:rPr>
          <w:rFonts w:ascii="Times New Roman" w:cs="Times New Roman" w:eastAsia="Times New Roman" w:hAnsi="Times New Roman"/>
          <w:sz w:val="17"/>
          <w:szCs w:val="17"/>
          <w:color w:val="auto"/>
        </w:rPr>
        <w:t>Net income increased from $59.9 million for the six months ended June 30, 2021 to $72.0 million for the six months ended June 30, 2022,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primarily due to increase in income from operations of $13.6 million, lower interest expense of $2.6 million, higher foreign exchange gain, net of $1.4 million and higher gain from equity-method investment of $0.3 million, partially offset by higher income tax expense of $4.4 million and lower other income/(loss), net of $1.4 million. As a percentage of revenues, net income decreased from 11.2% for the six months ended June 30, 2021 to 10.7% for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and Capital Resources</w:t>
      </w:r>
    </w:p>
    <w:p>
      <w:pPr>
        <w:spacing w:after="0" w:line="261" w:lineRule="exact"/>
        <w:rPr>
          <w:sz w:val="20"/>
          <w:szCs w:val="20"/>
          <w:color w:val="auto"/>
        </w:rPr>
      </w:pPr>
    </w:p>
    <w:tbl>
      <w:tblPr>
        <w:tblLayout w:type="fixed"/>
        <w:tblInd w:w="640" w:type="dxa"/>
        <w:tblCellMar>
          <w:top w:w="0" w:type="dxa"/>
          <w:left w:w="0" w:type="dxa"/>
          <w:bottom w:w="0" w:type="dxa"/>
          <w:right w:w="0" w:type="dxa"/>
        </w:tblCellMar>
      </w:tblPr>
      <w:tr>
        <w:trPr>
          <w:trHeight w:val="185"/>
        </w:trPr>
        <w:tc>
          <w:tcPr>
            <w:tcW w:w="6840" w:type="dxa"/>
            <w:vAlign w:val="bottom"/>
          </w:tcPr>
          <w:p>
            <w:pPr>
              <w:spacing w:after="0"/>
              <w:rPr>
                <w:sz w:val="16"/>
                <w:szCs w:val="16"/>
                <w:color w:val="auto"/>
              </w:rPr>
            </w:pPr>
          </w:p>
        </w:tc>
        <w:tc>
          <w:tcPr>
            <w:tcW w:w="2780" w:type="dxa"/>
            <w:vAlign w:val="bottom"/>
            <w:gridSpan w:val="5"/>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68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4"/>
        </w:trPr>
        <w:tc>
          <w:tcPr>
            <w:tcW w:w="684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190"/>
        </w:trPr>
        <w:tc>
          <w:tcPr>
            <w:tcW w:w="6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(dollars in millions)</w:t>
            </w:r>
          </w:p>
        </w:tc>
        <w:tc>
          <w:tcPr>
            <w:tcW w:w="800" w:type="dxa"/>
            <w:vAlign w:val="bottom"/>
          </w:tcPr>
          <w:p>
            <w:pPr>
              <w:spacing w:after="0"/>
              <w:rPr>
                <w:sz w:val="16"/>
                <w:szCs w:val="16"/>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Opening cash, cash equivalents and restricted cash</w:t>
            </w:r>
          </w:p>
        </w:tc>
        <w:tc>
          <w:tcPr>
            <w:tcW w:w="80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225.5</w:t>
            </w:r>
          </w:p>
        </w:tc>
      </w:tr>
      <w:tr>
        <w:trPr>
          <w:trHeight w:val="223"/>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8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w:t>
            </w:r>
          </w:p>
        </w:tc>
      </w:tr>
      <w:tr>
        <w:trPr>
          <w:trHeight w:val="24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for)/provided by investing activities</w:t>
            </w:r>
          </w:p>
        </w:tc>
        <w:tc>
          <w:tcPr>
            <w:tcW w:w="8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23"/>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for financing activities</w:t>
            </w:r>
          </w:p>
        </w:tc>
        <w:tc>
          <w:tcPr>
            <w:tcW w:w="8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(131.4)</w:t>
            </w:r>
          </w:p>
        </w:tc>
      </w:tr>
      <w:tr>
        <w:trPr>
          <w:trHeight w:val="22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w:t>
            </w:r>
          </w:p>
        </w:tc>
        <w:tc>
          <w:tcPr>
            <w:tcW w:w="8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6"/>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Closing cash, cash equivalents and restricted cash</w:t>
            </w:r>
          </w:p>
        </w:tc>
        <w:tc>
          <w:tcPr>
            <w:tcW w:w="8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115.2</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157.5</w:t>
            </w:r>
          </w:p>
        </w:tc>
      </w:tr>
      <w:tr>
        <w:trPr>
          <w:trHeight w:val="20"/>
        </w:trPr>
        <w:tc>
          <w:tcPr>
            <w:tcW w:w="68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393"/>
        <w:spacing w:after="0" w:line="249" w:lineRule="auto"/>
        <w:rPr>
          <w:sz w:val="20"/>
          <w:szCs w:val="20"/>
          <w:color w:val="auto"/>
        </w:rPr>
      </w:pPr>
      <w:r>
        <w:rPr>
          <w:rFonts w:ascii="Times New Roman" w:cs="Times New Roman" w:eastAsia="Times New Roman" w:hAnsi="Times New Roman"/>
          <w:sz w:val="17"/>
          <w:szCs w:val="17"/>
          <w:color w:val="auto"/>
        </w:rPr>
        <w:t>As of June 30, 2022 and 2021, we had $265.2 million and $294.7 million, respectively, in cash, cash equivalents and short-term investments, of which $241.1 million and $254.2 million, respectively, is located in foreign jurisdictions that upon distribution may be subject to withholding and other taxes. We periodically evaluate opportunities regarding distribution to fund our operations in the United States and other geographies, and as and when we decide to distribute, we may have to accrue additional taxes in accordance with local tax laws, rules and regulations in the relevant foreign jurisdictions.</w:t>
      </w:r>
    </w:p>
    <w:p>
      <w:pPr>
        <w:spacing w:after="0" w:line="196"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Operating Activities: </w:t>
      </w:r>
      <w:r>
        <w:rPr>
          <w:rFonts w:ascii="Times New Roman" w:cs="Times New Roman" w:eastAsia="Times New Roman" w:hAnsi="Times New Roman"/>
          <w:sz w:val="17"/>
          <w:szCs w:val="17"/>
          <w:color w:val="auto"/>
        </w:rPr>
        <w:t>Net cash provided by operating activities was $53.1 million for the six months ended June 30, 2022 as compared to net cash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provided by operating activities of $53.9 million for the six months ended June 30, 2021, reflecting our cash earnings and effective management of working capital needs. The major drivers contributing to the decrease of $0.8 million year-over-year included the following:</w:t>
      </w:r>
    </w:p>
    <w:p>
      <w:pPr>
        <w:spacing w:after="0" w:line="188" w:lineRule="exact"/>
        <w:rPr>
          <w:sz w:val="20"/>
          <w:szCs w:val="20"/>
          <w:color w:val="auto"/>
        </w:rPr>
      </w:pPr>
    </w:p>
    <w:p>
      <w:pPr>
        <w:jc w:val="both"/>
        <w:ind w:left="640" w:hanging="320"/>
        <w:spacing w:after="0" w:line="254" w:lineRule="auto"/>
        <w:tabs>
          <w:tab w:leader="none" w:pos="6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accrued employee costs, offset by an increase in accrued expenses and other liabilities contributed to a lower cash flow of $33.0 million in the six months ended June 30, 2022 compared to the six months ended June 30, 2021. The decrease was primarily due to higher payments (net of accruals) of annual performance incentives of $39.7 million, offset by higher employee costs accruals of $3.2 million and higher accrued expenses due to an increase in our cost base to support revenue growth of $3.5 million.</w:t>
      </w:r>
    </w:p>
    <w:p>
      <w:pPr>
        <w:spacing w:after="0" w:line="195" w:lineRule="exact"/>
        <w:rPr>
          <w:rFonts w:ascii="Times New Roman" w:cs="Times New Roman" w:eastAsia="Times New Roman" w:hAnsi="Times New Roman"/>
          <w:sz w:val="17"/>
          <w:szCs w:val="17"/>
          <w:color w:val="auto"/>
        </w:rPr>
      </w:pPr>
    </w:p>
    <w:p>
      <w:pPr>
        <w:jc w:val="both"/>
        <w:ind w:left="640" w:hanging="320"/>
        <w:spacing w:after="0" w:line="247" w:lineRule="auto"/>
        <w:tabs>
          <w:tab w:leader="none" w:pos="6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accounts receivable, including advance billings, contributed higher cash flow of $15.5 million in the six months ended June 30, 2022 compared to the six months ended June 30, 2021. The increase was a result of lower cash flows during the six months ended June 30, 2021 due to higher advance collections during the three months ended December 31, 2020. This was partially offset by higher accounts receivable resulting from revenue growth during the six months ended June 30, 2022 and increase in our accounts receivable days sales outstanding which was 60 days as of June 30, 2022 as compared to 58 days as of June 30, 2021.</w:t>
      </w:r>
    </w:p>
    <w:p>
      <w:pPr>
        <w:spacing w:after="0" w:line="200" w:lineRule="exact"/>
        <w:rPr>
          <w:rFonts w:ascii="Times New Roman" w:cs="Times New Roman" w:eastAsia="Times New Roman" w:hAnsi="Times New Roman"/>
          <w:sz w:val="17"/>
          <w:szCs w:val="17"/>
          <w:color w:val="auto"/>
        </w:rPr>
      </w:pPr>
    </w:p>
    <w:p>
      <w:pPr>
        <w:jc w:val="both"/>
        <w:ind w:left="640" w:hanging="320"/>
        <w:spacing w:after="0" w:line="261" w:lineRule="auto"/>
        <w:tabs>
          <w:tab w:leader="none" w:pos="6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net income of $12.1 million in the six months ended June 30, 2022 compared to the six months ended June 30, 2021, primarily due to an increase in income from operations of $13.6 million driven by higher revenues, lower interest expense of $2.6 million and higher gain from equity-method investment of $0.3 million, partially offset by higher income tax expense of $4.4 million.</w:t>
      </w:r>
    </w:p>
    <w:p>
      <w:pPr>
        <w:spacing w:after="0" w:line="188" w:lineRule="exact"/>
        <w:rPr>
          <w:rFonts w:ascii="Times New Roman" w:cs="Times New Roman" w:eastAsia="Times New Roman" w:hAnsi="Times New Roman"/>
          <w:sz w:val="17"/>
          <w:szCs w:val="17"/>
          <w:color w:val="auto"/>
        </w:rPr>
      </w:pPr>
    </w:p>
    <w:p>
      <w:pPr>
        <w:jc w:val="both"/>
        <w:ind w:left="640" w:hanging="320"/>
        <w:spacing w:after="0" w:line="261" w:lineRule="auto"/>
        <w:tabs>
          <w:tab w:leader="none" w:pos="6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drivers increasing cash flows during the six months ended June 30, 2022 compared to the six months ended June 30, 2021 included: lower income tax payments, net of refunds, of $4.4 million, primarily due to withholding tax payments during the six months ended June 30, 2021, offset by higher advance income tax payments on higher net income during the six months ended June 30, 2022.</w:t>
      </w:r>
    </w:p>
    <w:p>
      <w:pPr>
        <w:spacing w:after="0" w:line="186" w:lineRule="exact"/>
        <w:rPr>
          <w:sz w:val="20"/>
          <w:szCs w:val="20"/>
          <w:color w:val="auto"/>
        </w:rPr>
      </w:pPr>
    </w:p>
    <w:p>
      <w:pPr>
        <w:jc w:val="both"/>
        <w:ind w:firstLine="393"/>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Investing Activities: </w:t>
      </w:r>
      <w:r>
        <w:rPr>
          <w:rFonts w:ascii="Times New Roman" w:cs="Times New Roman" w:eastAsia="Times New Roman" w:hAnsi="Times New Roman"/>
          <w:sz w:val="17"/>
          <w:szCs w:val="17"/>
          <w:color w:val="auto"/>
        </w:rPr>
        <w:t>Cash flows used for investing activities were $41.0 million for the six months ended June 30, 2022 as compared to cash flows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provided by investing activities of $11.7 million for the six months ended June 30, 2021. The increase in cash flows used for investing activities of $52.7 million is mainly due to higher net purchase of investments of $13.5 million during six months ended June 30, 2022 as compared to net redemption of investments of $31.0 million during the six months ended June 30, 2021. The increase is also due to higher capital expenditures in infrastructure, technology assets, software and product developments of $5.5 million and acquisitions related payouts of $2.6 million during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393"/>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Financing Activities: </w:t>
      </w:r>
      <w:r>
        <w:rPr>
          <w:rFonts w:ascii="Times New Roman" w:cs="Times New Roman" w:eastAsia="Times New Roman" w:hAnsi="Times New Roman"/>
          <w:sz w:val="17"/>
          <w:szCs w:val="17"/>
          <w:color w:val="auto"/>
        </w:rPr>
        <w:t>Cash flows used for financing activities were $35.3 million during the six months ended June 30, 2022 as compared to cash flows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used for financing activities of $131.4 million during the six months ended June 30, 2021. The decrease of $96.1 million was primarily due to net proceeds of our borrowings under our revolving Credit Facility of $25.0 million during the six months ended June 30, 2022 as compared to net repayment of our borrowings of $74.0 million during the six months ended June 30, 2021. This was partially offset by higher purchases of treasury stock by $2.8 million under our share repurchase program during the six months ended June 30, 2022 as compared to the six months ended June 30, 2021.</w:t>
      </w:r>
    </w:p>
    <w:p>
      <w:pPr>
        <w:spacing w:after="0" w:line="208"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We expect to use cash from operating activities to maintain and expand our business by making investments, primarily related to new facilities and capital expenditures associated with leasehold improvements to build our facilities, digital capabilities and purchase telecommunications equipment and computer hardware and software in connection with managing client operations.</w:t>
      </w:r>
    </w:p>
    <w:p>
      <w:pPr>
        <w:spacing w:after="0" w:line="201"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We incurred $25.1 million of capital expenditures in the six months ended June 30, 2022. We expect to incur total capital expenditures of between $40.0 million to $45.0 million in 2022, primarily to meet our growth requirements, including additions to our facilities as well as investments in technology applications, product development, digital technology, advanced automation, robotics and infrastructure.</w:t>
      </w:r>
    </w:p>
    <w:p>
      <w:pPr>
        <w:spacing w:after="0" w:line="201" w:lineRule="exact"/>
        <w:rPr>
          <w:sz w:val="20"/>
          <w:szCs w:val="20"/>
          <w:color w:val="auto"/>
        </w:rPr>
      </w:pPr>
    </w:p>
    <w:p>
      <w:pPr>
        <w:jc w:val="both"/>
        <w:ind w:firstLine="393"/>
        <w:spacing w:after="0" w:line="260" w:lineRule="auto"/>
        <w:rPr>
          <w:sz w:val="20"/>
          <w:szCs w:val="20"/>
          <w:color w:val="auto"/>
        </w:rPr>
      </w:pPr>
      <w:r>
        <w:rPr>
          <w:rFonts w:ascii="Times New Roman" w:cs="Times New Roman" w:eastAsia="Times New Roman" w:hAnsi="Times New Roman"/>
          <w:sz w:val="17"/>
          <w:szCs w:val="17"/>
          <w:color w:val="auto"/>
        </w:rPr>
        <w:t>In connection with any tax assessment orders that have been issued or may be issued against us or our subsidiaries, we may be required to deposit additional amounts with respect to such assessment orders (see Note 24 - Commitments and Contingencies to our unaudited consolidated financial statements herein for further details). We anticipate that we will continue to rely upon cash from operating activities to finance our working capital needs, capital expenditures and smaller acquisitions. If we have significant growth through acquisitions, we may need to obtain additional financing.</w:t>
      </w:r>
    </w:p>
    <w:p>
      <w:pPr>
        <w:spacing w:after="0" w:line="176" w:lineRule="exact"/>
        <w:rPr>
          <w:sz w:val="20"/>
          <w:szCs w:val="20"/>
          <w:color w:val="auto"/>
        </w:rPr>
      </w:pPr>
    </w:p>
    <w:p>
      <w:pPr>
        <w:jc w:val="both"/>
        <w:ind w:firstLine="393"/>
        <w:spacing w:after="0" w:line="249" w:lineRule="auto"/>
        <w:rPr>
          <w:sz w:val="20"/>
          <w:szCs w:val="20"/>
          <w:color w:val="auto"/>
        </w:rPr>
      </w:pPr>
      <w:r>
        <w:rPr>
          <w:rFonts w:ascii="Times New Roman" w:cs="Times New Roman" w:eastAsia="Times New Roman" w:hAnsi="Times New Roman"/>
          <w:sz w:val="17"/>
          <w:szCs w:val="17"/>
          <w:color w:val="auto"/>
        </w:rPr>
        <w:t>We believe that our existing cash, cash equivalents and short-term investments and sources of liquidity will be sufficient to satisfy our cash requirements over the next 12 months. Our future cash requirements will depend on many factors, including our rate of revenue growth, our investments in strategic initiatives, applications or technologies, operation centers and acquisition of complementary businesses, continued purchases under our board-authorized stock repurchase program, which may require the use of significant cash resources and/or additional financing. Although we anticipate that we will continue to rely upon cash from operating activities to finance most of our above mentioned requirements, if we have significant growth through acquisitions, we may need to obtain additional financing.</w:t>
      </w:r>
    </w:p>
    <w:p>
      <w:pPr>
        <w:spacing w:after="0" w:line="199" w:lineRule="exact"/>
        <w:rPr>
          <w:sz w:val="20"/>
          <w:szCs w:val="20"/>
          <w:color w:val="auto"/>
        </w:rPr>
      </w:pPr>
    </w:p>
    <w:p>
      <w:pPr>
        <w:jc w:val="both"/>
        <w:ind w:firstLine="393"/>
        <w:spacing w:after="0" w:line="260" w:lineRule="auto"/>
        <w:rPr>
          <w:sz w:val="20"/>
          <w:szCs w:val="20"/>
          <w:color w:val="auto"/>
        </w:rPr>
      </w:pPr>
      <w:r>
        <w:rPr>
          <w:rFonts w:ascii="Times New Roman" w:cs="Times New Roman" w:eastAsia="Times New Roman" w:hAnsi="Times New Roman"/>
          <w:sz w:val="17"/>
          <w:szCs w:val="17"/>
          <w:color w:val="auto"/>
        </w:rPr>
        <w:t>In the ordinary course of business, we enter into contracts and commitments that obligate us to make payments in the future. These obligations include borrowings, including interest obligations, purchase commitments, operating and finance lease commitments, employee benefit payments under Gratuity plans and uncertain tax positions. See Note 17 - Borrowings, Note 20 - Leases, and Note 24 - Commitments and Contingencies to our unaudited consolidated financial statements herein for further information on material cash requirements from known contractual and other obligations.</w:t>
      </w:r>
    </w:p>
    <w:p>
      <w:pPr>
        <w:spacing w:after="0" w:line="202" w:lineRule="exact"/>
        <w:rPr>
          <w:sz w:val="20"/>
          <w:szCs w:val="20"/>
          <w:color w:val="auto"/>
        </w:rPr>
      </w:pPr>
    </w:p>
    <w:p>
      <w:pPr>
        <w:jc w:val="both"/>
        <w:ind w:firstLine="393"/>
        <w:spacing w:after="0" w:line="260" w:lineRule="auto"/>
        <w:rPr>
          <w:sz w:val="20"/>
          <w:szCs w:val="20"/>
          <w:color w:val="auto"/>
        </w:rPr>
      </w:pPr>
      <w:r>
        <w:rPr>
          <w:rFonts w:ascii="Times New Roman" w:cs="Times New Roman" w:eastAsia="Times New Roman" w:hAnsi="Times New Roman"/>
          <w:sz w:val="17"/>
          <w:szCs w:val="17"/>
          <w:color w:val="auto"/>
        </w:rPr>
        <w:t>In the ordinary course of business, we provide standby letters of credit to third parties primarily for facility leases. As of June 30, 2022 and December 31, 2021, we had outstanding letters of credit of $0.5 million, each, that were not recognized in our consolidated balance sheets. These are not reasonably likely to have a current or future material effect on our financial condition, revenues or expenses, results of operations, liquidity, capital expenditures or capital resources. We had no other off-balance sheet arrangements or obligations.</w:t>
      </w:r>
    </w:p>
    <w:p>
      <w:pPr>
        <w:spacing w:after="0" w:line="189"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The Coronavirus Aid, Relief, and Economic Security Act (the “CARES Act”) allows employers to defer the payment of the employer share of Federal Insurance Contributions Act (“FICA”) taxes for the period from April 1, 2020 and ending December 31, 2020. The deferred amount is payable as follows: (1) 50% of the deferred amount was paid on or before December 31, 2021 and (2) the remaining 50% of the deferred amount will be paid on or before December 31, 2022. Our deferred contributions, net of payments to FICA was $3.1 million as of June 30, 2022 and December 31, 2021, each, which will be paid on or before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Arrangements (Debt Facility)</w:t>
      </w:r>
    </w:p>
    <w:p>
      <w:pPr>
        <w:spacing w:after="0" w:line="2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tables summarizes our debt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Current portion of long-term borrowings</w:t>
      </w:r>
    </w:p>
    <w:p>
      <w:pPr>
        <w:spacing w:after="0" w:line="2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Long-term borrowings</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Total borrowings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60" w:type="dxa"/>
            <w:vAlign w:val="bottom"/>
          </w:tcPr>
          <w:p>
            <w:pPr>
              <w:spacing w:after="0"/>
              <w:rPr>
                <w:sz w:val="16"/>
                <w:szCs w:val="16"/>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30,2022</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4"/>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0" w:type="dxa"/>
            <w:vAlign w:val="bottom"/>
          </w:tcPr>
          <w:p>
            <w:pPr>
              <w:spacing w:after="0"/>
              <w:rPr>
                <w:sz w:val="1"/>
                <w:szCs w:val="1"/>
                <w:color w:val="auto"/>
              </w:rPr>
            </w:pPr>
          </w:p>
        </w:tc>
      </w:tr>
      <w:tr>
        <w:trPr>
          <w:trHeight w:val="24"/>
        </w:trPr>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60" w:type="dxa"/>
            <w:vAlign w:val="bottom"/>
          </w:tcPr>
          <w:p>
            <w:pPr>
              <w:spacing w:after="0"/>
              <w:rPr>
                <w:sz w:val="11"/>
                <w:szCs w:val="11"/>
                <w:color w:val="auto"/>
              </w:rPr>
            </w:pPr>
          </w:p>
        </w:tc>
        <w:tc>
          <w:tcPr>
            <w:tcW w:w="1280" w:type="dxa"/>
            <w:vAlign w:val="bottom"/>
          </w:tcPr>
          <w:p>
            <w:pPr>
              <w:jc w:val="right"/>
              <w:ind w:right="123"/>
              <w:spacing w:after="0" w:line="132" w:lineRule="exact"/>
              <w:rPr>
                <w:sz w:val="20"/>
                <w:szCs w:val="20"/>
                <w:color w:val="auto"/>
              </w:rPr>
            </w:pPr>
            <w:r>
              <w:rPr>
                <w:rFonts w:ascii="Times New Roman" w:cs="Times New Roman" w:eastAsia="Times New Roman" w:hAnsi="Times New Roman"/>
                <w:sz w:val="14"/>
                <w:szCs w:val="14"/>
                <w:b w:val="1"/>
                <w:bCs w:val="1"/>
                <w:color w:val="auto"/>
              </w:rPr>
              <w:t>Revolving Credit</w:t>
            </w:r>
          </w:p>
        </w:tc>
        <w:tc>
          <w:tcPr>
            <w:tcW w:w="44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1"/>
                <w:szCs w:val="11"/>
                <w:color w:val="auto"/>
              </w:rPr>
            </w:pPr>
          </w:p>
        </w:tc>
        <w:tc>
          <w:tcPr>
            <w:tcW w:w="1400" w:type="dxa"/>
            <w:vAlign w:val="bottom"/>
            <w:gridSpan w:val="2"/>
          </w:tcPr>
          <w:p>
            <w:pPr>
              <w:jc w:val="center"/>
              <w:ind w:right="260"/>
              <w:spacing w:after="0" w:line="132" w:lineRule="exact"/>
              <w:rPr>
                <w:sz w:val="20"/>
                <w:szCs w:val="20"/>
                <w:color w:val="auto"/>
              </w:rPr>
            </w:pPr>
            <w:r>
              <w:rPr>
                <w:rFonts w:ascii="Times New Roman" w:cs="Times New Roman" w:eastAsia="Times New Roman" w:hAnsi="Times New Roman"/>
                <w:sz w:val="14"/>
                <w:szCs w:val="14"/>
                <w:b w:val="1"/>
                <w:bCs w:val="1"/>
                <w:color w:val="auto"/>
                <w:w w:val="99"/>
              </w:rPr>
              <w:t>Revolving Credit</w:t>
            </w:r>
          </w:p>
        </w:tc>
        <w:tc>
          <w:tcPr>
            <w:tcW w:w="400" w:type="dxa"/>
            <w:vAlign w:val="bottom"/>
          </w:tcPr>
          <w:p>
            <w:pPr>
              <w:spacing w:after="0"/>
              <w:rPr>
                <w:sz w:val="11"/>
                <w:szCs w:val="11"/>
                <w:color w:val="auto"/>
              </w:rPr>
            </w:pPr>
          </w:p>
        </w:tc>
        <w:tc>
          <w:tcPr>
            <w:tcW w:w="740" w:type="dxa"/>
            <w:vAlign w:val="bottom"/>
            <w:vMerge w:val="restart"/>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128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4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4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44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260.0</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260.0</w:t>
            </w:r>
          </w:p>
        </w:tc>
        <w:tc>
          <w:tcPr>
            <w:tcW w:w="0" w:type="dxa"/>
            <w:vAlign w:val="bottom"/>
          </w:tcPr>
          <w:p>
            <w:pPr>
              <w:spacing w:after="0"/>
              <w:rPr>
                <w:sz w:val="1"/>
                <w:szCs w:val="1"/>
                <w:color w:val="auto"/>
              </w:rPr>
            </w:pPr>
          </w:p>
        </w:tc>
      </w:tr>
      <w:tr>
        <w:trPr>
          <w:trHeight w:val="480"/>
        </w:trPr>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4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285.0</w:t>
            </w:r>
          </w:p>
        </w:tc>
        <w:tc>
          <w:tcPr>
            <w:tcW w:w="44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260.0</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260.0</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-640715</wp:posOffset>
            </wp:positionV>
            <wp:extent cx="6087110" cy="1498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87110" cy="149860"/>
                    </a:xfrm>
                    <a:prstGeom prst="rect">
                      <a:avLst/>
                    </a:prstGeom>
                    <a:noFill/>
                  </pic:spPr>
                </pic:pic>
              </a:graphicData>
            </a:graphic>
          </wp:anchor>
        </w:drawing>
        <w:drawing>
          <wp:anchor simplePos="0" relativeHeight="251657728" behindDoc="1" locked="0" layoutInCell="0" allowOverlap="1">
            <wp:simplePos x="0" y="0"/>
            <wp:positionH relativeFrom="column">
              <wp:posOffset>-2657475</wp:posOffset>
            </wp:positionH>
            <wp:positionV relativeFrom="paragraph">
              <wp:posOffset>-182245</wp:posOffset>
            </wp:positionV>
            <wp:extent cx="6087110" cy="166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87110" cy="1663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00" w:space="720"/>
            <w:col w:w="6420"/>
          </w:cols>
          <w:pgMar w:left="320" w:top="355" w:right="339" w:bottom="1440" w:gutter="0" w:footer="0" w:header="0"/>
        </w:sectPr>
      </w:pPr>
    </w:p>
    <w:p>
      <w:pPr>
        <w:spacing w:after="0" w:line="29" w:lineRule="exact"/>
        <w:rPr>
          <w:sz w:val="20"/>
          <w:szCs w:val="20"/>
          <w:color w:val="auto"/>
        </w:rPr>
      </w:pPr>
    </w:p>
    <w:p>
      <w:pPr>
        <w:ind w:firstLine="393"/>
        <w:spacing w:after="0" w:line="299" w:lineRule="auto"/>
        <w:rPr>
          <w:sz w:val="20"/>
          <w:szCs w:val="20"/>
          <w:color w:val="auto"/>
        </w:rPr>
      </w:pPr>
      <w:r>
        <w:rPr>
          <w:rFonts w:ascii="Times New Roman" w:cs="Times New Roman" w:eastAsia="Times New Roman" w:hAnsi="Times New Roman"/>
          <w:sz w:val="17"/>
          <w:szCs w:val="17"/>
          <w:i w:val="1"/>
          <w:iCs w:val="1"/>
          <w:color w:val="auto"/>
        </w:rPr>
        <w:t>Unamortized debt issuance costs for our revolving Credit Facility of $1.3 million and $0.2 million as of June 30, 2022 and December 31, 2021, respectively, is presented under “Other current assets” and “Other assets,” as applicable in our consolidated balance sheets.</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See Note 17 - Borrowings to our unaudited consolidated financial statements herein for further details.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21" w:lineRule="exact"/>
        <w:rPr>
          <w:sz w:val="20"/>
          <w:szCs w:val="20"/>
          <w:color w:val="auto"/>
        </w:rPr>
      </w:pPr>
    </w:p>
    <w:p>
      <w:pPr>
        <w:ind w:firstLine="433"/>
        <w:spacing w:after="0" w:line="297" w:lineRule="auto"/>
        <w:rPr>
          <w:sz w:val="20"/>
          <w:szCs w:val="20"/>
          <w:color w:val="auto"/>
        </w:rPr>
      </w:pPr>
      <w:r>
        <w:rPr>
          <w:rFonts w:ascii="Times New Roman" w:cs="Times New Roman" w:eastAsia="Times New Roman" w:hAnsi="Times New Roman"/>
          <w:sz w:val="17"/>
          <w:szCs w:val="17"/>
          <w:color w:val="auto"/>
        </w:rPr>
        <w:t>For a description of recent accounting pronouncements, see Note 2—“Recent Accounting Pronouncements” to our unaudited consolidated financial statements contained herein.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5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239" w:lineRule="exact"/>
        <w:rPr>
          <w:sz w:val="20"/>
          <w:szCs w:val="20"/>
          <w:color w:val="auto"/>
        </w:rPr>
      </w:pPr>
    </w:p>
    <w:p>
      <w:pPr>
        <w:jc w:val="both"/>
        <w:ind w:firstLine="433"/>
        <w:spacing w:after="0" w:line="261" w:lineRule="auto"/>
        <w:rPr>
          <w:sz w:val="20"/>
          <w:szCs w:val="20"/>
          <w:color w:val="auto"/>
        </w:rPr>
      </w:pPr>
      <w:r>
        <w:rPr>
          <w:rFonts w:ascii="Times New Roman" w:cs="Times New Roman" w:eastAsia="Times New Roman" w:hAnsi="Times New Roman"/>
          <w:sz w:val="17"/>
          <w:szCs w:val="17"/>
          <w:color w:val="auto"/>
        </w:rPr>
        <w:t>During the three months ended June 30, 2022, there were no material changes in our market risk exposure. For a discussion of our market risk associated with exchange rate risk and interest rate risk, see Part II, Item 7A “Quantitative and Qualitative Disclosures About Market Risk” in our Annual Report on Form 10-K for the fiscal year ended December 31, 2021.</w:t>
      </w:r>
    </w:p>
    <w:p>
      <w:pPr>
        <w:spacing w:after="0" w:line="200" w:lineRule="exact"/>
        <w:rPr>
          <w:sz w:val="20"/>
          <w:szCs w:val="20"/>
          <w:color w:val="auto"/>
        </w:rPr>
      </w:pPr>
    </w:p>
    <w:p>
      <w:pPr>
        <w:spacing w:after="0" w:line="34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359" w:lineRule="exact"/>
        <w:rPr>
          <w:sz w:val="20"/>
          <w:szCs w:val="20"/>
          <w:color w:val="auto"/>
        </w:rPr>
      </w:pPr>
    </w:p>
    <w:p>
      <w:pPr>
        <w:jc w:val="both"/>
        <w:ind w:firstLine="472"/>
        <w:spacing w:after="0" w:line="264" w:lineRule="auto"/>
        <w:rPr>
          <w:sz w:val="20"/>
          <w:szCs w:val="20"/>
          <w:color w:val="auto"/>
        </w:rPr>
      </w:pPr>
      <w:r>
        <w:rPr>
          <w:rFonts w:ascii="Times New Roman" w:cs="Times New Roman" w:eastAsia="Times New Roman" w:hAnsi="Times New Roman"/>
          <w:sz w:val="17"/>
          <w:szCs w:val="17"/>
          <w:color w:val="auto"/>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U.S. Securities and Exchange Commission’s rules and forms, and that such information is accumulated and communicated to our management, including its Chief Executive Officer (“CEO”) and Chief Financial Officer (“CFO”), to allow timely decisions regarding required disclosure. In connection with the preparation of this Quarterly Report on Form 10-Q, our management carried out an evaluation, under the supervision and with the participation of the CEO and CFO, of the effectiveness and operation of our disclosure controls and procedures as of June 30, 2022. Based upon that evaluation, the CEO and CFO have concluded that our disclosure controls and procedures, as of June 30, 2022, were effective.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254" w:lineRule="exact"/>
        <w:rPr>
          <w:sz w:val="20"/>
          <w:szCs w:val="20"/>
          <w:color w:val="auto"/>
        </w:rPr>
      </w:pPr>
    </w:p>
    <w:p>
      <w:pPr>
        <w:jc w:val="both"/>
        <w:ind w:firstLine="393"/>
        <w:spacing w:after="0" w:line="281" w:lineRule="auto"/>
        <w:rPr>
          <w:sz w:val="20"/>
          <w:szCs w:val="20"/>
          <w:color w:val="auto"/>
        </w:rPr>
      </w:pPr>
      <w:r>
        <w:rPr>
          <w:rFonts w:ascii="Times New Roman" w:cs="Times New Roman" w:eastAsia="Times New Roman" w:hAnsi="Times New Roman"/>
          <w:sz w:val="17"/>
          <w:szCs w:val="17"/>
          <w:color w:val="auto"/>
        </w:rPr>
        <w:t>During the three months ended June 30, 2022,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172"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In making its assessment of the changes in internal control over financial reporting during the six months ended June 30, 2022, our management excluded an evaluation of the disclosure controls and procedures of Clairvoyant and Inbound which we acquired on December 16, 2021 and June 10, 2022, respectively. See Note 9 - Business Combination, Goodwill and Intangible Assets to our unaudited consolidated financial statements contained herein for details of our acquisition.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PART II.</w:t>
        <w:tab/>
        <w:t>Other Information</w:t>
      </w:r>
    </w:p>
    <w:p>
      <w:pPr>
        <w:spacing w:after="0" w:line="36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252" w:lineRule="exact"/>
        <w:rPr>
          <w:sz w:val="20"/>
          <w:szCs w:val="20"/>
          <w:color w:val="auto"/>
        </w:rPr>
      </w:pPr>
    </w:p>
    <w:p>
      <w:pPr>
        <w:jc w:val="both"/>
        <w:ind w:firstLine="393"/>
        <w:spacing w:after="0" w:line="281" w:lineRule="auto"/>
        <w:rPr>
          <w:sz w:val="20"/>
          <w:szCs w:val="20"/>
          <w:color w:val="auto"/>
        </w:rPr>
      </w:pPr>
      <w:r>
        <w:rPr>
          <w:rFonts w:ascii="Times New Roman" w:cs="Times New Roman" w:eastAsia="Times New Roman" w:hAnsi="Times New Roman"/>
          <w:sz w:val="17"/>
          <w:szCs w:val="17"/>
          <w:color w:val="auto"/>
        </w:rPr>
        <w:t>In the course of our normal business activities, various lawsuits, claims and proceedings may be instituted or asserted against us. Although there can be no assurance, we believe that the disposition of matters currently instituted or asserted will not have a material adverse effect on our consolidated financial</w:t>
      </w:r>
    </w:p>
    <w:p>
      <w:pPr>
        <w:spacing w:after="0" w:line="1"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color w:val="auto"/>
        </w:rPr>
        <w:t>position, results of operations or cash flows. See Note 24 - Commitments and Contingencies to our unaudited consolidated financial statements contained herein for details.</w:t>
      </w:r>
    </w:p>
    <w:p>
      <w:pPr>
        <w:spacing w:after="0" w:line="15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252"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We have disclosed below, as well as under the heading “Risk Factors” in our Annual Report on Form 10-K for the fiscal year ended December 31, 2021 (the “2021 Form 10-K”), supplemented by the disclosure below, a number of risks which may materially affect our business, financial condition or results of operations. You should carefully consider these Risk Factors and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194" w:lineRule="exact"/>
        <w:rPr>
          <w:sz w:val="20"/>
          <w:szCs w:val="20"/>
          <w:color w:val="auto"/>
        </w:rPr>
      </w:pPr>
    </w:p>
    <w:p>
      <w:pPr>
        <w:jc w:val="both"/>
        <w:ind w:firstLine="433"/>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Our results of operations could be adversely affected by economic and political conditions globally and the effects of these conditions on our clients’ businesses and levels of business activity.</w:t>
      </w:r>
    </w:p>
    <w:p>
      <w:pPr>
        <w:spacing w:after="0" w:line="155" w:lineRule="exact"/>
        <w:rPr>
          <w:sz w:val="20"/>
          <w:szCs w:val="20"/>
          <w:color w:val="auto"/>
        </w:rPr>
      </w:pPr>
    </w:p>
    <w:p>
      <w:pPr>
        <w:jc w:val="both"/>
        <w:ind w:firstLine="472"/>
        <w:spacing w:after="0" w:line="253" w:lineRule="auto"/>
        <w:rPr>
          <w:sz w:val="20"/>
          <w:szCs w:val="20"/>
          <w:color w:val="auto"/>
        </w:rPr>
      </w:pPr>
      <w:r>
        <w:rPr>
          <w:rFonts w:ascii="Times New Roman" w:cs="Times New Roman" w:eastAsia="Times New Roman" w:hAnsi="Times New Roman"/>
          <w:sz w:val="17"/>
          <w:szCs w:val="17"/>
          <w:color w:val="auto"/>
        </w:rPr>
        <w:t>The Russian invasion of Ukraine and the resulting economic sanctions imposed by the United States and other countries, along with certain international organizations, have impacted the global economy and given rise to potential global security issues that may adversely affect international business and economic conditions. Additional sanctions could further damage or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4" w:lineRule="exact"/>
        <w:rPr>
          <w:sz w:val="20"/>
          <w:szCs w:val="20"/>
          <w:color w:val="auto"/>
        </w:rPr>
      </w:pPr>
    </w:p>
    <w:p>
      <w:pPr>
        <w:jc w:val="both"/>
        <w:ind w:right="100"/>
        <w:spacing w:after="0" w:line="251" w:lineRule="auto"/>
        <w:rPr>
          <w:sz w:val="20"/>
          <w:szCs w:val="20"/>
          <w:color w:val="auto"/>
        </w:rPr>
      </w:pPr>
      <w:r>
        <w:rPr>
          <w:rFonts w:ascii="Times New Roman" w:cs="Times New Roman" w:eastAsia="Times New Roman" w:hAnsi="Times New Roman"/>
          <w:sz w:val="17"/>
          <w:szCs w:val="17"/>
          <w:color w:val="auto"/>
        </w:rPr>
        <w:t>disrupt international commerce. Although we have no operations in Russia or Ukraine, certain of our customers and suppliers may have been or may in the future be impacted by these events. Moreover, the ongoing effects of the hostilities and sanctions may not be limited to Russia and Russian companies and may spill over to and negatively impact other regional and global economic markets. A prolonged conflict may result in increased inflation, rising energy prices and constrained supply chain, and thus may lead to inflationary global economic environment. At this time, the extent and duration of the military action, resulting sanctions and future economic and market disruptions, and resulting effects on the Company, are impossible to predict.</w:t>
      </w:r>
    </w:p>
    <w:p>
      <w:pPr>
        <w:spacing w:after="0" w:line="200" w:lineRule="exact"/>
        <w:rPr>
          <w:sz w:val="20"/>
          <w:szCs w:val="20"/>
          <w:color w:val="auto"/>
        </w:rPr>
      </w:pPr>
    </w:p>
    <w:p>
      <w:pPr>
        <w:spacing w:after="0" w:line="24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Unregistered Sales of Equity Securities</w:t>
      </w:r>
    </w:p>
    <w:p>
      <w:pPr>
        <w:spacing w:after="0" w:line="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None.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Proceeds</w:t>
      </w:r>
    </w:p>
    <w:p>
      <w:pPr>
        <w:spacing w:after="0" w:line="2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None.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Purchases of Equity Securities by the Issuer</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During the three months ended June 30, 2022, purchases of common stock were as follows:</w:t>
      </w:r>
    </w:p>
    <w:p>
      <w:pPr>
        <w:sectPr>
          <w:pgSz w:w="11900" w:h="16838" w:orient="portrait"/>
          <w:cols w:equalWidth="0" w:num="1">
            <w:col w:w="11340"/>
          </w:cols>
          <w:pgMar w:left="320" w:top="355" w:right="2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Period</w:t>
      </w: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April 1, 2022 through April 30, 2022</w:t>
      </w:r>
    </w:p>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May 1, 2022 through May 31, 2022</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June 1, 2022 through June 30, 2022</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Total Number of</w:t>
            </w:r>
          </w:p>
        </w:tc>
        <w:tc>
          <w:tcPr>
            <w:tcW w:w="120" w:type="dxa"/>
            <w:vAlign w:val="bottom"/>
          </w:tcPr>
          <w:p>
            <w:pPr>
              <w:spacing w:after="0"/>
              <w:rPr>
                <w:sz w:val="17"/>
                <w:szCs w:val="17"/>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99"/>
              </w:rPr>
              <w:t>Average Price</w:t>
            </w:r>
          </w:p>
        </w:tc>
      </w:tr>
      <w:tr>
        <w:trPr>
          <w:trHeight w:val="230"/>
        </w:trPr>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Shares Purchased</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Paid per share</w:t>
            </w:r>
          </w:p>
        </w:tc>
      </w:tr>
      <w:tr>
        <w:trPr>
          <w:trHeight w:val="269"/>
        </w:trPr>
        <w:tc>
          <w:tcPr>
            <w:tcW w:w="15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r>
      <w:tr>
        <w:trPr>
          <w:trHeight w:val="211"/>
        </w:trPr>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46,778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145.50</w:t>
            </w:r>
          </w:p>
        </w:tc>
      </w:tr>
      <w:tr>
        <w:trPr>
          <w:trHeight w:val="223"/>
        </w:trPr>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75,089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132.59</w:t>
            </w:r>
          </w:p>
        </w:tc>
      </w:tr>
      <w:tr>
        <w:trPr>
          <w:trHeight w:val="228"/>
        </w:trPr>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83,849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143.64</w:t>
            </w:r>
          </w:p>
        </w:tc>
      </w:tr>
      <w:tr>
        <w:trPr>
          <w:trHeight w:val="216"/>
        </w:trPr>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205,716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140.03</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-2566035</wp:posOffset>
            </wp:positionH>
            <wp:positionV relativeFrom="paragraph">
              <wp:posOffset>-323850</wp:posOffset>
            </wp:positionV>
            <wp:extent cx="6922770" cy="1416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22770" cy="141605"/>
                    </a:xfrm>
                    <a:prstGeom prst="rect">
                      <a:avLst/>
                    </a:prstGeom>
                    <a:noFill/>
                  </pic:spPr>
                </pic:pic>
              </a:graphicData>
            </a:graphic>
          </wp:anchor>
        </w:drawing>
        <w:drawing>
          <wp:anchor simplePos="0" relativeHeight="251657728" behindDoc="1" locked="0" layoutInCell="0" allowOverlap="1">
            <wp:simplePos x="0" y="0"/>
            <wp:positionH relativeFrom="column">
              <wp:posOffset>-2566035</wp:posOffset>
            </wp:positionH>
            <wp:positionV relativeFrom="paragraph">
              <wp:posOffset>-615315</wp:posOffset>
            </wp:positionV>
            <wp:extent cx="6922770" cy="1498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22770" cy="1498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Total Number of</w:t>
            </w:r>
          </w:p>
        </w:tc>
        <w:tc>
          <w:tcPr>
            <w:tcW w:w="2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Approximate Dollar Value</w:t>
            </w:r>
          </w:p>
        </w:tc>
        <w:tc>
          <w:tcPr>
            <w:tcW w:w="0" w:type="dxa"/>
            <w:vAlign w:val="bottom"/>
          </w:tcPr>
          <w:p>
            <w:pPr>
              <w:spacing w:after="0"/>
              <w:rPr>
                <w:sz w:val="1"/>
                <w:szCs w:val="1"/>
                <w:color w:val="auto"/>
              </w:rPr>
            </w:pPr>
          </w:p>
        </w:tc>
      </w:tr>
      <w:tr>
        <w:trPr>
          <w:trHeight w:val="92"/>
        </w:trPr>
        <w:tc>
          <w:tcPr>
            <w:tcW w:w="1880" w:type="dxa"/>
            <w:vAlign w:val="bottom"/>
            <w:gridSpan w:val="2"/>
            <w:vMerge w:val="restart"/>
          </w:tcPr>
          <w:p>
            <w:pPr>
              <w:jc w:val="center"/>
              <w:ind w:right="120"/>
              <w:spacing w:after="0" w:line="171" w:lineRule="exact"/>
              <w:rPr>
                <w:sz w:val="20"/>
                <w:szCs w:val="20"/>
                <w:color w:val="auto"/>
              </w:rPr>
            </w:pPr>
            <w:r>
              <w:rPr>
                <w:rFonts w:ascii="Times New Roman" w:cs="Times New Roman" w:eastAsia="Times New Roman" w:hAnsi="Times New Roman"/>
                <w:sz w:val="17"/>
                <w:szCs w:val="17"/>
                <w:b w:val="1"/>
                <w:bCs w:val="1"/>
                <w:color w:val="auto"/>
              </w:rPr>
              <w:t>Shares Purchased as</w:t>
            </w:r>
          </w:p>
        </w:tc>
        <w:tc>
          <w:tcPr>
            <w:tcW w:w="2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1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900" w:type="dxa"/>
            <w:vAlign w:val="bottom"/>
            <w:vMerge w:val="restart"/>
          </w:tcPr>
          <w:p>
            <w:pPr>
              <w:jc w:val="center"/>
              <w:spacing w:after="0" w:line="171" w:lineRule="exact"/>
              <w:rPr>
                <w:sz w:val="20"/>
                <w:szCs w:val="20"/>
                <w:color w:val="auto"/>
              </w:rPr>
            </w:pPr>
            <w:r>
              <w:rPr>
                <w:rFonts w:ascii="Times New Roman" w:cs="Times New Roman" w:eastAsia="Times New Roman" w:hAnsi="Times New Roman"/>
                <w:sz w:val="17"/>
                <w:szCs w:val="17"/>
                <w:b w:val="1"/>
                <w:bCs w:val="1"/>
                <w:color w:val="auto"/>
              </w:rPr>
              <w:t>of Shares That May Yet</w:t>
            </w:r>
          </w:p>
        </w:tc>
        <w:tc>
          <w:tcPr>
            <w:tcW w:w="0" w:type="dxa"/>
            <w:vAlign w:val="bottom"/>
          </w:tcPr>
          <w:p>
            <w:pPr>
              <w:spacing w:after="0"/>
              <w:rPr>
                <w:sz w:val="1"/>
                <w:szCs w:val="1"/>
                <w:color w:val="auto"/>
              </w:rPr>
            </w:pPr>
          </w:p>
        </w:tc>
      </w:tr>
      <w:tr>
        <w:trPr>
          <w:trHeight w:val="92"/>
        </w:trPr>
        <w:tc>
          <w:tcPr>
            <w:tcW w:w="1880" w:type="dxa"/>
            <w:vAlign w:val="bottom"/>
            <w:gridSpan w:val="2"/>
            <w:vMerge w:val="restart"/>
          </w:tcPr>
          <w:p>
            <w:pPr>
              <w:jc w:val="center"/>
              <w:ind w:right="100"/>
              <w:spacing w:after="0" w:line="176" w:lineRule="exact"/>
              <w:rPr>
                <w:sz w:val="20"/>
                <w:szCs w:val="20"/>
                <w:color w:val="auto"/>
              </w:rPr>
            </w:pPr>
            <w:r>
              <w:rPr>
                <w:rFonts w:ascii="Times New Roman" w:cs="Times New Roman" w:eastAsia="Times New Roman" w:hAnsi="Times New Roman"/>
                <w:sz w:val="17"/>
                <w:szCs w:val="17"/>
                <w:b w:val="1"/>
                <w:bCs w:val="1"/>
                <w:color w:val="auto"/>
              </w:rPr>
              <w:t>Part of Publicly</w:t>
            </w:r>
          </w:p>
        </w:tc>
        <w:tc>
          <w:tcPr>
            <w:tcW w:w="100" w:type="dxa"/>
            <w:vAlign w:val="bottom"/>
          </w:tcPr>
          <w:p>
            <w:pPr>
              <w:spacing w:after="0"/>
              <w:rPr>
                <w:sz w:val="7"/>
                <w:szCs w:val="7"/>
                <w:color w:val="auto"/>
              </w:rPr>
            </w:pPr>
          </w:p>
        </w:tc>
        <w:tc>
          <w:tcPr>
            <w:tcW w:w="1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90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Be Purchased Under the</w:t>
            </w:r>
          </w:p>
        </w:tc>
        <w:tc>
          <w:tcPr>
            <w:tcW w:w="0" w:type="dxa"/>
            <w:vAlign w:val="bottom"/>
          </w:tcPr>
          <w:p>
            <w:pPr>
              <w:spacing w:after="0"/>
              <w:rPr>
                <w:sz w:val="1"/>
                <w:szCs w:val="1"/>
                <w:color w:val="auto"/>
              </w:rPr>
            </w:pPr>
          </w:p>
        </w:tc>
      </w:tr>
      <w:tr>
        <w:trPr>
          <w:trHeight w:val="92"/>
        </w:trPr>
        <w:tc>
          <w:tcPr>
            <w:tcW w:w="1880" w:type="dxa"/>
            <w:vAlign w:val="bottom"/>
            <w:gridSpan w:val="2"/>
            <w:vMerge w:val="restart"/>
          </w:tcPr>
          <w:p>
            <w:pPr>
              <w:jc w:val="center"/>
              <w:ind w:right="120"/>
              <w:spacing w:after="0" w:line="178" w:lineRule="exact"/>
              <w:rPr>
                <w:sz w:val="20"/>
                <w:szCs w:val="20"/>
                <w:color w:val="auto"/>
              </w:rPr>
            </w:pPr>
            <w:r>
              <w:rPr>
                <w:rFonts w:ascii="Times New Roman" w:cs="Times New Roman" w:eastAsia="Times New Roman" w:hAnsi="Times New Roman"/>
                <w:sz w:val="17"/>
                <w:szCs w:val="17"/>
                <w:b w:val="1"/>
                <w:bCs w:val="1"/>
                <w:color w:val="auto"/>
              </w:rPr>
              <w:t>Announced Plans or</w:t>
            </w:r>
          </w:p>
        </w:tc>
        <w:tc>
          <w:tcPr>
            <w:tcW w:w="100" w:type="dxa"/>
            <w:vAlign w:val="bottom"/>
          </w:tcPr>
          <w:p>
            <w:pPr>
              <w:spacing w:after="0"/>
              <w:rPr>
                <w:sz w:val="7"/>
                <w:szCs w:val="7"/>
                <w:color w:val="auto"/>
              </w:rPr>
            </w:pPr>
          </w:p>
        </w:tc>
        <w:tc>
          <w:tcPr>
            <w:tcW w:w="1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Plans or Programs</w:t>
            </w:r>
          </w:p>
        </w:tc>
        <w:tc>
          <w:tcPr>
            <w:tcW w:w="0" w:type="dxa"/>
            <w:vAlign w:val="bottom"/>
          </w:tcPr>
          <w:p>
            <w:pPr>
              <w:spacing w:after="0"/>
              <w:rPr>
                <w:sz w:val="1"/>
                <w:szCs w:val="1"/>
                <w:color w:val="auto"/>
              </w:rPr>
            </w:pPr>
          </w:p>
        </w:tc>
      </w:tr>
      <w:tr>
        <w:trPr>
          <w:trHeight w:val="144"/>
        </w:trPr>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Programs</w:t>
            </w:r>
          </w:p>
        </w:tc>
        <w:tc>
          <w:tcPr>
            <w:tcW w:w="10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46,778</w:t>
            </w:r>
          </w:p>
        </w:tc>
        <w:tc>
          <w:tcPr>
            <w:tcW w:w="100" w:type="dxa"/>
            <w:vAlign w:val="bottom"/>
          </w:tcPr>
          <w:p>
            <w:pPr>
              <w:spacing w:after="0"/>
              <w:rPr>
                <w:sz w:val="18"/>
                <w:szCs w:val="18"/>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265,000,088</w:t>
            </w:r>
          </w:p>
        </w:tc>
        <w:tc>
          <w:tcPr>
            <w:tcW w:w="0" w:type="dxa"/>
            <w:vAlign w:val="bottom"/>
          </w:tcPr>
          <w:p>
            <w:pPr>
              <w:spacing w:after="0"/>
              <w:rPr>
                <w:sz w:val="1"/>
                <w:szCs w:val="1"/>
                <w:color w:val="auto"/>
              </w:rPr>
            </w:pPr>
          </w:p>
        </w:tc>
      </w:tr>
      <w:tr>
        <w:trPr>
          <w:trHeight w:val="223"/>
        </w:trPr>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75,089</w:t>
            </w:r>
          </w:p>
        </w:tc>
        <w:tc>
          <w:tcPr>
            <w:tcW w:w="10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255,044,097</w:t>
            </w:r>
          </w:p>
        </w:tc>
        <w:tc>
          <w:tcPr>
            <w:tcW w:w="0" w:type="dxa"/>
            <w:vAlign w:val="bottom"/>
          </w:tcPr>
          <w:p>
            <w:pPr>
              <w:spacing w:after="0"/>
              <w:rPr>
                <w:sz w:val="1"/>
                <w:szCs w:val="1"/>
                <w:color w:val="auto"/>
              </w:rPr>
            </w:pPr>
          </w:p>
        </w:tc>
      </w:tr>
      <w:tr>
        <w:trPr>
          <w:trHeight w:val="228"/>
        </w:trPr>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83,849</w:t>
            </w:r>
          </w:p>
        </w:tc>
        <w:tc>
          <w:tcPr>
            <w:tcW w:w="100" w:type="dxa"/>
            <w:vAlign w:val="bottom"/>
          </w:tcPr>
          <w:p>
            <w:pPr>
              <w:spacing w:after="0"/>
              <w:rPr>
                <w:sz w:val="19"/>
                <w:szCs w:val="19"/>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243,000,163</w:t>
            </w:r>
          </w:p>
        </w:tc>
        <w:tc>
          <w:tcPr>
            <w:tcW w:w="0" w:type="dxa"/>
            <w:vAlign w:val="bottom"/>
          </w:tcPr>
          <w:p>
            <w:pPr>
              <w:spacing w:after="0"/>
              <w:rPr>
                <w:sz w:val="1"/>
                <w:szCs w:val="1"/>
                <w:color w:val="auto"/>
              </w:rPr>
            </w:pPr>
          </w:p>
        </w:tc>
      </w:tr>
      <w:tr>
        <w:trPr>
          <w:trHeight w:val="216"/>
        </w:trPr>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205,716</w:t>
            </w:r>
          </w:p>
        </w:tc>
        <w:tc>
          <w:tcPr>
            <w:tcW w:w="100" w:type="dxa"/>
            <w:vAlign w:val="bottom"/>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3760" w:space="720"/>
            <w:col w:w="2860" w:space="120"/>
            <w:col w:w="3880"/>
          </w:cols>
          <w:pgMar w:left="320" w:top="355" w:right="239" w:bottom="1440" w:gutter="0" w:footer="0" w:header="0"/>
          <w:type w:val="continuous"/>
        </w:sectPr>
      </w:pPr>
    </w:p>
    <w:p>
      <w:pPr>
        <w:spacing w:after="0" w:line="123" w:lineRule="exact"/>
        <w:rPr>
          <w:sz w:val="20"/>
          <w:szCs w:val="20"/>
          <w:color w:val="auto"/>
        </w:rPr>
      </w:pPr>
    </w:p>
    <w:p>
      <w:pPr>
        <w:jc w:val="both"/>
        <w:ind w:right="100" w:firstLine="393"/>
        <w:spacing w:after="0" w:line="281" w:lineRule="auto"/>
        <w:rPr>
          <w:sz w:val="20"/>
          <w:szCs w:val="20"/>
          <w:color w:val="auto"/>
        </w:rPr>
      </w:pPr>
      <w:r>
        <w:rPr>
          <w:rFonts w:ascii="Times New Roman" w:cs="Times New Roman" w:eastAsia="Times New Roman" w:hAnsi="Times New Roman"/>
          <w:sz w:val="17"/>
          <w:szCs w:val="17"/>
          <w:color w:val="auto"/>
        </w:rPr>
        <w:t>On October 5, 2021, the Company’s Board of Directors authorized a $300 million common stock repurchase program beginning January 1, 2022 (the “2022 Repurchase Program”).</w:t>
      </w:r>
    </w:p>
    <w:p>
      <w:pPr>
        <w:spacing w:after="0" w:line="172" w:lineRule="exact"/>
        <w:rPr>
          <w:sz w:val="20"/>
          <w:szCs w:val="20"/>
          <w:color w:val="auto"/>
        </w:rPr>
      </w:pPr>
    </w:p>
    <w:p>
      <w:pPr>
        <w:jc w:val="both"/>
        <w:ind w:right="100" w:firstLine="393"/>
        <w:spacing w:after="0" w:line="269" w:lineRule="auto"/>
        <w:rPr>
          <w:sz w:val="20"/>
          <w:szCs w:val="20"/>
          <w:color w:val="auto"/>
        </w:rPr>
      </w:pPr>
      <w:r>
        <w:rPr>
          <w:rFonts w:ascii="Times New Roman" w:cs="Times New Roman" w:eastAsia="Times New Roman" w:hAnsi="Times New Roman"/>
          <w:sz w:val="17"/>
          <w:szCs w:val="17"/>
          <w:color w:val="auto"/>
        </w:rPr>
        <w:t>Under the 2022 Repurchase Program, shares may be purchased by the Company from time to time from the open market and through private transactions, or otherwise, as determined by the Company’s management as market conditions warrant. The Company has structured open market purchases under the Repurchase Program to comply with Rule 10b-18 under the Exchange Act. Repurchases may be discontinued at any time by management.</w:t>
      </w:r>
    </w:p>
    <w:p>
      <w:pPr>
        <w:spacing w:after="0" w:line="15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3.</w:t>
        <w:tab/>
        <w:t>Defaults Upon Senior Securities</w:t>
      </w:r>
    </w:p>
    <w:p>
      <w:pPr>
        <w:spacing w:after="0" w:line="2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None.</w:t>
      </w:r>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5.</w:t>
        <w:tab/>
        <w:t>Other Information</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355" w:right="2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6.</w:t>
        <w:tab/>
        <w:t>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exhibits are being filed as part of this Quarterly Report on Form 10-Q:</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3.1</w:t>
            </w:r>
          </w:p>
        </w:tc>
        <w:tc>
          <w:tcPr>
            <w:tcW w:w="7860" w:type="dxa"/>
            <w:vAlign w:val="bottom"/>
            <w:gridSpan w:val="21"/>
          </w:tcPr>
          <w:p>
            <w:pPr>
              <w:spacing w:after="0"/>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Amended and Restated Certificate of Incorporation of the Company, as in effect on the date hereof</w:t>
              </w:r>
            </w:hyperlink>
          </w:p>
        </w:tc>
      </w:tr>
      <w:tr>
        <w:trPr>
          <w:trHeight w:val="150"/>
        </w:trPr>
        <w:tc>
          <w:tcPr>
            <w:tcW w:w="820" w:type="dxa"/>
            <w:vAlign w:val="bottom"/>
          </w:tcPr>
          <w:p>
            <w:pPr>
              <w:spacing w:after="0"/>
              <w:rPr>
                <w:sz w:val="13"/>
                <w:szCs w:val="13"/>
                <w:color w:val="auto"/>
              </w:rPr>
            </w:pPr>
          </w:p>
        </w:tc>
        <w:tc>
          <w:tcPr>
            <w:tcW w:w="6900" w:type="dxa"/>
            <w:vAlign w:val="bottom"/>
            <w:tcBorders>
              <w:top w:val="single" w:sz="8" w:color="0000FF"/>
            </w:tcBorders>
            <w:gridSpan w:val="8"/>
          </w:tcPr>
          <w:p>
            <w:pPr>
              <w:spacing w:after="0" w:line="150"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(incorporated by reference to Exhibit 3.1 of the Company’s Current Report on Form 8-K (File No.</w:t>
              </w:r>
            </w:hyperlink>
          </w:p>
        </w:tc>
        <w:tc>
          <w:tcPr>
            <w:tcW w:w="680" w:type="dxa"/>
            <w:vAlign w:val="bottom"/>
            <w:gridSpan w:val="6"/>
          </w:tcPr>
          <w:p>
            <w:pPr>
              <w:jc w:val="right"/>
              <w:ind w:right="20"/>
              <w:spacing w:after="0" w:line="150"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1-33089)</w:t>
              </w:r>
            </w:hyperlink>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820" w:type="dxa"/>
            <w:vAlign w:val="bottom"/>
          </w:tcPr>
          <w:p>
            <w:pPr>
              <w:spacing w:after="0"/>
              <w:rPr>
                <w:sz w:val="13"/>
                <w:szCs w:val="13"/>
                <w:color w:val="auto"/>
              </w:rPr>
            </w:pPr>
          </w:p>
        </w:tc>
        <w:tc>
          <w:tcPr>
            <w:tcW w:w="1920" w:type="dxa"/>
            <w:vAlign w:val="bottom"/>
            <w:tcBorders>
              <w:top w:val="single" w:sz="8" w:color="0000FF"/>
              <w:bottom w:val="single" w:sz="8" w:color="0000FF"/>
            </w:tcBorders>
            <w:gridSpan w:val="2"/>
          </w:tcPr>
          <w:p>
            <w:pPr>
              <w:spacing w:after="0" w:line="150"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filed on October 25, 2006).</w:t>
              </w:r>
            </w:hyperlink>
          </w:p>
        </w:tc>
        <w:tc>
          <w:tcPr>
            <w:tcW w:w="564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8"/>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3.2</w:t>
            </w:r>
          </w:p>
        </w:tc>
        <w:tc>
          <w:tcPr>
            <w:tcW w:w="7860" w:type="dxa"/>
            <w:vAlign w:val="bottom"/>
            <w:gridSpan w:val="21"/>
          </w:tcPr>
          <w:p>
            <w:pPr>
              <w:spacing w:after="0"/>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Certificate of Amendment to Amended and Restated Certificate of Incorporation of the Company (incorporated</w:t>
              </w:r>
            </w:hyperlink>
          </w:p>
        </w:tc>
      </w:tr>
      <w:tr>
        <w:trPr>
          <w:trHeight w:val="150"/>
        </w:trPr>
        <w:tc>
          <w:tcPr>
            <w:tcW w:w="820" w:type="dxa"/>
            <w:vAlign w:val="bottom"/>
          </w:tcPr>
          <w:p>
            <w:pPr>
              <w:spacing w:after="0"/>
              <w:rPr>
                <w:sz w:val="13"/>
                <w:szCs w:val="13"/>
                <w:color w:val="auto"/>
              </w:rPr>
            </w:pPr>
          </w:p>
        </w:tc>
        <w:tc>
          <w:tcPr>
            <w:tcW w:w="7820" w:type="dxa"/>
            <w:vAlign w:val="bottom"/>
            <w:tcBorders>
              <w:top w:val="single" w:sz="8" w:color="0000FF"/>
            </w:tcBorders>
            <w:gridSpan w:val="19"/>
          </w:tcPr>
          <w:p>
            <w:pPr>
              <w:spacing w:after="0" w:line="150"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by reference to Annex A to the Company’s Definitive Proxy Statement on Schedule 14A (File No. 1-33089)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820" w:type="dxa"/>
            <w:vAlign w:val="bottom"/>
          </w:tcPr>
          <w:p>
            <w:pPr>
              <w:spacing w:after="0"/>
              <w:rPr>
                <w:sz w:val="13"/>
                <w:szCs w:val="13"/>
                <w:color w:val="auto"/>
              </w:rPr>
            </w:pPr>
          </w:p>
        </w:tc>
        <w:tc>
          <w:tcPr>
            <w:tcW w:w="1720" w:type="dxa"/>
            <w:vAlign w:val="bottom"/>
            <w:tcBorders>
              <w:top w:val="single" w:sz="8" w:color="0000FF"/>
              <w:bottom w:val="single" w:sz="8" w:color="0000FF"/>
            </w:tcBorders>
          </w:tcPr>
          <w:p>
            <w:pPr>
              <w:spacing w:after="0" w:line="150"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filed on April 26, 2019).</w:t>
              </w:r>
            </w:hyperlink>
          </w:p>
        </w:tc>
        <w:tc>
          <w:tcPr>
            <w:tcW w:w="586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3.3</w:t>
            </w:r>
          </w:p>
        </w:tc>
        <w:tc>
          <w:tcPr>
            <w:tcW w:w="7860" w:type="dxa"/>
            <w:vAlign w:val="bottom"/>
            <w:gridSpan w:val="21"/>
          </w:tcPr>
          <w:p>
            <w:pPr>
              <w:spacing w:after="0"/>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Fifth Amended and Restated By-laws of ExlService Holdings, Inc. (incorporated by reference to Exhibit 3.2 of</w:t>
              </w:r>
            </w:hyperlink>
          </w:p>
        </w:tc>
      </w:tr>
      <w:tr>
        <w:trPr>
          <w:trHeight w:val="150"/>
        </w:trPr>
        <w:tc>
          <w:tcPr>
            <w:tcW w:w="820" w:type="dxa"/>
            <w:vAlign w:val="bottom"/>
          </w:tcPr>
          <w:p>
            <w:pPr>
              <w:spacing w:after="0"/>
              <w:rPr>
                <w:sz w:val="13"/>
                <w:szCs w:val="13"/>
                <w:color w:val="auto"/>
              </w:rPr>
            </w:pPr>
          </w:p>
        </w:tc>
        <w:tc>
          <w:tcPr>
            <w:tcW w:w="6140" w:type="dxa"/>
            <w:vAlign w:val="bottom"/>
            <w:tcBorders>
              <w:top w:val="single" w:sz="8" w:color="0000FF"/>
              <w:bottom w:val="single" w:sz="8" w:color="0000FF"/>
            </w:tcBorders>
            <w:gridSpan w:val="7"/>
          </w:tcPr>
          <w:p>
            <w:pPr>
              <w:spacing w:after="0" w:line="150"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the Company’s Current Report on Form 8-K (File No. 1-33089) filed on June 19, 2019)</w:t>
              </w:r>
            </w:hyperlink>
          </w:p>
        </w:tc>
        <w:tc>
          <w:tcPr>
            <w:tcW w:w="162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10.1</w:t>
            </w:r>
          </w:p>
        </w:tc>
        <w:tc>
          <w:tcPr>
            <w:tcW w:w="7860" w:type="dxa"/>
            <w:vAlign w:val="bottom"/>
            <w:gridSpan w:val="21"/>
          </w:tcPr>
          <w:p>
            <w:pPr>
              <w:spacing w:after="0"/>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Amendment and Restatement Agreement, dated April 18, 2022, by and among the Company and the other loan</w:t>
              </w:r>
            </w:hyperlink>
          </w:p>
        </w:tc>
      </w:tr>
      <w:tr>
        <w:trPr>
          <w:trHeight w:val="150"/>
        </w:trPr>
        <w:tc>
          <w:tcPr>
            <w:tcW w:w="820" w:type="dxa"/>
            <w:vAlign w:val="bottom"/>
          </w:tcPr>
          <w:p>
            <w:pPr>
              <w:spacing w:after="0"/>
              <w:rPr>
                <w:sz w:val="13"/>
                <w:szCs w:val="13"/>
                <w:color w:val="auto"/>
              </w:rPr>
            </w:pPr>
          </w:p>
        </w:tc>
        <w:tc>
          <w:tcPr>
            <w:tcW w:w="7780" w:type="dxa"/>
            <w:vAlign w:val="bottom"/>
            <w:tcBorders>
              <w:top w:val="single" w:sz="8" w:color="0000FF"/>
              <w:bottom w:val="single" w:sz="8" w:color="0000FF"/>
            </w:tcBorders>
            <w:gridSpan w:val="17"/>
          </w:tcPr>
          <w:p>
            <w:pPr>
              <w:spacing w:after="0" w:line="150"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parties thereto, the lenders party thereto, and Citibank, N.A., as administrative agent (incorporated by reference</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820" w:type="dxa"/>
            <w:vAlign w:val="bottom"/>
          </w:tcPr>
          <w:p>
            <w:pPr>
              <w:spacing w:after="0"/>
              <w:rPr>
                <w:sz w:val="13"/>
                <w:szCs w:val="13"/>
                <w:color w:val="auto"/>
              </w:rPr>
            </w:pPr>
          </w:p>
        </w:tc>
        <w:tc>
          <w:tcPr>
            <w:tcW w:w="7800" w:type="dxa"/>
            <w:vAlign w:val="bottom"/>
            <w:gridSpan w:val="18"/>
          </w:tcPr>
          <w:p>
            <w:pPr>
              <w:spacing w:after="0" w:line="150"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to Exhibit 10.1 to the Company’s Current Report on Form 8-K (File No. 1-33089) filed on April 20, 2022</w:t>
              </w:r>
              <w:r>
                <w:rPr>
                  <w:rFonts w:ascii="Times New Roman" w:cs="Times New Roman" w:eastAsia="Times New Roman" w:hAnsi="Times New Roman"/>
                  <w:sz w:val="17"/>
                  <w:szCs w:val="17"/>
                  <w:u w:val="single" w:color="auto"/>
                  <w:color w:val="000000"/>
                </w:rPr>
                <w: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20" w:type="dxa"/>
            <w:vAlign w:val="bottom"/>
          </w:tcPr>
          <w:p>
            <w:pPr>
              <w:spacing w:after="0" w:line="20" w:lineRule="exact"/>
              <w:rPr>
                <w:sz w:val="1"/>
                <w:szCs w:val="1"/>
                <w:color w:val="auto"/>
              </w:rPr>
            </w:pPr>
          </w:p>
        </w:tc>
        <w:tc>
          <w:tcPr>
            <w:tcW w:w="532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10.2</w:t>
            </w:r>
          </w:p>
        </w:tc>
        <w:tc>
          <w:tcPr>
            <w:tcW w:w="7860" w:type="dxa"/>
            <w:vAlign w:val="bottom"/>
            <w:gridSpan w:val="21"/>
          </w:tcPr>
          <w:p>
            <w:pPr>
              <w:spacing w:after="0"/>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ExlService Holdings, Inc. 2022 Employee Stock Purchase Plan (incorporated by reference to Exhibit 10.1 to</w:t>
              </w:r>
            </w:hyperlink>
          </w:p>
        </w:tc>
      </w:tr>
      <w:tr>
        <w:trPr>
          <w:trHeight w:val="177"/>
        </w:trPr>
        <w:tc>
          <w:tcPr>
            <w:tcW w:w="820" w:type="dxa"/>
            <w:vAlign w:val="bottom"/>
          </w:tcPr>
          <w:p>
            <w:pPr>
              <w:spacing w:after="0"/>
              <w:rPr>
                <w:sz w:val="15"/>
                <w:szCs w:val="15"/>
                <w:color w:val="auto"/>
              </w:rPr>
            </w:pPr>
          </w:p>
        </w:tc>
        <w:tc>
          <w:tcPr>
            <w:tcW w:w="7600" w:type="dxa"/>
            <w:vAlign w:val="bottom"/>
            <w:tcBorders>
              <w:top w:val="single" w:sz="8" w:color="0000FF"/>
            </w:tcBorders>
            <w:gridSpan w:val="15"/>
          </w:tcPr>
          <w:p>
            <w:pPr>
              <w:spacing w:after="0" w:line="176"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the Company’s Current Report on Form 8-K (File No. 1-33089) filed on June 22, 2022.</w:t>
              </w:r>
            </w:hyperlink>
          </w:p>
        </w:tc>
        <w:tc>
          <w:tcPr>
            <w:tcW w:w="24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532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31.1</w:t>
            </w:r>
          </w:p>
        </w:tc>
        <w:tc>
          <w:tcPr>
            <w:tcW w:w="786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Certification of the Chief Executive Officer of ExlService Holdings, pursuant to Rule 13a-14(a) of the</w:t>
            </w:r>
          </w:p>
        </w:tc>
      </w:tr>
      <w:tr>
        <w:trPr>
          <w:trHeight w:val="150"/>
        </w:trPr>
        <w:tc>
          <w:tcPr>
            <w:tcW w:w="820" w:type="dxa"/>
            <w:vAlign w:val="bottom"/>
          </w:tcPr>
          <w:p>
            <w:pPr>
              <w:spacing w:after="0"/>
              <w:rPr>
                <w:sz w:val="13"/>
                <w:szCs w:val="13"/>
                <w:color w:val="auto"/>
              </w:rPr>
            </w:pPr>
          </w:p>
        </w:tc>
        <w:tc>
          <w:tcPr>
            <w:tcW w:w="6120" w:type="dxa"/>
            <w:vAlign w:val="bottom"/>
            <w:tcBorders>
              <w:top w:val="single" w:sz="8" w:color="0000FF"/>
              <w:bottom w:val="single" w:sz="8" w:color="0000FF"/>
            </w:tcBorders>
            <w:gridSpan w:val="6"/>
          </w:tcPr>
          <w:p>
            <w:pPr>
              <w:spacing w:after="0" w:line="150" w:lineRule="exact"/>
              <w:rPr>
                <w:sz w:val="20"/>
                <w:szCs w:val="20"/>
                <w:color w:val="auto"/>
              </w:rPr>
            </w:pPr>
            <w:r>
              <w:rPr>
                <w:rFonts w:ascii="Times New Roman" w:cs="Times New Roman" w:eastAsia="Times New Roman" w:hAnsi="Times New Roman"/>
                <w:sz w:val="17"/>
                <w:szCs w:val="17"/>
                <w:color w:val="0000FF"/>
              </w:rPr>
              <w:t>Exchange Act, as adopted pursuant to Section 302 of the Sarbanes-Oxley Act of 2002.</w:t>
            </w:r>
          </w:p>
        </w:tc>
        <w:tc>
          <w:tcPr>
            <w:tcW w:w="1040" w:type="dxa"/>
            <w:vAlign w:val="bottom"/>
            <w:tcBorders>
              <w:top w:val="single" w:sz="8" w:color="0000FF"/>
            </w:tcBorders>
            <w:gridSpan w:val="3"/>
          </w:tcPr>
          <w:p>
            <w:pPr>
              <w:spacing w:after="0"/>
              <w:rPr>
                <w:sz w:val="13"/>
                <w:szCs w:val="13"/>
                <w:color w:val="auto"/>
              </w:rPr>
            </w:pPr>
          </w:p>
        </w:tc>
        <w:tc>
          <w:tcPr>
            <w:tcW w:w="2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786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Certification of the Chief Financial Officer of ExlService Holdings, pursuant to Rule 13a-14(a) of the Exchange</w:t>
            </w:r>
          </w:p>
        </w:tc>
      </w:tr>
      <w:tr>
        <w:trPr>
          <w:trHeight w:val="150"/>
        </w:trPr>
        <w:tc>
          <w:tcPr>
            <w:tcW w:w="820" w:type="dxa"/>
            <w:vAlign w:val="bottom"/>
          </w:tcPr>
          <w:p>
            <w:pPr>
              <w:spacing w:after="0"/>
              <w:rPr>
                <w:sz w:val="13"/>
                <w:szCs w:val="13"/>
                <w:color w:val="auto"/>
              </w:rPr>
            </w:pPr>
          </w:p>
        </w:tc>
        <w:tc>
          <w:tcPr>
            <w:tcW w:w="5320" w:type="dxa"/>
            <w:vAlign w:val="bottom"/>
            <w:tcBorders>
              <w:top w:val="single" w:sz="8" w:color="0000FF"/>
              <w:bottom w:val="single" w:sz="8" w:color="0000FF"/>
            </w:tcBorders>
            <w:gridSpan w:val="3"/>
          </w:tcPr>
          <w:p>
            <w:pPr>
              <w:spacing w:after="0" w:line="150" w:lineRule="exact"/>
              <w:rPr>
                <w:sz w:val="20"/>
                <w:szCs w:val="20"/>
                <w:color w:val="auto"/>
              </w:rPr>
            </w:pPr>
            <w:r>
              <w:rPr>
                <w:rFonts w:ascii="Times New Roman" w:cs="Times New Roman" w:eastAsia="Times New Roman" w:hAnsi="Times New Roman"/>
                <w:sz w:val="17"/>
                <w:szCs w:val="17"/>
                <w:color w:val="0000FF"/>
              </w:rPr>
              <w:t>Act, as adopted pursuant to Section 302 of the Sarbanes-Oxley Act of 2002.</w:t>
            </w:r>
          </w:p>
        </w:tc>
        <w:tc>
          <w:tcPr>
            <w:tcW w:w="252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32.1</w:t>
            </w:r>
          </w:p>
        </w:tc>
        <w:tc>
          <w:tcPr>
            <w:tcW w:w="786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Certification of the Chief Executive Officer pursuant to Rule 13a-14(b) of the Exchange Act and 18 U.S.C.</w:t>
            </w:r>
          </w:p>
        </w:tc>
      </w:tr>
      <w:tr>
        <w:trPr>
          <w:trHeight w:val="150"/>
        </w:trPr>
        <w:tc>
          <w:tcPr>
            <w:tcW w:w="820" w:type="dxa"/>
            <w:vAlign w:val="bottom"/>
          </w:tcPr>
          <w:p>
            <w:pPr>
              <w:spacing w:after="0"/>
              <w:rPr>
                <w:sz w:val="13"/>
                <w:szCs w:val="13"/>
                <w:color w:val="auto"/>
              </w:rPr>
            </w:pPr>
          </w:p>
        </w:tc>
        <w:tc>
          <w:tcPr>
            <w:tcW w:w="6000" w:type="dxa"/>
            <w:vAlign w:val="bottom"/>
            <w:tcBorders>
              <w:top w:val="single" w:sz="8" w:color="0000FF"/>
              <w:bottom w:val="single" w:sz="8" w:color="0000FF"/>
            </w:tcBorders>
            <w:gridSpan w:val="5"/>
          </w:tcPr>
          <w:p>
            <w:pPr>
              <w:spacing w:after="0" w:line="150" w:lineRule="exact"/>
              <w:rPr>
                <w:sz w:val="20"/>
                <w:szCs w:val="20"/>
                <w:color w:val="auto"/>
              </w:rPr>
            </w:pPr>
            <w:r>
              <w:rPr>
                <w:rFonts w:ascii="Times New Roman" w:cs="Times New Roman" w:eastAsia="Times New Roman" w:hAnsi="Times New Roman"/>
                <w:sz w:val="17"/>
                <w:szCs w:val="17"/>
                <w:color w:val="0000FF"/>
              </w:rPr>
              <w:t>Section 1350, as adopted pursuant to Section 906 of the Sarbanes-Oxley Act of 2002.</w:t>
            </w:r>
          </w:p>
        </w:tc>
        <w:tc>
          <w:tcPr>
            <w:tcW w:w="1500" w:type="dxa"/>
            <w:vAlign w:val="bottom"/>
            <w:tcBorders>
              <w:top w:val="single" w:sz="8" w:color="0000FF"/>
            </w:tcBorders>
            <w:gridSpan w:val="7"/>
          </w:tcPr>
          <w:p>
            <w:pPr>
              <w:spacing w:after="0"/>
              <w:rPr>
                <w:sz w:val="13"/>
                <w:szCs w:val="13"/>
                <w:color w:val="auto"/>
              </w:rPr>
            </w:pPr>
          </w:p>
        </w:tc>
        <w:tc>
          <w:tcPr>
            <w:tcW w:w="360" w:type="dxa"/>
            <w:vAlign w:val="bottom"/>
            <w:gridSpan w:val="9"/>
          </w:tcPr>
          <w:p>
            <w:pPr>
              <w:spacing w:after="0"/>
              <w:rPr>
                <w:sz w:val="13"/>
                <w:szCs w:val="13"/>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32.2</w:t>
            </w:r>
          </w:p>
        </w:tc>
        <w:tc>
          <w:tcPr>
            <w:tcW w:w="786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Certification of the Chief Financial Officer pursuant to Rule 13a-14(b) of the Exchange Act and 18 U.S.C.</w:t>
            </w:r>
          </w:p>
        </w:tc>
      </w:tr>
      <w:tr>
        <w:trPr>
          <w:trHeight w:val="150"/>
        </w:trPr>
        <w:tc>
          <w:tcPr>
            <w:tcW w:w="820" w:type="dxa"/>
            <w:vAlign w:val="bottom"/>
          </w:tcPr>
          <w:p>
            <w:pPr>
              <w:spacing w:after="0"/>
              <w:rPr>
                <w:sz w:val="13"/>
                <w:szCs w:val="13"/>
                <w:color w:val="auto"/>
              </w:rPr>
            </w:pPr>
          </w:p>
        </w:tc>
        <w:tc>
          <w:tcPr>
            <w:tcW w:w="7440" w:type="dxa"/>
            <w:vAlign w:val="bottom"/>
            <w:tcBorders>
              <w:top w:val="single" w:sz="8" w:color="0000FF"/>
            </w:tcBorders>
            <w:gridSpan w:val="11"/>
          </w:tcPr>
          <w:p>
            <w:pPr>
              <w:spacing w:after="0" w:line="150" w:lineRule="exact"/>
              <w:rPr>
                <w:sz w:val="20"/>
                <w:szCs w:val="20"/>
                <w:color w:val="auto"/>
              </w:rPr>
            </w:pPr>
            <w:r>
              <w:rPr>
                <w:rFonts w:ascii="Times New Roman" w:cs="Times New Roman" w:eastAsia="Times New Roman" w:hAnsi="Times New Roman"/>
                <w:sz w:val="17"/>
                <w:szCs w:val="17"/>
                <w:color w:val="0000FF"/>
              </w:rPr>
              <w:t>Section 1350, as adopted pursuant to Section 906 of the Sarbanes-Oxley Act of 2002.</w:t>
            </w:r>
          </w:p>
        </w:tc>
        <w:tc>
          <w:tcPr>
            <w:tcW w:w="420" w:type="dxa"/>
            <w:vAlign w:val="bottom"/>
            <w:gridSpan w:val="10"/>
          </w:tcPr>
          <w:p>
            <w:pPr>
              <w:spacing w:after="0"/>
              <w:rPr>
                <w:sz w:val="13"/>
                <w:szCs w:val="13"/>
                <w:color w:val="auto"/>
              </w:rPr>
            </w:pPr>
          </w:p>
        </w:tc>
      </w:tr>
      <w:tr>
        <w:trPr>
          <w:trHeight w:val="307"/>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59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auto"/>
              </w:rPr>
              <w:t>XBRL Instance Document</w:t>
            </w:r>
          </w:p>
        </w:tc>
        <w:tc>
          <w:tcPr>
            <w:tcW w:w="1880" w:type="dxa"/>
            <w:vAlign w:val="bottom"/>
            <w:gridSpan w:val="17"/>
          </w:tcPr>
          <w:p>
            <w:pPr>
              <w:spacing w:after="0"/>
              <w:rPr>
                <w:sz w:val="24"/>
                <w:szCs w:val="24"/>
                <w:color w:val="auto"/>
              </w:rPr>
            </w:pPr>
          </w:p>
        </w:tc>
      </w:tr>
      <w:tr>
        <w:trPr>
          <w:trHeight w:val="275"/>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7860" w:type="dxa"/>
            <w:vAlign w:val="bottom"/>
            <w:gridSpan w:val="21"/>
          </w:tcPr>
          <w:p>
            <w:pPr>
              <w:spacing w:after="0"/>
              <w:rPr>
                <w:sz w:val="20"/>
                <w:szCs w:val="20"/>
                <w:color w:val="auto"/>
              </w:rPr>
            </w:pPr>
            <w:r>
              <w:rPr>
                <w:rFonts w:ascii="Times New Roman" w:cs="Times New Roman" w:eastAsia="Times New Roman" w:hAnsi="Times New Roman"/>
                <w:sz w:val="17"/>
                <w:szCs w:val="17"/>
                <w:color w:val="auto"/>
              </w:rPr>
              <w:t>XBRL Taxonomy Extension Scheme</w:t>
            </w:r>
          </w:p>
        </w:tc>
      </w:tr>
      <w:tr>
        <w:trPr>
          <w:trHeight w:val="275"/>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7860" w:type="dxa"/>
            <w:vAlign w:val="bottom"/>
            <w:gridSpan w:val="21"/>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w:t>
            </w:r>
          </w:p>
        </w:tc>
      </w:tr>
      <w:tr>
        <w:trPr>
          <w:trHeight w:val="275"/>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7860" w:type="dxa"/>
            <w:vAlign w:val="bottom"/>
            <w:gridSpan w:val="21"/>
          </w:tcPr>
          <w:p>
            <w:pPr>
              <w:spacing w:after="0"/>
              <w:rPr>
                <w:sz w:val="20"/>
                <w:szCs w:val="20"/>
                <w:color w:val="auto"/>
              </w:rPr>
            </w:pPr>
            <w:r>
              <w:rPr>
                <w:rFonts w:ascii="Times New Roman" w:cs="Times New Roman" w:eastAsia="Times New Roman" w:hAnsi="Times New Roman"/>
                <w:sz w:val="17"/>
                <w:szCs w:val="17"/>
                <w:color w:val="auto"/>
              </w:rPr>
              <w:t>XBRL Taxonomy Extension Definition Linkbase</w:t>
            </w:r>
          </w:p>
        </w:tc>
      </w:tr>
      <w:tr>
        <w:trPr>
          <w:trHeight w:val="275"/>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7860" w:type="dxa"/>
            <w:vAlign w:val="bottom"/>
            <w:gridSpan w:val="21"/>
          </w:tcPr>
          <w:p>
            <w:pPr>
              <w:spacing w:after="0"/>
              <w:rPr>
                <w:sz w:val="20"/>
                <w:szCs w:val="20"/>
                <w:color w:val="auto"/>
              </w:rPr>
            </w:pPr>
            <w:r>
              <w:rPr>
                <w:rFonts w:ascii="Times New Roman" w:cs="Times New Roman" w:eastAsia="Times New Roman" w:hAnsi="Times New Roman"/>
                <w:sz w:val="17"/>
                <w:szCs w:val="17"/>
                <w:color w:val="auto"/>
              </w:rPr>
              <w:t>XBRL Taxonomy Extension Label Linkbase</w:t>
            </w:r>
          </w:p>
        </w:tc>
      </w:tr>
      <w:tr>
        <w:trPr>
          <w:trHeight w:val="275"/>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7860" w:type="dxa"/>
            <w:vAlign w:val="bottom"/>
            <w:gridSpan w:val="21"/>
          </w:tcPr>
          <w:p>
            <w:pPr>
              <w:spacing w:after="0"/>
              <w:rPr>
                <w:sz w:val="20"/>
                <w:szCs w:val="20"/>
                <w:color w:val="auto"/>
              </w:rPr>
            </w:pPr>
            <w:r>
              <w:rPr>
                <w:rFonts w:ascii="Times New Roman" w:cs="Times New Roman" w:eastAsia="Times New Roman" w:hAnsi="Times New Roman"/>
                <w:sz w:val="17"/>
                <w:szCs w:val="17"/>
                <w:color w:val="auto"/>
              </w:rPr>
              <w:t>XBRL Extension Presentation Linkbase</w:t>
            </w:r>
          </w:p>
        </w:tc>
      </w:tr>
    </w:tbl>
    <w:p>
      <w:pPr>
        <w:spacing w:after="0" w:line="48" w:lineRule="exact"/>
        <w:rPr>
          <w:sz w:val="20"/>
          <w:szCs w:val="20"/>
          <w:color w:val="auto"/>
        </w:rPr>
      </w:pPr>
    </w:p>
    <w:p>
      <w:pPr>
        <w:ind w:left="840" w:hanging="818"/>
        <w:spacing w:after="0"/>
        <w:tabs>
          <w:tab w:leader="none" w:pos="8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71"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-686435</wp:posOffset>
            </wp:positionV>
            <wp:extent cx="4660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466090" cy="8255"/>
                    </a:xfrm>
                    <a:prstGeom prst="rect">
                      <a:avLst/>
                    </a:prstGeom>
                    <a:noFill/>
                  </pic:spPr>
                </pic:pic>
              </a:graphicData>
            </a:graphic>
          </wp:anchor>
        </w:drawing>
      </w:r>
    </w:p>
    <w:p>
      <w:pPr>
        <w:sectPr>
          <w:pgSz w:w="11900" w:h="16838" w:orient="portrait"/>
          <w:cols w:equalWidth="0" w:num="1">
            <w:col w:w="10139"/>
          </w:cols>
          <w:pgMar w:left="320" w:top="355"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6" w:lineRule="exact"/>
        <w:rPr>
          <w:sz w:val="20"/>
          <w:szCs w:val="20"/>
          <w:color w:val="auto"/>
        </w:rPr>
      </w:pPr>
    </w:p>
    <w:p>
      <w:pPr>
        <w:ind w:right="780" w:firstLine="433"/>
        <w:spacing w:after="0" w:line="29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Date: July 28, 2022</w:t>
            </w:r>
          </w:p>
        </w:tc>
        <w:tc>
          <w:tcPr>
            <w:tcW w:w="8060" w:type="dxa"/>
            <w:vAlign w:val="bottom"/>
            <w:gridSpan w:val="2"/>
          </w:tcPr>
          <w:p>
            <w:pPr>
              <w:ind w:left="1760"/>
              <w:spacing w:after="0"/>
              <w:rPr>
                <w:sz w:val="20"/>
                <w:szCs w:val="20"/>
                <w:color w:val="auto"/>
              </w:rPr>
            </w:pPr>
            <w:r>
              <w:rPr>
                <w:rFonts w:ascii="Times New Roman" w:cs="Times New Roman" w:eastAsia="Times New Roman" w:hAnsi="Times New Roman"/>
                <w:sz w:val="17"/>
                <w:szCs w:val="17"/>
                <w:b w:val="1"/>
                <w:bCs w:val="1"/>
                <w:color w:val="auto"/>
              </w:rPr>
              <w:t>EXLSERVICE HOLDINGS, INC.</w:t>
            </w:r>
          </w:p>
        </w:tc>
      </w:tr>
      <w:tr>
        <w:trPr>
          <w:trHeight w:val="499"/>
        </w:trPr>
        <w:tc>
          <w:tcPr>
            <w:tcW w:w="3140" w:type="dxa"/>
            <w:vAlign w:val="bottom"/>
          </w:tcPr>
          <w:p>
            <w:pPr>
              <w:spacing w:after="0"/>
              <w:rPr>
                <w:sz w:val="24"/>
                <w:szCs w:val="24"/>
                <w:color w:val="auto"/>
              </w:rPr>
            </w:pPr>
          </w:p>
        </w:tc>
        <w:tc>
          <w:tcPr>
            <w:tcW w:w="236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By:</w:t>
            </w:r>
          </w:p>
        </w:tc>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3"/>
                <w:szCs w:val="13"/>
                <w:color w:val="auto"/>
              </w:rPr>
              <w:t>MAURIZIO NICOLELLI</w:t>
            </w:r>
          </w:p>
        </w:tc>
      </w:tr>
      <w:tr>
        <w:trPr>
          <w:trHeight w:val="124"/>
        </w:trPr>
        <w:tc>
          <w:tcPr>
            <w:tcW w:w="31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5700" w:type="dxa"/>
            <w:vAlign w:val="bottom"/>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MAURIZIO NICOLELLI</w:t>
            </w:r>
          </w:p>
        </w:tc>
      </w:tr>
      <w:tr>
        <w:trPr>
          <w:trHeight w:val="151"/>
        </w:trPr>
        <w:tc>
          <w:tcPr>
            <w:tcW w:w="31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70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Chief Financial Officer</w:t>
            </w:r>
          </w:p>
        </w:tc>
      </w:tr>
    </w:tbl>
    <w:p>
      <w:pPr>
        <w:ind w:left="5540"/>
        <w:spacing w:after="0"/>
        <w:rPr>
          <w:sz w:val="20"/>
          <w:szCs w:val="20"/>
          <w:color w:val="auto"/>
        </w:rPr>
      </w:pPr>
      <w:r>
        <w:rPr>
          <w:rFonts w:ascii="Times New Roman" w:cs="Times New Roman" w:eastAsia="Times New Roman" w:hAnsi="Times New Roman"/>
          <w:sz w:val="14"/>
          <w:szCs w:val="14"/>
          <w:b w:val="1"/>
          <w:bCs w:val="1"/>
          <w:color w:val="auto"/>
        </w:rPr>
        <w:t>(Duly Authorized Signatory, 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ectPr>
          <w:pgSz w:w="11900" w:h="16838" w:orient="portrait"/>
          <w:cols w:equalWidth="0" w:num="1">
            <w:col w:w="11220"/>
          </w:cols>
          <w:pgMar w:left="320" w:top="355" w:right="35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302 CERTIFICATION</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 Rohit Kapoor, certify that:</w:t>
      </w:r>
    </w:p>
    <w:p>
      <w:pPr>
        <w:spacing w:after="0" w:line="224" w:lineRule="exact"/>
        <w:rPr>
          <w:sz w:val="20"/>
          <w:szCs w:val="20"/>
          <w:color w:val="auto"/>
        </w:rPr>
      </w:pPr>
    </w:p>
    <w:p>
      <w:pPr>
        <w:ind w:left="400" w:hanging="395"/>
        <w:spacing w:after="0"/>
        <w:tabs>
          <w:tab w:leader="none" w:pos="4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of ExlService Holdings, Inc.;</w:t>
      </w:r>
    </w:p>
    <w:p>
      <w:pPr>
        <w:spacing w:after="0" w:line="224" w:lineRule="exact"/>
        <w:rPr>
          <w:rFonts w:ascii="Times New Roman" w:cs="Times New Roman" w:eastAsia="Times New Roman" w:hAnsi="Times New Roman"/>
          <w:sz w:val="17"/>
          <w:szCs w:val="17"/>
          <w:color w:val="auto"/>
        </w:rPr>
      </w:pPr>
    </w:p>
    <w:p>
      <w:pPr>
        <w:ind w:left="400" w:hanging="395"/>
        <w:spacing w:after="0" w:line="297" w:lineRule="auto"/>
        <w:tabs>
          <w:tab w:leader="none" w:pos="4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7"/>
          <w:szCs w:val="17"/>
          <w:color w:val="auto"/>
        </w:rPr>
      </w:pPr>
    </w:p>
    <w:p>
      <w:pPr>
        <w:ind w:left="400" w:hanging="395"/>
        <w:spacing w:after="0" w:line="297" w:lineRule="auto"/>
        <w:tabs>
          <w:tab w:leader="none" w:pos="4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7"/>
          <w:szCs w:val="17"/>
          <w:color w:val="auto"/>
        </w:rPr>
      </w:pPr>
    </w:p>
    <w:p>
      <w:pPr>
        <w:jc w:val="both"/>
        <w:ind w:left="400" w:hanging="395"/>
        <w:spacing w:after="0" w:line="277" w:lineRule="auto"/>
        <w:tabs>
          <w:tab w:leader="none" w:pos="4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7"/>
          <w:szCs w:val="17"/>
          <w:color w:val="auto"/>
        </w:rPr>
      </w:pPr>
    </w:p>
    <w:p>
      <w:pPr>
        <w:jc w:val="both"/>
        <w:ind w:left="720" w:hanging="322"/>
        <w:spacing w:after="0" w:line="277" w:lineRule="auto"/>
        <w:tabs>
          <w:tab w:leader="none" w:pos="71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7"/>
          <w:szCs w:val="17"/>
          <w:color w:val="auto"/>
        </w:rPr>
      </w:pPr>
    </w:p>
    <w:p>
      <w:pPr>
        <w:jc w:val="both"/>
        <w:ind w:left="720" w:hanging="322"/>
        <w:spacing w:after="0" w:line="277" w:lineRule="auto"/>
        <w:tabs>
          <w:tab w:leader="none" w:pos="714"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7"/>
          <w:szCs w:val="17"/>
          <w:color w:val="auto"/>
        </w:rPr>
      </w:pPr>
    </w:p>
    <w:p>
      <w:pPr>
        <w:ind w:left="720" w:hanging="322"/>
        <w:spacing w:after="0" w:line="297" w:lineRule="auto"/>
        <w:tabs>
          <w:tab w:leader="none" w:pos="71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7"/>
          <w:szCs w:val="17"/>
          <w:color w:val="auto"/>
        </w:rPr>
      </w:pPr>
    </w:p>
    <w:p>
      <w:pPr>
        <w:jc w:val="both"/>
        <w:ind w:left="720" w:hanging="322"/>
        <w:spacing w:after="0" w:line="277" w:lineRule="auto"/>
        <w:tabs>
          <w:tab w:leader="none" w:pos="714"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7"/>
          <w:szCs w:val="17"/>
          <w:color w:val="auto"/>
        </w:rPr>
      </w:pPr>
    </w:p>
    <w:p>
      <w:pPr>
        <w:ind w:left="400" w:hanging="395"/>
        <w:spacing w:after="0" w:line="297" w:lineRule="auto"/>
        <w:tabs>
          <w:tab w:leader="none" w:pos="4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7"/>
          <w:szCs w:val="17"/>
          <w:color w:val="auto"/>
        </w:rPr>
      </w:pPr>
    </w:p>
    <w:p>
      <w:pPr>
        <w:ind w:left="720" w:hanging="322"/>
        <w:spacing w:after="0" w:line="297" w:lineRule="auto"/>
        <w:tabs>
          <w:tab w:leader="none" w:pos="71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7"/>
          <w:szCs w:val="17"/>
          <w:color w:val="auto"/>
        </w:rPr>
      </w:pPr>
    </w:p>
    <w:p>
      <w:pPr>
        <w:ind w:left="720" w:hanging="322"/>
        <w:spacing w:after="0" w:line="297" w:lineRule="auto"/>
        <w:tabs>
          <w:tab w:leader="none" w:pos="714"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Date: July 28, 2022</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Rohit Kapoor</w:t>
            </w:r>
          </w:p>
        </w:tc>
      </w:tr>
      <w:tr>
        <w:trPr>
          <w:trHeight w:val="211"/>
        </w:trPr>
        <w:tc>
          <w:tcPr>
            <w:tcW w:w="610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Rohit Kapoor</w:t>
            </w:r>
          </w:p>
        </w:tc>
      </w:tr>
      <w:tr>
        <w:trPr>
          <w:trHeight w:val="228"/>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Vice-Chairman and Chief Executive Officer</w:t>
            </w:r>
          </w:p>
        </w:tc>
      </w:tr>
    </w:tbl>
    <w:p>
      <w:pPr>
        <w:sectPr>
          <w:pgSz w:w="11900" w:h="16838" w:orient="portrait"/>
          <w:cols w:equalWidth="0" w:num="1">
            <w:col w:w="11240"/>
          </w:cols>
          <w:pgMar w:left="320" w:top="86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302 CERTIFICATION</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 Maurizio Nicolelli, certify that:</w:t>
      </w:r>
    </w:p>
    <w:p>
      <w:pPr>
        <w:spacing w:after="0" w:line="355" w:lineRule="exact"/>
        <w:rPr>
          <w:sz w:val="20"/>
          <w:szCs w:val="20"/>
          <w:color w:val="auto"/>
        </w:rPr>
      </w:pPr>
    </w:p>
    <w:p>
      <w:pPr>
        <w:ind w:left="400" w:hanging="395"/>
        <w:spacing w:after="0"/>
        <w:tabs>
          <w:tab w:leader="none" w:pos="4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of ExlService Holdings, Inc.;</w:t>
      </w:r>
    </w:p>
    <w:p>
      <w:pPr>
        <w:spacing w:after="0" w:line="224" w:lineRule="exact"/>
        <w:rPr>
          <w:rFonts w:ascii="Times New Roman" w:cs="Times New Roman" w:eastAsia="Times New Roman" w:hAnsi="Times New Roman"/>
          <w:sz w:val="17"/>
          <w:szCs w:val="17"/>
          <w:color w:val="auto"/>
        </w:rPr>
      </w:pPr>
    </w:p>
    <w:p>
      <w:pPr>
        <w:ind w:left="400" w:hanging="395"/>
        <w:spacing w:after="0" w:line="297" w:lineRule="auto"/>
        <w:tabs>
          <w:tab w:leader="none" w:pos="4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7"/>
          <w:szCs w:val="17"/>
          <w:color w:val="auto"/>
        </w:rPr>
      </w:pPr>
    </w:p>
    <w:p>
      <w:pPr>
        <w:ind w:left="400" w:hanging="395"/>
        <w:spacing w:after="0" w:line="297" w:lineRule="auto"/>
        <w:tabs>
          <w:tab w:leader="none" w:pos="4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7"/>
          <w:szCs w:val="17"/>
          <w:color w:val="auto"/>
        </w:rPr>
      </w:pPr>
    </w:p>
    <w:p>
      <w:pPr>
        <w:jc w:val="both"/>
        <w:ind w:left="400" w:hanging="395"/>
        <w:spacing w:after="0" w:line="277" w:lineRule="auto"/>
        <w:tabs>
          <w:tab w:leader="none" w:pos="4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7"/>
          <w:szCs w:val="17"/>
          <w:color w:val="auto"/>
        </w:rPr>
      </w:pPr>
    </w:p>
    <w:p>
      <w:pPr>
        <w:jc w:val="both"/>
        <w:ind w:left="720" w:hanging="322"/>
        <w:spacing w:after="0" w:line="277" w:lineRule="auto"/>
        <w:tabs>
          <w:tab w:leader="none" w:pos="717"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7"/>
          <w:szCs w:val="17"/>
          <w:color w:val="auto"/>
        </w:rPr>
      </w:pPr>
    </w:p>
    <w:p>
      <w:pPr>
        <w:jc w:val="both"/>
        <w:ind w:left="720" w:hanging="322"/>
        <w:spacing w:after="0" w:line="277" w:lineRule="auto"/>
        <w:tabs>
          <w:tab w:leader="none" w:pos="714"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7"/>
          <w:szCs w:val="17"/>
          <w:color w:val="auto"/>
        </w:rPr>
      </w:pPr>
    </w:p>
    <w:p>
      <w:pPr>
        <w:ind w:left="720" w:hanging="322"/>
        <w:spacing w:after="0" w:line="297" w:lineRule="auto"/>
        <w:tabs>
          <w:tab w:leader="none" w:pos="717"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7"/>
          <w:szCs w:val="17"/>
          <w:color w:val="auto"/>
        </w:rPr>
      </w:pPr>
    </w:p>
    <w:p>
      <w:pPr>
        <w:jc w:val="both"/>
        <w:ind w:left="720" w:hanging="322"/>
        <w:spacing w:after="0" w:line="277" w:lineRule="auto"/>
        <w:tabs>
          <w:tab w:leader="none" w:pos="714"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7"/>
          <w:szCs w:val="17"/>
          <w:color w:val="auto"/>
        </w:rPr>
      </w:pPr>
    </w:p>
    <w:p>
      <w:pPr>
        <w:ind w:left="400" w:hanging="395"/>
        <w:spacing w:after="0" w:line="297" w:lineRule="auto"/>
        <w:tabs>
          <w:tab w:leader="none" w:pos="4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7"/>
          <w:szCs w:val="17"/>
          <w:color w:val="auto"/>
        </w:rPr>
      </w:pPr>
    </w:p>
    <w:p>
      <w:pPr>
        <w:ind w:left="720" w:hanging="322"/>
        <w:spacing w:after="0" w:line="297" w:lineRule="auto"/>
        <w:tabs>
          <w:tab w:leader="none" w:pos="717"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7"/>
          <w:szCs w:val="17"/>
          <w:color w:val="auto"/>
        </w:rPr>
      </w:pPr>
    </w:p>
    <w:p>
      <w:pPr>
        <w:ind w:left="720" w:hanging="322"/>
        <w:spacing w:after="0" w:line="297" w:lineRule="auto"/>
        <w:tabs>
          <w:tab w:leader="none" w:pos="714"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Date: July 28, 2022</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Maurizio Nicolelli</w:t>
            </w:r>
          </w:p>
        </w:tc>
      </w:tr>
      <w:tr>
        <w:trPr>
          <w:trHeight w:val="211"/>
        </w:trPr>
        <w:tc>
          <w:tcPr>
            <w:tcW w:w="58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Maurizio Nicolelli</w:t>
            </w:r>
          </w:p>
        </w:tc>
      </w:tr>
      <w:tr>
        <w:trPr>
          <w:trHeight w:val="228"/>
        </w:trPr>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ectPr>
          <w:pgSz w:w="11900" w:h="16838" w:orient="portrait"/>
          <w:cols w:equalWidth="0" w:num="1">
            <w:col w:w="11240"/>
          </w:cols>
          <w:pgMar w:left="320" w:top="867"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In connection with the Quarterly Report of ExlService Holdings, Inc. (the “Company”) on Form 10-Q for the period ended June 30, 2022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spacing w:after="0" w:line="202" w:lineRule="exact"/>
        <w:rPr>
          <w:sz w:val="20"/>
          <w:szCs w:val="20"/>
          <w:color w:val="auto"/>
        </w:rPr>
      </w:pPr>
    </w:p>
    <w:p>
      <w:pPr>
        <w:ind w:left="320" w:hanging="315"/>
        <w:spacing w:after="0"/>
        <w:tabs>
          <w:tab w:leader="none" w:pos="3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2788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6278880" cy="82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Rohit Kapoor</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Vice-Chairman and Chief Executive Officer</w:t>
      </w: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July 28, 2022</w:t>
      </w:r>
    </w:p>
    <w:p>
      <w:pPr>
        <w:sectPr>
          <w:pgSz w:w="11900" w:h="16838" w:orient="portrait"/>
          <w:cols w:equalWidth="0" w:num="1">
            <w:col w:w="11240"/>
          </w:cols>
          <w:pgMar w:left="320" w:top="867"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In connection with the Quarterly Report of ExlService Holdings, Inc. (the “Company”) on Form 10-Q for the period ended June 30, 2022 as filed with the Securities and Exchange Commission on the date hereof (the “Report”), I, Maurizio Nicolelli, Chief Financial Officer of the Company, certify, pursuant to 18 U.S.C. Section 1350, as adopted pursuant to Section 906 of the Sarbanes-Oxley Act of 2002, that:</w:t>
      </w:r>
    </w:p>
    <w:p>
      <w:pPr>
        <w:spacing w:after="0" w:line="162" w:lineRule="exact"/>
        <w:rPr>
          <w:sz w:val="20"/>
          <w:szCs w:val="20"/>
          <w:color w:val="auto"/>
        </w:rPr>
      </w:pPr>
    </w:p>
    <w:p>
      <w:pPr>
        <w:ind w:left="320" w:hanging="315"/>
        <w:spacing w:after="0"/>
        <w:tabs>
          <w:tab w:leader="none" w:pos="3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48882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4888230" cy="82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Maurizio Nicolelli</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July 28, 2022</w:t>
      </w:r>
    </w:p>
    <w:sectPr>
      <w:pgSz w:w="11900" w:h="16838" w:orient="portrait"/>
      <w:cols w:equalWidth="0" w:num="1">
        <w:col w:w="11240"/>
      </w:cols>
      <w:pgMar w:left="320" w:top="8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9"/>
    </w:lvl>
  </w:abstractNum>
  <w:abstractNum w:abstractNumId="6">
    <w:nsid w:val="109CF92E"/>
    <w:multiLevelType w:val="hybridMultilevel"/>
    <w:lvl w:ilvl="0">
      <w:lvlJc w:val="left"/>
      <w:lvlText w:val="%1"/>
      <w:numFmt w:val="decimal"/>
      <w:start w:val="1"/>
    </w:lvl>
    <w:lvl w:ilvl="1">
      <w:lvlJc w:val="left"/>
      <w:lvlText w:val="(%2)"/>
      <w:numFmt w:val="decimal"/>
      <w:start w:val="1"/>
    </w:lvl>
  </w:abstractNum>
  <w:abstractNum w:abstractNumId="7">
    <w:nsid w:val="DED7263"/>
    <w:multiLevelType w:val="hybridMultilevel"/>
    <w:lvl w:ilvl="0">
      <w:lvlJc w:val="left"/>
      <w:lvlText w:val="%1."/>
      <w:numFmt w:val="decimal"/>
      <w:start w:val="15"/>
    </w:lvl>
    <w:lvl w:ilvl="1">
      <w:lvlJc w:val="left"/>
      <w:lvlText w:val="%2"/>
      <w:numFmt w:val="decimal"/>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04"/>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04" Type="http://schemas.openxmlformats.org/officeDocument/2006/relationships/hyperlink" Target="http://www.sec.gov/Archives/edgar/data/1297989/000119312506214684/dex31.htm" TargetMode="External"/><Relationship Id="rId105" Type="http://schemas.openxmlformats.org/officeDocument/2006/relationships/hyperlink" Target="https://www.sec.gov/Archives/edgar/data/1297989/000104746919002609/a2238453zdef14a.htm" TargetMode="External"/><Relationship Id="rId106" Type="http://schemas.openxmlformats.org/officeDocument/2006/relationships/hyperlink" Target="https://www.sec.gov/Archives/edgar/data/1297989/000114420419031504/tv523830_ex3-2.htm" TargetMode="External"/><Relationship Id="rId107" Type="http://schemas.openxmlformats.org/officeDocument/2006/relationships/hyperlink" Target="https://www.sec.gov/Archives/edgar/data/0001297989/000110465922047905/tm2213111d1_ex10-1.htm" TargetMode="External"/><Relationship Id="rId108" Type="http://schemas.openxmlformats.org/officeDocument/2006/relationships/hyperlink" Target="https://www.sec.gov/Archives/edgar/data/0001297989/000119312522178131/d35273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2022-07-28T15:55:18Z</dcterms:created>
  <dcterms:modified xsi:type="dcterms:W3CDTF">2022-07-28T15:55:18Z</dcterms:modified>
</cp:coreProperties>
</file>