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8"/>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4"/>
          </w:tcPr>
          <w:p>
            <w:pPr>
              <w:ind w:left="34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0" w:type="dxa"/>
            <w:vAlign w:val="bottom"/>
            <w:gridSpan w:val="10"/>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6,655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02/22/2018</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49" w:lineRule="exact"/>
              <w:rPr>
                <w:sz w:val="20"/>
                <w:szCs w:val="20"/>
                <w:color w:val="auto"/>
              </w:rPr>
            </w:pPr>
            <w:r>
              <w:rPr>
                <w:rFonts w:ascii="Arial" w:cs="Arial" w:eastAsia="Arial" w:hAnsi="Arial"/>
                <w:sz w:val="14"/>
                <w:szCs w:val="14"/>
                <w:color w:val="0000FF"/>
              </w:rPr>
              <w:t>6,655</w:t>
            </w:r>
          </w:p>
        </w:tc>
        <w:tc>
          <w:tcPr>
            <w:tcW w:w="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color w:val="0000FF"/>
                <w:w w:val="96"/>
              </w:rPr>
              <w:t>02/22/2028</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6,655</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22, 2019. Vesting will be accelerated upon certain termination of employment events and upon a "Change in Control" (as defined in the ExlService Holdings, Inc. 2015 Amendment and Restatement of the 2006 Omnibus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spacing w:after="0" w:line="233" w:lineRule="auto"/>
        <w:rPr>
          <w:sz w:val="20"/>
          <w:szCs w:val="20"/>
          <w:color w:val="auto"/>
        </w:rPr>
      </w:pPr>
      <w:r>
        <w:rPr>
          <w:rFonts w:ascii="Arial" w:cs="Arial" w:eastAsia="Arial" w:hAnsi="Arial"/>
          <w:sz w:val="14"/>
          <w:szCs w:val="14"/>
          <w:color w:val="008000"/>
        </w:rPr>
        <w:t>Note: On February 22, 2018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Ajay Ayyappan,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02/21/2019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2019-12-23T21:57:22Z</dcterms:created>
  <dcterms:modified xsi:type="dcterms:W3CDTF">2019-12-23T21:57:22Z</dcterms:modified>
</cp:coreProperties>
</file>