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August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01"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540"/>
          </w:cols>
          <w:pgMar w:left="240" w:top="301"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On August 6, 2008, ExlService Holdings, Inc. (the “Company”) reported its results of operations for the three and six months ended June 30, 2008.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issued by the Company concerning the foregoing is furnished herewith as Exhibit 99.1 and is incorporated herein by reference.</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980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9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August 6, 2008</w:t>
            </w:r>
          </w:p>
        </w:tc>
      </w:tr>
    </w:tbl>
    <w:p>
      <w:pPr>
        <w:sectPr>
          <w:pgSz w:w="11900" w:h="16838" w:orient="portrait"/>
          <w:cols w:equalWidth="0" w:num="1">
            <w:col w:w="11260"/>
          </w:cols>
          <w:pgMar w:left="240" w:top="27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2520"/>
              <w:spacing w:after="0"/>
              <w:rPr>
                <w:sz w:val="20"/>
                <w:szCs w:val="20"/>
                <w:color w:val="auto"/>
              </w:rPr>
            </w:pPr>
            <w:r>
              <w:rPr>
                <w:rFonts w:ascii="Arial" w:cs="Arial" w:eastAsia="Arial" w:hAnsi="Arial"/>
                <w:sz w:val="18"/>
                <w:szCs w:val="18"/>
                <w:color w:val="auto"/>
              </w:rPr>
              <w:t>(Registrant)</w:t>
            </w:r>
          </w:p>
        </w:tc>
      </w:tr>
      <w:tr>
        <w:trPr>
          <w:trHeight w:val="428"/>
        </w:trPr>
        <w:tc>
          <w:tcPr>
            <w:tcW w:w="3660" w:type="dxa"/>
            <w:vAlign w:val="bottom"/>
          </w:tcPr>
          <w:p>
            <w:pPr>
              <w:spacing w:after="0"/>
              <w:rPr>
                <w:sz w:val="20"/>
                <w:szCs w:val="20"/>
                <w:color w:val="auto"/>
              </w:rPr>
            </w:pPr>
            <w:r>
              <w:rPr>
                <w:rFonts w:ascii="Arial" w:cs="Arial" w:eastAsia="Arial" w:hAnsi="Arial"/>
                <w:sz w:val="18"/>
                <w:szCs w:val="18"/>
                <w:color w:val="auto"/>
              </w:rPr>
              <w:t>Date: August 7, 2008</w:t>
            </w: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Appel</w:t>
            </w:r>
          </w:p>
        </w:tc>
      </w:tr>
      <w:tr>
        <w:trPr>
          <w:trHeight w:val="215"/>
        </w:trPr>
        <w:tc>
          <w:tcPr>
            <w:tcW w:w="3660" w:type="dxa"/>
            <w:vAlign w:val="bottom"/>
          </w:tcPr>
          <w:p>
            <w:pPr>
              <w:spacing w:after="0"/>
              <w:rPr>
                <w:sz w:val="18"/>
                <w:szCs w:val="18"/>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Appel</w:t>
            </w:r>
          </w:p>
        </w:tc>
      </w:tr>
      <w:tr>
        <w:trPr>
          <w:trHeight w:val="222"/>
        </w:trPr>
        <w:tc>
          <w:tcPr>
            <w:tcW w:w="3660" w:type="dxa"/>
            <w:vAlign w:val="bottom"/>
          </w:tcPr>
          <w:p>
            <w:pPr>
              <w:spacing w:after="0"/>
              <w:rPr>
                <w:sz w:val="19"/>
                <w:szCs w:val="19"/>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August 6, 2008</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0090"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2008 SECOND QUARTER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Revenues Grew 25% Year Over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Income From Operations Increased 71% Year Over Year</w:t>
      </w:r>
    </w:p>
    <w:p>
      <w:pPr>
        <w:spacing w:after="0" w:line="17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New York, NY – August 6, 2008 – ExlService Holdings, Inc. (NASDAQ: EXLS), a leading provider of Outsourcing and Transformation Services, today announced its financial results for the quarter ended June 30,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highlights for the second quarter of 2008 include:</w:t>
      </w:r>
    </w:p>
    <w:p>
      <w:pPr>
        <w:spacing w:after="0" w:line="8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for the quarter increased 25.1% to $53.8 million from $43.0 million in the quarter ended June 30, 2007.</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for the quarter was 37.0% compared to 33.1% in the quarter ended June 30, 2007.</w:t>
      </w:r>
    </w:p>
    <w:p>
      <w:pPr>
        <w:spacing w:after="0" w:line="90" w:lineRule="exact"/>
        <w:rPr>
          <w:rFonts w:ascii="Arial" w:cs="Arial" w:eastAsia="Arial" w:hAnsi="Arial"/>
          <w:sz w:val="18"/>
          <w:szCs w:val="18"/>
          <w:b w:val="1"/>
          <w:bCs w:val="1"/>
          <w:color w:val="auto"/>
        </w:rPr>
      </w:pPr>
    </w:p>
    <w:p>
      <w:pPr>
        <w:ind w:left="900" w:right="240" w:hanging="325"/>
        <w:spacing w:after="0" w:line="26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 for the quarter was 9.8% compared to 6.1% in the quarter ended June 30, 2007; adjusted operating margin for the quarter, excluding the impact of stock-based compensation expense and amortization of intangibles, was 13.7% compared to 10.0% in the quarter ended June 30, 2007.</w:t>
      </w:r>
    </w:p>
    <w:p>
      <w:pPr>
        <w:spacing w:after="0" w:line="51" w:lineRule="exact"/>
        <w:rPr>
          <w:rFonts w:ascii="Arial" w:cs="Arial" w:eastAsia="Arial" w:hAnsi="Arial"/>
          <w:sz w:val="18"/>
          <w:szCs w:val="18"/>
          <w:b w:val="1"/>
          <w:bCs w:val="1"/>
          <w:color w:val="auto"/>
        </w:rPr>
      </w:pPr>
    </w:p>
    <w:p>
      <w:pPr>
        <w:ind w:left="900" w:hanging="325"/>
        <w:spacing w:after="0" w:line="26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Income from operations for the quarter was $5.3 million compared to $2.6 million for the quarter ended June 30, 2007; adjusted income from operations, excluding the impact of stock-based compensation expense and amortization of intangibles, for the quarter was $7.4 million compared to $4.3 million for the quarter ended June 30, 2007.</w:t>
      </w:r>
    </w:p>
    <w:p>
      <w:pPr>
        <w:spacing w:after="0" w:line="51"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to common stockholders for the quarter was $5.3 million compared to $5.6 million in the quarter ended June 30, 2007.</w:t>
      </w:r>
    </w:p>
    <w:p>
      <w:pPr>
        <w:spacing w:after="0" w:line="113" w:lineRule="exact"/>
        <w:rPr>
          <w:rFonts w:ascii="Arial" w:cs="Arial" w:eastAsia="Arial" w:hAnsi="Arial"/>
          <w:sz w:val="16"/>
          <w:szCs w:val="16"/>
          <w:b w:val="1"/>
          <w:bCs w:val="1"/>
          <w:color w:val="auto"/>
        </w:rPr>
      </w:pPr>
    </w:p>
    <w:p>
      <w:pPr>
        <w:ind w:left="900" w:right="60" w:hanging="325"/>
        <w:spacing w:after="0" w:line="26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Diluted GAAP earnings per share to common stockholders was $0.18 for the quarter compared to $0.19 in the quarter ended June 30, 2007; adjusted earnings per share on a diluted basis, excluding the impact of stock-based compensation expense and amortization of intangibles, was $0.23 for the quarter compared to $0.24 in the quarter ended June 30, 2007.</w:t>
      </w:r>
    </w:p>
    <w:p>
      <w:pPr>
        <w:spacing w:after="0" w:line="138"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i w:val="1"/>
          <w:iCs w:val="1"/>
          <w:color w:val="auto"/>
        </w:rPr>
        <w:t>Reconciliations of adjusted financial measures to GAAP are included at the end of this release. Effective April 1, 2008 the Company has revised its three previous reporting segments into two segments, Outsourcing Services and Transformation Services, to match the way our business now operates and markets its products.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Rohit Kapoor, President and CEO of EXL, commented: “As the economic environment in the US, UK and Europe continues to become more challenging, our clients are actively seeking strategic cost management solutions. We are pleased that EXL’s vision of delivering both Outsourcing and Transformation services is playing well to this market trend. Our performance this quarter was led by rapid growth in our Transformation business across a well diversified base of client relationships. From an operational perspective, this quarter we are proud to have achieved record low attrition levels and at the same time we have improved our margins. With the resolution of Aviva’s strategic review process and the extension of our contract with two of our largest customers, EXL is now fully focused on adding new client relationships and growing our business. We have an extremely strong balance sheet and are well positioned to execute strategic acquisitions and continue to make growth-oriented investments.”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 Appel, CFO of EXL, commented: “EXL’s second quarter financial results reflect strong profitability performance. Our adjusted operating margins for the second quarter of 2008 expanded to 13.7% from 10.0% a year earlier despite the annual wage increases granted during the quarter as well as the headwind related to the opening of our Philippines facility in April 2008. We are particularly pleased with the growth in our adjusted operating margin which reflects the operating performance of our business. As a result of one time charges related to the transfer of the Aviva Pune BOT, the volatile foreign exchange environment and lower volumes expected at select clients in the second half of 2008 we are adjusting our guidance for 2008. We continue to believe that the fundamentals of our business model, including our long term growth rate and adjusted operating margins, are intact.”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 Second Quarter 2008</w:t>
      </w:r>
    </w:p>
    <w:p>
      <w:pPr>
        <w:spacing w:after="0" w:line="96" w:lineRule="exact"/>
        <w:rPr>
          <w:sz w:val="20"/>
          <w:szCs w:val="20"/>
          <w:color w:val="auto"/>
        </w:rPr>
      </w:pPr>
    </w:p>
    <w:p>
      <w:pPr>
        <w:jc w:val="both"/>
        <w:ind w:left="900" w:right="4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June 30, 2008 increased 25.1% to $53.8 million from $43.0 million in the quarter ended June 30, 2007. Second quarter revenues grew by 5.6% as compared to the quarter ended March 31, 2008 due to sequential revenue growth of 14.3% in Transformation Services and 3.6% in Outsourcing Services.</w:t>
      </w:r>
    </w:p>
    <w:p>
      <w:pPr>
        <w:spacing w:after="0" w:line="59"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margin for the quarter ended June 30, 2008 was 37.0% compared to 33.1% for the quarter ended June 30, 2007 and 36.5% for the quarter ended March 31, 2008. Second quarter 2008 gross margin increased as compared to the previous quarter due to the positive impact of exchange rates during the quarter offset by company-wide annual wage increases and costs associated with the opening of our new Philippines facility.</w:t>
      </w:r>
    </w:p>
    <w:p>
      <w:pPr>
        <w:spacing w:after="0" w:line="25" w:lineRule="exact"/>
        <w:rPr>
          <w:rFonts w:ascii="Arial" w:cs="Arial" w:eastAsia="Arial" w:hAnsi="Arial"/>
          <w:sz w:val="16"/>
          <w:szCs w:val="16"/>
          <w:color w:val="auto"/>
        </w:rPr>
      </w:pPr>
    </w:p>
    <w:p>
      <w:pPr>
        <w:ind w:left="900" w:right="200" w:hanging="325"/>
        <w:spacing w:after="0" w:line="318"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Operating margin for the quarter ended June 30, 2008 was 9.8%, compared to 6.1% for the quarter ended June 30, 2007 and 9.9% for the quarter ended March 31, 2008. Second quarter 2008 operating margin remained equal with the previous quarter as a result of increased gross margins and favorable exchange rate movements offset by increased stock-compensation expense for 2008 grants and costs related to the opening of our new Philippines facility. Adjusted operating margin, excluding the impact of stock-based compensation expense and amortization of intangibles, for the quarter ended June 30, 2008 was 13.7% compared to 10.0% for the quarter ended June 30, 2007 and 12.3% for the quarter ended March 31, 2008.</w:t>
      </w:r>
    </w:p>
    <w:p>
      <w:pPr>
        <w:spacing w:after="0" w:line="18" w:lineRule="exact"/>
        <w:rPr>
          <w:rFonts w:ascii="Arial" w:cs="Arial" w:eastAsia="Arial" w:hAnsi="Arial"/>
          <w:sz w:val="15"/>
          <w:szCs w:val="15"/>
          <w:color w:val="auto"/>
        </w:rPr>
      </w:pPr>
    </w:p>
    <w:p>
      <w:pPr>
        <w:ind w:left="900" w:right="8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to common stockholders for the quarter ended June 30, 2008 was $5.3 million compared to $5.6 million for the quarter ended June 30, 2007 and $6.8 million for the quarter ended March 31, 2008. Net income for the second quarter of 2008 was negatively impacted as compared to the quarter ended March 31, 2008 by foreign exchange losses (on hedge contracts and non-cash balance sheet revaluation) related to the significant depreciation of the Indian rupee and Philippine peso during the second quarter.</w:t>
      </w:r>
    </w:p>
    <w:p>
      <w:pPr>
        <w:spacing w:after="0" w:line="31" w:lineRule="exact"/>
        <w:rPr>
          <w:rFonts w:ascii="Arial" w:cs="Arial" w:eastAsia="Arial" w:hAnsi="Arial"/>
          <w:sz w:val="16"/>
          <w:szCs w:val="16"/>
          <w:color w:val="auto"/>
        </w:rPr>
      </w:pPr>
    </w:p>
    <w:p>
      <w:pPr>
        <w:ind w:left="900" w:right="5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earnings per share, excluding the impact of stock-based compensation expense and amortization of intangibles, for the quarter ended June 30, 2008 was $0.23 as compared to $0.24 for the quarter ended June 30, 2007 and $0.26 for the quarter ended March 31, 2008.</w:t>
      </w:r>
    </w:p>
    <w:p>
      <w:pPr>
        <w:spacing w:after="0" w:line="4" w:lineRule="exact"/>
        <w:rPr>
          <w:rFonts w:ascii="Arial" w:cs="Arial" w:eastAsia="Arial" w:hAnsi="Arial"/>
          <w:sz w:val="16"/>
          <w:szCs w:val="16"/>
          <w:color w:val="auto"/>
        </w:rPr>
      </w:pPr>
    </w:p>
    <w:p>
      <w:pPr>
        <w:jc w:val="both"/>
        <w:ind w:left="900" w:right="2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generated from our largest client represented 22.3% of total revenues for the quarter ended June 30, 2008 as compared to 28.8% for the quarter ended June 30, 2007. Revenues generated from our three largest clients represented 51.5% of total revenues for the quarter ended June 30, 2008 as compared to 59.4% for the quarter ended June 30,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 Second Quarter 2008</w:t>
      </w:r>
    </w:p>
    <w:p>
      <w:pPr>
        <w:spacing w:after="0" w:line="96" w:lineRule="exact"/>
        <w:rPr>
          <w:sz w:val="20"/>
          <w:szCs w:val="20"/>
          <w:color w:val="auto"/>
        </w:rPr>
      </w:pPr>
    </w:p>
    <w:p>
      <w:pPr>
        <w:ind w:left="900" w:right="1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experienced record low quarterly attrition of 29% compared to 32% for the first quarter of 2008 and 42% for the second quarter of 2007. As of June 30, 2008, EXL had a headcount of approximately 10,600 individuals (including personnel managed under structured client service agreements) representing an increase of approximately 100 from the first quarter of 2008.</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an environment where new customer contracts have been delayed and ramp ups on existing clients have been slower than anticipated, we have: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Signed two new Outsourcing Services clients and three new Transformation Services clients.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Signed contracts with two additional existing insurance clients to deliver Outsourcing Services from our new Philippines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left="1480" w:hanging="446"/>
        <w:spacing w:after="0"/>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Entered into contract extensions with our two largest clients: Aviva through February 2012 and Centrica through January 2010.</w:t>
      </w:r>
    </w:p>
    <w:p>
      <w:pPr>
        <w:spacing w:after="0" w:line="113" w:lineRule="exact"/>
        <w:rPr>
          <w:rFonts w:ascii="Arial" w:cs="Arial" w:eastAsia="Arial" w:hAnsi="Arial"/>
          <w:sz w:val="16"/>
          <w:szCs w:val="16"/>
          <w:color w:val="auto"/>
        </w:rPr>
      </w:pPr>
    </w:p>
    <w:p>
      <w:pPr>
        <w:ind w:left="900" w:right="5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Appointed Kiran Karnik as an independent director on EXL’s board with effect from September 25, 2008. Mr. Karnik was the immediate past President of NASSCOM, India’s industry body representing companies in the information technology (IT) and IT-enabled services sectors.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 for calendar year 2008 based on current exchange rates:</w:t>
      </w:r>
    </w:p>
    <w:p>
      <w:pPr>
        <w:spacing w:after="0" w:line="90" w:lineRule="exact"/>
        <w:rPr>
          <w:sz w:val="20"/>
          <w:szCs w:val="20"/>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of $200 to $205 million. Adjustment to our previous guidance is due to lower volumes expected at select clients during the second half of 2008.</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guidance for adjusted operating margin, excluding the impact of stock-based compensation expense and amortization of intangibles, at 12.0%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EPS of $0.65 per diluted share. The change in GAAP EPS guidance is primarily attributable to:</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One-time charges of $0.09 comprised of:</w:t>
      </w:r>
    </w:p>
    <w:p>
      <w:pPr>
        <w:spacing w:after="0" w:line="9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7"/>
        </w:numPr>
        <w:rPr>
          <w:rFonts w:ascii="Arial" w:cs="Arial" w:eastAsia="Arial" w:hAnsi="Arial"/>
          <w:sz w:val="18"/>
          <w:szCs w:val="18"/>
          <w:color w:val="auto"/>
        </w:rPr>
      </w:pPr>
      <w:r>
        <w:rPr>
          <w:rFonts w:ascii="Arial" w:cs="Arial" w:eastAsia="Arial" w:hAnsi="Arial"/>
          <w:sz w:val="18"/>
          <w:szCs w:val="18"/>
          <w:color w:val="auto"/>
        </w:rPr>
        <w:t>Capital gains and dividend distribution taxes arising from the transfer of the Aviva Pune BOT of $0.07. Indian tax law imposes a capital gains tax on the difference between the value of an entity calculated pursuant to certain government regulations and the original investment and a separate tax on dividends paid by a subsidiary to its parent company.</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Transaction costs of $0.02 related to the recent sale of Aviva’s offshore business.</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Losses on foreign exchange hedge contracts and non-cash balance sheet revaluation of $0.03 due to timing and volume mismatches for the various currencies in which we conduct our business.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Lower volumes at select clients of $0.03.</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Timing of revenues and higher costs associated with the opening of our Philippines facility of $0.03.</w:t>
      </w:r>
    </w:p>
    <w:p>
      <w:pPr>
        <w:spacing w:after="0" w:line="63" w:lineRule="exact"/>
        <w:rPr>
          <w:rFonts w:ascii="Arial" w:cs="Arial" w:eastAsia="Arial" w:hAnsi="Arial"/>
          <w:sz w:val="18"/>
          <w:szCs w:val="18"/>
          <w:color w:val="auto"/>
        </w:rPr>
      </w:pPr>
    </w:p>
    <w:p>
      <w:pPr>
        <w:ind w:left="900" w:right="60" w:hanging="325"/>
        <w:spacing w:after="0" w:line="252"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guidance includes approximately $16 million of revenue, and $0.06 of GAAP EPS related to the Aviva Pune BOT. The subsidiary that operates the Aviva Pune BOT is expected to transfer on August 11,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EXL will host a conference call on Thursday, August 7, at 10:00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website at least fifteen minutes prior to the call to register, download and install any necessary audio software.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listen to the conference call via phone, please dial +1-800-573-4840 or 1-617-224-4326 and enter “80598656”. For those who cannot access the live broadcast, a replay will be available by dialing +1-888-286-8010 or +1-617-801-6888 and enter “47181985” from two hours after the end of the call until 11:59 p.m. (EST) on August 14, 2008. The replay will also be available at the EXL web site.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ExlService Holdings, Inc. (Nasdaq: EXLS - News)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reengineering including Six Sigma process improvement, research &amp; analytics, and risk advisory services. Headquartered in New York, EXL primarily serves the needs of Global 1000 companies in the insurance, utilities, financial services, healthcare, telecommunications and transportation sectors. Find additional information about EXL at www.exlservice.com.</w:t>
      </w:r>
    </w:p>
    <w:p>
      <w:pPr>
        <w:spacing w:after="0" w:line="3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2007. These risks could cause actual results to differ materially from those implied by forward-looking statements in this release.</w:t>
      </w:r>
    </w:p>
    <w:p>
      <w:pPr>
        <w:spacing w:after="0" w:line="143"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0"/>
              </w:rPr>
              <w:t>Three months ended June 30,</w:t>
            </w:r>
          </w:p>
        </w:tc>
        <w:tc>
          <w:tcPr>
            <w:tcW w:w="100" w:type="dxa"/>
            <w:vAlign w:val="bottom"/>
          </w:tcPr>
          <w:p>
            <w:pPr>
              <w:spacing w:after="0"/>
              <w:rPr>
                <w:sz w:val="14"/>
                <w:szCs w:val="14"/>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53,815,795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42,646,251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104,764,425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82,150,252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373,588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53,815,795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43,019,839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104,764,425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82,874,287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33,911,941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28,798,645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66,276,768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53,280,613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19,903,854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14,221,194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38,487,657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29,593,674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8,599,809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6,805,341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17,064,858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2,910,467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2,027,727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5,284,817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3,991,257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3,133,158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2,764,035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5,204,937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14,643,434</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11,597,103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28,185,872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22,037,082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5,260,420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2,624,091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10,301,785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(143,581)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2,294,904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2,865,011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611,446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1,018,782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1,191,924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2,026,584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5,720,654</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5,928,218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13,125,005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12,421,107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456,582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1,392,433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5,264,072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5,620,048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12,063,884</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11,028,674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28,799,510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28,495,781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28,778,337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28,319,530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29,351,038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29,210,372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29,321,982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29,050,897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97,666,533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102,209,734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242,871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252,561</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$126,030 at June 30, 2008 and of $85,539 at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43,985,148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38,513,774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2,947,064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3,279,715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income tax</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7,541,165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150,920,817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155,593,355</w:t>
            </w:r>
          </w:p>
        </w:tc>
        <w:tc>
          <w:tcPr>
            <w:tcW w:w="60" w:type="dxa"/>
            <w:vAlign w:val="bottom"/>
            <w:shd w:val="clear" w:color="auto" w:fill="CCEEFF"/>
          </w:tcPr>
          <w:p>
            <w:pPr>
              <w:spacing w:after="0"/>
              <w:rPr>
                <w:sz w:val="18"/>
                <w:szCs w:val="18"/>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27,797,270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25,244,603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 of amortization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17,695,657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16,785,487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4,879,548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4,498,449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9,956,772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8,047,497</w:t>
            </w:r>
          </w:p>
        </w:tc>
        <w:tc>
          <w:tcPr>
            <w:tcW w:w="60" w:type="dxa"/>
            <w:vAlign w:val="bottom"/>
            <w:shd w:val="clear" w:color="auto" w:fill="CCEEFF"/>
          </w:tcPr>
          <w:p>
            <w:pPr>
              <w:spacing w:after="0"/>
              <w:rPr>
                <w:sz w:val="18"/>
                <w:szCs w:val="18"/>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211,676,222</w:t>
            </w:r>
          </w:p>
        </w:tc>
        <w:tc>
          <w:tcPr>
            <w:tcW w:w="16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210,813,707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1,981,704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4,056,755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4,440,261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10,832,758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13,774,306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22,370,751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10,563,187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729,715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125,960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39,360,849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36,022,854</w:t>
            </w:r>
          </w:p>
        </w:tc>
        <w:tc>
          <w:tcPr>
            <w:tcW w:w="60" w:type="dxa"/>
            <w:vAlign w:val="bottom"/>
            <w:shd w:val="clear" w:color="auto" w:fill="CCEEFF"/>
          </w:tcPr>
          <w:p>
            <w:pPr>
              <w:spacing w:after="0"/>
              <w:rPr>
                <w:sz w:val="18"/>
                <w:szCs w:val="18"/>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226,965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258,399</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552,685</w:t>
            </w:r>
          </w:p>
        </w:tc>
        <w:tc>
          <w:tcPr>
            <w:tcW w:w="60" w:type="dxa"/>
            <w:vAlign w:val="bottom"/>
            <w:shd w:val="clear" w:color="auto" w:fill="CCEEFF"/>
          </w:tcPr>
          <w:p>
            <w:pPr>
              <w:spacing w:after="0"/>
              <w:rPr>
                <w:sz w:val="18"/>
                <w:szCs w:val="18"/>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45,243,542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36,833,938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100,000,000 shares authorized, 28,980,198 shares issued and outstanding as of</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2008 and 28,891,043 shares issued and outstanding as of December 31, 2007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28,891</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114,335,764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110,988,552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67,677,066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55,708,233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(15,264,369)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7,570,026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166,777,441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174,295,702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5"/>
              </w:rPr>
              <w:t>Less: 164,943 shares as at June 30, 2008 and 163,690 shares as at December 31, 2007, held in treasury, at cost</w:t>
            </w: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(344,761)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(315,933)</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166,432,680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173,979,769</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211,676,222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210,813,707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differences in stock compensation accounting policies between periods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three month and six month periods ended June 30, 2008 and June 30, 2007 and the three months ended March 31, 2008: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0"/>
              </w:rPr>
              <w:t>Three Months Ended 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7"/>
              </w:rPr>
              <w:t>US GAAP</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Non-GAAP</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US GAAP</w:t>
            </w:r>
          </w:p>
        </w:tc>
        <w:tc>
          <w:tcPr>
            <w:tcW w:w="4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Non-GAAP</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53,816</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43,020</w:t>
            </w:r>
          </w:p>
        </w:tc>
        <w:tc>
          <w:tcPr>
            <w:tcW w:w="0" w:type="dxa"/>
            <w:vAlign w:val="bottom"/>
          </w:tcPr>
          <w:p>
            <w:pPr>
              <w:spacing w:after="0"/>
              <w:rPr>
                <w:sz w:val="1"/>
                <w:szCs w:val="1"/>
                <w:color w:val="auto"/>
              </w:rPr>
            </w:pPr>
          </w:p>
        </w:tc>
      </w:tr>
      <w:tr>
        <w:trPr>
          <w:trHeight w:val="208"/>
        </w:trPr>
        <w:tc>
          <w:tcPr>
            <w:tcW w:w="3280" w:type="dxa"/>
            <w:vAlign w:val="bottom"/>
          </w:tcPr>
          <w:p>
            <w:pPr>
              <w:spacing w:after="0"/>
              <w:rPr>
                <w:sz w:val="20"/>
                <w:szCs w:val="20"/>
                <w:color w:val="auto"/>
              </w:rPr>
            </w:pPr>
            <w:r>
              <w:rPr>
                <w:rFonts w:ascii="Arial" w:cs="Arial" w:eastAsia="Arial" w:hAnsi="Arial"/>
                <w:sz w:val="18"/>
                <w:szCs w:val="18"/>
                <w:color w:val="auto"/>
              </w:rPr>
              <w:t>Cost of revenues (exclusive of</w:t>
            </w:r>
          </w:p>
        </w:tc>
        <w:tc>
          <w:tcPr>
            <w:tcW w:w="1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33,912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(455)</w:t>
            </w: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33,457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28,799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(289)</w:t>
            </w:r>
          </w:p>
        </w:tc>
        <w:tc>
          <w:tcPr>
            <w:tcW w:w="5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28,510</w:t>
            </w:r>
          </w:p>
        </w:tc>
        <w:tc>
          <w:tcPr>
            <w:tcW w:w="0" w:type="dxa"/>
            <w:vAlign w:val="bottom"/>
          </w:tcPr>
          <w:p>
            <w:pPr>
              <w:spacing w:after="0"/>
              <w:rPr>
                <w:sz w:val="1"/>
                <w:szCs w:val="1"/>
                <w:color w:val="auto"/>
              </w:rPr>
            </w:pPr>
          </w:p>
        </w:tc>
      </w:tr>
      <w:tr>
        <w:trPr>
          <w:trHeight w:val="223"/>
        </w:trPr>
        <w:tc>
          <w:tcPr>
            <w:tcW w:w="3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14,510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Pr>
          <w:p>
            <w:pPr>
              <w:spacing w:after="0"/>
              <w:rPr>
                <w:sz w:val="18"/>
                <w:szCs w:val="18"/>
                <w:color w:val="auto"/>
              </w:rPr>
            </w:pPr>
          </w:p>
        </w:tc>
        <w:tc>
          <w:tcPr>
            <w:tcW w:w="108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rPr>
              <w:t>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rPr>
              <w:t>37.8%</w:t>
            </w:r>
          </w:p>
        </w:tc>
        <w:tc>
          <w:tcPr>
            <w:tcW w:w="100" w:type="dxa"/>
            <w:vAlign w:val="bottom"/>
          </w:tcPr>
          <w:p>
            <w:pPr>
              <w:spacing w:after="0"/>
              <w:rPr>
                <w:sz w:val="18"/>
                <w:szCs w:val="18"/>
                <w:color w:val="auto"/>
              </w:rPr>
            </w:pPr>
          </w:p>
        </w:tc>
        <w:tc>
          <w:tcPr>
            <w:tcW w:w="124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33.1%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33.7%</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(1,432)</w:t>
            </w: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(a)</w:t>
            </w:r>
          </w:p>
        </w:tc>
        <w:tc>
          <w:tcPr>
            <w:tcW w:w="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8,833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(802)</w:t>
            </w:r>
          </w:p>
        </w:tc>
        <w:tc>
          <w:tcPr>
            <w:tcW w:w="520" w:type="dxa"/>
            <w:vAlign w:val="bottom"/>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8,031</w:t>
            </w: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(221)</w:t>
            </w:r>
          </w:p>
        </w:tc>
        <w:tc>
          <w:tcPr>
            <w:tcW w:w="600" w:type="dxa"/>
            <w:vAlign w:val="bottom"/>
          </w:tcPr>
          <w:p>
            <w:pPr>
              <w:ind w:left="80"/>
              <w:spacing w:after="0"/>
              <w:rPr>
                <w:sz w:val="20"/>
                <w:szCs w:val="20"/>
                <w:color w:val="auto"/>
              </w:rPr>
            </w:pPr>
            <w:r>
              <w:rPr>
                <w:rFonts w:ascii="Arial" w:cs="Arial" w:eastAsia="Arial" w:hAnsi="Arial"/>
                <w:sz w:val="18"/>
                <w:szCs w:val="18"/>
                <w:b w:val="1"/>
                <w:bCs w:val="1"/>
                <w:color w:val="auto"/>
              </w:rPr>
              <w:t>(b)</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(590)</w:t>
            </w:r>
          </w:p>
        </w:tc>
        <w:tc>
          <w:tcPr>
            <w:tcW w:w="520" w:type="dxa"/>
            <w:vAlign w:val="bottom"/>
          </w:tcPr>
          <w:p>
            <w:pPr>
              <w:ind w:left="60"/>
              <w:spacing w:after="0"/>
              <w:rPr>
                <w:sz w:val="20"/>
                <w:szCs w:val="20"/>
                <w:color w:val="auto"/>
              </w:rPr>
            </w:pPr>
            <w:r>
              <w:rPr>
                <w:rFonts w:ascii="Arial" w:cs="Arial" w:eastAsia="Arial" w:hAnsi="Arial"/>
                <w:sz w:val="18"/>
                <w:szCs w:val="18"/>
                <w:b w:val="1"/>
                <w:bCs w:val="1"/>
                <w:color w:val="auto"/>
              </w:rPr>
              <w:t>(b)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2,174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2,107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4,305</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i w:val="1"/>
                <w:iCs w:val="1"/>
                <w:color w:val="auto"/>
              </w:rPr>
              <w:t>Operating Margin %</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rPr>
              <w:t>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rPr>
              <w:t>13.7%</w:t>
            </w:r>
          </w:p>
        </w:tc>
        <w:tc>
          <w:tcPr>
            <w:tcW w:w="100" w:type="dxa"/>
            <w:vAlign w:val="bottom"/>
          </w:tcPr>
          <w:p>
            <w:pPr>
              <w:spacing w:after="0"/>
              <w:rPr>
                <w:sz w:val="19"/>
                <w:szCs w:val="19"/>
                <w:color w:val="auto"/>
              </w:rPr>
            </w:pPr>
          </w:p>
        </w:tc>
        <w:tc>
          <w:tcPr>
            <w:tcW w:w="124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6.1%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10.0%</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1,552</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6,988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0.05</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w:t>
            </w:r>
          </w:p>
        </w:tc>
        <w:tc>
          <w:tcPr>
            <w:tcW w:w="1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29,351,038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29,351,038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29,351,038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29,210,372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29,210,372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29,210,372</w:t>
            </w: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dilutive shares outstanding</w:t>
            </w:r>
          </w:p>
        </w:tc>
        <w:tc>
          <w:tcPr>
            <w:tcW w:w="1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Amounts may not foot due to rounding.</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stock-based compensation expense under FAS 123R and amortization of acquisition-related intangibles net of applicable tax benefit.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7"/>
              </w:rPr>
              <w:t>US GAAP</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Non-GAAP</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US GAAP</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Non-GAAP</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104,764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104,764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82,874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82,874</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Cost of revenues (exclusive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66,277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(587)</w:t>
            </w: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65,689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53,281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(501)</w:t>
            </w:r>
          </w:p>
        </w:tc>
        <w:tc>
          <w:tcPr>
            <w:tcW w:w="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52,779</w:t>
            </w:r>
          </w:p>
        </w:tc>
        <w:tc>
          <w:tcPr>
            <w:tcW w:w="0" w:type="dxa"/>
            <w:vAlign w:val="bottom"/>
          </w:tcPr>
          <w:p>
            <w:pPr>
              <w:spacing w:after="0"/>
              <w:rPr>
                <w:sz w:val="1"/>
                <w:szCs w:val="1"/>
                <w:color w:val="auto"/>
              </w:rPr>
            </w:pPr>
          </w:p>
        </w:tc>
      </w:tr>
      <w:tr>
        <w:trPr>
          <w:trHeight w:val="223"/>
        </w:trPr>
        <w:tc>
          <w:tcPr>
            <w:tcW w:w="3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38,488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29,594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30,095</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36.7%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rPr>
              <w:t>37.3%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35.7%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36.3%</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(2,288)</w:t>
            </w: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(a)</w:t>
            </w:r>
          </w:p>
        </w:tc>
        <w:tc>
          <w:tcPr>
            <w:tcW w:w="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16,832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(1,418)</w:t>
            </w:r>
          </w:p>
        </w:tc>
        <w:tc>
          <w:tcPr>
            <w:tcW w:w="480" w:type="dxa"/>
            <w:vAlign w:val="bottom"/>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15,415</w:t>
            </w: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5"/>
              </w:rPr>
              <w:t>Depreciation and amortization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5,836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(433)</w:t>
            </w:r>
          </w:p>
        </w:tc>
        <w:tc>
          <w:tcPr>
            <w:tcW w:w="600" w:type="dxa"/>
            <w:vAlign w:val="bottom"/>
          </w:tcPr>
          <w:p>
            <w:pPr>
              <w:ind w:left="80"/>
              <w:spacing w:after="0"/>
              <w:rPr>
                <w:sz w:val="20"/>
                <w:szCs w:val="20"/>
                <w:color w:val="auto"/>
              </w:rPr>
            </w:pPr>
            <w:r>
              <w:rPr>
                <w:rFonts w:ascii="Arial" w:cs="Arial" w:eastAsia="Arial" w:hAnsi="Arial"/>
                <w:sz w:val="18"/>
                <w:szCs w:val="18"/>
                <w:b w:val="1"/>
                <w:bCs w:val="1"/>
                <w:color w:val="auto"/>
              </w:rPr>
              <w:t>(b)</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5,403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5,205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(1,180)</w:t>
            </w:r>
          </w:p>
        </w:tc>
        <w:tc>
          <w:tcPr>
            <w:tcW w:w="480" w:type="dxa"/>
            <w:vAlign w:val="bottom"/>
          </w:tcPr>
          <w:p>
            <w:pPr>
              <w:ind w:left="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4,025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10,301</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3,308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10,656</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rPr>
              <w:t>13.0%</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12.9%</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12,064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2,386</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13,235</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0.41</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0.08</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number of common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6"/>
              </w:rPr>
              <w:t>29,321,982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29,321,982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29,321,982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29,050,897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29,050,897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29,050,897</w:t>
            </w: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dilutive shares outstanding</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Amounts may not foot due to rounding.</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stock-based compensation expense under FAS 123R and amortization of acquisition-related intangibles net of applicable tax benefit.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7"/>
              </w:rPr>
              <w:t>Three Months Ended March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5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1"/>
                <w:szCs w:val="11"/>
                <w:color w:val="auto"/>
              </w:rPr>
            </w:pPr>
          </w:p>
        </w:tc>
      </w:tr>
      <w:tr>
        <w:trPr>
          <w:trHeight w:val="161"/>
        </w:trPr>
        <w:tc>
          <w:tcPr>
            <w:tcW w:w="5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7"/>
              </w:rPr>
              <w:t>US GAAP</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Non-GAAP</w:t>
            </w:r>
          </w:p>
        </w:tc>
        <w:tc>
          <w:tcPr>
            <w:tcW w:w="140" w:type="dxa"/>
            <w:vAlign w:val="bottom"/>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50,949</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50,949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32,365</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w:t>
            </w: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32,232</w:t>
            </w:r>
          </w:p>
        </w:tc>
      </w:tr>
      <w:tr>
        <w:trPr>
          <w:trHeight w:val="20"/>
        </w:trPr>
        <w:tc>
          <w:tcPr>
            <w:tcW w:w="5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18,584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18,717</w:t>
            </w:r>
          </w:p>
        </w:tc>
      </w:tr>
      <w:tr>
        <w:trPr>
          <w:trHeight w:val="216"/>
        </w:trPr>
        <w:tc>
          <w:tcPr>
            <w:tcW w:w="5880" w:type="dxa"/>
            <w:vAlign w:val="bottom"/>
          </w:tcPr>
          <w:p>
            <w:pPr>
              <w:spacing w:after="0"/>
              <w:rPr>
                <w:sz w:val="20"/>
                <w:szCs w:val="20"/>
                <w:color w:val="auto"/>
              </w:rPr>
            </w:pPr>
            <w:r>
              <w:rPr>
                <w:rFonts w:ascii="Arial" w:cs="Arial" w:eastAsia="Arial" w:hAnsi="Arial"/>
                <w:sz w:val="18"/>
                <w:szCs w:val="18"/>
                <w:i w:val="1"/>
                <w:iCs w:val="1"/>
                <w:color w:val="auto"/>
              </w:rPr>
              <w:t>Gross Margin %</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36.7%</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(856)</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9,984</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2,703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(212)</w:t>
            </w: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(b)</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2,491</w:t>
            </w:r>
          </w:p>
        </w:tc>
      </w:tr>
      <w:tr>
        <w:trPr>
          <w:trHeight w:val="20"/>
        </w:trPr>
        <w:tc>
          <w:tcPr>
            <w:tcW w:w="5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6,242</w:t>
            </w:r>
          </w:p>
        </w:tc>
        <w:tc>
          <w:tcPr>
            <w:tcW w:w="140" w:type="dxa"/>
            <w:vAlign w:val="bottom"/>
            <w:shd w:val="clear" w:color="auto" w:fill="CCEEFF"/>
          </w:tcPr>
          <w:p>
            <w:pPr>
              <w:spacing w:after="0"/>
              <w:rPr>
                <w:sz w:val="18"/>
                <w:szCs w:val="18"/>
                <w:color w:val="auto"/>
              </w:rPr>
            </w:pPr>
          </w:p>
        </w:tc>
      </w:tr>
      <w:tr>
        <w:trPr>
          <w:trHeight w:val="221"/>
        </w:trPr>
        <w:tc>
          <w:tcPr>
            <w:tcW w:w="5880" w:type="dxa"/>
            <w:vAlign w:val="bottom"/>
          </w:tcPr>
          <w:p>
            <w:pPr>
              <w:spacing w:after="0"/>
              <w:rPr>
                <w:sz w:val="20"/>
                <w:szCs w:val="20"/>
                <w:color w:val="auto"/>
              </w:rPr>
            </w:pPr>
            <w:r>
              <w:rPr>
                <w:rFonts w:ascii="Arial" w:cs="Arial" w:eastAsia="Arial" w:hAnsi="Arial"/>
                <w:sz w:val="18"/>
                <w:szCs w:val="18"/>
                <w:i w:val="1"/>
                <w:iCs w:val="1"/>
                <w:color w:val="auto"/>
              </w:rPr>
              <w:t>Operating Margin %</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9.9%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12.3%</w:t>
            </w: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834</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7,634</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0.03</w:t>
            </w:r>
          </w:p>
        </w:tc>
        <w:tc>
          <w:tcPr>
            <w:tcW w:w="7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0.26</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and dilutive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29,292,838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29,292,838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29,292,838</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Amounts may not foot due to rounding.</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exclude stock-based compensation expense under FAS 123R and amortization of acquisition-related intangibles net of applicable tax benefit.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1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2019-12-15T10:55:49Z</dcterms:created>
  <dcterms:modified xsi:type="dcterms:W3CDTF">2019-12-15T10:55:49Z</dcterms:modified>
</cp:coreProperties>
</file>