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03/13/2017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2,050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24.77</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18,296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03/13/2017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2,271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45.41</w:t>
            </w:r>
            <w:r>
              <w:rPr>
                <w:rFonts w:ascii="Arial" w:cs="Arial" w:eastAsia="Arial" w:hAnsi="Arial"/>
                <w:sz w:val="22"/>
                <w:szCs w:val="22"/>
                <w:color w:val="008000"/>
                <w:w w:val="93"/>
                <w:vertAlign w:val="superscript"/>
              </w:rPr>
              <w:t>(3)</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16,025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00" w:type="dxa"/>
            <w:vAlign w:val="bottom"/>
            <w:gridSpan w:val="10"/>
          </w:tcPr>
          <w:p>
            <w:pPr>
              <w:ind w:left="1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2,050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24.77</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03/13/2017</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2,050</w:t>
            </w:r>
          </w:p>
        </w:tc>
        <w:tc>
          <w:tcPr>
            <w:tcW w:w="820" w:type="dxa"/>
            <w:vAlign w:val="bottom"/>
            <w:gridSpan w:val="2"/>
            <w:vMerge w:val="continue"/>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color w:val="0000FF"/>
                <w:w w:val="94"/>
              </w:rPr>
              <w:t>02/07/2022</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13, 2017 the reporting person exercised previously issued options to purchase an aggregate of 2,050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$45.40 to $45.43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right="4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7, 2012, the reporting person was granted 11,050 stock options. 10 percent of these options became vested and exercisable on February 7, 2013, an additional 20 percent became vested and exercisable on February 7, 2014, an additional 30 percent became vested and exercisable on February 7, 2015, and the balance of 40 percent became vested and exercisable on February 7, 2016.</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Ms. Saltzman is an Executive Vice President of the Company and the Company's General Counsel and Corporate Secretary.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Nancy Saltzman,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03/15/2017</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2019-12-04T00:59:28Z</dcterms:created>
  <dcterms:modified xsi:type="dcterms:W3CDTF">2019-12-04T00:59:28Z</dcterms:modified>
</cp:coreProperties>
</file>