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Jetley Vivek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08/06/2020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37"/>
        <w:spacing w:after="0"/>
        <w:rPr>
          <w:sz w:val="20"/>
          <w:szCs w:val="20"/>
          <w:color w:val="auto"/>
        </w:rPr>
      </w:pPr>
      <w:r>
        <w:rPr>
          <w:rFonts w:ascii="Arial" w:cs="Arial" w:eastAsia="Arial" w:hAnsi="Arial"/>
          <w:sz w:val="17"/>
          <w:szCs w:val="17"/>
          <w:color w:val="0000FF"/>
        </w:rPr>
        <w:t>EVP and Head of Analytics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52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525270"/>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6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jc w:val="center"/>
              <w:ind w:left="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0000FF"/>
                <w:w w:val="91"/>
              </w:rPr>
              <w:t>08/06/2020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9"/>
              </w:rPr>
              <w:t>3,004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19.76</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41,224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0000FF"/>
                <w:w w:val="91"/>
              </w:rPr>
              <w:t>08/06/2020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9"/>
              </w:rPr>
              <w:t>3,000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13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67.2</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38,224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0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0000FF"/>
                <w:w w:val="91"/>
              </w:rPr>
              <w:t>08/06/2020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4"/>
              </w:rPr>
              <w:t>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left="13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68.5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38,220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8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center"/>
              <w:ind w:right="24"/>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35"/>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3,004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19.76</w:t>
            </w: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08/06/2020</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3,004</w:t>
            </w:r>
          </w:p>
        </w:tc>
        <w:tc>
          <w:tcPr>
            <w:tcW w:w="760" w:type="dxa"/>
            <w:vAlign w:val="bottom"/>
            <w:gridSpan w:val="2"/>
            <w:vMerge w:val="continue"/>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Arial" w:cs="Arial" w:eastAsia="Arial" w:hAnsi="Arial"/>
                <w:sz w:val="13"/>
                <w:szCs w:val="13"/>
                <w:color w:val="0000FF"/>
              </w:rPr>
              <w:t>02/03/2021</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43" w:lineRule="exact"/>
              <w:rPr>
                <w:sz w:val="20"/>
                <w:szCs w:val="20"/>
                <w:color w:val="auto"/>
              </w:rPr>
            </w:pPr>
            <w:r>
              <w:rPr>
                <w:rFonts w:ascii="Arial" w:cs="Arial" w:eastAsia="Arial" w:hAnsi="Arial"/>
                <w:sz w:val="13"/>
                <w:szCs w:val="13"/>
                <w:color w:val="0000FF"/>
                <w:w w:val="92"/>
              </w:rPr>
              <w:t>1,316</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15"/>
              <w:spacing w:after="0" w:line="143"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exercised previously issued options to purchase an aggregate of 3,004 shares of common stock of ExlService Holdings.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45" w:lineRule="exact"/>
        <w:rPr>
          <w:rFonts w:ascii="Arial" w:cs="Arial" w:eastAsia="Arial" w:hAnsi="Arial"/>
          <w:sz w:val="13"/>
          <w:szCs w:val="13"/>
          <w:color w:val="008000"/>
        </w:rPr>
      </w:pPr>
    </w:p>
    <w:p>
      <w:pPr>
        <w:ind w:left="40" w:right="3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3, 2011, the reporting person was granted 8,320 stock options, ten percent of these options became vested and exercisable on February 3, 2012, an additional twenty percent of these options became vested and exercisable on February 3, 2013, an additional thirty percent of these options became vested and exercisable on February 3, 2014, and the balance of forty percent of these options became vested and exercisable on February 3, 2015.</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08/10/2020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2020-08-10T16:03:26Z</dcterms:created>
  <dcterms:modified xsi:type="dcterms:W3CDTF">2020-08-10T16:03:26Z</dcterms:modified>
</cp:coreProperties>
</file>