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76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2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tcPr>
          <w:p>
            <w:pPr>
              <w:jc w:val="center"/>
              <w:ind w:left="2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20" w:type="dxa"/>
            <w:vAlign w:val="bottom"/>
            <w:tcBorders>
              <w:bottom w:val="single" w:sz="8" w:color="2C2C2C"/>
            </w:tcBorders>
          </w:tcPr>
          <w:p>
            <w:pPr>
              <w:jc w:val="center"/>
              <w:ind w:left="26"/>
              <w:spacing w:after="0"/>
              <w:rPr>
                <w:sz w:val="20"/>
                <w:szCs w:val="20"/>
                <w:color w:val="auto"/>
              </w:rPr>
            </w:pPr>
            <w:r>
              <w:rPr>
                <w:rFonts w:ascii="Arial" w:cs="Arial" w:eastAsia="Arial" w:hAnsi="Arial"/>
                <w:sz w:val="18"/>
                <w:szCs w:val="18"/>
                <w:color w:val="0000FF"/>
                <w:w w:val="88"/>
              </w:rPr>
              <w:t>06/30/2016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1,844</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52.2</w:t>
            </w:r>
          </w:p>
        </w:tc>
        <w:tc>
          <w:tcPr>
            <w:tcW w:w="11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3,970</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20" w:type="dxa"/>
            <w:vAlign w:val="bottom"/>
            <w:tcBorders>
              <w:bottom w:val="single" w:sz="8" w:color="2C2C2C"/>
            </w:tcBorders>
          </w:tcPr>
          <w:p>
            <w:pPr>
              <w:jc w:val="center"/>
              <w:ind w:left="26"/>
              <w:spacing w:after="0"/>
              <w:rPr>
                <w:sz w:val="20"/>
                <w:szCs w:val="20"/>
                <w:color w:val="auto"/>
              </w:rPr>
            </w:pPr>
            <w:r>
              <w:rPr>
                <w:rFonts w:ascii="Arial" w:cs="Arial" w:eastAsia="Arial" w:hAnsi="Arial"/>
                <w:sz w:val="18"/>
                <w:szCs w:val="18"/>
                <w:color w:val="0000FF"/>
                <w:w w:val="88"/>
              </w:rPr>
              <w:t>07/01/2016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(2)</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2,209</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right"/>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9.59</w:t>
            </w:r>
          </w:p>
        </w:tc>
        <w:tc>
          <w:tcPr>
            <w:tcW w:w="11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6,179</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1"/>
              </w:rPr>
              <w:t>Common Stock, par value $0.001 per share</w:t>
            </w:r>
          </w:p>
        </w:tc>
        <w:tc>
          <w:tcPr>
            <w:tcW w:w="1220" w:type="dxa"/>
            <w:vAlign w:val="bottom"/>
            <w:tcBorders>
              <w:bottom w:val="single" w:sz="8" w:color="2C2C2C"/>
            </w:tcBorders>
          </w:tcPr>
          <w:p>
            <w:pPr>
              <w:jc w:val="center"/>
              <w:ind w:left="26"/>
              <w:spacing w:after="0"/>
              <w:rPr>
                <w:sz w:val="20"/>
                <w:szCs w:val="20"/>
                <w:color w:val="auto"/>
              </w:rPr>
            </w:pPr>
            <w:r>
              <w:rPr>
                <w:rFonts w:ascii="Arial" w:cs="Arial" w:eastAsia="Arial" w:hAnsi="Arial"/>
                <w:sz w:val="18"/>
                <w:szCs w:val="18"/>
                <w:color w:val="0000FF"/>
                <w:w w:val="88"/>
              </w:rPr>
              <w:t>07/01/2016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2,209</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52.5</w:t>
            </w:r>
          </w:p>
        </w:tc>
        <w:tc>
          <w:tcPr>
            <w:tcW w:w="11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3,970</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(2)</w:t>
            </w: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2,209</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9.59</w:t>
            </w: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07/01/2016</w:t>
            </w:r>
          </w:p>
        </w:tc>
        <w:tc>
          <w:tcPr>
            <w:tcW w:w="1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2,209</w:t>
            </w: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06/01/2019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48,000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July 1, 2016 the reporting person exercised previously issued options to purchase an aggregate of 2,209 shares of common stock of ExlService Holdings, Inc.</w:t>
      </w:r>
    </w:p>
    <w:p>
      <w:pPr>
        <w:spacing w:after="0" w:line="41" w:lineRule="exact"/>
        <w:rPr>
          <w:rFonts w:ascii="Arial" w:cs="Arial" w:eastAsia="Arial" w:hAnsi="Arial"/>
          <w:sz w:val="14"/>
          <w:szCs w:val="14"/>
          <w:color w:val="008000"/>
        </w:rPr>
      </w:pPr>
    </w:p>
    <w:p>
      <w:pPr>
        <w:ind w:left="40" w:right="2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 2009, the reporting person was granted 100,000 stock options. 10 percent of these options became vested and exercisable on June 1, 2010, an additional 20 percent became vested and exercisable on June 1, 2011, an additional 30 percent became vested and exercisable on June 1, 2012, and the balance of 40 percent became vested and exercisable on June 1, 2013.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2019-12-08T02:12:02Z</dcterms:created>
  <dcterms:modified xsi:type="dcterms:W3CDTF">2019-12-08T02:12:02Z</dcterms:modified>
</cp:coreProperties>
</file>