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5527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276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Miglani Nalin Kumar</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02/16/2023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56"/>
        <w:spacing w:after="0"/>
        <w:rPr>
          <w:sz w:val="20"/>
          <w:szCs w:val="20"/>
          <w:color w:val="auto"/>
        </w:rPr>
      </w:pPr>
      <w:r>
        <w:rPr>
          <w:rFonts w:ascii="Arial" w:cs="Arial" w:eastAsia="Arial" w:hAnsi="Arial"/>
          <w:sz w:val="17"/>
          <w:szCs w:val="17"/>
          <w:color w:val="0000FF"/>
        </w:rPr>
        <w:t>EVP and Chief HR Officer</w:t>
      </w:r>
    </w:p>
    <w:p>
      <w:pPr>
        <w:spacing w:after="0" w:line="314"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3"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ind w:left="50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2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00" w:type="dxa"/>
            <w:vAlign w:val="bottom"/>
            <w:gridSpan w:val="2"/>
            <w:vMerge w:val="restart"/>
          </w:tcPr>
          <w:p>
            <w:pPr>
              <w:ind w:left="580"/>
              <w:spacing w:after="0"/>
              <w:rPr>
                <w:sz w:val="20"/>
                <w:szCs w:val="20"/>
                <w:color w:val="auto"/>
              </w:rPr>
            </w:pPr>
            <w:r>
              <w:rPr>
                <w:rFonts w:ascii="Arial" w:cs="Arial" w:eastAsia="Arial" w:hAnsi="Arial"/>
                <w:sz w:val="17"/>
                <w:szCs w:val="17"/>
                <w:color w:val="0000FF"/>
              </w:rPr>
              <w:t>02/16/2023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700" w:type="dxa"/>
            <w:vAlign w:val="bottom"/>
            <w:vMerge w:val="restart"/>
          </w:tcPr>
          <w:p>
            <w:pPr>
              <w:ind w:left="280"/>
              <w:spacing w:after="0"/>
              <w:rPr>
                <w:sz w:val="20"/>
                <w:szCs w:val="20"/>
                <w:color w:val="auto"/>
              </w:rPr>
            </w:pPr>
            <w:r>
              <w:rPr>
                <w:rFonts w:ascii="Arial" w:cs="Arial" w:eastAsia="Arial" w:hAnsi="Arial"/>
                <w:sz w:val="17"/>
                <w:szCs w:val="17"/>
                <w:color w:val="0000FF"/>
              </w:rPr>
              <w:t>893</w:t>
            </w:r>
          </w:p>
        </w:tc>
        <w:tc>
          <w:tcPr>
            <w:tcW w:w="66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560" w:type="dxa"/>
            <w:vAlign w:val="bottom"/>
            <w:vMerge w:val="restart"/>
          </w:tcPr>
          <w:p>
            <w:pPr>
              <w:jc w:val="center"/>
              <w:spacing w:after="0"/>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ind w:left="380"/>
              <w:spacing w:after="0"/>
              <w:rPr>
                <w:sz w:val="20"/>
                <w:szCs w:val="20"/>
                <w:color w:val="auto"/>
              </w:rPr>
            </w:pPr>
            <w:r>
              <w:rPr>
                <w:rFonts w:ascii="Arial" w:cs="Arial" w:eastAsia="Arial" w:hAnsi="Arial"/>
                <w:sz w:val="17"/>
                <w:szCs w:val="17"/>
                <w:color w:val="0000FF"/>
              </w:rPr>
              <w:t>9,879</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62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2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00" w:type="dxa"/>
            <w:vAlign w:val="bottom"/>
            <w:gridSpan w:val="2"/>
            <w:vMerge w:val="restart"/>
          </w:tcPr>
          <w:p>
            <w:pPr>
              <w:ind w:left="580"/>
              <w:spacing w:after="0"/>
              <w:rPr>
                <w:sz w:val="20"/>
                <w:szCs w:val="20"/>
                <w:color w:val="auto"/>
              </w:rPr>
            </w:pPr>
            <w:r>
              <w:rPr>
                <w:rFonts w:ascii="Arial" w:cs="Arial" w:eastAsia="Arial" w:hAnsi="Arial"/>
                <w:sz w:val="17"/>
                <w:szCs w:val="17"/>
                <w:color w:val="0000FF"/>
              </w:rPr>
              <w:t>02/16/2023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700" w:type="dxa"/>
            <w:vAlign w:val="bottom"/>
            <w:vMerge w:val="restart"/>
          </w:tcPr>
          <w:p>
            <w:pPr>
              <w:ind w:left="280"/>
              <w:spacing w:after="0"/>
              <w:rPr>
                <w:sz w:val="20"/>
                <w:szCs w:val="20"/>
                <w:color w:val="auto"/>
              </w:rPr>
            </w:pPr>
            <w:r>
              <w:rPr>
                <w:rFonts w:ascii="Arial" w:cs="Arial" w:eastAsia="Arial" w:hAnsi="Arial"/>
                <w:sz w:val="17"/>
                <w:szCs w:val="17"/>
                <w:color w:val="0000FF"/>
              </w:rPr>
              <w:t>494</w:t>
            </w:r>
          </w:p>
        </w:tc>
        <w:tc>
          <w:tcPr>
            <w:tcW w:w="660" w:type="dxa"/>
            <w:vAlign w:val="bottom"/>
            <w:vMerge w:val="restart"/>
          </w:tcPr>
          <w:p>
            <w:pPr>
              <w:ind w:left="300"/>
              <w:spacing w:after="0"/>
              <w:rPr>
                <w:sz w:val="20"/>
                <w:szCs w:val="20"/>
                <w:color w:val="auto"/>
              </w:rPr>
            </w:pPr>
            <w:r>
              <w:rPr>
                <w:rFonts w:ascii="Arial" w:cs="Arial" w:eastAsia="Arial" w:hAnsi="Arial"/>
                <w:sz w:val="17"/>
                <w:szCs w:val="17"/>
                <w:color w:val="0000FF"/>
              </w:rPr>
              <w:t>D</w:t>
            </w:r>
          </w:p>
        </w:tc>
        <w:tc>
          <w:tcPr>
            <w:tcW w:w="760" w:type="dxa"/>
            <w:vAlign w:val="bottom"/>
            <w:gridSpan w:val="3"/>
            <w:vMerge w:val="restart"/>
          </w:tcPr>
          <w:p>
            <w:pPr>
              <w:jc w:val="center"/>
              <w:ind w:right="1"/>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172.03</w:t>
            </w:r>
            <w:r>
              <w:rPr>
                <w:rFonts w:ascii="Arial" w:cs="Arial" w:eastAsia="Arial" w:hAnsi="Arial"/>
                <w:sz w:val="21"/>
                <w:szCs w:val="21"/>
                <w:color w:val="008000"/>
                <w:w w:val="83"/>
                <w:vertAlign w:val="superscript"/>
              </w:rPr>
              <w:t>(2)</w:t>
            </w:r>
          </w:p>
        </w:tc>
        <w:tc>
          <w:tcPr>
            <w:tcW w:w="1160" w:type="dxa"/>
            <w:vAlign w:val="bottom"/>
            <w:gridSpan w:val="2"/>
            <w:vMerge w:val="restart"/>
          </w:tcPr>
          <w:p>
            <w:pPr>
              <w:ind w:left="380"/>
              <w:spacing w:after="0"/>
              <w:rPr>
                <w:sz w:val="20"/>
                <w:szCs w:val="20"/>
                <w:color w:val="auto"/>
              </w:rPr>
            </w:pPr>
            <w:r>
              <w:rPr>
                <w:rFonts w:ascii="Arial" w:cs="Arial" w:eastAsia="Arial" w:hAnsi="Arial"/>
                <w:sz w:val="17"/>
                <w:szCs w:val="17"/>
                <w:color w:val="0000FF"/>
              </w:rPr>
              <w:t>9,385</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40" w:type="dxa"/>
            <w:vAlign w:val="bottom"/>
            <w:tcBorders>
              <w:bottom w:val="single" w:sz="8" w:color="2C2C2C"/>
            </w:tcBorders>
            <w:gridSpan w:val="9"/>
          </w:tcPr>
          <w:p>
            <w:pPr>
              <w:spacing w:after="0"/>
              <w:rPr>
                <w:sz w:val="8"/>
                <w:szCs w:val="8"/>
                <w:color w:val="auto"/>
              </w:rPr>
            </w:pPr>
          </w:p>
        </w:tc>
        <w:tc>
          <w:tcPr>
            <w:tcW w:w="70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40" w:type="dxa"/>
            <w:vAlign w:val="bottom"/>
            <w:gridSpan w:val="9"/>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660" w:type="dxa"/>
            <w:vAlign w:val="bottom"/>
          </w:tcPr>
          <w:p>
            <w:pPr>
              <w:jc w:val="center"/>
              <w:spacing w:after="0" w:line="144" w:lineRule="exact"/>
              <w:rPr>
                <w:sz w:val="20"/>
                <w:szCs w:val="20"/>
                <w:color w:val="auto"/>
              </w:rPr>
            </w:pPr>
            <w:r>
              <w:rPr>
                <w:rFonts w:ascii="Arial" w:cs="Arial" w:eastAsia="Arial" w:hAnsi="Arial"/>
                <w:sz w:val="13"/>
                <w:szCs w:val="13"/>
                <w:color w:val="0000FF"/>
                <w:w w:val="88"/>
              </w:rPr>
              <w:t>Stock,</w:t>
            </w:r>
          </w:p>
        </w:tc>
        <w:tc>
          <w:tcPr>
            <w:tcW w:w="560" w:type="dxa"/>
            <w:vAlign w:val="bottom"/>
            <w:vMerge w:val="restart"/>
          </w:tcPr>
          <w:p>
            <w:pPr>
              <w:ind w:left="140"/>
              <w:spacing w:after="0"/>
              <w:rPr>
                <w:sz w:val="20"/>
                <w:szCs w:val="20"/>
                <w:color w:val="auto"/>
              </w:rPr>
            </w:pPr>
            <w:r>
              <w:rPr>
                <w:rFonts w:ascii="Arial" w:cs="Arial" w:eastAsia="Arial" w:hAnsi="Arial"/>
                <w:sz w:val="17"/>
                <w:szCs w:val="17"/>
                <w:color w:val="0000FF"/>
              </w:rPr>
              <w:t>893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40" w:type="dxa"/>
            <w:vAlign w:val="bottom"/>
          </w:tcPr>
          <w:p>
            <w:pPr>
              <w:ind w:left="260"/>
              <w:spacing w:after="0" w:line="144" w:lineRule="exact"/>
              <w:rPr>
                <w:sz w:val="20"/>
                <w:szCs w:val="20"/>
                <w:color w:val="auto"/>
              </w:rPr>
            </w:pPr>
            <w:r>
              <w:rPr>
                <w:rFonts w:ascii="Arial" w:cs="Arial" w:eastAsia="Arial" w:hAnsi="Arial"/>
                <w:sz w:val="13"/>
                <w:szCs w:val="13"/>
                <w:color w:val="0000FF"/>
              </w:rPr>
              <w:t>02/16/2023</w:t>
            </w:r>
          </w:p>
        </w:tc>
        <w:tc>
          <w:tcPr>
            <w:tcW w:w="1060" w:type="dxa"/>
            <w:vAlign w:val="bottom"/>
          </w:tcPr>
          <w:p>
            <w:pPr>
              <w:spacing w:after="0"/>
              <w:rPr>
                <w:sz w:val="12"/>
                <w:szCs w:val="12"/>
                <w:color w:val="auto"/>
              </w:rPr>
            </w:pPr>
          </w:p>
        </w:tc>
        <w:tc>
          <w:tcPr>
            <w:tcW w:w="440" w:type="dxa"/>
            <w:vAlign w:val="bottom"/>
          </w:tcPr>
          <w:p>
            <w:pPr>
              <w:ind w:left="140"/>
              <w:spacing w:after="0" w:line="144"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80"/>
              <w:spacing w:after="0" w:line="144" w:lineRule="exact"/>
              <w:rPr>
                <w:sz w:val="20"/>
                <w:szCs w:val="20"/>
                <w:color w:val="auto"/>
              </w:rPr>
            </w:pPr>
            <w:r>
              <w:rPr>
                <w:rFonts w:ascii="Arial" w:cs="Arial" w:eastAsia="Arial" w:hAnsi="Arial"/>
                <w:sz w:val="13"/>
                <w:szCs w:val="13"/>
                <w:color w:val="0000FF"/>
              </w:rPr>
              <w:t>893</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80"/>
              <w:spacing w:after="0" w:line="144"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ind w:left="320"/>
              <w:spacing w:after="0" w:line="144" w:lineRule="exact"/>
              <w:rPr>
                <w:sz w:val="20"/>
                <w:szCs w:val="20"/>
                <w:color w:val="auto"/>
              </w:rPr>
            </w:pPr>
            <w:r>
              <w:rPr>
                <w:rFonts w:ascii="Arial" w:cs="Arial" w:eastAsia="Arial" w:hAnsi="Arial"/>
                <w:sz w:val="13"/>
                <w:szCs w:val="13"/>
                <w:color w:val="0000FF"/>
                <w:w w:val="98"/>
              </w:rPr>
              <w:t>2,679</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44" w:lineRule="exact"/>
              <w:rPr>
                <w:sz w:val="20"/>
                <w:szCs w:val="20"/>
                <w:color w:val="auto"/>
              </w:rPr>
            </w:pPr>
            <w:r>
              <w:rPr>
                <w:rFonts w:ascii="Arial" w:cs="Arial" w:eastAsia="Arial" w:hAnsi="Arial"/>
                <w:sz w:val="13"/>
                <w:szCs w:val="13"/>
                <w:color w:val="0000FF"/>
                <w:w w:val="90"/>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-2295525</wp:posOffset>
            </wp:positionV>
            <wp:extent cx="29210" cy="2300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0060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4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restricted stock units reported in this report vested on February 16, 2023. Under the Company's 2018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1" w:lineRule="exact"/>
        <w:rPr>
          <w:rFonts w:ascii="Arial" w:cs="Arial" w:eastAsia="Arial" w:hAnsi="Arial"/>
          <w:sz w:val="13"/>
          <w:szCs w:val="13"/>
          <w:color w:val="008000"/>
        </w:rPr>
      </w:pPr>
    </w:p>
    <w:p>
      <w:pPr>
        <w:jc w:val="both"/>
        <w:ind w:left="40" w:right="2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16, 2022, the reporting person was granted 3,572 restricted stock units, vesting in four annual installments beginning on the first anniversary of the grant date. 25 percent of the restricted stock units became vested on February 16, 2023, an additional twenty-five percent of the restricted stock units will vest on February 16, 2024, an additional twenty-five percent of the restricted stock units will vest on February 16, 2025; and the remaining balance of twenty-five percent of the restricted stock units will vest on February 16, 2026.</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26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2023-02-21T17:04:02Z</dcterms:created>
  <dcterms:modified xsi:type="dcterms:W3CDTF">2023-02-21T17:04:02Z</dcterms:modified>
</cp:coreProperties>
</file>