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February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280 Park Avenue</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February 28, 2011, ExlService Holdings, Inc. (the “Company”) reported its results of operations for the three and twelve months ended December 31, 2010. A copy of the press release issued by the Company concerning the foregoing is furnished herewith as Exhibit 99.1 and is incorporated herein by reference.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3180" w:type="dxa"/>
            <w:vAlign w:val="bottom"/>
            <w:gridSpan w:val="3"/>
          </w:tcPr>
          <w:p>
            <w:pPr>
              <w:ind w:left="340"/>
              <w:spacing w:after="0"/>
              <w:rPr>
                <w:sz w:val="20"/>
                <w:szCs w:val="20"/>
                <w:color w:val="auto"/>
              </w:rPr>
            </w:pPr>
            <w:r>
              <w:rPr>
                <w:rFonts w:ascii="Arial" w:cs="Arial" w:eastAsia="Arial" w:hAnsi="Arial"/>
                <w:sz w:val="18"/>
                <w:szCs w:val="18"/>
                <w:b w:val="1"/>
                <w:bCs w:val="1"/>
                <w:color w:val="auto"/>
                <w:w w:val="96"/>
              </w:rPr>
              <w:t>Financial Statements and Exhibits</w:t>
            </w:r>
          </w:p>
        </w:tc>
      </w:tr>
      <w:tr>
        <w:trPr>
          <w:trHeight w:val="297"/>
        </w:trPr>
        <w:tc>
          <w:tcPr>
            <w:tcW w:w="1040" w:type="dxa"/>
            <w:vAlign w:val="bottom"/>
            <w:gridSpan w:val="2"/>
          </w:tcPr>
          <w:p>
            <w:pPr>
              <w:ind w:left="460"/>
              <w:spacing w:after="0"/>
              <w:rPr>
                <w:sz w:val="20"/>
                <w:szCs w:val="20"/>
                <w:color w:val="auto"/>
              </w:rPr>
            </w:pPr>
            <w:r>
              <w:rPr>
                <w:rFonts w:ascii="Arial" w:cs="Arial" w:eastAsia="Arial" w:hAnsi="Arial"/>
                <w:sz w:val="18"/>
                <w:szCs w:val="18"/>
                <w:color w:val="auto"/>
              </w:rPr>
              <w:t>(d)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53"/>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Exhibit No.</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2340" w:type="dxa"/>
            <w:vAlign w:val="bottom"/>
          </w:tcPr>
          <w:p>
            <w:pPr>
              <w:spacing w:after="0"/>
              <w:rPr>
                <w:sz w:val="24"/>
                <w:szCs w:val="24"/>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84"/>
              </w:rPr>
              <w:t>Press Release, dated February 28, 2011</w:t>
            </w:r>
          </w:p>
        </w:tc>
      </w:tr>
    </w:tbl>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February 28, 2011</w:t>
      </w:r>
      <w:r>
        <w:rPr>
          <w:sz w:val="20"/>
          <w:szCs w:val="20"/>
          <w:color w:val="auto"/>
        </w:rPr>
        <w:tab/>
      </w:r>
      <w:r>
        <w:rPr>
          <w:rFonts w:ascii="Arial" w:cs="Arial" w:eastAsia="Arial" w:hAnsi="Arial"/>
          <w:sz w:val="16"/>
          <w:szCs w:val="16"/>
          <w:color w:val="auto"/>
        </w:rPr>
        <w:t>By: /s/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Vishal Chhibbar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Exhibit No.</w:t>
            </w:r>
          </w:p>
        </w:tc>
        <w:tc>
          <w:tcPr>
            <w:tcW w:w="80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2340" w:type="dxa"/>
            <w:vAlign w:val="bottom"/>
          </w:tcPr>
          <w:p>
            <w:pPr>
              <w:spacing w:after="0"/>
              <w:rPr>
                <w:sz w:val="14"/>
                <w:szCs w:val="14"/>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80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84"/>
              </w:rPr>
              <w:t>Press Release, dated February 28, 2011</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2010 FOURTH QUARTER AND FULL YEAR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GUIDANCE FOR CALENDAR YEAR 2011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2010 Revenues of $252.8 Million and Adjusted Operating Margin of 14.7%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2011 Revenue Guidance of $295.0 to $305.0 Million Representing Growth of 17% to 21%</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New York, NY – Feb 28, 2011 – ExlService Holdings, Inc. (NASDAQ: EXLS), a leading provider of outsourcing and transformation services, today announced its financial results for the fourth quarter of 2010 and the year ended December 31, 2010.</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Rohit Kapoor, President and CEO, commented: “2010 was a year of solid execution and business momentum for EXL. Our focus on client-centricity, our investment in domain knowledge and integration of outsourcing and transformation services further strengthened our competitive positioning with our clients and prospects. Our revenues grew 35.9% year over year, excluding a one-time client payment we received in 2009. This growth was broad-based and the result of new client wins, scope expansions with existing clients across service lines and geographies and prudent acquisitions. Our two recent acquisitions have been integrated and are performing at or above expectations. I believe our market position is stronger than ever and we have great momentum in the marketplace as we execute our growth plans in 2011.”</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Vishal Chhibbar, CFO, commented: “EXL’s 2010 revenues of $252.8 million significantly exceeded our guidance of $247.0 million due to strong demand by clients through the end of last year. Revenues, excluding a one-time client payment we received in 2009, adjusted EBITDA and adjusted diluted EPS increased by 35.9%, 34.4% and 81.1%, respectively, over the previous year. These results were achieved by a combination of revenue growth and gross margin stability combined with operating leverage in our general and administrative expenses. Our revenue growth and margin expansion allowed us to generate $50.8 million of adjusted EBITDA and $1.08 of adjusted diluted EPS in 2010.</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For 2011, we are providing revenue guidance of between $295.0 million to $305.0 million representing annual revenue growth of 17% to 21%. For 2011, based on current exchange rates, we expect to achieve adjusted operating margins of 13.0% to 14.0%. Our margin guidance is impacted by an investment in physical infrastructure expansion in a special economic zone in India and foreign exchange headwinds.”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right="4740"/>
        <w:spacing w:after="0" w:line="417"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Financial Highlights – Fourth Quarter 2010 and Year Ended December 31, 2010 </w:t>
      </w:r>
      <w:r>
        <w:rPr>
          <w:rFonts w:ascii="Arial" w:cs="Arial" w:eastAsia="Arial" w:hAnsi="Arial"/>
          <w:sz w:val="15"/>
          <w:szCs w:val="15"/>
          <w:i w:val="1"/>
          <w:iCs w:val="1"/>
          <w:color w:val="auto"/>
        </w:rPr>
        <w:t>Reconciliations of adjusted financial measures to GAAP are included at the end of this release.</w:t>
      </w:r>
    </w:p>
    <w:p>
      <w:pPr>
        <w:spacing w:after="0" w:line="1" w:lineRule="exact"/>
        <w:rPr>
          <w:sz w:val="20"/>
          <w:szCs w:val="20"/>
          <w:color w:val="auto"/>
        </w:rPr>
      </w:pPr>
    </w:p>
    <w:p>
      <w:pPr>
        <w:ind w:left="900" w:right="22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year ended December 31, 2010 increased 32.3% to $252.8 million compared to $191.0 million in the year ended December 31, 2009. Revenues for the year ended December 31, 2010 increased 35.9% excluding a one-time client payment of $5.1 million in the year ended December 31, 2009. Revenues for the quarter ended December 31, 2010 were $70.0 million compared to $59.4 million in the quarter ended December 31, 2009. Revenues for the quarter ended December 31, 2010 increased 28.8% excluding the one-time client payment of $5.1 million in the quarter ended December 31, 2009.</w:t>
      </w:r>
    </w:p>
    <w:p>
      <w:pPr>
        <w:spacing w:after="0" w:line="61" w:lineRule="exact"/>
        <w:rPr>
          <w:rFonts w:ascii="Arial" w:cs="Arial" w:eastAsia="Arial" w:hAnsi="Arial"/>
          <w:sz w:val="18"/>
          <w:szCs w:val="18"/>
          <w:color w:val="auto"/>
        </w:rPr>
      </w:pPr>
    </w:p>
    <w:p>
      <w:pPr>
        <w:ind w:left="900" w:right="260" w:hanging="325"/>
        <w:spacing w:after="0" w:line="303"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Gross margin for the year ended December 31, 2010 was 40.1% compared to 41.2% for the year ended December 31, 2009 excluding a one-time client payment of $5.1 million in the year ended December 31, 2009. Outsourcing gross margin for the year ended December 31, 2010 was 40.9% compared to 43.7% for the year ended December 31, 2009 excluding a one-time client payment of $5.1 million in the year ended December 31,</w:t>
      </w:r>
    </w:p>
    <w:p>
      <w:pPr>
        <w:spacing w:after="0" w:line="1" w:lineRule="exact"/>
        <w:rPr>
          <w:rFonts w:ascii="Arial" w:cs="Arial" w:eastAsia="Arial" w:hAnsi="Arial"/>
          <w:sz w:val="15"/>
          <w:szCs w:val="15"/>
          <w:color w:val="auto"/>
        </w:rPr>
      </w:pPr>
    </w:p>
    <w:p>
      <w:pPr>
        <w:jc w:val="both"/>
        <w:ind w:left="900" w:right="260"/>
        <w:spacing w:after="0" w:line="255" w:lineRule="auto"/>
        <w:rPr>
          <w:rFonts w:ascii="Arial" w:cs="Arial" w:eastAsia="Arial" w:hAnsi="Arial"/>
          <w:sz w:val="15"/>
          <w:szCs w:val="15"/>
          <w:color w:val="auto"/>
        </w:rPr>
      </w:pPr>
      <w:r>
        <w:rPr>
          <w:rFonts w:ascii="Arial" w:cs="Arial" w:eastAsia="Arial" w:hAnsi="Arial"/>
          <w:sz w:val="18"/>
          <w:szCs w:val="18"/>
          <w:color w:val="auto"/>
        </w:rPr>
        <w:t>2009. Transformation gross margin for the year ended December 31, 2010 was 37.6% compared to 31.4% for the year ended December 31, 2009. Gross margin for the quarter ended December 31, 2010 was 40.4% compared to 44.1% for the quarter ended December 31, 2009 excluding a one-time client payment of $5.1 million in the quarter ended December 31, 2009.</w:t>
      </w:r>
    </w:p>
    <w:p>
      <w:pPr>
        <w:spacing w:after="0" w:line="63" w:lineRule="exact"/>
        <w:rPr>
          <w:rFonts w:ascii="Arial" w:cs="Arial" w:eastAsia="Arial" w:hAnsi="Arial"/>
          <w:sz w:val="15"/>
          <w:szCs w:val="15"/>
          <w:color w:val="auto"/>
        </w:rPr>
      </w:pPr>
    </w:p>
    <w:p>
      <w:pPr>
        <w:ind w:left="90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margin for the year ended December 31, 2010 was 10.5% compared to 12.8% for the year ended December 31, 2009. Operating margin for the quarter ended December 31, 2010 was 11.1% compared to 20.4% for the quarter ended December 31, 2009. Adjusted operating margin for the year ended December 31, 2010 was 14.7% compared to 14.3% for the year ended December 31, 2009. Adjusted operating margin for the quarter ended December 31, 2010 was 15.1% compared to 16.3% for the quarter ended December 31, 2009.</w:t>
      </w:r>
    </w:p>
    <w:p>
      <w:pPr>
        <w:spacing w:after="0" w:line="31"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for the year ended December 31, 2010 was $26.6 million compared to $15.7 million for the year ended December 31, 2009. Net income for the quarter ended December 31, 2010 was $8.3 million compared to $7.5 million for the quarter ended December 31, 2009. Adjusted EBITDA for the year ended December 31, 2010 was $50.8 million compared to $37.8 million for the year ended December 31, 2009. Adjusted EBITDA for the quarter ended December 31, 2010 was $14.6 million compared to $12.0 million for the quarter ended December 31, 2009.</w:t>
      </w:r>
    </w:p>
    <w:p>
      <w:pPr>
        <w:spacing w:after="0" w:line="31" w:lineRule="exact"/>
        <w:rPr>
          <w:rFonts w:ascii="Arial" w:cs="Arial" w:eastAsia="Arial" w:hAnsi="Arial"/>
          <w:sz w:val="16"/>
          <w:szCs w:val="16"/>
          <w:color w:val="auto"/>
        </w:rPr>
      </w:pPr>
    </w:p>
    <w:p>
      <w:pPr>
        <w:ind w:left="900" w:right="8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earnings per share for the year ended December 31, 2010 was $0.88 compared to $0.53 for the year ended December 31, 2009. Diluted earnings per share for the quarter ended December 31, 2010 was $0.27 compared to $0.25 in the quarter ended December 31, 2009. Adjusted diluted earnings per share for the year ended December 31, 2010 was $1.08 compared to $0.60 for the year ended December 31, 2009. Adjusted diluted earnings per share for the quarter ended December 31, 2010 was $0.29 compared to $0.18 in the quarter ended December 31,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right="7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26 new clients across outsourcing and transformation services in 2010, including 6 clients in the fourth quarter of 2010. We now have approximately 120 clients including over 60 insurance companies.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strategic outsourcing relationships with the migration of over 110 outsourcing processes in 2010. Migrations for our two recently acquired strategic clients are currently underway.</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our global delivery capacity by over 800 seats spread over 100,000 square feet in a tax-advantaged special economic zone located in Noida, India. The planned second phase entails setting up of an additional 1,400 seats. The total expansion represents a 21% increase in our delivery capacity as compared to the total number of workstations at the end of 2010.</w:t>
      </w:r>
    </w:p>
    <w:p>
      <w:pPr>
        <w:spacing w:after="0" w:line="59"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Strengthened our global client services and business development teams by hiring four additional Vice Presidents since the beginning of the fourth quarter.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our headcount as of December 31, 2010 to approximately 12,700 compared to approximately 10,700 as of December 31, 2009.</w:t>
      </w:r>
    </w:p>
    <w:p>
      <w:pPr>
        <w:spacing w:after="0" w:line="113" w:lineRule="exact"/>
        <w:rPr>
          <w:rFonts w:ascii="Arial" w:cs="Arial" w:eastAsia="Arial" w:hAnsi="Arial"/>
          <w:sz w:val="16"/>
          <w:szCs w:val="16"/>
          <w:color w:val="auto"/>
        </w:rPr>
      </w:pPr>
    </w:p>
    <w:p>
      <w:pPr>
        <w:ind w:left="900" w:right="4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Experienced attrition for billable employees for the year ended December 31, 2010 of 34.4% compared to 22.6% in the year ended December 31, 2009. Attrition for the quarter ended December 31, 2010 was 35.5% compared to 27.3% for the quarter ended December 31, 2009, and 32.8% for the quarter ended September 30, 2010. The increase in attrition is a result of the heightened demand environment for professional resources due to ongoing economic expansion in the geographies in which our global delivery facilities are located.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guidance for calendar year 2011 based on current exchange rates:</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between $295.0 million to $305.0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operating margin, excluding the impact of stock-based compensation expense and amortization of intangibles, of between 13.0% to 14.0%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EXL will host a conference call on Tuesday, March 1, 2011 at 10:00 a.m. (ET) to discuss the Company’s quarterly and annual results and discuss the Company’s operating performance and financial outlook. The conference call will be available live via the internet by accessing the investor relations section of EXL’s website at www.exlservice.com, where the accompanying investor-friendly spreadsheet of historical operating and financial data can also be accessed. Please go to the website at least fifteen minutes prior to the call to register, download and install any necessary audio software.</w:t>
      </w:r>
    </w:p>
    <w:p>
      <w:pPr>
        <w:spacing w:after="0" w:line="11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To listen to the conference call via phone, please dial 1-877-303-6384 or 1-224-357-2191 and enter “43255313”. For those who cannot access the live broadcast, a replay will be available by dialing 1-800-642-1687 or 1-706-645-9291 and entering “43255313” from two hours after the end of the call until 11:59 p.m. (ET) on March 15, 2011. The replay will also be available on the EXL website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decision analytics, risk and financial management and operations and process excellence services. Headquartered in New York, EXL primarily serves the needs of Global 1000 companies in the insurance, utilities, banking and financial services, transportation and logistics, and travel sectors. Find additional information about EXL at www.exlservice.com.</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2009.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left="615"/>
              <w:spacing w:after="0"/>
              <w:rPr>
                <w:sz w:val="20"/>
                <w:szCs w:val="20"/>
                <w:color w:val="auto"/>
              </w:rPr>
            </w:pPr>
            <w:r>
              <w:rPr>
                <w:rFonts w:ascii="Arial" w:cs="Arial" w:eastAsia="Arial" w:hAnsi="Arial"/>
                <w:sz w:val="14"/>
                <w:szCs w:val="14"/>
                <w:b w:val="1"/>
                <w:bCs w:val="1"/>
                <w:color w:val="auto"/>
                <w:w w:val="91"/>
              </w:rPr>
              <w:t>(Audited)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left="575"/>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252,753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190,995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151,285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41,769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30,403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28,271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29,035</w:t>
            </w:r>
          </w:p>
        </w:tc>
        <w:tc>
          <w:tcPr>
            <w:tcW w:w="0" w:type="dxa"/>
            <w:vAlign w:val="bottom"/>
          </w:tcPr>
          <w:p>
            <w:pPr>
              <w:spacing w:after="0"/>
              <w:rPr>
                <w:sz w:val="1"/>
                <w:szCs w:val="1"/>
                <w:color w:val="auto"/>
              </w:rPr>
            </w:pP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and administrative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60"/>
              <w:spacing w:after="0"/>
              <w:rPr>
                <w:sz w:val="20"/>
                <w:szCs w:val="20"/>
                <w:color w:val="auto"/>
              </w:rPr>
            </w:pPr>
            <w:r>
              <w:rPr>
                <w:rFonts w:ascii="Arial" w:cs="Arial" w:eastAsia="Arial" w:hAnsi="Arial"/>
                <w:sz w:val="18"/>
                <w:szCs w:val="18"/>
                <w:color w:val="auto"/>
              </w:rPr>
              <w:t>Selling and marketing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13,950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74,945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20,479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16,891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income/(expense):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exchange gain/(loss)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60"/>
              <w:spacing w:after="0"/>
              <w:rPr>
                <w:sz w:val="20"/>
                <w:szCs w:val="20"/>
                <w:color w:val="auto"/>
              </w:rPr>
            </w:pPr>
            <w:r>
              <w:rPr>
                <w:rFonts w:ascii="Arial" w:cs="Arial" w:eastAsia="Arial" w:hAnsi="Arial"/>
                <w:sz w:val="18"/>
                <w:szCs w:val="18"/>
                <w:color w:val="auto"/>
              </w:rPr>
              <w:t>Interest and other income,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Weighted-average number of shares used in computing earnings per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29,281,364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28,963,770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29,458,508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29,044,346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30,388,520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29,417,910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30,806,190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29,932,880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Per share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111,182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3,084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$246 at December 31, 2010 and $262 at December 31,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gridSpan w:val="2"/>
          </w:tcPr>
          <w:p>
            <w:pPr>
              <w:ind w:left="66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44,186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34,856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income-tax,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5,244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174,329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177,799</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34,733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3,432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14,333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18,591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43,370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16,895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11,487</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305,683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5,108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23,947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16,560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50,706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38,327</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Capital lease obligations, less current portion</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57,137</w:t>
            </w: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w w:val="95"/>
              </w:rPr>
              <w:t>Common stock, $0.001 par value; 100,000,000 shares authorized, 29,690,463 shares issued and 29,437,961 shares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w w:val="99"/>
              </w:rPr>
              <w:t>outstanding as of December 31, 2010 and 29,278,10 shares issued and 29,031,073 shares outstanding as of</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December 31, 2009</w:t>
            </w: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136,173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124,493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112,266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249,595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206,681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Less: 252,502 shares as of December 31, 2010 and 247,030 shares as of December 31, 2009, held in treasury, at cost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ExlService Holdings, Inc. stockholders’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248,526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205,705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248,546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205,718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305,683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249,620</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three items which do not directly link to the Company’s ongoing performance: (i) stock-based compensation (ii) expenses associated with the amortization of acquisition-related intangibles, and (iii) a one-time payment from a client in 2009. The Company also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 The Company believes that providing the measure of adjusted EBITDA will help investors better understand the Company’s underlying financial performance and ability to generate cash flow from operations. Adjusted EBITDA does not represent cash flows from operations as defined by GAAP.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year ended December 31, 2010 and December 31, 2009 and for the three month periods ended December 31, 2010, December 31, 2009 and September 30, 2010:</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80" w:type="dxa"/>
            <w:vAlign w:val="bottom"/>
            <w:gridSpan w:val="4"/>
          </w:tcPr>
          <w:p>
            <w:pPr>
              <w:jc w:val="right"/>
              <w:ind w:right="940"/>
              <w:spacing w:after="0" w:line="14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2020" w:type="dxa"/>
            <w:vAlign w:val="bottom"/>
            <w:gridSpan w:val="5"/>
          </w:tcPr>
          <w:p>
            <w:pPr>
              <w:jc w:val="right"/>
              <w:ind w:right="68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$26,592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$15,653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w w:val="94"/>
              </w:rPr>
              <w:t>add: Income tax provision, Other income/(expense), Income/(loss) from</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discontinued operations, net of taxes</w:t>
            </w:r>
          </w:p>
        </w:tc>
        <w:tc>
          <w:tcPr>
            <w:tcW w:w="36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(69)</w:t>
            </w:r>
          </w:p>
        </w:tc>
        <w:tc>
          <w:tcPr>
            <w:tcW w:w="580" w:type="dxa"/>
            <w:vAlign w:val="bottom"/>
          </w:tcPr>
          <w:p>
            <w:pPr>
              <w:jc w:val="right"/>
              <w:spacing w:after="0"/>
              <w:rPr>
                <w:sz w:val="20"/>
                <w:szCs w:val="20"/>
                <w:color w:val="auto"/>
              </w:rPr>
            </w:pPr>
            <w:r>
              <w:rPr>
                <w:rFonts w:ascii="Arial" w:cs="Arial" w:eastAsia="Arial" w:hAnsi="Arial"/>
                <w:sz w:val="18"/>
                <w:szCs w:val="18"/>
                <w:color w:val="auto"/>
              </w:rPr>
              <w:t>8,748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4,620</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$26,523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$24,401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12,144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add: Stock-based compensation expense (a)</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8,491</w:t>
            </w:r>
          </w:p>
        </w:tc>
        <w:tc>
          <w:tcPr>
            <w:tcW w:w="580" w:type="dxa"/>
            <w:vAlign w:val="bottom"/>
          </w:tcPr>
          <w:p>
            <w:pPr>
              <w:jc w:val="right"/>
              <w:spacing w:after="0"/>
              <w:rPr>
                <w:sz w:val="20"/>
                <w:szCs w:val="20"/>
                <w:color w:val="auto"/>
              </w:rPr>
            </w:pPr>
            <w:r>
              <w:rPr>
                <w:rFonts w:ascii="Arial" w:cs="Arial" w:eastAsia="Arial" w:hAnsi="Arial"/>
                <w:sz w:val="18"/>
                <w:szCs w:val="18"/>
                <w:color w:val="auto"/>
              </w:rPr>
              <w:t>7,093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 (b)</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subtract: One-time client payment (c)</w:t>
            </w:r>
          </w:p>
        </w:tc>
        <w:tc>
          <w:tcPr>
            <w:tcW w:w="36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(5,075)</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37,038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26,586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10,565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9,792</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vMerge w:val="continue"/>
          </w:tcPr>
          <w:p>
            <w:pPr>
              <w:spacing w:after="0"/>
              <w:rPr>
                <w:sz w:val="18"/>
                <w:szCs w:val="18"/>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8"/>
                <w:szCs w:val="18"/>
                <w:i w:val="1"/>
                <w:iCs w:val="1"/>
                <w:color w:val="auto"/>
              </w:rPr>
              <w:t>14.7%</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14.3%</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15.1%</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16.3%</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Depreciation</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13,811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50,849</w:t>
            </w: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37,824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14,616</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12,041</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EBITDA margin %</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20.1%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20.3%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20.9%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22.1%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19.7%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To exclude a one-time payment from a client in 2009.</w:t>
      </w:r>
    </w:p>
    <w:p>
      <w:pPr>
        <w:spacing w:after="0" w:line="205" w:lineRule="exact"/>
        <w:rPr>
          <w:sz w:val="20"/>
          <w:szCs w:val="20"/>
          <w:color w:val="auto"/>
        </w:rPr>
      </w:pPr>
    </w:p>
    <w:p>
      <w:pPr>
        <w:ind w:left="580" w:right="880" w:hanging="579"/>
        <w:spacing w:after="0" w:line="268" w:lineRule="auto"/>
        <w:tabs>
          <w:tab w:leader="none" w:pos="560" w:val="left"/>
        </w:tabs>
        <w:rPr>
          <w:sz w:val="20"/>
          <w:szCs w:val="20"/>
          <w:color w:val="auto"/>
        </w:rPr>
      </w:pPr>
      <w:r>
        <w:rPr>
          <w:rFonts w:ascii="Arial" w:cs="Arial" w:eastAsia="Arial" w:hAnsi="Arial"/>
          <w:sz w:val="18"/>
          <w:szCs w:val="18"/>
          <w:color w:val="auto"/>
        </w:rPr>
        <w:t>Note:</w:t>
        <w:tab/>
        <w:t>Adjusted operating income margin % and Adjusted EBITDA margin % calculated for three months ended December 31, 2009 and year ended December 31, 2009 excludes a one-time client payment of $5.1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w:t>
            </w:r>
          </w:p>
        </w:tc>
      </w:tr>
      <w:tr>
        <w:trPr>
          <w:trHeight w:val="149"/>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tcPr>
          <w:p>
            <w:pPr>
              <w:jc w:val="right"/>
              <w:ind w:right="860"/>
              <w:spacing w:after="0" w:line="149"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c>
          <w:tcPr>
            <w:tcW w:w="1660" w:type="dxa"/>
            <w:vAlign w:val="bottom"/>
            <w:gridSpan w:val="6"/>
          </w:tcPr>
          <w:p>
            <w:pPr>
              <w:jc w:val="right"/>
              <w:ind w:right="580"/>
              <w:spacing w:after="0" w:line="149" w:lineRule="exact"/>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6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0"/>
              </w:rPr>
              <w:t>Ended December 31,</w:t>
            </w:r>
          </w:p>
        </w:tc>
        <w:tc>
          <w:tcPr>
            <w:tcW w:w="1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r>
      <w:tr>
        <w:trPr>
          <w:trHeight w:val="142"/>
        </w:trPr>
        <w:tc>
          <w:tcPr>
            <w:tcW w:w="6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2010</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2010</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3"/>
              </w:rPr>
              <w:t>26,592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3"/>
              </w:rPr>
              <w:t>15,653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8,296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7"/>
              </w:rPr>
              <w:t>7,524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7,804</w:t>
            </w: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8,491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7,093</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1,704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subtract: Tax impact on stock-based compensation expense</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(3,580)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(2,025)</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(639)</w:t>
            </w: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subtract: One-time client payment (c)</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(5,075)</w:t>
            </w: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(5,075)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Tax impact of one-time client payment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1,776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1,776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32,902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17,589</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9,078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5,525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9,610</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0.18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0.32</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To exclude a one-time payment from a client in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1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2019-12-11T00:14:35Z</dcterms:created>
  <dcterms:modified xsi:type="dcterms:W3CDTF">2019-12-11T00:14:35Z</dcterms:modified>
</cp:coreProperties>
</file>