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562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5622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09/16/2016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3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7"/>
            <w:vMerge w:val="restart"/>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840" w:type="dxa"/>
            <w:vAlign w:val="bottom"/>
          </w:tcPr>
          <w:p>
            <w:pPr>
              <w:ind w:left="60"/>
              <w:spacing w:after="0"/>
              <w:rPr>
                <w:sz w:val="20"/>
                <w:szCs w:val="20"/>
                <w:color w:val="auto"/>
              </w:rPr>
            </w:pPr>
            <w:r>
              <w:rPr>
                <w:rFonts w:ascii="Arial" w:cs="Arial" w:eastAsia="Arial" w:hAnsi="Arial"/>
                <w:sz w:val="17"/>
                <w:szCs w:val="17"/>
                <w:color w:val="0000FF"/>
              </w:rPr>
              <w:t>10017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40" w:type="dxa"/>
            <w:vAlign w:val="bottom"/>
            <w:gridSpan w:val="8"/>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jc w:val="center"/>
              <w:ind w:left="61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40" w:type="dxa"/>
            <w:vAlign w:val="bottom"/>
            <w:tcBorders>
              <w:bottom w:val="single" w:sz="8" w:color="2C2C2C"/>
            </w:tcBorders>
            <w:gridSpan w:val="6"/>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4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980" w:type="dxa"/>
            <w:vAlign w:val="bottom"/>
            <w:tcBorders>
              <w:bottom w:val="single" w:sz="8" w:color="2C2C2C"/>
            </w:tcBorders>
            <w:gridSpan w:val="3"/>
          </w:tcPr>
          <w:p>
            <w:pPr>
              <w:jc w:val="center"/>
              <w:ind w:right="93"/>
              <w:spacing w:after="0"/>
              <w:rPr>
                <w:sz w:val="20"/>
                <w:szCs w:val="20"/>
                <w:color w:val="auto"/>
              </w:rPr>
            </w:pPr>
            <w:r>
              <w:rPr>
                <w:rFonts w:ascii="Arial" w:cs="Arial" w:eastAsia="Arial" w:hAnsi="Arial"/>
                <w:sz w:val="17"/>
                <w:szCs w:val="17"/>
                <w:color w:val="0000FF"/>
                <w:w w:val="91"/>
              </w:rPr>
              <w:t>05/05/2016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w w:val="98"/>
              </w:rPr>
              <w:t>G</w:t>
            </w:r>
          </w:p>
        </w:tc>
        <w:tc>
          <w:tcPr>
            <w:tcW w:w="74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8"/>
              </w:rPr>
              <w:t>300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295,885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4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980" w:type="dxa"/>
            <w:vAlign w:val="bottom"/>
            <w:tcBorders>
              <w:bottom w:val="single" w:sz="8" w:color="2C2C2C"/>
            </w:tcBorders>
            <w:gridSpan w:val="3"/>
          </w:tcPr>
          <w:p>
            <w:pPr>
              <w:jc w:val="center"/>
              <w:ind w:right="93"/>
              <w:spacing w:after="0"/>
              <w:rPr>
                <w:sz w:val="20"/>
                <w:szCs w:val="20"/>
                <w:color w:val="auto"/>
              </w:rPr>
            </w:pPr>
            <w:r>
              <w:rPr>
                <w:rFonts w:ascii="Arial" w:cs="Arial" w:eastAsia="Arial" w:hAnsi="Arial"/>
                <w:sz w:val="17"/>
                <w:szCs w:val="17"/>
                <w:color w:val="0000FF"/>
                <w:w w:val="91"/>
              </w:rPr>
              <w:t>06/07/2016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w w:val="98"/>
              </w:rPr>
              <w:t>G</w:t>
            </w:r>
          </w:p>
        </w:tc>
        <w:tc>
          <w:tcPr>
            <w:tcW w:w="74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8"/>
              </w:rPr>
              <w:t>200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295,685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4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980" w:type="dxa"/>
            <w:vAlign w:val="bottom"/>
            <w:tcBorders>
              <w:bottom w:val="single" w:sz="8" w:color="2C2C2C"/>
            </w:tcBorders>
            <w:gridSpan w:val="3"/>
          </w:tcPr>
          <w:p>
            <w:pPr>
              <w:jc w:val="center"/>
              <w:ind w:right="93"/>
              <w:spacing w:after="0"/>
              <w:rPr>
                <w:sz w:val="20"/>
                <w:szCs w:val="20"/>
                <w:color w:val="auto"/>
              </w:rPr>
            </w:pPr>
            <w:r>
              <w:rPr>
                <w:rFonts w:ascii="Arial" w:cs="Arial" w:eastAsia="Arial" w:hAnsi="Arial"/>
                <w:sz w:val="17"/>
                <w:szCs w:val="17"/>
                <w:color w:val="0000FF"/>
                <w:w w:val="91"/>
              </w:rPr>
              <w:t>09/16/2016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(2)</w:t>
            </w:r>
          </w:p>
        </w:tc>
        <w:tc>
          <w:tcPr>
            <w:tcW w:w="74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2"/>
              </w:rPr>
              <w:t>50,000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16.96</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345,685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4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980" w:type="dxa"/>
            <w:vAlign w:val="bottom"/>
            <w:tcBorders>
              <w:bottom w:val="single" w:sz="8" w:color="2C2C2C"/>
            </w:tcBorders>
            <w:gridSpan w:val="3"/>
          </w:tcPr>
          <w:p>
            <w:pPr>
              <w:jc w:val="center"/>
              <w:ind w:right="93"/>
              <w:spacing w:after="0"/>
              <w:rPr>
                <w:sz w:val="20"/>
                <w:szCs w:val="20"/>
                <w:color w:val="auto"/>
              </w:rPr>
            </w:pPr>
            <w:r>
              <w:rPr>
                <w:rFonts w:ascii="Arial" w:cs="Arial" w:eastAsia="Arial" w:hAnsi="Arial"/>
                <w:sz w:val="17"/>
                <w:szCs w:val="17"/>
                <w:color w:val="0000FF"/>
                <w:w w:val="91"/>
              </w:rPr>
              <w:t>09/16/2016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(3)</w:t>
            </w:r>
          </w:p>
        </w:tc>
        <w:tc>
          <w:tcPr>
            <w:tcW w:w="74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2"/>
              </w:rPr>
              <w:t>50,000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48.91</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295,685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4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2"/>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4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2"/>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4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2"/>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4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2"/>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4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2"/>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740" w:type="dxa"/>
            <w:vAlign w:val="bottom"/>
          </w:tcPr>
          <w:p>
            <w:pPr>
              <w:spacing w:after="0"/>
              <w:rPr>
                <w:sz w:val="12"/>
                <w:szCs w:val="12"/>
                <w:color w:val="auto"/>
              </w:rPr>
            </w:pPr>
          </w:p>
        </w:tc>
        <w:tc>
          <w:tcPr>
            <w:tcW w:w="680" w:type="dxa"/>
            <w:vAlign w:val="bottom"/>
          </w:tcPr>
          <w:p>
            <w:pPr>
              <w:jc w:val="center"/>
              <w:ind w:right="31"/>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16.96</w:t>
            </w: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09/16/2016</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50,000</w:t>
            </w:r>
          </w:p>
        </w:tc>
        <w:tc>
          <w:tcPr>
            <w:tcW w:w="820" w:type="dxa"/>
            <w:vAlign w:val="bottom"/>
            <w:gridSpan w:val="2"/>
            <w:vMerge w:val="continue"/>
          </w:tcPr>
          <w:p>
            <w:pPr>
              <w:spacing w:after="0"/>
              <w:rPr>
                <w:sz w:val="12"/>
                <w:szCs w:val="12"/>
                <w:color w:val="auto"/>
              </w:rPr>
            </w:pPr>
          </w:p>
        </w:tc>
        <w:tc>
          <w:tcPr>
            <w:tcW w:w="740" w:type="dxa"/>
            <w:vAlign w:val="bottom"/>
          </w:tcPr>
          <w:p>
            <w:pPr>
              <w:ind w:left="40"/>
              <w:spacing w:after="0" w:line="148" w:lineRule="exact"/>
              <w:rPr>
                <w:sz w:val="20"/>
                <w:szCs w:val="20"/>
                <w:color w:val="auto"/>
              </w:rPr>
            </w:pPr>
            <w:r>
              <w:rPr>
                <w:rFonts w:ascii="Arial" w:cs="Arial" w:eastAsia="Arial" w:hAnsi="Arial"/>
                <w:sz w:val="13"/>
                <w:szCs w:val="13"/>
                <w:color w:val="0000FF"/>
              </w:rPr>
              <w:t>01/23/2018</w:t>
            </w: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180"/>
              <w:spacing w:after="0" w:line="148" w:lineRule="exact"/>
              <w:rPr>
                <w:sz w:val="20"/>
                <w:szCs w:val="20"/>
                <w:color w:val="auto"/>
              </w:rPr>
            </w:pPr>
            <w:r>
              <w:rPr>
                <w:rFonts w:ascii="Arial" w:cs="Arial" w:eastAsia="Arial" w:hAnsi="Arial"/>
                <w:sz w:val="13"/>
                <w:szCs w:val="13"/>
                <w:color w:val="0000FF"/>
              </w:rPr>
              <w:t>1,000,000</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ind w:right="11"/>
              <w:spacing w:after="0" w:line="148"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16, 2016 the reporting person exercised previously issued options to purchase an aggregate of 50,000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 On May 25, 2016, the Rohit Kapoor 2013 Grantor Retained Annuity Trust transferred all of its assets to the 2016 Kapoor Family Trust Created Under the Rohit Kapoor 2013 GRAT and was subsequently terminated.</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2012 Family Trust.</w:t>
      </w:r>
    </w:p>
    <w:p>
      <w:pPr>
        <w:spacing w:after="0" w:line="51"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 On May 25, 2016, the Rohit Kapoor 2005 Grantor Retained Annuity Trust transferred all of its assets to the 2016 Kapoor Family Trust Created Under the Rohit Kapoor 2005 GRAT and was subsequently terminated.</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100,000 of these options were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5" w:right="139" w:bottom="0" w:gutter="0" w:footer="0" w:header="0"/>
          <w:type w:val="continuous"/>
        </w:sectPr>
      </w:pPr>
    </w:p>
    <w:p>
      <w:pPr>
        <w:spacing w:after="0" w:line="6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09/20/2016</w:t>
            </w:r>
          </w:p>
        </w:tc>
      </w:t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Fact</w:t>
            </w:r>
          </w:p>
        </w:tc>
        <w:tc>
          <w:tcPr>
            <w:tcW w:w="780" w:type="dxa"/>
            <w:vAlign w:val="bottom"/>
          </w:tcPr>
          <w:p>
            <w:pPr>
              <w:spacing w:after="0"/>
              <w:rPr>
                <w:sz w:val="16"/>
                <w:szCs w:val="16"/>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1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2019-12-08T02:42:30Z</dcterms:created>
  <dcterms:modified xsi:type="dcterms:W3CDTF">2019-12-08T02:42:30Z</dcterms:modified>
</cp:coreProperties>
</file>