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0082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0082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Sahney Nitin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01/07/2016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 Indirect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4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40" w:type="dxa"/>
            <w:vAlign w:val="bottom"/>
            <w:vMerge w:val="restart"/>
          </w:tcPr>
          <w:p>
            <w:pPr>
              <w:jc w:val="right"/>
              <w:ind w:right="241"/>
              <w:spacing w:after="0"/>
              <w:rPr>
                <w:sz w:val="20"/>
                <w:szCs w:val="20"/>
                <w:color w:val="auto"/>
              </w:rPr>
            </w:pPr>
            <w:r>
              <w:rPr>
                <w:rFonts w:ascii="Arial" w:cs="Arial" w:eastAsia="Arial" w:hAnsi="Arial"/>
                <w:sz w:val="11"/>
                <w:szCs w:val="11"/>
                <w:color w:val="008000"/>
              </w:rPr>
              <w:t>(2)</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1,046</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2"/>
                <w:szCs w:val="12"/>
                <w:color w:val="auto"/>
              </w:rPr>
            </w:pPr>
          </w:p>
        </w:tc>
        <w:tc>
          <w:tcPr>
            <w:tcW w:w="1140" w:type="dxa"/>
            <w:vAlign w:val="bottom"/>
          </w:tcPr>
          <w:p>
            <w:pPr>
              <w:jc w:val="right"/>
              <w:ind w:right="198"/>
              <w:spacing w:after="0" w:line="149" w:lineRule="exact"/>
              <w:rPr>
                <w:sz w:val="20"/>
                <w:szCs w:val="20"/>
                <w:color w:val="auto"/>
              </w:rPr>
            </w:pPr>
            <w:r>
              <w:rPr>
                <w:rFonts w:ascii="Arial" w:cs="Arial" w:eastAsia="Arial" w:hAnsi="Arial"/>
                <w:sz w:val="14"/>
                <w:szCs w:val="14"/>
                <w:color w:val="0000FF"/>
              </w:rPr>
              <w:t>01/07/2016</w:t>
            </w:r>
          </w:p>
        </w:tc>
        <w:tc>
          <w:tcPr>
            <w:tcW w:w="1140" w:type="dxa"/>
            <w:vAlign w:val="bottom"/>
          </w:tcPr>
          <w:p>
            <w:pPr>
              <w:spacing w:after="0"/>
              <w:rPr>
                <w:sz w:val="12"/>
                <w:szCs w:val="12"/>
                <w:color w:val="auto"/>
              </w:rPr>
            </w:pPr>
          </w:p>
        </w:tc>
        <w:tc>
          <w:tcPr>
            <w:tcW w:w="820" w:type="dxa"/>
            <w:vAlign w:val="bottom"/>
          </w:tcPr>
          <w:p>
            <w:pPr>
              <w:ind w:left="160"/>
              <w:spacing w:after="0" w:line="149" w:lineRule="exact"/>
              <w:rPr>
                <w:sz w:val="20"/>
                <w:szCs w:val="20"/>
                <w:color w:val="auto"/>
              </w:rPr>
            </w:pPr>
            <w:r>
              <w:rPr>
                <w:rFonts w:ascii="Arial" w:cs="Arial" w:eastAsia="Arial" w:hAnsi="Arial"/>
                <w:sz w:val="14"/>
                <w:szCs w:val="14"/>
                <w:color w:val="0000FF"/>
              </w:rPr>
              <w:t>A</w:t>
            </w:r>
          </w:p>
        </w:tc>
        <w:tc>
          <w:tcPr>
            <w:tcW w:w="500" w:type="dxa"/>
            <w:vAlign w:val="bottom"/>
          </w:tcPr>
          <w:p>
            <w:pPr>
              <w:ind w:left="100"/>
              <w:spacing w:after="0" w:line="149" w:lineRule="exact"/>
              <w:rPr>
                <w:sz w:val="20"/>
                <w:szCs w:val="20"/>
                <w:color w:val="auto"/>
              </w:rPr>
            </w:pPr>
            <w:r>
              <w:rPr>
                <w:rFonts w:ascii="Arial" w:cs="Arial" w:eastAsia="Arial" w:hAnsi="Arial"/>
                <w:sz w:val="14"/>
                <w:szCs w:val="14"/>
                <w:color w:val="0000FF"/>
              </w:rPr>
              <w:t>1,046</w:t>
            </w:r>
          </w:p>
        </w:tc>
        <w:tc>
          <w:tcPr>
            <w:tcW w:w="2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20" w:type="dxa"/>
            <w:vAlign w:val="bottom"/>
          </w:tcPr>
          <w:p>
            <w:pPr>
              <w:ind w:left="8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12"/>
                <w:szCs w:val="12"/>
                <w:color w:val="auto"/>
              </w:rPr>
            </w:pP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tcPr>
          <w:p>
            <w:pPr>
              <w:ind w:left="340"/>
              <w:spacing w:after="0" w:line="149" w:lineRule="exact"/>
              <w:rPr>
                <w:sz w:val="20"/>
                <w:szCs w:val="20"/>
                <w:color w:val="auto"/>
              </w:rPr>
            </w:pPr>
            <w:r>
              <w:rPr>
                <w:rFonts w:ascii="Arial" w:cs="Arial" w:eastAsia="Arial" w:hAnsi="Arial"/>
                <w:sz w:val="14"/>
                <w:szCs w:val="14"/>
                <w:color w:val="0000FF"/>
              </w:rPr>
              <w:t>1,046</w:t>
            </w:r>
          </w:p>
        </w:tc>
        <w:tc>
          <w:tcPr>
            <w:tcW w:w="76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ind w:left="140"/>
              <w:spacing w:after="0" w:line="149" w:lineRule="exact"/>
              <w:rPr>
                <w:sz w:val="20"/>
                <w:szCs w:val="20"/>
                <w:color w:val="auto"/>
              </w:rPr>
            </w:pPr>
            <w:r>
              <w:rPr>
                <w:rFonts w:ascii="Arial" w:cs="Arial" w:eastAsia="Arial" w:hAnsi="Arial"/>
                <w:sz w:val="14"/>
                <w:szCs w:val="14"/>
                <w:color w:val="0000FF"/>
              </w:rPr>
              <w:t>$0.001</w:t>
            </w: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per share</w:t>
            </w: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restricted stock unit represents a contingent right to receive one share of the Company's common stock upon settlement.</w:t>
      </w:r>
    </w:p>
    <w:p>
      <w:pPr>
        <w:spacing w:after="0" w:line="41" w:lineRule="exact"/>
        <w:rPr>
          <w:rFonts w:ascii="Arial" w:cs="Arial" w:eastAsia="Arial" w:hAnsi="Arial"/>
          <w:sz w:val="14"/>
          <w:szCs w:val="14"/>
          <w:color w:val="008000"/>
        </w:rPr>
      </w:pPr>
    </w:p>
    <w:p>
      <w:pPr>
        <w:ind w:left="40" w:right="320" w:firstLine="9"/>
        <w:spacing w:after="0" w:line="230"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restricted stock units vest upon the earlier of (i) January 1st, 2017; (ii) the end of the reporting person's term on the Board of Directors of ExlService Holdings, Inc. (the "Board") if such person is not subsequently elected to a new term on the Board, and (iii) the occurrence of a "Change in Control", as defined in the ExlService Holdings, Inc. 2006 Omnibus Award Plan (the "2006 Plan"), and such awards settle upon the earlier of (i) the reporting person's death, (ii) the occurrence of a "Change of Control", as defined in the 2006 Plan and (iii) 180 days following the end of the reporting person's term on the Board.</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01/11/2016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35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505567"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2019-12-08T02:27:25Z</dcterms:created>
  <dcterms:modified xsi:type="dcterms:W3CDTF">2019-12-08T02:27:25Z</dcterms:modified>
</cp:coreProperties>
</file>