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552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27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Rai Ankor</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6"/>
        <w:spacing w:after="0"/>
        <w:rPr>
          <w:sz w:val="20"/>
          <w:szCs w:val="20"/>
          <w:color w:val="auto"/>
        </w:rPr>
      </w:pPr>
      <w:r>
        <w:rPr>
          <w:rFonts w:ascii="Arial" w:cs="Arial" w:eastAsia="Arial" w:hAnsi="Arial"/>
          <w:sz w:val="17"/>
          <w:szCs w:val="17"/>
          <w:color w:val="0000FF"/>
        </w:rPr>
        <w:t>EVP, Chief Digital Officer</w:t>
      </w:r>
    </w:p>
    <w:p>
      <w:pPr>
        <w:spacing w:after="0" w:line="31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537</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rPr>
              <w:t>7,180</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02/22/2022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184</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114.02</w:t>
            </w:r>
            <w:r>
              <w:rPr>
                <w:rFonts w:ascii="Arial" w:cs="Arial" w:eastAsia="Arial" w:hAnsi="Arial"/>
                <w:sz w:val="21"/>
                <w:szCs w:val="21"/>
                <w:color w:val="008000"/>
                <w:w w:val="83"/>
                <w:vertAlign w:val="superscript"/>
              </w:rPr>
              <w:t>(2)</w:t>
            </w:r>
          </w:p>
        </w:tc>
        <w:tc>
          <w:tcPr>
            <w:tcW w:w="1160" w:type="dxa"/>
            <w:vAlign w:val="bottom"/>
            <w:gridSpan w:val="2"/>
            <w:vMerge w:val="restart"/>
          </w:tcPr>
          <w:p>
            <w:pPr>
              <w:ind w:left="380"/>
              <w:spacing w:after="0"/>
              <w:rPr>
                <w:sz w:val="20"/>
                <w:szCs w:val="20"/>
                <w:color w:val="auto"/>
              </w:rPr>
            </w:pPr>
            <w:r>
              <w:rPr>
                <w:rFonts w:ascii="Arial" w:cs="Arial" w:eastAsia="Arial" w:hAnsi="Arial"/>
                <w:sz w:val="17"/>
                <w:szCs w:val="17"/>
                <w:color w:val="0000FF"/>
              </w:rPr>
              <w:t>6,996</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40" w:type="dxa"/>
            <w:vAlign w:val="bottom"/>
            <w:gridSpan w:val="9"/>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537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ind w:left="260"/>
              <w:spacing w:after="0" w:line="144" w:lineRule="exact"/>
              <w:rPr>
                <w:sz w:val="20"/>
                <w:szCs w:val="20"/>
                <w:color w:val="auto"/>
              </w:rPr>
            </w:pPr>
            <w:r>
              <w:rPr>
                <w:rFonts w:ascii="Arial" w:cs="Arial" w:eastAsia="Arial" w:hAnsi="Arial"/>
                <w:sz w:val="13"/>
                <w:szCs w:val="13"/>
                <w:color w:val="0000FF"/>
              </w:rPr>
              <w:t>02/22/2022</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537</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44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3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2,145 restricted stock units, 25 percent of the restricted stock units became vested on February 22, 2019, an additional 25 percent of the restricted stock units became vested February 22, 2020, an additional 25 percent of the restricted stock units became vested on February 22, 2021, and the remaining balance 25 percent of the restricted stock units became vested on February 22,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8"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2022-02-24T16:21:49Z</dcterms:created>
  <dcterms:modified xsi:type="dcterms:W3CDTF">2022-02-24T16:21:49Z</dcterms:modified>
</cp:coreProperties>
</file>