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19,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47"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2"/>
          <w:szCs w:val="12"/>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480" w:space="720"/>
            <w:col w:w="314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205105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Underwriting Agreement</w:t>
      </w:r>
    </w:p>
    <w:p>
      <w:pPr>
        <w:spacing w:after="0" w:line="9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On October 19, 2006, ExlService Holdings, Inc. (the “Company” or “we” or “us”) entered into an underwriting agreement (the “Agreement”) among the Company, Citigroup Global Markets Inc., Goldman Sachs &amp; Co., Merrill Lynch &amp; Co. and Thomas Weisel Partners LLC, (collectively the “Underwriters”), relating to the Company’s initial public offering of common stock, par value $0.001 per share (the “Common Stock”). Under the Agreement, the Company agreed to sell to the Underwriters 5,000,000 shares of Common Stock at a purchase price per share of $12.555 (the offering price to the public of $13.50 per share minus the underwriters’ discount). The Company also provided the Underwriters with the option to purchase up to an additional 750,000 shares of Common Stock. On October 24, 2006, the Underwriters exercised this option in full. The Agreement includes customary representations, warranties and covenants by the Company. It also provides that the Company will indemnify the Underwriters against certain liabilities, including liabilities under the Securities Act of 1933, or contribute to payments the Underwriters may be required to make because of any of those liabilities. The offering closed on October 25, 2006 (the “Closing Date”).</w:t>
      </w:r>
    </w:p>
    <w:p>
      <w:pPr>
        <w:spacing w:after="0" w:line="108"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The underwriters may, from time to time, perform various financial advisory and investment banking services for us for which they may receive customary fees and expenses. Solomon Smith Barney, an affiliate of Citigroup Global Markets Inc., has been retained by the Company to perform services with regard to the Company’s equity incentive plans and will receive customary fees and expenses for the performance thereof.</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copy of the Underwriting Agreement is attached as Exhibit 1.1 hereto and is incorporated by reference herein in its entirety.</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Registration Rights Agreement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In connection with our initial public offering, we entered into a Registration Rights Agreement (the “RRA”), dated as of October 25, 2006, with Financial Technology Ventures (Q), L.P., Financial Technology Ventures, L.P., Financial Technology Ventures II (Q), L.P., Financial Technology Ventures II, L.P. (collectively, “FTVentures”), Oak Hill Capital Partners, L.P., Oak Hill Capital Management Partners, L.P. (together “Oak Hill”), Vikram Talwar, our Chief Executive Officer and Vice Chairman, Rohit Kapoor, our President, Chief Financial Officer and a member of our Board of Directors, and certain of their respective affiliates (collectively, the “Designated Stockholders”) relating to the shares of Common Stock they hold. Subject to several exceptions, including our right to defer a demand registration under certain circumstances, Designated Stockholders holding at least a majority of the registrable securities held by all of the Designated Stockholders may require that we register for public resale under the Securities Act of 1933, as amended (the “Securities Act”), all shares of Common Stock that they request be registered at any time after the expiration of certain lock-up periods following our initial public offering so long as the securities being</w:t>
      </w:r>
    </w:p>
    <w:p>
      <w:pPr>
        <w:sectPr>
          <w:pgSz w:w="11900" w:h="16838" w:orient="portrait"/>
          <w:cols w:equalWidth="0" w:num="1">
            <w:col w:w="11420"/>
          </w:cols>
          <w:pgMar w:left="240" w:top="280" w:right="239" w:bottom="1440" w:gutter="0" w:footer="0" w:header="0"/>
        </w:sectPr>
      </w:pPr>
    </w:p>
    <w:bookmarkStart w:id="2" w:name="page3"/>
    <w:bookmarkEnd w:id="2"/>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registered in each registration statement are reasonably expected to produce aggregate proceeds of at least $20.0 million. However, after the earlier of 18 months from the consummation of our initial public offering or 12 months after the consummation of our initial public offering if a demand registration with regard to our shares of Common Stock has been completed, FTVentures and their affiliates, acting alone, will have the right to make one demand to register their shares of Common Stock so long as they hold shares of Common Stock representing at least 7.5% of our outstanding Common Stock at the time. Similarly, after the earlier of 18 months from the date of our initial public offering or 12 months after the consummation of our initial public offering if a demand registration with regard to our shares of Common Stock has been completed, Messrs. Talwar and Kapoor and their affiliates, acting together, will have the right to make one demand to register their shares of Common Stock so long as they hold shares of Common Stock representing in the aggregate at least 7.5% of our outstanding Common Stock at the time. We are not obligated to effectuate more than three demand registrations under the RRA. If we become eligible to register the sale of our securities on Form S-3 under the Securities Act, the Designated Stockholders have the right to require us to register the sale of the Common Stock held by them on Form S-3, subject to offering size and other restrictions. Non-requesting Designated Stockholders are entitled to piggyback registration rights with respect to any registration request made by the requesting Designated Stockholders. If the registration requested by the Designated Stockholders is in the form of a firm underwritten offering, and if the managing underwriter of the offering determines that the number of securities to be offered would have a material adverse effect on the distribution or sales price of the shares of Common Stock in the offering, the number of shares included in the offering will be determined as follows:</w:t>
      </w:r>
    </w:p>
    <w:p>
      <w:pPr>
        <w:spacing w:after="0" w:line="31" w:lineRule="exact"/>
        <w:rPr>
          <w:sz w:val="20"/>
          <w:szCs w:val="20"/>
          <w:color w:val="auto"/>
        </w:rPr>
      </w:pPr>
    </w:p>
    <w:p>
      <w:pPr>
        <w:ind w:left="780" w:right="30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 shares offered by the requesting Designated Stockholders (pro rata, based on the number of their respective shares requested to be included in such offering);</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shares offered by any other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shares offered by us for our own account.</w:t>
      </w:r>
    </w:p>
    <w:p>
      <w:pPr>
        <w:spacing w:after="0" w:line="171"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In addition, the Designated Stockholders have been granted piggyback rights on any registration for our account or the account of another stockholder. If the managing underwriter in an underwritten offering determines that the number of securities offered in a piggyback registration would have a material adverse effect on the distribution or sales price of the shares of Common Stock in the offering, the number of shares included in the offering will be determined as follows:</w:t>
      </w:r>
    </w:p>
    <w:p>
      <w:pPr>
        <w:spacing w:after="0" w:line="62" w:lineRule="exact"/>
        <w:rPr>
          <w:sz w:val="20"/>
          <w:szCs w:val="20"/>
          <w:color w:val="auto"/>
        </w:rPr>
      </w:pPr>
    </w:p>
    <w:p>
      <w:pPr>
        <w:ind w:left="780" w:right="160" w:hanging="326"/>
        <w:spacing w:after="0" w:line="332"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first, shares offered by us for own account if we have initiated such registration or by any stockholders exercising demand rights with respect to such registration (pro rata, based on the number of their respective shares requested to be included in such offering);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780" w:right="30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shares offered by any of our other stockholders (including the Designated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shares offered by us for our own account if any stockholder initiated such registration by exercising demand rights.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FTVentures and Oak Hill are our principal stockholders. Vikram Talwar is our Chief Executive Officer and our Vice Chairman, and Rohit Kapoor is our President, Chief Financial Officer and a member of our Board of Directors. Certain of our customers are controlled by Oak Hill or FTVentures. In addition, prior to our initial public offering, we were party to a management arrangement with FTVentures and Oak Hill pursuant to which we made certain annual payments to FTVentures and Oak Hill in exchange for certain management services. See Item 1.02—Termination of a Material Definitive Agreement.”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copy of the Registration Rights Agreement is attached as Exhibit 4.1 hereto and is incorporated by reference herein in its entirety.</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Preferred Stock Repurchase Agreement</w:t>
      </w:r>
    </w:p>
    <w:p>
      <w:pPr>
        <w:spacing w:after="0" w:line="9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In connection with our initial public offering, on October 25, 2006, we entered into a Stock Repurchase Agreement (the “Repurchase Agreement”) with certain holders of our Series A Preferred Stock, par value $0.001 per share (the “Preferred Stock”), pursuant to which we agreed to repurchase such holders’ shares of Preferred Stock using a portion of the proceeds from our initial public offering for a purchase price equal to the Liquidation Preference (as defined in our Amended and Restated Certificate of Incorporation) of such shares, including accrued but unpaid dividends, through October 25, 2006.</w:t>
      </w:r>
    </w:p>
    <w:p>
      <w:pPr>
        <w:spacing w:after="0" w:line="113"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We will redeem the shares of preferred stock held by all the holders of shares of Preferred Stock who are not parties to the Repurchase Agreement. Through the Repurchase Agreement and the redemption, we intend to retire all our approximately $6.5 million in aggregate principal amount of Preferred Stock, plus accrued and unpaid dividends.</w:t>
      </w:r>
    </w:p>
    <w:p>
      <w:pPr>
        <w:sectPr>
          <w:pgSz w:w="11900" w:h="16838" w:orient="portrait"/>
          <w:cols w:equalWidth="0" w:num="1">
            <w:col w:w="11400"/>
          </w:cols>
          <w:pgMar w:left="240" w:top="280" w:right="259" w:bottom="1440" w:gutter="0" w:footer="0" w:header="0"/>
        </w:sectPr>
      </w:pPr>
    </w:p>
    <w:bookmarkStart w:id="4" w:name="page5"/>
    <w:bookmarkEnd w:id="4"/>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of our Preferred Stock include Oak Hill, FTVentures and certain members of our management. See “–Registration Rights Agreement” above for a description of certain relationships with Oak Hill and FTVentures.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copy of the Repurchase Agreement is attached as Exhibit 99.1 hereto and is incorporated by reference herein in its entirety.</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1.02 Termination of a Material Definitive Agreement</w:t>
      </w:r>
    </w:p>
    <w:p>
      <w:pPr>
        <w:spacing w:after="0" w:line="90"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In connection with our initial public offering, on October 25, 2006, we terminated our management arrangement with Oak Hill and FTVentures under which we made certain annual payments to Oak Hill and FTVentures of not more than $200,000 per year in return for advice related to insurance matters, including directors and officers insurance, various business introductions, assistance in hiring of key employees and other services related to marketing our services to potential clients.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5.03 Amendments to Articles of Incorporation or Bylaws; Change in Fiscal Year</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On October 24, 2006, we amended and restated our Certificate of Incorporation and By-laws in connection with our initial public offering. Below is a summary of the material provisions of these documents, as amended.</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Capital Stock; Stock Conversion; Stock Split</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Prior to our initial public offering, we had two classes of common stock, our Series A common stock and Series B common stock. In connection with our initial public offering, each share of our Series B common stock was converted automatically and without any action on the part of the holders or our part into one share of our Series A common stock, and each option to purchase shares of our Series B common stock was adjusted to convert without any action on the part of the holders into an option to purchase the same number of shares of our Series A common stock. We refer to this conversion as the “Share Conversion.” In addition, we effected a two for one stock split of our Common Stock (the “Stock Split”). Following our initial public offering, the Stock Conversion and the Stock Split, our authorized capital stock consists of 100,000,000 shares of Common Stock and 15,000,000 shares of preferred stock.</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Common Stock</w:t>
      </w:r>
    </w:p>
    <w:p>
      <w:pPr>
        <w:spacing w:after="0" w:line="9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w:t>
      </w:r>
    </w:p>
    <w:p>
      <w:pPr>
        <w:sectPr>
          <w:pgSz w:w="11900" w:h="16838" w:orient="portrait"/>
          <w:cols w:equalWidth="0" w:num="1">
            <w:col w:w="11420"/>
          </w:cols>
          <w:pgMar w:left="240" w:top="280"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for distribution to stockholders after payment of liabilities and subject to the prior rights of any holders of preferred stock then outstanding. All of the outstanding shares of Common Stock are fully paid and nonassessable. The rights, preferences and privileges of holders of common stock are subject to the rights of the holders of shares of any series of preferred stock that may be issued in the future.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Preferred Stock</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Directors’ Liability; Indemnification of Directors and Officers</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Our amended and restated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liability under Section 174 of the Delaware General Corporation Law (relating to unlawful dividends, stock repurchases, or stock redemptions); or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Special Meetings of Stockholders</w:t>
      </w:r>
    </w:p>
    <w:p>
      <w:pPr>
        <w:spacing w:after="0" w:line="90"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Our amended and restated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ectPr>
          <w:pgSz w:w="11900" w:h="16838" w:orient="portrait"/>
          <w:cols w:equalWidth="0" w:num="1">
            <w:col w:w="11380"/>
          </w:cols>
          <w:pgMar w:left="240" w:top="280" w:right="27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Action; Advance Notice Requirements for Stockholder Proposals and Director Nominations</w:t>
      </w:r>
    </w:p>
    <w:p>
      <w:pPr>
        <w:spacing w:after="0" w:line="90"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Our amended and restated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amended and restated by-laws establish advance notice procedures for:</w:t>
      </w:r>
    </w:p>
    <w:p>
      <w:pPr>
        <w:spacing w:after="0" w:line="2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Election and Removal of Directors</w:t>
      </w:r>
    </w:p>
    <w:p>
      <w:pPr>
        <w:spacing w:after="0" w:line="90" w:lineRule="exact"/>
        <w:rPr>
          <w:sz w:val="20"/>
          <w:szCs w:val="20"/>
          <w:color w:val="auto"/>
        </w:rPr>
      </w:pPr>
    </w:p>
    <w:p>
      <w:pPr>
        <w:ind w:right="40" w:firstLine="913"/>
        <w:spacing w:after="0" w:line="239" w:lineRule="auto"/>
        <w:rPr>
          <w:sz w:val="20"/>
          <w:szCs w:val="20"/>
          <w:color w:val="auto"/>
        </w:rPr>
      </w:pPr>
      <w:r>
        <w:rPr>
          <w:rFonts w:ascii="Arial" w:cs="Arial" w:eastAsia="Arial" w:hAnsi="Arial"/>
          <w:sz w:val="18"/>
          <w:szCs w:val="18"/>
          <w:color w:val="auto"/>
        </w:rPr>
        <w:t xml:space="preserve">Our board is divided into three classes. The directors in each class will serve for a three-year term, one class being elected each year by our stockholders. Our stockholders may only remove directors for cause and with the vote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voting power of our issued and outstanding capital stock entitled to vote in the election of directors. Our board of directors may elect a director to fill a vacancy, including vacancies created by the expansion of the board of directors.</w:t>
      </w:r>
    </w:p>
    <w:p>
      <w:pPr>
        <w:sectPr>
          <w:pgSz w:w="11900" w:h="16838" w:orient="portrait"/>
          <w:cols w:equalWidth="0" w:num="1">
            <w:col w:w="11420"/>
          </w:cols>
          <w:pgMar w:left="240" w:top="280" w:right="239" w:bottom="1440" w:gutter="0" w:footer="0" w:header="0"/>
        </w:sectPr>
      </w:pPr>
    </w:p>
    <w:bookmarkStart w:id="7" w:name="page8"/>
    <w:bookmarkEnd w:id="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amended and restated certificate of incorporation and by-laws do not provide for cumulative voting in the election of directors.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Amendment of the Certificate of Incorporation and By-Laws</w:t>
      </w:r>
    </w:p>
    <w:p>
      <w:pPr>
        <w:spacing w:after="0" w:line="90" w:lineRule="exact"/>
        <w:rPr>
          <w:sz w:val="20"/>
          <w:szCs w:val="20"/>
          <w:color w:val="auto"/>
        </w:rPr>
      </w:pPr>
    </w:p>
    <w:p>
      <w:pPr>
        <w:jc w:val="both"/>
        <w:ind w:right="160" w:firstLine="913"/>
        <w:spacing w:after="0" w:line="272" w:lineRule="auto"/>
        <w:rPr>
          <w:sz w:val="20"/>
          <w:szCs w:val="20"/>
          <w:color w:val="auto"/>
        </w:rPr>
      </w:pPr>
      <w:r>
        <w:rPr>
          <w:rFonts w:ascii="Arial" w:cs="Arial" w:eastAsia="Arial" w:hAnsi="Arial"/>
          <w:sz w:val="16"/>
          <w:szCs w:val="16"/>
          <w:color w:val="auto"/>
        </w:rPr>
        <w:t xml:space="preserve">Our amended and restated certificate of incorporation provides that the affirmative vote of the holders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voting power of our issued and outstanding capital stock entitled to vote in the election of directors, is required to amend the following provisions of our certificate of incorporation:</w:t>
      </w:r>
    </w:p>
    <w:p>
      <w:pPr>
        <w:spacing w:after="0" w:line="44"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780" w:right="500" w:hanging="326"/>
        <w:spacing w:after="0" w:line="22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articles of incorporation and for the adoption, amendment or repeal of our by-laws;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60" w:firstLine="913"/>
        <w:spacing w:after="0" w:line="235" w:lineRule="auto"/>
        <w:rPr>
          <w:sz w:val="20"/>
          <w:szCs w:val="20"/>
          <w:color w:val="auto"/>
        </w:rPr>
      </w:pPr>
      <w:r>
        <w:rPr>
          <w:rFonts w:ascii="Arial" w:cs="Arial" w:eastAsia="Arial" w:hAnsi="Arial"/>
          <w:sz w:val="18"/>
          <w:szCs w:val="18"/>
          <w:color w:val="auto"/>
        </w:rPr>
        <w:t xml:space="preserve">In addition, our board of directors is permitted to alter our by-laws without obtaining stockholder approval and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our issued and outstanding capital stock entitled to vote in the election of directors will be required for any amendment to our amended and restated by-laws by the stockholders.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Anti-Takeover Provisions of Delaware Law</w:t>
      </w:r>
    </w:p>
    <w:p>
      <w:pPr>
        <w:spacing w:after="0" w:line="90"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We are subject to the provisions of Section 203 of the Delaware General Corporation Law. In general, Section 203 prevents an interested stockholder (defined generally as a person owning 15% or more of a corporation’s outstanding voting stock) of a Delaware corporation from engaging in a business combination (as defined) for three years following the date that person became an interested stockholder unless various conditions are satisfied.</w:t>
      </w:r>
    </w:p>
    <w:p>
      <w:pPr>
        <w:spacing w:after="0" w:line="107"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are attached hereto as Exhibits 3.1 and 3.2, respectively, and are incorporated herein by reference in their entirety.</w:t>
      </w:r>
    </w:p>
    <w:p>
      <w:pPr>
        <w:sectPr>
          <w:pgSz w:w="11900" w:h="16838" w:orient="portrait"/>
          <w:cols w:equalWidth="0" w:num="1">
            <w:col w:w="11420"/>
          </w:cols>
          <w:pgMar w:left="240" w:top="280"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On October 25, 2006, the Company issued a press release announcing the closing of its initial public offering. A copy of the press release is attached hereto as Exhibit 99.2 and is incorporated by reference herein in its entirety.</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9.01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0" w:type="dxa"/>
            <w:vAlign w:val="bottom"/>
            <w:shd w:val="clear" w:color="auto" w:fill="000000"/>
          </w:tcPr>
          <w:p>
            <w:pPr>
              <w:spacing w:after="0" w:line="20" w:lineRule="exact"/>
              <w:rPr>
                <w:sz w:val="1"/>
                <w:szCs w:val="1"/>
                <w:color w:val="auto"/>
              </w:rPr>
            </w:pPr>
          </w:p>
        </w:tc>
      </w:tr>
      <w:tr>
        <w:trPr>
          <w:trHeight w:val="275"/>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Underwriting Agreement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Registration Rights Agreement, dated as of October 25, 2006, by and among the Company and certain stockholders.</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w w:val="89"/>
              </w:rPr>
              <w:t>Stock Repurchase Agreement, dated as of October 25, 2006, by and among the Company and the holders of Series A Preferred Stock listed on</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Schedule I thereto.</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Press Release of ExlService Holdings, Inc. dated October 25, 2006.</w:t>
            </w:r>
          </w:p>
        </w:tc>
      </w:tr>
    </w:tbl>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18" w:lineRule="exact"/>
        <w:rPr>
          <w:sz w:val="20"/>
          <w:szCs w:val="20"/>
          <w:color w:val="auto"/>
        </w:rPr>
      </w:pPr>
    </w:p>
    <w:p>
      <w:pPr>
        <w:ind w:right="1780" w:firstLine="86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Talwar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Vikram Talwar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Vice Chairman</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25, 2006</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INDEX</w:t>
            </w:r>
          </w:p>
        </w:tc>
        <w:tc>
          <w:tcPr>
            <w:tcW w:w="5060" w:type="dxa"/>
            <w:vAlign w:val="bottom"/>
          </w:tcPr>
          <w:p>
            <w:pPr>
              <w:spacing w:after="0"/>
              <w:rPr>
                <w:sz w:val="17"/>
                <w:szCs w:val="17"/>
                <w:color w:val="auto"/>
              </w:rPr>
            </w:pPr>
          </w:p>
        </w:tc>
      </w:tr>
      <w:tr>
        <w:trPr>
          <w:trHeight w:val="38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10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75"/>
        </w:trPr>
        <w:tc>
          <w:tcPr>
            <w:tcW w:w="660" w:type="dxa"/>
            <w:vAlign w:val="bottom"/>
          </w:tcPr>
          <w:p>
            <w:pPr>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3"/>
                <w:szCs w:val="23"/>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Underwriting Agreement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Registration Rights Agreement, dated as of October 25, 2006, by and among the Company and certain stockholders.</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0"/>
              </w:rPr>
              <w:t>Stock Repurchase Agreement, dated as of October 25, 2006, by and among the Company and the holders of Series A Preferred Stock listed on</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Schedule I thereto.</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Press Release of ExlService Holdings, Inc. dated October 25, 2006.</w:t>
            </w: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1.1</w:t>
      </w:r>
    </w:p>
    <w:p>
      <w:pPr>
        <w:spacing w:after="0" w:line="9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ExlService Holdings, Inc.</w:t>
      </w:r>
    </w:p>
    <w:p>
      <w:pPr>
        <w:spacing w:after="0" w:line="6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xml:space="preserve">5,000,000 Shares </w:t>
      </w:r>
      <w:r>
        <w:rPr>
          <w:rFonts w:ascii="Arial" w:cs="Arial" w:eastAsia="Arial" w:hAnsi="Arial"/>
          <w:sz w:val="22"/>
          <w:szCs w:val="22"/>
          <w:color w:val="auto"/>
          <w:vertAlign w:val="superscript"/>
        </w:rPr>
        <w:t>1</w:t>
      </w:r>
    </w:p>
    <w:p>
      <w:pPr>
        <w:jc w:val="center"/>
        <w:spacing w:after="0"/>
        <w:rPr>
          <w:sz w:val="20"/>
          <w:szCs w:val="20"/>
          <w:color w:val="auto"/>
        </w:rPr>
      </w:pPr>
      <w:r>
        <w:rPr>
          <w:rFonts w:ascii="Arial" w:cs="Arial" w:eastAsia="Arial" w:hAnsi="Arial"/>
          <w:sz w:val="18"/>
          <w:szCs w:val="18"/>
          <w:color w:val="auto"/>
        </w:rPr>
        <w:t>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19,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ExlService Holdings, Inc., a corporation organized under the laws of Delaware (the “Company”), proposes to sell to the several underwriters named in Schedule I hereto (the “Underwriters”), for whom you (the “Representatives”) are acting as representatives, 5,000,000 shares of common stock, $0.001 par value (“Common Stock”) of the Company (said shares to be issued and sold by the Company being hereinafter called the “Underwritten Securities”). The Company also proposes to grant to the Underwriters an option to purchase up to 750,000 additional shares of Common Stock (the “Option Securities”; the Option Securities, together with the Underwritten Securities, being hereinafter called the “Securities”). To the extent there are no additional Underwriters listed on Schedule I other than you, the term Representatives as used herein shall mean you, as Underwriters, and the terms Representatives and Underwriters shall mean either the singular or plural as the context requires. Certain terms used in this Agreement are defined in Section 20 hereof.</w:t>
      </w:r>
    </w:p>
    <w:p>
      <w:pPr>
        <w:spacing w:after="0" w:line="199"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90"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Underwriter that:</w:t>
      </w:r>
    </w:p>
    <w:p>
      <w:pPr>
        <w:spacing w:after="0" w:line="90" w:lineRule="exact"/>
        <w:rPr>
          <w:sz w:val="20"/>
          <w:szCs w:val="20"/>
          <w:color w:val="auto"/>
        </w:rPr>
      </w:pPr>
    </w:p>
    <w:p>
      <w:pPr>
        <w:ind w:left="460" w:right="40" w:firstLine="443"/>
        <w:spacing w:after="0" w:line="256" w:lineRule="auto"/>
        <w:tabs>
          <w:tab w:leader="none" w:pos="11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prepared and filed with the Commission a registration statement (file number 333-121001) on Form S-1, including a related preliminary prospectus, for registration under the Securities Act of 1933 (the “Act”) of the offering and sale of the Securities. Such Registration Statement, including any amendments thereto filed prior to the Execution Time, has become effective. The Company may have filed one or more amendments thereto, including a related preliminary prospectus,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Plus an option to purchase from the Company up to 750,000 additional Securities.</w:t>
      </w:r>
    </w:p>
    <w:p>
      <w:pPr>
        <w:sectPr>
          <w:pgSz w:w="11900" w:h="16838" w:orient="portrait"/>
          <w:cols w:equalWidth="0" w:num="1">
            <w:col w:w="11420"/>
          </w:cols>
          <w:pgMar w:left="240" w:top="125" w:right="239" w:bottom="1440" w:gutter="0" w:footer="0" w:header="0"/>
        </w:sectPr>
      </w:pPr>
    </w:p>
    <w:bookmarkStart w:id="12" w:name="page13"/>
    <w:bookmarkEnd w:id="1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which has previously been furnished to you. The Company will file with the Commission the Prospectus in accordance with Rule 424(b). As filed, such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35" w:lineRule="exact"/>
        <w:rPr>
          <w:sz w:val="20"/>
          <w:szCs w:val="20"/>
          <w:color w:val="auto"/>
        </w:rPr>
      </w:pPr>
    </w:p>
    <w:p>
      <w:pPr>
        <w:ind w:right="80" w:firstLine="443"/>
        <w:spacing w:after="0" w:line="286" w:lineRule="auto"/>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 Underwriter consists of the information described as such in Section 8 hereof.</w:t>
      </w:r>
    </w:p>
    <w:p>
      <w:pPr>
        <w:spacing w:after="0" w:line="43" w:lineRule="exact"/>
        <w:rPr>
          <w:rFonts w:ascii="Arial" w:cs="Arial" w:eastAsia="Arial" w:hAnsi="Arial"/>
          <w:sz w:val="16"/>
          <w:szCs w:val="16"/>
          <w:color w:val="auto"/>
        </w:rPr>
      </w:pPr>
    </w:p>
    <w:p>
      <w:pPr>
        <w:ind w:firstLine="443"/>
        <w:spacing w:after="0" w:line="289" w:lineRule="auto"/>
        <w:tabs>
          <w:tab w:leader="none" w:pos="6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As of the Execution Time,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w:t>
      </w:r>
      <w:r>
        <w:rPr>
          <w:rFonts w:ascii="Arial" w:cs="Arial" w:eastAsia="Arial" w:hAnsi="Arial"/>
          <w:sz w:val="16"/>
          <w:szCs w:val="16"/>
          <w:b w:val="1"/>
          <w:bCs w:val="1"/>
          <w:color w:val="auto"/>
        </w:rPr>
        <w:t>,</w:t>
      </w:r>
      <w:r>
        <w:rPr>
          <w:rFonts w:ascii="Arial" w:cs="Arial" w:eastAsia="Arial" w:hAnsi="Arial"/>
          <w:sz w:val="16"/>
          <w:szCs w:val="16"/>
          <w:color w:val="auto"/>
        </w:rPr>
        <w:t xml:space="preserv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3" w:name="page14"/>
    <w:bookmarkEnd w:id="13"/>
    <w:p>
      <w:pPr>
        <w:ind w:right="140" w:firstLine="443"/>
        <w:spacing w:after="0" w:line="306"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5" w:lineRule="exact"/>
        <w:rPr>
          <w:rFonts w:ascii="Arial" w:cs="Arial" w:eastAsia="Arial" w:hAnsi="Arial"/>
          <w:sz w:val="16"/>
          <w:szCs w:val="16"/>
          <w:color w:val="auto"/>
        </w:rPr>
      </w:pPr>
    </w:p>
    <w:p>
      <w:pPr>
        <w:ind w:firstLine="443"/>
        <w:spacing w:after="0" w:line="294" w:lineRule="auto"/>
        <w:tabs>
          <w:tab w:leader="none" w:pos="6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including any document incorporated by reference therein that has not been superseded or modified. The foregoing sentence does not apply to statements in or omissions from any Issuer Free Writing Prospectus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34" w:lineRule="exact"/>
        <w:rPr>
          <w:rFonts w:ascii="Arial" w:cs="Arial" w:eastAsia="Arial" w:hAnsi="Arial"/>
          <w:sz w:val="16"/>
          <w:szCs w:val="16"/>
          <w:color w:val="auto"/>
        </w:rPr>
      </w:pPr>
    </w:p>
    <w:p>
      <w:pPr>
        <w:ind w:right="100" w:firstLine="443"/>
        <w:spacing w:after="0" w:line="289" w:lineRule="auto"/>
        <w:tabs>
          <w:tab w:leader="none" w:pos="6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where the failure of any subsidiary of the Company, except with regard to Inductis, Inc., to be so incorporated or organized, existing and in good standing or qualified would not have a material adverse effect on the condition (financial or otherwise), prospects, earnings, business or properties of the Company and its subsidiaries, taken as a whole, whether or not arising from transactions in the ordinary course of business (a “Material Adverse Effect”) or on the performance of this Agreement and the consummation of any of the transactions contemplated hereby.</w:t>
      </w:r>
    </w:p>
    <w:p>
      <w:pPr>
        <w:spacing w:after="0" w:line="37" w:lineRule="exact"/>
        <w:rPr>
          <w:rFonts w:ascii="Arial" w:cs="Arial" w:eastAsia="Arial" w:hAnsi="Arial"/>
          <w:sz w:val="16"/>
          <w:szCs w:val="16"/>
          <w:color w:val="auto"/>
        </w:rPr>
      </w:pPr>
    </w:p>
    <w:p>
      <w:pPr>
        <w:ind w:right="200" w:firstLine="443"/>
        <w:spacing w:after="0" w:line="294"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court or governmental agency or body is required in connection with the transactions contemplated herein, except such as have been obtained under the Act and such as may be required under U.S. federal, state or local law and under the blue sky laws of any jurisdiction in connection with the purchase and distribution of the Securities by the Underwriters in the manner contemplated herein and in the Disclosure Package and the Prospectus or such as the failure to obtain would not have a material adverse effect on the performance of this Agreement and the consummation of any of the transactions contemplated hereby.</w:t>
      </w:r>
    </w:p>
    <w:p>
      <w:pPr>
        <w:spacing w:after="0" w:line="34" w:lineRule="exact"/>
        <w:rPr>
          <w:rFonts w:ascii="Arial" w:cs="Arial" w:eastAsia="Arial" w:hAnsi="Arial"/>
          <w:sz w:val="16"/>
          <w:szCs w:val="16"/>
          <w:color w:val="auto"/>
        </w:rPr>
      </w:pPr>
    </w:p>
    <w:p>
      <w:pPr>
        <w:ind w:right="220" w:firstLine="443"/>
        <w:spacing w:after="0" w:line="255"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the outstanding shares of capital stock of each subsidiary have been duly and validly authorized and issued and are fully paid and non-assessable, except with respect to Inductis (Singapore) PTE Ltd., and, except as otherwise set forth in the Disclosure Package and the Prospectus and, except with regard to a qualifying shareholder of Inductis (India) Private Limited,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4" w:name="page15"/>
    <w:bookmarkEnd w:id="14"/>
    <w:p>
      <w:pPr>
        <w:ind w:firstLine="443"/>
        <w:spacing w:after="0" w:line="288"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authorized equity capitalization is as set forth in the Disclosure Package and the Prospectus; the capital stock of the Company, after giving effect to the Share Conversion, will conform in all material respects to the description thereof contained in the Disclosure Package and the Prospectus; following the Share Conversion, the outstanding shares of Common Stock will have been duly and validly authorized and issued and fully paid and non-assessable; the Securities have been duly and validly authorized, and, when issued and delivered to and paid for by the Underwriters pursuant to this Agreement, will be fully paid and non-assessable; the Securities are duly listed, and admitted and authorized for trading, subject to official notice of issuance and evidence of satisfactory distribution, on the Nasdaq Global Market; the certificates for the Securities are in valid and sufficient form; the holders of outstanding shares of capital stock of the Company are not entitled to preemptive or other rights to subscribe for the Securities; and, except as set forth in the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38" w:lineRule="exact"/>
        <w:rPr>
          <w:rFonts w:ascii="Arial" w:cs="Arial" w:eastAsia="Arial" w:hAnsi="Arial"/>
          <w:sz w:val="16"/>
          <w:szCs w:val="16"/>
          <w:color w:val="auto"/>
        </w:rPr>
      </w:pPr>
    </w:p>
    <w:p>
      <w:pPr>
        <w:ind w:right="40" w:firstLine="443"/>
        <w:spacing w:after="0" w:line="291"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no franchise, contract or other document of a character required to be described in the Registration Statement or Prospectus, or to be filed as an exhibit thereto, which is not described or filed as required (and the Disclosure Package contains in all material respects the same description of the foregoing matters contained in the Prospectus); and the statements in the Preliminary Prospectus and the Prospectus under the heading “Description of Capital Stock”, to the extent that they constitute a summary of the terms of the Common Stock, and under the headings “Material U.S. Federal Tax Considerations for Non-U.S. Holders” and “Underwriting”, to the extent that they constitute summaries of the provisions of the laws or documents discussed therein, fairly summarize the matters described under those headings in all material respects.</w:t>
      </w:r>
    </w:p>
    <w:p>
      <w:pPr>
        <w:spacing w:after="0" w:line="39" w:lineRule="exact"/>
        <w:rPr>
          <w:rFonts w:ascii="Arial" w:cs="Arial" w:eastAsia="Arial" w:hAnsi="Arial"/>
          <w:sz w:val="16"/>
          <w:szCs w:val="16"/>
          <w:color w:val="auto"/>
        </w:rPr>
      </w:pPr>
    </w:p>
    <w:p>
      <w:pPr>
        <w:ind w:left="700" w:hanging="25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20" w:firstLine="443"/>
        <w:spacing w:after="0" w:line="259"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Disclosure Package and the Prospectus under the heading “Use of Proceeds”, will not be required to be registered as an “investment company” under the Investment Company Act of 1940, as amended.</w:t>
      </w:r>
    </w:p>
    <w:p>
      <w:pPr>
        <w:spacing w:after="0" w:line="59" w:lineRule="exact"/>
        <w:rPr>
          <w:rFonts w:ascii="Arial" w:cs="Arial" w:eastAsia="Arial" w:hAnsi="Arial"/>
          <w:sz w:val="18"/>
          <w:szCs w:val="18"/>
          <w:color w:val="auto"/>
        </w:rPr>
      </w:pPr>
    </w:p>
    <w:p>
      <w:pPr>
        <w:ind w:right="40" w:firstLine="443"/>
        <w:spacing w:after="0" w:line="291" w:lineRule="auto"/>
        <w:tabs>
          <w:tab w:leader="none" w:pos="7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has or will conflict with, result in a breach or violation of, or imposition of any lien, charge or encumbrance upon any property or assets of the Company or any of its subsidiaries pursuant to, (i) the charter, articles of association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5" w:name="page16"/>
    <w:bookmarkEnd w:id="1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regulatory body, administrative agency, governmental body, arbitrator or other authority having jurisdiction over the Company or any of its subsidiaries or any of its or their properties, except with respect to clauses (ii) and (iii), such conflict, breach or violation or imposition that would not have a material adverse effect on the performance of this Agreement or the consummation of any transactions contemplated hereby.</w:t>
      </w:r>
    </w:p>
    <w:p>
      <w:pPr>
        <w:spacing w:after="0" w:line="26" w:lineRule="exact"/>
        <w:rPr>
          <w:sz w:val="20"/>
          <w:szCs w:val="20"/>
          <w:color w:val="auto"/>
        </w:rPr>
      </w:pPr>
    </w:p>
    <w:p>
      <w:pPr>
        <w:ind w:left="700" w:hanging="25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w:t>
      </w:r>
    </w:p>
    <w:p>
      <w:pPr>
        <w:spacing w:after="0" w:line="90" w:lineRule="exact"/>
        <w:rPr>
          <w:rFonts w:ascii="Arial" w:cs="Arial" w:eastAsia="Arial" w:hAnsi="Arial"/>
          <w:sz w:val="18"/>
          <w:szCs w:val="18"/>
          <w:color w:val="auto"/>
        </w:rPr>
      </w:pPr>
    </w:p>
    <w:p>
      <w:pPr>
        <w:ind w:right="220" w:firstLine="443"/>
        <w:spacing w:after="0" w:line="255"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in the Preliminary Prospectus and the Prospectus and the Registration Statement present fairly in all material respects the financial condition, results of operations and cash flows of the Company as of the dates and for the periods indicated, comply as to form with the applicable accounting requirements of the Act and have been prepared in conformity with U.S. generally accepted accounting principles applied on a consistent basis throughout the periods involved (except as otherwise noted therein).</w:t>
      </w:r>
    </w:p>
    <w:p>
      <w:pPr>
        <w:spacing w:after="0" w:line="61" w:lineRule="exact"/>
        <w:rPr>
          <w:rFonts w:ascii="Arial" w:cs="Arial" w:eastAsia="Arial" w:hAnsi="Arial"/>
          <w:sz w:val="18"/>
          <w:szCs w:val="18"/>
          <w:color w:val="auto"/>
        </w:rPr>
      </w:pPr>
    </w:p>
    <w:p>
      <w:pPr>
        <w:ind w:right="220" w:firstLine="443"/>
        <w:spacing w:after="0" w:line="255"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Inductis, Inc. and its consolidated subsidiaries included in the Preliminary Prospectus and the Prospectus and the Registration Statement present fairly in all material respects the financial condition, results of operations and cash flows of Inductis, Inc. as of the dates and for the periods indicated, comply as to form with the applicable accounting requirements of the Act and have been prepared in conformity with U.S. generally accepted accounting principles applied on a consistent basis throughout the periods involved (except as otherwise noted therein).</w:t>
      </w:r>
    </w:p>
    <w:p>
      <w:pPr>
        <w:spacing w:after="0" w:line="61" w:lineRule="exact"/>
        <w:rPr>
          <w:rFonts w:ascii="Arial" w:cs="Arial" w:eastAsia="Arial" w:hAnsi="Arial"/>
          <w:sz w:val="18"/>
          <w:szCs w:val="18"/>
          <w:color w:val="auto"/>
        </w:rPr>
      </w:pPr>
    </w:p>
    <w:p>
      <w:pPr>
        <w:ind w:firstLine="443"/>
        <w:spacing w:after="0" w:line="309" w:lineRule="auto"/>
        <w:tabs>
          <w:tab w:leader="none" w:pos="6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selected financial data set forth under the caption “Selected Consolidated Financial and Other Data” in the Preliminary Prospectus, Prospectus and Registration Statement fairly present, in all material respects, on the basis stated in the Preliminary Prospectus, Prospectus and the Registration Statement, the information included therein. The pro forma financial statements included in the Preliminary Prospectus, the Prospectus and the Registration Statement include assumptions that provide a reasonable basis for presenting the significant effects directly attributable to the transactions and events described therein, the related pro forma adjustments give appropriate effect in all material respects to those assumptions, and the pro forma adjustments reflect the proper application of those adjustments to the historical financial statement amounts in the pro forma financial statements included in the Preliminary Prospectus, the Prospectus and the Registration Statement. The pro forma financial statements included in the Preliminary Prospectus, the Prospectus and the Registration Statement comply as to form in all material respects with the applicable accounting requirements of Regulation S-X under the Act and the pro forma adjustments have been properly applied to the historical amounts in the compilation of those statements.</w:t>
      </w:r>
    </w:p>
    <w:p>
      <w:pPr>
        <w:spacing w:after="0" w:line="27" w:lineRule="exact"/>
        <w:rPr>
          <w:rFonts w:ascii="Arial" w:cs="Arial" w:eastAsia="Arial" w:hAnsi="Arial"/>
          <w:sz w:val="15"/>
          <w:szCs w:val="15"/>
          <w:color w:val="auto"/>
        </w:rPr>
      </w:pPr>
    </w:p>
    <w:p>
      <w:pPr>
        <w:ind w:right="280" w:firstLine="443"/>
        <w:spacing w:after="0" w:line="268" w:lineRule="auto"/>
        <w:tabs>
          <w:tab w:leader="none" w:pos="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set forth in the Disclosure Package and the Prospectus, no action, suit or proceeding by or before any court or governmental agency, authority or body or any arbitrator involving the Company or any of its subsidiaries or its or their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6" w:name="page17"/>
    <w:bookmarkEnd w:id="16"/>
    <w:p>
      <w:pPr>
        <w:ind w:right="6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is pending or, to the knowledge of the Company, threatened that (i) could reasonably be expected to have a material adverse effect on the performance of this Agreement or the consummation of any of the transactions contemplated hereby, (ii) would challenge the Share Conversion or</w:t>
      </w:r>
    </w:p>
    <w:p>
      <w:pPr>
        <w:ind w:left="320" w:hanging="316"/>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could reasonably be expected to have a Material Adverse Effect.</w:t>
      </w:r>
    </w:p>
    <w:p>
      <w:pPr>
        <w:spacing w:after="0" w:line="83" w:lineRule="exact"/>
        <w:rPr>
          <w:rFonts w:ascii="Arial" w:cs="Arial" w:eastAsia="Arial" w:hAnsi="Arial"/>
          <w:sz w:val="18"/>
          <w:szCs w:val="18"/>
          <w:color w:val="auto"/>
        </w:rPr>
      </w:pPr>
    </w:p>
    <w:p>
      <w:pPr>
        <w:ind w:right="580" w:firstLine="443"/>
        <w:spacing w:after="0" w:line="357" w:lineRule="auto"/>
        <w:tabs>
          <w:tab w:leader="none" w:pos="667" w:val="left"/>
        </w:tabs>
        <w:numPr>
          <w:ilvl w:val="1"/>
          <w:numId w:val="16"/>
        </w:numPr>
        <w:rPr>
          <w:rFonts w:ascii="Arial" w:cs="Arial" w:eastAsia="Arial" w:hAnsi="Arial"/>
          <w:sz w:val="15"/>
          <w:szCs w:val="15"/>
          <w:color w:val="auto"/>
        </w:rPr>
      </w:pPr>
      <w:r>
        <w:rPr>
          <w:rFonts w:ascii="Arial" w:cs="Arial" w:eastAsia="Arial" w:hAnsi="Arial"/>
          <w:sz w:val="15"/>
          <w:szCs w:val="15"/>
          <w:color w:val="auto"/>
        </w:rPr>
        <w:t>Except as set forth in the Disclosure Package and the Prospectus, each of the Company and each of its subsidiaries owns or leases all such properties as are necessary to the conduct of its operations as presently conducted, except as otherwise would not have a Material Adverse Effect.</w:t>
      </w:r>
    </w:p>
    <w:p>
      <w:pPr>
        <w:ind w:right="40" w:firstLine="443"/>
        <w:spacing w:after="0" w:line="294" w:lineRule="auto"/>
        <w:tabs>
          <w:tab w:leader="none" w:pos="648"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the Company nor any subsidiary is in violation or default of (i) any provision of its charter, articles of association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or (iii), for such violations or defaults as would not have a Material Adverse Effect.</w:t>
      </w:r>
    </w:p>
    <w:p>
      <w:pPr>
        <w:spacing w:after="0" w:line="34" w:lineRule="exact"/>
        <w:rPr>
          <w:rFonts w:ascii="Arial" w:cs="Arial" w:eastAsia="Arial" w:hAnsi="Arial"/>
          <w:sz w:val="16"/>
          <w:szCs w:val="16"/>
          <w:color w:val="auto"/>
        </w:rPr>
      </w:pPr>
    </w:p>
    <w:p>
      <w:pPr>
        <w:ind w:right="140" w:firstLine="443"/>
        <w:spacing w:after="0" w:line="306" w:lineRule="auto"/>
        <w:tabs>
          <w:tab w:leader="none" w:pos="68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Ernst &amp; Young LLP, who have certified certain financial statements of the Company and its consolidated subsidiaries and delivered their report with respect to the audited consolidated financial statements and schedules included in the Disclosure Package and the Prospectus, are independent public accountants with respect to the Company within the meaning of the Act and the applicable published rules and regulations thereunder.</w:t>
      </w:r>
    </w:p>
    <w:p>
      <w:pPr>
        <w:spacing w:after="0" w:line="25" w:lineRule="exact"/>
        <w:rPr>
          <w:rFonts w:ascii="Arial" w:cs="Arial" w:eastAsia="Arial" w:hAnsi="Arial"/>
          <w:sz w:val="16"/>
          <w:szCs w:val="16"/>
          <w:color w:val="auto"/>
        </w:rPr>
      </w:pPr>
    </w:p>
    <w:p>
      <w:pPr>
        <w:jc w:val="both"/>
        <w:ind w:firstLine="443"/>
        <w:spacing w:after="0" w:line="256" w:lineRule="auto"/>
        <w:tabs>
          <w:tab w:leader="none" w:pos="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Russell Bedford Stefanou Mirchandani LLP, who have certified certain financial statements of Inductis, Inc. and its consolidated subsidiaries and delivered their report with respect to the audited consolidated financial statements and schedules included in the Disclosure Package and the Prospectus, are independent public accountants with respect to each of the Company and Inductis, Inc. (and its consolidated subsidiaries) within the meaning of the Act and the applicable published rules and regulations thereunder.</w:t>
      </w:r>
    </w:p>
    <w:p>
      <w:pPr>
        <w:spacing w:after="0" w:line="62" w:lineRule="exact"/>
        <w:rPr>
          <w:rFonts w:ascii="Arial" w:cs="Arial" w:eastAsia="Arial" w:hAnsi="Arial"/>
          <w:sz w:val="18"/>
          <w:szCs w:val="18"/>
          <w:color w:val="auto"/>
        </w:rPr>
      </w:pPr>
    </w:p>
    <w:p>
      <w:pPr>
        <w:ind w:right="140" w:firstLine="443"/>
        <w:spacing w:after="0" w:line="298" w:lineRule="auto"/>
        <w:tabs>
          <w:tab w:leader="none" w:pos="726"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There are no transfer taxes or other similar fees or charges under U.S. federal law or the laws of any state, or any political subdivision thereof, required to be paid in connection with the execution and delivery of this Agreement or the issuance by the Company or sale by the Company of the Securities, except for such taxes, fees or charges as would not have a material adverse effect on this Agreement and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set forth in Section 5(i)(i) hereto, any such taxes, fees or charges shall be paid by the Company.</w:t>
      </w:r>
    </w:p>
    <w:p>
      <w:pPr>
        <w:spacing w:after="0" w:line="31" w:lineRule="exact"/>
        <w:rPr>
          <w:rFonts w:ascii="Arial" w:cs="Arial" w:eastAsia="Arial" w:hAnsi="Arial"/>
          <w:sz w:val="16"/>
          <w:szCs w:val="16"/>
          <w:color w:val="auto"/>
        </w:rPr>
      </w:pPr>
    </w:p>
    <w:p>
      <w:pPr>
        <w:ind w:right="540" w:firstLine="443"/>
        <w:spacing w:after="0" w:line="268" w:lineRule="auto"/>
        <w:tabs>
          <w:tab w:leader="none" w:pos="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and its subsidiaries have filed all U.S. federal, state and local tax returns and all Indian and other foreign tax returns that are required to be filed or have requested extensions thereof (except in any case in which the failure so to file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7" w:name="page18"/>
    <w:bookmarkEnd w:id="17"/>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would not have a Material Adverse Effect, except as set forth in or contemplated in the Prospectus (exclusive of any supplement thereto) and have paid all taxes required to be paid by them and any other assessment, fine or penalty levied against them, to the extent that any of the foregoing is due and payable, except for any such assessment, fine or penalty that is currently being contested in good faith or as would not have a Material Adverse Effect, except in each case as set forth in or contemplated in the Disclosure Package and the Prospectus (exclusive of any supplement thereto).</w:t>
      </w:r>
    </w:p>
    <w:p>
      <w:pPr>
        <w:spacing w:after="0" w:line="32" w:lineRule="exact"/>
        <w:rPr>
          <w:sz w:val="20"/>
          <w:szCs w:val="20"/>
          <w:color w:val="auto"/>
        </w:rPr>
      </w:pPr>
    </w:p>
    <w:p>
      <w:pPr>
        <w:ind w:right="260" w:firstLine="443"/>
        <w:spacing w:after="0" w:line="298"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labor problem or dispute with the employees of the Company or any of its subsidiaries exists or, to the knowledge of the Company, is threatened or imminent, except as otherwise would not have a Material Adverse Effect, and the Company is not aware of any existing or imminent labor disturbance by the employees of any of its or its subsidiaries’ principal suppliers, contractors or customers, that could have a Material Adverse Effect, except in each case as set forth in or contemplated in the Disclosure Package and the Prospectus (exclusive of any supplement thereto).</w:t>
      </w:r>
    </w:p>
    <w:p>
      <w:pPr>
        <w:spacing w:after="0" w:line="31" w:lineRule="exact"/>
        <w:rPr>
          <w:rFonts w:ascii="Arial" w:cs="Arial" w:eastAsia="Arial" w:hAnsi="Arial"/>
          <w:sz w:val="16"/>
          <w:szCs w:val="16"/>
          <w:color w:val="auto"/>
        </w:rPr>
      </w:pPr>
    </w:p>
    <w:p>
      <w:pPr>
        <w:ind w:firstLine="443"/>
        <w:spacing w:after="0" w:line="287"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otherwise would not have a Material Adverse Effect, the Company and each of its subsidiaries are insured by insurers of recognized financial responsibility against such losses and risks and in such amounts as are prudent and customary in the businesses in which they are engaged; except as otherwise would not have a Material Adverse Effect, all policies of insurance and fidelity or surety bonds insuring the Company or any of its subsidiaries or their respective businesses, assets, employees, officers and directors are in full force and effect; except as otherwise would not have a Material Adverse Effect, the Company and its subsidiaries are in compliance with the terms of such policies and instruments; and there are no claims by the Company or any of its subsidiaries under any such policy or instrument as to which any insurance company is denying liability or defending under a reservation of rights clause, except as otherwise would not have a Material Adverse Effect; and neither the Company nor any such subsidiary has been refused any insurance coverage sought or applied for, except as otherwise would not have a Material Adverse Effect;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42" w:lineRule="exact"/>
        <w:rPr>
          <w:sz w:val="20"/>
          <w:szCs w:val="20"/>
          <w:color w:val="auto"/>
        </w:rPr>
      </w:pPr>
    </w:p>
    <w:p>
      <w:pPr>
        <w:ind w:right="100" w:firstLine="443"/>
        <w:spacing w:after="0" w:line="298" w:lineRule="auto"/>
        <w:tabs>
          <w:tab w:leader="none" w:pos="7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Prospectus (exclusive of any supplement thereto).</w:t>
      </w:r>
    </w:p>
    <w:p>
      <w:pPr>
        <w:spacing w:after="0" w:line="31" w:lineRule="exact"/>
        <w:rPr>
          <w:rFonts w:ascii="Arial" w:cs="Arial" w:eastAsia="Arial" w:hAnsi="Arial"/>
          <w:sz w:val="16"/>
          <w:szCs w:val="16"/>
          <w:color w:val="auto"/>
        </w:rPr>
      </w:pPr>
    </w:p>
    <w:p>
      <w:pPr>
        <w:ind w:right="80" w:firstLine="443"/>
        <w:spacing w:after="0" w:line="259"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its subsidiaries possess all licenses, certificates, permits and other authorizations issued by the appropriate U.S. federal and state or other foreign regulatory authorities necessary to conduct their respective businesses, except as would not, individually or in the aggregate, result in a Material Adverse Effect, and neither the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8" w:name="page19"/>
    <w:bookmarkEnd w:id="18"/>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in each case as set forth in or contemplated in the Disclosure Package and the Prospectus (exclusive of any supplement thereto).</w:t>
      </w:r>
    </w:p>
    <w:p>
      <w:pPr>
        <w:spacing w:after="0" w:line="26" w:lineRule="exact"/>
        <w:rPr>
          <w:sz w:val="20"/>
          <w:szCs w:val="20"/>
          <w:color w:val="auto"/>
        </w:rPr>
      </w:pPr>
    </w:p>
    <w:p>
      <w:pPr>
        <w:ind w:left="760" w:hanging="317"/>
        <w:spacing w:after="0"/>
        <w:tabs>
          <w:tab w:leader="none" w:pos="7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w:t>
      </w:r>
    </w:p>
    <w:p>
      <w:pPr>
        <w:spacing w:after="0" w:line="38" w:lineRule="exact"/>
        <w:rPr>
          <w:rFonts w:ascii="Arial" w:cs="Arial" w:eastAsia="Arial" w:hAnsi="Arial"/>
          <w:sz w:val="16"/>
          <w:szCs w:val="16"/>
          <w:color w:val="auto"/>
        </w:rPr>
      </w:pPr>
    </w:p>
    <w:p>
      <w:pPr>
        <w:ind w:right="60" w:firstLine="4"/>
        <w:spacing w:after="0" w:line="295" w:lineRule="auto"/>
        <w:tabs>
          <w:tab w:leader="none" w:pos="2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34" w:lineRule="exact"/>
        <w:rPr>
          <w:rFonts w:ascii="Arial" w:cs="Arial" w:eastAsia="Arial" w:hAnsi="Arial"/>
          <w:sz w:val="16"/>
          <w:szCs w:val="16"/>
          <w:color w:val="auto"/>
        </w:rPr>
      </w:pPr>
    </w:p>
    <w:p>
      <w:pPr>
        <w:ind w:right="80" w:firstLine="443"/>
        <w:spacing w:after="0" w:line="268" w:lineRule="auto"/>
        <w:tabs>
          <w:tab w:leader="none" w:pos="7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 in all material respects.</w:t>
      </w:r>
    </w:p>
    <w:p>
      <w:pPr>
        <w:spacing w:after="0" w:line="50" w:lineRule="exact"/>
        <w:rPr>
          <w:rFonts w:ascii="Arial" w:cs="Arial" w:eastAsia="Arial" w:hAnsi="Arial"/>
          <w:sz w:val="18"/>
          <w:szCs w:val="18"/>
          <w:color w:val="auto"/>
        </w:rPr>
      </w:pPr>
    </w:p>
    <w:p>
      <w:pPr>
        <w:jc w:val="both"/>
        <w:ind w:right="40" w:firstLine="443"/>
        <w:spacing w:after="0" w:line="306" w:lineRule="auto"/>
        <w:tabs>
          <w:tab w:leader="none" w:pos="7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25" w:lineRule="exact"/>
        <w:rPr>
          <w:rFonts w:ascii="Arial" w:cs="Arial" w:eastAsia="Arial" w:hAnsi="Arial"/>
          <w:sz w:val="16"/>
          <w:szCs w:val="16"/>
          <w:color w:val="auto"/>
        </w:rPr>
      </w:pPr>
    </w:p>
    <w:p>
      <w:pPr>
        <w:ind w:firstLine="443"/>
        <w:spacing w:after="0" w:line="288" w:lineRule="auto"/>
        <w:tabs>
          <w:tab w:leader="none" w:pos="713"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supplement thereto). Except as set forth in the Disclosure Package and the Prospectus, neither the Company nor any of the subsidiaries has been named as a “potentially responsible party” under the Comprehensive Environmental Response, Compensation, and Liability Act of 1980, as amended, except where such “potentially responsible party” status would not, individually or in the aggregate, have a Material Adverse Effect.</w:t>
      </w:r>
    </w:p>
    <w:p>
      <w:pPr>
        <w:spacing w:after="0" w:line="38" w:lineRule="exact"/>
        <w:rPr>
          <w:rFonts w:ascii="Arial" w:cs="Arial" w:eastAsia="Arial" w:hAnsi="Arial"/>
          <w:sz w:val="16"/>
          <w:szCs w:val="16"/>
          <w:color w:val="auto"/>
        </w:rPr>
      </w:pPr>
    </w:p>
    <w:p>
      <w:pPr>
        <w:ind w:right="180" w:firstLine="443"/>
        <w:spacing w:after="0" w:line="306" w:lineRule="auto"/>
        <w:tabs>
          <w:tab w:leader="none" w:pos="77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minimum funding standard under Section 302 of the Employee Retirement Income Security Act of 1974, as amended, and the regulations and published interpretations thereunder (“ERISA”), has been satisfied by each “pension plan” (as defined in Section 3(2) of ERISA) which has been established or maintained by the Company and/or one or more of its subsidiaries, and the trust forming part of each such</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9" w:name="page20"/>
    <w:bookmarkEnd w:id="1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which is intended to be qualified under Section 401 of the Code is so qualified, except as otherwise would not have a Material Adverse Effect; each of the Company and its subsidiaries has fulfilled its obligations, if any, under Section 515 of ERISA; neither the Company nor any of its subsidiaries maintains or is required to contribute to a “welfare plan” (as defined in Section 3(1) of ERISA) which provides retiree or other post-employment welfare benefits or insurance coverage (other than “continuation coverage” (as defined in Section 602 of ERISA)); each pension plan and welfare plan established or maintained by the Company and/or one or more of its subsidiaries is in compliance in all material respects with the currently applicable provisions of ERISA, except in each case as would not have a Material Adverse Effect; and neither the Company nor any of its subsidiaries has incurred or could reasonably be expected to incur any withdrawal liability under Section 4201 of ERISA, any liability under Section 4062, 4063, or 4064 of ERISA, or any other liability under Title IV of ERISA, except as otherwise would not have a Material Adverse Effect.</w:t>
      </w:r>
    </w:p>
    <w:p>
      <w:pPr>
        <w:spacing w:after="0" w:line="37" w:lineRule="exact"/>
        <w:rPr>
          <w:sz w:val="20"/>
          <w:szCs w:val="20"/>
          <w:color w:val="auto"/>
        </w:rPr>
      </w:pPr>
    </w:p>
    <w:p>
      <w:pPr>
        <w:ind w:right="540" w:firstLine="443"/>
        <w:spacing w:after="0" w:line="268"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Section 402 related to loans of the Sarbanes Oxley Act of 2002.</w:t>
      </w:r>
    </w:p>
    <w:p>
      <w:pPr>
        <w:spacing w:after="0" w:line="50" w:lineRule="exact"/>
        <w:rPr>
          <w:rFonts w:ascii="Arial" w:cs="Arial" w:eastAsia="Arial" w:hAnsi="Arial"/>
          <w:sz w:val="18"/>
          <w:szCs w:val="18"/>
          <w:color w:val="auto"/>
        </w:rPr>
      </w:pPr>
    </w:p>
    <w:p>
      <w:pPr>
        <w:ind w:firstLine="443"/>
        <w:spacing w:after="0" w:line="287" w:lineRule="auto"/>
        <w:tabs>
          <w:tab w:leader="none" w:pos="6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except for such actions or violations as would not have, individually or in the aggregate, a Material Adverse Effect. The Company, its subsidiaries and, to the knowledge of the Company, its affiliates have conducted their businesses in compliance with the FCPA in all material respects and have instituted and maintain policies and procedures designed to ensure, and which are reasonably expected to continue to ensure, continued compliance therewith, except as would not have a Material Adverse Effect.</w:t>
      </w:r>
    </w:p>
    <w:p>
      <w:pPr>
        <w:spacing w:after="0" w:line="41" w:lineRule="exact"/>
        <w:rPr>
          <w:rFonts w:ascii="Arial" w:cs="Arial" w:eastAsia="Arial" w:hAnsi="Arial"/>
          <w:sz w:val="16"/>
          <w:szCs w:val="16"/>
          <w:color w:val="auto"/>
        </w:rPr>
      </w:pPr>
    </w:p>
    <w:p>
      <w:pPr>
        <w:ind w:right="80" w:firstLine="443"/>
        <w:spacing w:after="0" w:line="259" w:lineRule="auto"/>
        <w:tabs>
          <w:tab w:leader="none" w:pos="6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no loans outstanding from the Company to its directors or executive officers that would violate the provisions of Section 13(k) of the Exchange Act; the Company has an audit committee, at least one member of the Company’s audit committee is independent pursuant to Rule 10A-3 under the Exchange Act.</w:t>
      </w:r>
    </w:p>
    <w:p>
      <w:pPr>
        <w:spacing w:after="0" w:line="59" w:lineRule="exact"/>
        <w:rPr>
          <w:rFonts w:ascii="Arial" w:cs="Arial" w:eastAsia="Arial" w:hAnsi="Arial"/>
          <w:sz w:val="18"/>
          <w:szCs w:val="18"/>
          <w:color w:val="auto"/>
        </w:rPr>
      </w:pPr>
    </w:p>
    <w:p>
      <w:pPr>
        <w:ind w:firstLine="443"/>
        <w:spacing w:after="0" w:line="306" w:lineRule="auto"/>
        <w:tabs>
          <w:tab w:leader="none" w:pos="7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in 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20" w:name="page21"/>
    <w:bookmarkEnd w:id="20"/>
    <w:p>
      <w:pPr>
        <w:ind w:righ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 except for such actions, suits or proceedings as would not, individually or in the aggregate, have a Material Adverse Effect.</w:t>
      </w:r>
    </w:p>
    <w:p>
      <w:pPr>
        <w:spacing w:after="0" w:line="62" w:lineRule="exact"/>
        <w:rPr>
          <w:sz w:val="20"/>
          <w:szCs w:val="20"/>
          <w:color w:val="auto"/>
        </w:rPr>
      </w:pPr>
    </w:p>
    <w:p>
      <w:pPr>
        <w:ind w:right="120" w:firstLine="443"/>
        <w:spacing w:after="0" w:line="294" w:lineRule="auto"/>
        <w:tabs>
          <w:tab w:leader="none" w:pos="6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 except as would not have a Material Adverse Effect;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4" w:lineRule="exact"/>
        <w:rPr>
          <w:rFonts w:ascii="Arial" w:cs="Arial" w:eastAsia="Arial" w:hAnsi="Arial"/>
          <w:sz w:val="16"/>
          <w:szCs w:val="16"/>
          <w:color w:val="auto"/>
        </w:rPr>
      </w:pPr>
    </w:p>
    <w:p>
      <w:pPr>
        <w:ind w:firstLine="443"/>
        <w:spacing w:after="0" w:line="305" w:lineRule="auto"/>
        <w:tabs>
          <w:tab w:leader="none" w:pos="872"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Except as set forth in the Disclosure Package and the Prospectus, 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“Intellectual Property”) necessary for the conduct of the Company’s business as now conducted or as proposed in the Disclosure Package and the Prospectus to be conducted, except where the failure to own, possess, license or have the right to use would not have a Material Adverse Effect. Except as set forth in the Disclosure Package and the Prospectus, to the knowledge of the Company, (a) there are no rights of third parties to any such Intellectual Property, except as where such rights would not have a Material Adverse Effect; (b) there is no material infringement by third parties of any such Intellectual Property, except where the infringement would not have a Material Adverse Effect; (c) there is no pending or, to the Company’s knowledge, threatened action, suit, proceeding or claim by others challenging the Company’s rights in or to any such Intellectual Property, and the Company is unaware of any facts which would form a reasonable basis for any such claim, except where such pending or threatened action, suit, proceeding or claim by others would not have a Material Adverse Effect; (d) there is no pending or threatened action, suit, proceeding or claim by others challenging the validity or scope of any such Intellectual Property, and the Company is unaware of any facts which would form a reasonable basis for any such claim, except where such pending or threatened action, suit, proceeding or claim by others would not have a Material Adverse Effect; (e) there is no pending or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except where such pending or threatened action, suit, proceeding or claim by others would not have a Material Adverse Effect; (f) there is no U.S. patent or published U.S. patent application which contains claims that dominate or may dominate any Intellectual Property described in the Disclosure Package and the Prospectus as being owned by or licensed to the Company or that interferes with</w:t>
      </w:r>
    </w:p>
    <w:p>
      <w:pPr>
        <w:spacing w:after="0" w:line="3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21" w:name="page22"/>
    <w:bookmarkEnd w:id="21"/>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issued or pending claims of any such Intellectual Property, except as would not have a Material Adverse Effect; and (g) there is no prior art of which the Company is aware that may render any U.S. patent held by the Company invalid or any U.S. patent application held by the Company unpatentable which has not been disclosed to the U.S. Patent and Trademark Office, except as would not have a Material Adverse Effect.</w:t>
      </w:r>
    </w:p>
    <w:p>
      <w:pPr>
        <w:spacing w:after="0" w:line="26" w:lineRule="exact"/>
        <w:rPr>
          <w:sz w:val="20"/>
          <w:szCs w:val="20"/>
          <w:color w:val="auto"/>
        </w:rPr>
      </w:pPr>
    </w:p>
    <w:p>
      <w:pPr>
        <w:ind w:left="460" w:right="20" w:firstLine="443"/>
        <w:spacing w:after="0" w:line="289" w:lineRule="auto"/>
        <w:tabs>
          <w:tab w:leader="none" w:pos="12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in the Preliminary Prospectus and the Prospectus any material loss or interference with its business from fire, explosion, flood or other calamity, whether or not covered by insurance, or from any labor dispute or court or governmental action, order or decree, otherwise than as set forth or contemplated in the Preliminary Prospectus and the Prospectus; and, since the respective dates as of which information is given in the Registration Statement and the Preliminary Prospectus and the Prospectus, there has not been any change in the capital stock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Preliminary Prospectus and the Prospectus.</w:t>
      </w:r>
    </w:p>
    <w:p>
      <w:pPr>
        <w:spacing w:after="0" w:line="37" w:lineRule="exact"/>
        <w:rPr>
          <w:rFonts w:ascii="Arial" w:cs="Arial" w:eastAsia="Arial" w:hAnsi="Arial"/>
          <w:sz w:val="16"/>
          <w:szCs w:val="16"/>
          <w:color w:val="auto"/>
        </w:rPr>
      </w:pPr>
    </w:p>
    <w:p>
      <w:pPr>
        <w:ind w:left="460" w:firstLine="443"/>
        <w:spacing w:after="0" w:line="308" w:lineRule="auto"/>
        <w:tabs>
          <w:tab w:leader="none" w:pos="12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Company has the right under each Stock Purchase Agreement (collectively, the “2003 Agreements”) entered into by and between the Company and holders of options under the Company’s 2003 Stock Option Plan and 2003 India Employee Stock Option Plan (together, the “2003 Plan”) relating to the acquisition by such holders of Common Stock pursuant to the exercise of options granted by the Company under the 2003 Plan, whether such 2003 Agreements are now in effect or entered into on or after the date hereof, to prevent, in connection with the Company’s initial public offering, any sales or other transfer or other dispositions of the shares of Common Stock owned or acquired under any 2003 Agreement by the respective parties thereto, and the Company has provided notice of the exercise of such right to the relevant owners of shares of Common Stock and options to acquire shares of Common Stock pursuant to each of the 2003 Agreements and such notice creates a valid, binding and enforceable obligation of each such owner not to sell, transfer or otherwise dispose of any such shares of Common Stock for the period specified in such notice. The Company Holder Agreement (the “Company Holder Agreement”), dated as of June 30, 2006, entered into by and among the Company, Inductis, Inc. and the other security holders parties thereto (the “Inductis Holders”) restricts the Inductis Holders from transferring any of their shares of Common Stock subject to certain exceptions.</w:t>
      </w:r>
    </w:p>
    <w:p>
      <w:pPr>
        <w:spacing w:after="0" w:line="109"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85" w:lineRule="exact"/>
        <w:rPr>
          <w:sz w:val="20"/>
          <w:szCs w:val="20"/>
          <w:color w:val="auto"/>
        </w:rPr>
      </w:pPr>
    </w:p>
    <w:p>
      <w:pPr>
        <w:ind w:right="160" w:firstLine="464"/>
        <w:spacing w:after="0" w:line="306"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Purchase and Sale</w:t>
      </w:r>
      <w:r>
        <w:rPr>
          <w:rFonts w:ascii="Arial" w:cs="Arial" w:eastAsia="Arial" w:hAnsi="Arial"/>
          <w:sz w:val="16"/>
          <w:szCs w:val="16"/>
          <w:color w:val="auto"/>
        </w:rPr>
        <w:t>. (a) Subject to the terms and conditions and in reliance upon the representations and warranties herein set forth, the Company agrees to sell to each Underwriter, and each Underwriter agrees, severally and not jointly, to purchase from the Company, at a purchase price of $12.555 per share, the amount of the Underwritten Securities set forth opposite such Underwriter’s name in Schedule I 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2" w:name="page23"/>
    <w:bookmarkEnd w:id="22"/>
    <w:p>
      <w:pPr>
        <w:ind w:left="460" w:firstLine="443"/>
        <w:spacing w:after="0" w:line="289" w:lineRule="auto"/>
        <w:tabs>
          <w:tab w:leader="none" w:pos="1147"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and conditions and in reliance upon the representations and warranties herein set forth, the Company hereby grants an option to the several Underwriters to purchase, severally and not jointly, up to 750,000 Option Securities at the same purchase price per share as the Underwriters shall pay for the Underwritten Securities. Said option may be exercised in whole or in part at any time on or before the 30th day after the date of the Prospectus upon written or telegraphic notice by the Representatives to the Company setting forth the number of shares of the Option Securities as to which the several Underwriters are exercising the option and the settlement date. The maximum number of Option Securities to be sold by the Company is 750,000.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118" w:lineRule="exact"/>
        <w:rPr>
          <w:rFonts w:ascii="Arial" w:cs="Arial" w:eastAsia="Arial" w:hAnsi="Arial"/>
          <w:sz w:val="16"/>
          <w:szCs w:val="16"/>
          <w:color w:val="auto"/>
        </w:rPr>
      </w:pPr>
    </w:p>
    <w:p>
      <w:pPr>
        <w:ind w:right="40" w:firstLine="464"/>
        <w:spacing w:after="0" w:line="289"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Underwritten Securities and the Option Securities (if the option provided for in Section 2(b) hereof shall have been exercised on or before the third Business Day immediately preceding the Closing Date) shall be made at 10:00 AM, New York City time, on October 25, 2006, or at such time on such later date not more than three Business Days after the foregoing date as the Representatives shall designate, which date and time may be postponed by agreement among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respective aggregate purchase price thereby to or upon the order of the Company by wire transfer payable in same-day funds to an account specified by the Company. Delivery of the Underwritten Securities and the Option Securities shall be made through the facilities of The Depository Trust Company unless the Representatives shall otherwise instruct.</w:t>
      </w:r>
    </w:p>
    <w:p>
      <w:pPr>
        <w:spacing w:after="0" w:line="118"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If the option provided for in Section 2(b) hereof is exercised after the third Business Day immediately preceding the Closing Date, the Company will deliver the Option Securities (at the expense of the Company) to the Representatives, c/o Citigroup Global Markets, Inc. at 388 Greenwich Street, New York, New York,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Company by wire transfer payable in same-day funds to the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 w:name="page24"/>
    <w:bookmarkEnd w:id="23"/>
    <w:p>
      <w:pPr>
        <w:ind w:left="-40" w:right="820" w:firstLine="464"/>
        <w:spacing w:after="0" w:line="268" w:lineRule="auto"/>
        <w:tabs>
          <w:tab w:leader="none" w:pos="59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Offering by Underwriters</w:t>
      </w:r>
      <w:r>
        <w:rPr>
          <w:rFonts w:ascii="Arial" w:cs="Arial" w:eastAsia="Arial" w:hAnsi="Arial"/>
          <w:sz w:val="18"/>
          <w:szCs w:val="18"/>
          <w:color w:val="auto"/>
        </w:rPr>
        <w:t>. It is understood that the several Underwriters propose to offer the Securities for sale to the public as set forth in the Prospectus.</w:t>
      </w:r>
    </w:p>
    <w:p>
      <w:pPr>
        <w:spacing w:after="0" w:line="212" w:lineRule="exact"/>
        <w:rPr>
          <w:rFonts w:ascii="Arial" w:cs="Arial" w:eastAsia="Arial" w:hAnsi="Arial"/>
          <w:sz w:val="18"/>
          <w:szCs w:val="18"/>
          <w:color w:val="auto"/>
        </w:rPr>
      </w:pPr>
    </w:p>
    <w:p>
      <w:pPr>
        <w:ind w:left="600" w:hanging="17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40" w:hanging="567"/>
        <w:spacing w:after="0"/>
        <w:tabs>
          <w:tab w:leader="none" w:pos="14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agrees with the several Underwriters that:</w:t>
      </w:r>
    </w:p>
    <w:p>
      <w:pPr>
        <w:spacing w:after="0" w:line="90" w:lineRule="exact"/>
        <w:rPr>
          <w:sz w:val="20"/>
          <w:szCs w:val="20"/>
          <w:color w:val="auto"/>
        </w:rPr>
      </w:pPr>
    </w:p>
    <w:p>
      <w:pPr>
        <w:ind w:left="420" w:firstLine="443"/>
        <w:spacing w:after="0" w:line="285" w:lineRule="auto"/>
        <w:tabs>
          <w:tab w:leader="none" w:pos="1097"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the Representatives a copy for their review prior to filing and will not file any such proposed amendment or supplement to which the Representatives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commercially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best efforts to have such amendment or new registration statement declared effective as soon as practicable.</w:t>
      </w:r>
    </w:p>
    <w:p>
      <w:pPr>
        <w:spacing w:after="0" w:line="40" w:lineRule="exact"/>
        <w:rPr>
          <w:rFonts w:ascii="Arial" w:cs="Arial" w:eastAsia="Arial" w:hAnsi="Arial"/>
          <w:sz w:val="16"/>
          <w:szCs w:val="16"/>
          <w:color w:val="auto"/>
        </w:rPr>
      </w:pPr>
    </w:p>
    <w:p>
      <w:pPr>
        <w:ind w:left="420" w:right="200" w:firstLine="443"/>
        <w:spacing w:after="0" w:line="302" w:lineRule="auto"/>
        <w:tabs>
          <w:tab w:leader="none" w:pos="1107" w:val="left"/>
        </w:tabs>
        <w:numPr>
          <w:ilvl w:val="1"/>
          <w:numId w:val="28"/>
        </w:numPr>
        <w:rPr>
          <w:rFonts w:ascii="Arial" w:cs="Arial" w:eastAsia="Arial" w:hAnsi="Arial"/>
          <w:sz w:val="15"/>
          <w:szCs w:val="15"/>
          <w:color w:val="auto"/>
        </w:rPr>
      </w:pPr>
      <w:r>
        <w:rPr>
          <w:rFonts w:ascii="Arial" w:cs="Arial" w:eastAsia="Arial" w:hAnsi="Arial"/>
          <w:sz w:val="15"/>
          <w:szCs w:val="15"/>
          <w:color w:val="auto"/>
        </w:rPr>
        <w:t>If, at any time prior to the filing of the Prospectus pursuant to Rule 424(b), any event occurs as a result of which the Disclosure Package would include any untrue statement of a material fact or omit to state any material fact necessary to make the statements therein in light of the circumstances under which they were made at such time not misleading, the Company will (i) notify promptly the Representatives so that any use of the Disclosure Package may cease until it is amended or supplemented; (ii) amend or supplement the Disclosure Package to correct such statement or omission; and</w:t>
      </w:r>
    </w:p>
    <w:p>
      <w:pPr>
        <w:spacing w:after="0" w:line="2" w:lineRule="exact"/>
        <w:rPr>
          <w:rFonts w:ascii="Arial" w:cs="Arial" w:eastAsia="Arial" w:hAnsi="Arial"/>
          <w:sz w:val="15"/>
          <w:szCs w:val="15"/>
          <w:color w:val="auto"/>
        </w:rPr>
      </w:pPr>
    </w:p>
    <w:p>
      <w:pPr>
        <w:ind w:left="740" w:hanging="31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supply any amendment or supplement to you in such quantities as you may reasonably request.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24" w:name="page25"/>
    <w:bookmarkEnd w:id="24"/>
    <w:p>
      <w:pPr>
        <w:ind w:firstLine="443"/>
        <w:spacing w:after="0" w:line="290" w:lineRule="auto"/>
        <w:tabs>
          <w:tab w:leader="none" w:pos="677"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Representatives of any such event; (ii) prepare and file with the Commission, subject to the first sentence of paragraph (a) of this Section 5, an amendment or supplement which will correct such statement or omission or effect such compliance; and (iii) supply any supplemented Prospectus to the Representatives in such quantities as the Representatives may reasonably request.</w:t>
      </w:r>
    </w:p>
    <w:p>
      <w:pPr>
        <w:spacing w:after="0" w:line="37" w:lineRule="exact"/>
        <w:rPr>
          <w:rFonts w:ascii="Arial" w:cs="Arial" w:eastAsia="Arial" w:hAnsi="Arial"/>
          <w:sz w:val="16"/>
          <w:szCs w:val="16"/>
          <w:color w:val="auto"/>
        </w:rPr>
      </w:pPr>
    </w:p>
    <w:p>
      <w:pPr>
        <w:ind w:right="360" w:firstLine="443"/>
        <w:spacing w:after="0" w:line="332" w:lineRule="auto"/>
        <w:tabs>
          <w:tab w:leader="none" w:pos="6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w:t>
      </w:r>
    </w:p>
    <w:p>
      <w:pPr>
        <w:spacing w:after="0" w:line="4" w:lineRule="exact"/>
        <w:rPr>
          <w:rFonts w:ascii="Arial" w:cs="Arial" w:eastAsia="Arial" w:hAnsi="Arial"/>
          <w:sz w:val="16"/>
          <w:szCs w:val="16"/>
          <w:color w:val="auto"/>
        </w:rPr>
      </w:pPr>
    </w:p>
    <w:p>
      <w:pPr>
        <w:ind w:right="140" w:firstLine="443"/>
        <w:spacing w:after="0" w:line="294" w:lineRule="auto"/>
        <w:tabs>
          <w:tab w:leader="none" w:pos="6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each Issuer Free Writing Prospectus and any supplement thereto as the Representatives may reasonably request. The Company will pay the expenses of printing or other production of all documents related to the offering.</w:t>
      </w:r>
    </w:p>
    <w:p>
      <w:pPr>
        <w:spacing w:after="0" w:line="34" w:lineRule="exact"/>
        <w:rPr>
          <w:rFonts w:ascii="Arial" w:cs="Arial" w:eastAsia="Arial" w:hAnsi="Arial"/>
          <w:sz w:val="16"/>
          <w:szCs w:val="16"/>
          <w:color w:val="auto"/>
        </w:rPr>
      </w:pPr>
    </w:p>
    <w:p>
      <w:pPr>
        <w:ind w:right="140" w:firstLine="443"/>
        <w:spacing w:after="0" w:line="298" w:lineRule="auto"/>
        <w:tabs>
          <w:tab w:leader="none" w:pos="6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will arrange, if necessary, for the qualification of the Securities for sale under the laws of such jurisdictions as the Representatives may designate and will maintain such qualifications in effect so long as required for the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31" w:lineRule="exact"/>
        <w:rPr>
          <w:rFonts w:ascii="Arial" w:cs="Arial" w:eastAsia="Arial" w:hAnsi="Arial"/>
          <w:sz w:val="16"/>
          <w:szCs w:val="16"/>
          <w:color w:val="auto"/>
        </w:rPr>
      </w:pPr>
    </w:p>
    <w:p>
      <w:pPr>
        <w:ind w:firstLine="443"/>
        <w:spacing w:after="0" w:line="291" w:lineRule="auto"/>
        <w:tabs>
          <w:tab w:leader="none" w:pos="6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Citigroup Global Markets Inc. and Goldman, Sachs &amp; Co.,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other than on Form S-8, in respect of, or establish or increase a put equivalent position or liquidate or decrease a call equivalent position within the meaning of Section 16 of the Exchange Act with respect to, any</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25" w:name="page26"/>
    <w:bookmarkEnd w:id="25"/>
    <w:p>
      <w:pPr>
        <w:ind w:right="1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shares of capital stock of the Company or any securities convertible into, or exercisable, or exchangeable for, shares of such capital stock or publicly announce an intention to effect any such transaction, for a period of 180 days after the date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may</w:t>
      </w:r>
    </w:p>
    <w:p>
      <w:pPr>
        <w:ind w:right="100" w:firstLine="4"/>
        <w:spacing w:after="0" w:line="300" w:lineRule="auto"/>
        <w:tabs>
          <w:tab w:leader="none" w:pos="210"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grant options to purchase shares of Common Stock and issue and sell Common Stock, grant restricted stock and other similar equity awards pursuant to any employee stock option plan, stock ownership plan or dividend reinvestment plan of the Company in effect at the Execution Time or described in the Preliminary Prospectus and the Prospectus; (ii) issue Common Stock issuable upon the conversion of securities or the exercise of warrants or options outstanding at the Execution Time; (iii) issue Common Stock in connection with the satisfaction of the obligations of the Company under Sections 2.3 and 2.4 of the Inductis Acquisition Agreement; and (iv) issue Common Stock in connection with an acquisition or business combination,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prior to any such issuance the recipients of such securities shall have agreed with you in writing to be bound by the same form of agreement specified in this Section 5(f) hereof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aggregate number of shares issuable by the Company in any acquisition transaction described in clause</w:t>
      </w:r>
    </w:p>
    <w:p>
      <w:pPr>
        <w:spacing w:after="0" w:line="3" w:lineRule="exact"/>
        <w:rPr>
          <w:rFonts w:ascii="Arial" w:cs="Arial" w:eastAsia="Arial" w:hAnsi="Arial"/>
          <w:sz w:val="15"/>
          <w:szCs w:val="15"/>
          <w:color w:val="auto"/>
        </w:rPr>
      </w:pPr>
    </w:p>
    <w:p>
      <w:pPr>
        <w:ind w:right="60" w:firstLine="4"/>
        <w:spacing w:after="0" w:line="287" w:lineRule="auto"/>
        <w:tabs>
          <w:tab w:leader="none" w:pos="297"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above shall not exceed the equivalent of 10% of the shares of Common Stock issued and outstanding on the Closing Date, subject to adjustment to reflect stock splits, stock dividends, reclassifications, recombinations and other similar adjustments;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(i) during the last 17 days of the 180-day restricted period, the Company releases earnings results or announces material news or a material event or (ii) prior to the expiration of the initial 180-day restricted period, the Company announces that it will release earnings results during the 15-day period following the last day of the 180-day restricted period, then in each case the restricted period will be automatically extended until the expiration of the 18-day period beginning on the date of release of the earnings results or the announcement of the material news or material event, as applicable, unless Citigroup Global Markets Inc. and Goldman, Sachs &amp; Co. waive, in writing, such extension. The Company will provide the Representatives and any co-managers and each stockholder subject to the restricted period pursuant to the lockup letters described in Section 6(m) with prior notice of any such announcement that gives rise to an extension of the restricted period.</w:t>
      </w:r>
    </w:p>
    <w:p>
      <w:pPr>
        <w:spacing w:after="0" w:line="39" w:lineRule="exact"/>
        <w:rPr>
          <w:rFonts w:ascii="Arial" w:cs="Arial" w:eastAsia="Arial" w:hAnsi="Arial"/>
          <w:sz w:val="16"/>
          <w:szCs w:val="16"/>
          <w:color w:val="auto"/>
        </w:rPr>
      </w:pPr>
    </w:p>
    <w:p>
      <w:pPr>
        <w:ind w:right="20" w:firstLine="443"/>
        <w:spacing w:after="0" w:line="259" w:lineRule="auto"/>
        <w:tabs>
          <w:tab w:leader="none" w:pos="6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ind w:firstLine="443"/>
        <w:spacing w:after="0" w:line="291" w:lineRule="auto"/>
        <w:tabs>
          <w:tab w:leader="none" w:pos="64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preparation, printing,</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6" w:name="page27"/>
    <w:bookmarkEnd w:id="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the Nasdaq Global Market; (vi) any registration or qualification of the Securities for offer and sale under the securities or blue sky laws of the several states (including filing fees and the reasonable fees and expenses of one firm of counsel for the Underwriters relating to such registration and qualification); (vii) any filings required to be made with the NASD, Inc. (including filing fees and the reasonable fees and expenses of one firm of counsel for the Underwriters relating to such filings); (viii) the transportation (including commercial air transportation) and other expenses incurred by or on behalf of Company representatives in connection with presentations to prospective purchasers of the Securities (other than air transportation expenses described in (ix) below); (ix) one half of the cost of any aircraft chartered in connection with presentations to prospective purchasers of the Securities; (x) the fees and expenses of the Company’s accountants and the fees and expenses of counsel (including local and special counsel) for the Company; and (xi) all other costs and expenses incident to the performance by the Company of its obligations hereunder. It is understood, however, that, except as otherwise provided in this Section 5, Section 7 and Section 8 hereof, the Underwriters will pay all of their own costs and expenses, including the fees and disbursements of their counsel, any taxes on resale of any of the Securities by them and any advertising expenses connected with any offers they may make.</w:t>
      </w:r>
    </w:p>
    <w:p>
      <w:pPr>
        <w:spacing w:after="0" w:line="47" w:lineRule="exact"/>
        <w:rPr>
          <w:sz w:val="20"/>
          <w:szCs w:val="20"/>
          <w:color w:val="auto"/>
        </w:rPr>
      </w:pPr>
    </w:p>
    <w:p>
      <w:pPr>
        <w:ind w:right="120" w:firstLine="443"/>
        <w:spacing w:after="0" w:line="298"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agrees, during a period of two years from the effective date of the Registration Statement, to furnish to the Representatives copies of all reports or other communications (financial or other) furnished to public stockholders, and to deliver to the Representatives as soon as they are available, copies of any reports and financial statements furnished to or filed with the Commission or any national securities exchange on which the Securities or any class of securities of the Company is listed (in each case, other than those available via the Commission’s EDGAR database).</w:t>
      </w:r>
    </w:p>
    <w:p>
      <w:pPr>
        <w:spacing w:after="0" w:line="31" w:lineRule="exact"/>
        <w:rPr>
          <w:rFonts w:ascii="Arial" w:cs="Arial" w:eastAsia="Arial" w:hAnsi="Arial"/>
          <w:sz w:val="16"/>
          <w:szCs w:val="16"/>
          <w:color w:val="auto"/>
        </w:rPr>
      </w:pPr>
    </w:p>
    <w:p>
      <w:pPr>
        <w:ind w:right="140" w:firstLine="443"/>
        <w:spacing w:after="0" w:line="268"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agrees to use the net proceeds received by it from the sale of the Securities pursuant to this Agreement in the manner specified in the Preliminary Prospectus and the Prospectus under the caption “Use of Proceeds”.</w:t>
      </w:r>
    </w:p>
    <w:p>
      <w:pPr>
        <w:spacing w:after="0" w:line="50" w:lineRule="exact"/>
        <w:rPr>
          <w:rFonts w:ascii="Arial" w:cs="Arial" w:eastAsia="Arial" w:hAnsi="Arial"/>
          <w:sz w:val="18"/>
          <w:szCs w:val="18"/>
          <w:color w:val="auto"/>
        </w:rPr>
      </w:pPr>
    </w:p>
    <w:p>
      <w:pPr>
        <w:ind w:right="80" w:firstLine="443"/>
        <w:spacing w:after="0" w:line="291"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Representatives, and each Underwriter, severally and not jointly, agrees with the Company and the Representatives that, unless it has or shall have obtained, as the case may be, the prior written consent of the Company and the Representatives,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II hereto and any electronic road show.</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27" w:name="page28"/>
    <w:bookmarkEnd w:id="27"/>
    <w:p>
      <w:pPr>
        <w:ind w:left="440"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32" w:lineRule="exact"/>
        <w:rPr>
          <w:sz w:val="20"/>
          <w:szCs w:val="20"/>
          <w:color w:val="auto"/>
        </w:rPr>
      </w:pPr>
    </w:p>
    <w:p>
      <w:pPr>
        <w:ind w:left="440" w:right="60" w:firstLine="443"/>
        <w:spacing w:after="0" w:line="244" w:lineRule="auto"/>
        <w:tabs>
          <w:tab w:leader="none" w:pos="11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During the period commencing the date hereof and ending the 180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date hereof, the Company will not, directly or indirectly, take any action or exercise any right designed to or that might reasonably be expected to result in or allow for, nor fail to take any action that would prevent, the sale, transfer or other disposition by any owner of shares or options to acquire shares of Common Stock under any of the 2003 Stock Purchase Agreements or the Company Holder Agreement of such owner’s shares of Common Stock pursuant thereto without the prior written consent of each of Citigroup Global Markets Inc. and Goldman, Sachs &amp; Co., and the Company will fully enforce the restrictions on such sales, transfers or other dispositions pursuant to its rights under the 2003 Stock Purchase Agreements or the Company Holder Agreement, as the case may be, and the notice referred to in Section 1(oo) hereof.</w:t>
      </w:r>
    </w:p>
    <w:p>
      <w:pPr>
        <w:spacing w:after="0" w:line="154" w:lineRule="exact"/>
        <w:rPr>
          <w:rFonts w:ascii="Arial" w:cs="Arial" w:eastAsia="Arial" w:hAnsi="Arial"/>
          <w:sz w:val="18"/>
          <w:szCs w:val="18"/>
          <w:color w:val="auto"/>
        </w:rPr>
      </w:pPr>
    </w:p>
    <w:p>
      <w:pPr>
        <w:ind w:left="-20" w:right="20" w:firstLine="464"/>
        <w:spacing w:after="0" w:line="298" w:lineRule="auto"/>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31" w:lineRule="exact"/>
        <w:rPr>
          <w:rFonts w:ascii="Arial" w:cs="Arial" w:eastAsia="Arial" w:hAnsi="Arial"/>
          <w:sz w:val="16"/>
          <w:szCs w:val="16"/>
          <w:color w:val="auto"/>
        </w:rPr>
      </w:pPr>
    </w:p>
    <w:p>
      <w:pPr>
        <w:ind w:left="440" w:firstLine="443"/>
        <w:spacing w:after="0" w:line="298" w:lineRule="auto"/>
        <w:tabs>
          <w:tab w:leader="none" w:pos="1117"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31" w:lineRule="exact"/>
        <w:rPr>
          <w:rFonts w:ascii="Arial" w:cs="Arial" w:eastAsia="Arial" w:hAnsi="Arial"/>
          <w:sz w:val="16"/>
          <w:szCs w:val="16"/>
          <w:color w:val="auto"/>
        </w:rPr>
      </w:pPr>
    </w:p>
    <w:p>
      <w:pPr>
        <w:ind w:left="440" w:right="180" w:firstLine="443"/>
        <w:spacing w:after="0" w:line="259" w:lineRule="auto"/>
        <w:tabs>
          <w:tab w:leader="none" w:pos="11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have requested and caused Paul, Weiss, Rifkind, Wharton and Garrison LLP, counsel for the Company, to have furnished to the Representatives their opinion and letter, dated the Closing Date and addressed to the Representatives in substantially the form of Exhibits B and C hereto.</w:t>
      </w:r>
    </w:p>
    <w:p>
      <w:pPr>
        <w:spacing w:after="0" w:line="59" w:lineRule="exact"/>
        <w:rPr>
          <w:rFonts w:ascii="Arial" w:cs="Arial" w:eastAsia="Arial" w:hAnsi="Arial"/>
          <w:sz w:val="18"/>
          <w:szCs w:val="18"/>
          <w:color w:val="auto"/>
        </w:rPr>
      </w:pPr>
    </w:p>
    <w:p>
      <w:pPr>
        <w:ind w:left="440" w:right="180" w:firstLine="443"/>
        <w:spacing w:after="0" w:line="332" w:lineRule="auto"/>
        <w:tabs>
          <w:tab w:leader="none" w:pos="1117"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shall have requested and caused Luthra &amp; Luthra, Indian counsel for the Company, to have furnished to the Representatives their opinion, dated the Closing Date and addressed to the Representatives in substantially the form of Exhibit D hereto.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80" w:right="239" w:bottom="1440" w:gutter="0" w:footer="0" w:header="0"/>
        </w:sectPr>
      </w:pPr>
    </w:p>
    <w:bookmarkStart w:id="28" w:name="page29"/>
    <w:bookmarkEnd w:id="28"/>
    <w:p>
      <w:pPr>
        <w:ind w:right="160" w:firstLine="443"/>
        <w:spacing w:after="0" w:line="268" w:lineRule="auto"/>
        <w:tabs>
          <w:tab w:leader="none" w:pos="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have requested and caused Amit Shashank, General Counsel for the Company, to have furnished to the Representatives his opinion, dated the Closing Date and addressed to the Representatives in substantially the form of Exhibit E.</w:t>
      </w:r>
    </w:p>
    <w:p>
      <w:pPr>
        <w:spacing w:after="0" w:line="50" w:lineRule="exact"/>
        <w:rPr>
          <w:rFonts w:ascii="Arial" w:cs="Arial" w:eastAsia="Arial" w:hAnsi="Arial"/>
          <w:sz w:val="18"/>
          <w:szCs w:val="18"/>
          <w:color w:val="auto"/>
        </w:rPr>
      </w:pPr>
    </w:p>
    <w:p>
      <w:pPr>
        <w:ind w:right="40" w:firstLine="443"/>
        <w:spacing w:after="0" w:line="255" w:lineRule="auto"/>
        <w:tabs>
          <w:tab w:leader="none" w:pos="6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Representatives shall have received from Cleary Gottlieb Steen &amp; Hamilton LLP, counsel for the Underwriters, such opinion or opinions, dated the Closing Date, in form and substance satisfactory to, and addressed to, the Representatives, with respect to the issuance and sale of the Securities, the Registration Statement, the Disclosure Package, the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61" w:lineRule="exact"/>
        <w:rPr>
          <w:rFonts w:ascii="Arial" w:cs="Arial" w:eastAsia="Arial" w:hAnsi="Arial"/>
          <w:sz w:val="18"/>
          <w:szCs w:val="18"/>
          <w:color w:val="auto"/>
        </w:rPr>
      </w:pPr>
    </w:p>
    <w:p>
      <w:pPr>
        <w:ind w:firstLine="443"/>
        <w:spacing w:after="0" w:line="298" w:lineRule="auto"/>
        <w:tabs>
          <w:tab w:leader="none" w:pos="65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a certificate of the Company, signed by the Chairman of the Board, the Chief Executive Officer or the President and the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31" w:lineRule="exact"/>
        <w:rPr>
          <w:rFonts w:ascii="Arial" w:cs="Arial" w:eastAsia="Arial" w:hAnsi="Arial"/>
          <w:sz w:val="16"/>
          <w:szCs w:val="16"/>
          <w:color w:val="auto"/>
        </w:rPr>
      </w:pPr>
    </w:p>
    <w:p>
      <w:pPr>
        <w:ind w:left="1020" w:right="20" w:hanging="567"/>
        <w:spacing w:after="0" w:line="259"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59" w:lineRule="exact"/>
        <w:rPr>
          <w:rFonts w:ascii="Arial" w:cs="Arial" w:eastAsia="Arial" w:hAnsi="Arial"/>
          <w:sz w:val="18"/>
          <w:szCs w:val="18"/>
          <w:color w:val="auto"/>
        </w:rPr>
      </w:pPr>
    </w:p>
    <w:p>
      <w:pPr>
        <w:ind w:left="1020" w:right="820" w:hanging="567"/>
        <w:spacing w:after="0" w:line="332"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4" w:lineRule="exact"/>
        <w:rPr>
          <w:rFonts w:ascii="Arial" w:cs="Arial" w:eastAsia="Arial" w:hAnsi="Arial"/>
          <w:sz w:val="16"/>
          <w:szCs w:val="16"/>
          <w:color w:val="auto"/>
        </w:rPr>
      </w:pPr>
    </w:p>
    <w:p>
      <w:pPr>
        <w:ind w:left="1020" w:hanging="567"/>
        <w:spacing w:after="0" w:line="298"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Prospectus (exclusive of any supplement thereto).</w:t>
      </w:r>
    </w:p>
    <w:p>
      <w:pPr>
        <w:spacing w:after="0" w:line="31" w:lineRule="exact"/>
        <w:rPr>
          <w:rFonts w:ascii="Arial" w:cs="Arial" w:eastAsia="Arial" w:hAnsi="Arial"/>
          <w:sz w:val="16"/>
          <w:szCs w:val="16"/>
          <w:color w:val="auto"/>
        </w:rPr>
      </w:pPr>
    </w:p>
    <w:p>
      <w:pPr>
        <w:ind w:firstLine="443"/>
        <w:spacing w:after="0" w:line="256" w:lineRule="auto"/>
        <w:tabs>
          <w:tab w:leader="none" w:pos="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deliver to the Representatives a customary “comfort letter” substantially in the form, set forth in Exhibit F hereto and dated as of the Execution Time (the “initial letter”), and the Company shall have caused and requested Ernst &amp; Young LLP to furnish to the Representatives a letter or letters (the “bring-down letter”) of such accountants, addressed to the Representatives and dated as of the Closing Date, (i) confirming that they are</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700" w:top="280" w:right="299" w:bottom="1440" w:gutter="0" w:footer="0" w:header="0"/>
        </w:sectPr>
      </w:pPr>
    </w:p>
    <w:bookmarkStart w:id="29" w:name="page30"/>
    <w:bookmarkEnd w:id="2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accountants within the meaning of the Act and the Exchange Act and the applicable rules and regulations adopted by the Commission thereunder (ii) that they have performed a review of the unaudited interim financial information of the Company for the six-month period ended June 30, 2006 and as at June 30, 2006, in accordance with Statement on Auditing Standards No. 100 (iii) stating, as of the date of the bring-down letter(s) (or, with respect to matters involving changes or developments since the respective dates as of which specified financial information is given in the Prospectus or the Disclosure Package, as of a date not more than three days prior to the date of the bring-down letter(s)), the conclusions and findings of such firm with respect to the financial information and other matters covered by the initial letter(s) and (iii) confirming in all material respects the conclusions and findings set forth in the initial comfort letter.</w:t>
      </w:r>
    </w:p>
    <w:p>
      <w:pPr>
        <w:spacing w:after="0" w:line="66" w:lineRule="exact"/>
        <w:rPr>
          <w:sz w:val="20"/>
          <w:szCs w:val="20"/>
          <w:color w:val="auto"/>
        </w:rPr>
      </w:pPr>
    </w:p>
    <w:p>
      <w:pPr>
        <w:ind w:right="40" w:firstLine="443"/>
        <w:spacing w:after="0" w:line="287" w:lineRule="auto"/>
        <w:tabs>
          <w:tab w:leader="none" w:pos="6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have requested and caused Russell Bedford Stefanou Mirchandani LLP to deliver to the Representatives a customary “comfort letter” substantially in the form, set forth in Exhibit G hereto and dated as of the Execution Time (the “initial letter”), and the Company shall have caused and requested Russell Bedford Stefanou Mirchandani LLP to furnish to the Representatives a letter or letters (the “bring-down letter”) of such accountants, addressed to the Representatives and dated as of the Closing Date, (i) confirming that they are independent accountants within the meaning of the Act and the Exchange Act and the applicable rules and regulations adopted by the Commission thereunder (ii) that they have performed a review of the unaudited interim financial information of Inductis, Inc. for the six-month period ended June 30, 2006 and as at June 30, 2006, in accordance with Statement on Auditing Standards No. 100 (iii) stating, as of the date of the bring-down letter(s) (or, with respect to matters involving changes or developments since the respective dates as of which specified financial information is given in the Prospectus or the Disclosure Package, as of a date not more than three days prior to the date of the bring-down letter(s)), the conclusions and findings of such firm with respect to the financial information and other matters covered by the initial letter(s) and (iii) confirming in all material respects the conclusions and findings set forth in the initial comfort letter.</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References to the Prospectus in paragraphs (g) and (h) include any supplement thereto at the date of the letter.</w:t>
      </w:r>
    </w:p>
    <w:p>
      <w:pPr>
        <w:spacing w:after="0" w:line="90" w:lineRule="exact"/>
        <w:rPr>
          <w:sz w:val="20"/>
          <w:szCs w:val="20"/>
          <w:color w:val="auto"/>
        </w:rPr>
      </w:pPr>
    </w:p>
    <w:p>
      <w:pPr>
        <w:ind w:left="660" w:hanging="217"/>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Registration Statement (exclusive of any</w:t>
      </w:r>
    </w:p>
    <w:p>
      <w:pPr>
        <w:spacing w:after="0" w:line="38" w:lineRule="exact"/>
        <w:rPr>
          <w:rFonts w:ascii="Arial" w:cs="Arial" w:eastAsia="Arial" w:hAnsi="Arial"/>
          <w:sz w:val="16"/>
          <w:szCs w:val="16"/>
          <w:color w:val="auto"/>
        </w:rPr>
      </w:pPr>
    </w:p>
    <w:p>
      <w:pPr>
        <w:ind w:right="20"/>
        <w:spacing w:after="0" w:line="310" w:lineRule="auto"/>
        <w:rPr>
          <w:rFonts w:ascii="Arial" w:cs="Arial" w:eastAsia="Arial" w:hAnsi="Arial"/>
          <w:sz w:val="16"/>
          <w:szCs w:val="16"/>
          <w:color w:val="auto"/>
        </w:rPr>
      </w:pPr>
      <w:r>
        <w:rPr>
          <w:rFonts w:ascii="Arial" w:cs="Arial" w:eastAsia="Arial" w:hAnsi="Arial"/>
          <w:sz w:val="15"/>
          <w:szCs w:val="15"/>
          <w:color w:val="auto"/>
        </w:rPr>
        <w:t>amendment thereof) and the Prospectus (exclusive of any amendment or supplement thereto), there shall not have been (i) any change or decrease specified in the letter or letters referred to in paragraphs (g) and (h)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Prospectus (exclusive of any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30" w:name="page31"/>
    <w:bookmarkEnd w:id="30"/>
    <w:p>
      <w:pPr>
        <w:ind w:left="460" w:right="640" w:firstLine="443"/>
        <w:spacing w:after="0" w:line="268" w:lineRule="auto"/>
        <w:tabs>
          <w:tab w:leader="none" w:pos="1108"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Closing Date, the Share Conversion shall have been consummated in the manner described in the Disclosure Package and the Prospectus.</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50" w:lineRule="exact"/>
        <w:rPr>
          <w:rFonts w:ascii="Arial" w:cs="Arial" w:eastAsia="Arial" w:hAnsi="Arial"/>
          <w:sz w:val="18"/>
          <w:szCs w:val="18"/>
          <w:color w:val="auto"/>
        </w:rPr>
      </w:pPr>
    </w:p>
    <w:p>
      <w:pPr>
        <w:ind w:left="460" w:right="40" w:firstLine="443"/>
        <w:spacing w:after="0" w:line="306" w:lineRule="auto"/>
        <w:tabs>
          <w:tab w:leader="none" w:pos="11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Subsequent to the Execution Time,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25" w:lineRule="exact"/>
        <w:rPr>
          <w:rFonts w:ascii="Arial" w:cs="Arial" w:eastAsia="Arial" w:hAnsi="Arial"/>
          <w:sz w:val="16"/>
          <w:szCs w:val="16"/>
          <w:color w:val="auto"/>
        </w:rPr>
      </w:pPr>
    </w:p>
    <w:p>
      <w:pPr>
        <w:ind w:left="460" w:right="80" w:firstLine="443"/>
        <w:spacing w:after="0" w:line="332" w:lineRule="auto"/>
        <w:tabs>
          <w:tab w:leader="none" w:pos="11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Securities shall have been listed and admitted and authorized for trading on the Nasdaq Global Market, subject to official notice of issuance and evidence of satisfactory distribution, and satisfactory evidence of such actions shall have been provided to the Representatives.</w:t>
      </w:r>
    </w:p>
    <w:p>
      <w:pPr>
        <w:spacing w:after="0" w:line="4"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the Execution Time, the Company shall have furnished to the Representatives a letter substantially in the form of Exhibit A hereto, addressed to the Representatives, from Norwich Union, Oak Hill Capital Partners L.P., FTVentures, TCV V, L.P., TCV V Member Fund and Prudential Financial Inc. and each executive officer and director and each other employee named on Schedule III hereto.</w:t>
      </w:r>
    </w:p>
    <w:p>
      <w:pPr>
        <w:spacing w:after="0" w:line="14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1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documents required to be delivered by this Section 6 shall be delivered at the office of Cleary Gottlieb Steen &amp; Hamilton LLP, counsel for the Underwriters, at One Liberty Plaza, New York, New York, 10006, on the Closing Date.</w:t>
      </w:r>
    </w:p>
    <w:p>
      <w:pPr>
        <w:spacing w:after="0" w:line="132" w:lineRule="exact"/>
        <w:rPr>
          <w:sz w:val="20"/>
          <w:szCs w:val="20"/>
          <w:color w:val="auto"/>
        </w:rPr>
      </w:pPr>
    </w:p>
    <w:p>
      <w:pPr>
        <w:ind w:firstLine="464"/>
        <w:spacing w:after="0" w:line="254"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Citigroup Global Markets Inc. and Goldman, Sachs &amp; Co., on demand for all expenses (including reasonable fees and disbursements of counsel) that shall have been incurred by them in connection with the proposed purchase and sale of the Securities.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1" w:name="page32"/>
    <w:bookmarkEnd w:id="31"/>
    <w:p>
      <w:pPr>
        <w:ind w:right="20" w:firstLine="464"/>
        <w:spacing w:after="0" w:line="286"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and Contribution</w:t>
      </w:r>
      <w:r>
        <w:rPr>
          <w:rFonts w:ascii="Arial" w:cs="Arial" w:eastAsia="Arial" w:hAnsi="Arial"/>
          <w:sz w:val="16"/>
          <w:szCs w:val="16"/>
          <w:color w:val="auto"/>
        </w:rPr>
        <w:t>. (a) 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the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39" w:lineRule="exact"/>
        <w:rPr>
          <w:rFonts w:ascii="Arial" w:cs="Arial" w:eastAsia="Arial" w:hAnsi="Arial"/>
          <w:sz w:val="16"/>
          <w:szCs w:val="16"/>
          <w:color w:val="auto"/>
        </w:rPr>
      </w:pPr>
    </w:p>
    <w:p>
      <w:pPr>
        <w:ind w:left="460" w:right="20" w:firstLine="443"/>
        <w:spacing w:after="0" w:line="288" w:lineRule="auto"/>
        <w:tabs>
          <w:tab w:leader="none" w:pos="114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in (i) the sentences related to concessions and reallowances in the Preliminary Prospectus and the Prospectus and (ii) the last paragraph on page 127 and the two paragraphs immediately thereafter related to stabilization, syndicate covering transactions and penalty bids in the Preliminary Prospectus and the Prospectus constitute the only written information furnished in writing by or on behalf of the several Underwriters for inclusion in the Preliminary Prospectus, the Prospectus or any Issuer Free Writing Prospectus.</w:t>
      </w:r>
    </w:p>
    <w:p>
      <w:pPr>
        <w:spacing w:after="0" w:line="38" w:lineRule="exact"/>
        <w:rPr>
          <w:rFonts w:ascii="Arial" w:cs="Arial" w:eastAsia="Arial" w:hAnsi="Arial"/>
          <w:sz w:val="16"/>
          <w:szCs w:val="16"/>
          <w:color w:val="auto"/>
        </w:rPr>
      </w:pPr>
    </w:p>
    <w:p>
      <w:pPr>
        <w:ind w:left="460" w:firstLine="443"/>
        <w:spacing w:after="0" w:line="254" w:lineRule="auto"/>
        <w:tabs>
          <w:tab w:leader="none" w:pos="11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2" w:name="page33"/>
    <w:bookmarkEnd w:id="32"/>
    <w:p>
      <w:pPr>
        <w:ind w:firstLine="4"/>
        <w:spacing w:after="0" w:line="284"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one firm of such separate counsel (and one firm of local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been advised by counsel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 No indemnifying party shall be liable for any settlement or compromise of, or consent to the entry of judgment with respect to, any such claim effected without its consent (which consent shall not be unreasonably withheld).</w:t>
      </w:r>
    </w:p>
    <w:p>
      <w:pPr>
        <w:spacing w:after="0" w:line="51" w:lineRule="exact"/>
        <w:rPr>
          <w:rFonts w:ascii="Arial" w:cs="Arial" w:eastAsia="Arial" w:hAnsi="Arial"/>
          <w:sz w:val="16"/>
          <w:szCs w:val="16"/>
          <w:color w:val="auto"/>
        </w:rPr>
      </w:pPr>
    </w:p>
    <w:p>
      <w:pPr>
        <w:ind w:right="40" w:firstLine="443"/>
        <w:spacing w:after="0" w:line="291" w:lineRule="auto"/>
        <w:tabs>
          <w:tab w:leader="none" w:pos="687"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“Losses”) to which the Company and one or more of the Underwriters may be subject in such proportion as is appropriate to reflect the relative benefits received by the Company on the one hand and by the Underwriters on the other from the offering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Underwriter (except as may be provided in any agreement among underwriters relating to the offering of the Securities) be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33" w:name="page34"/>
    <w:bookmarkEnd w:id="33"/>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responsible for any amount in excess of the underwriting discount or commission applicable 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21" w:lineRule="exact"/>
        <w:rPr>
          <w:sz w:val="20"/>
          <w:szCs w:val="20"/>
          <w:color w:val="auto"/>
        </w:rPr>
      </w:pPr>
    </w:p>
    <w:p>
      <w:pPr>
        <w:ind w:left="-40" w:right="60" w:firstLine="464"/>
        <w:spacing w:after="0" w:line="288" w:lineRule="auto"/>
        <w:tabs>
          <w:tab w:leader="none" w:pos="59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aggregate amount of Securities which the defaulting Underwriter or Underwriters agreed but failed to purchase shall exceed 10% of the aggregate amount of Securities set forth in Schedule 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80" w:top="280" w:right="259" w:bottom="1440" w:gutter="0" w:footer="0" w:header="0"/>
        </w:sectPr>
      </w:pPr>
    </w:p>
    <w:bookmarkStart w:id="34" w:name="page35"/>
    <w:bookmarkEnd w:id="34"/>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the Representatives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40" w:lineRule="exact"/>
        <w:rPr>
          <w:sz w:val="20"/>
          <w:szCs w:val="20"/>
          <w:color w:val="auto"/>
        </w:rPr>
      </w:pPr>
    </w:p>
    <w:p>
      <w:pPr>
        <w:ind w:firstLine="464"/>
        <w:spacing w:after="0" w:line="289"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delivery and payment (i) trading in the Company’s Common Stock shall have been suspended by the Commission or the Nasdaq Global Market or trading in securities generally on the New York Stock Exchange or the Nasdaq Global Market shall have been suspended or limited or minimum prices shall have been established on the New York Stock Exchange or the Nasdaq Global Market, (ii) a banking moratorium, or a material disruption in commercial banking or securities settlement or clearance services shall have been declared either by Federal or New York State authorities, or (iii) there shall have occurred any outbreak or escalation of hostilities, declaration by the United States or India of a national emergency or war, or other calamity or crisis the effect of which on financial markets is such as to make it, in the sole judgment of the Representatives, impractical or inadvisable to proceed with the offering or delivery of the Securities as contemplated by the Preliminary Prospectus or the Prospectus (exclusive of any supplement thereto).</w:t>
      </w:r>
    </w:p>
    <w:p>
      <w:pPr>
        <w:spacing w:after="0" w:line="118" w:lineRule="exact"/>
        <w:rPr>
          <w:rFonts w:ascii="Arial" w:cs="Arial" w:eastAsia="Arial" w:hAnsi="Arial"/>
          <w:sz w:val="16"/>
          <w:szCs w:val="16"/>
          <w:color w:val="auto"/>
        </w:rPr>
      </w:pPr>
    </w:p>
    <w:p>
      <w:pPr>
        <w:ind w:firstLine="464"/>
        <w:spacing w:after="0" w:line="323" w:lineRule="auto"/>
        <w:tabs>
          <w:tab w:leader="none" w:pos="713"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Representations and Indemnities to Survive</w:t>
      </w:r>
      <w:r>
        <w:rPr>
          <w:rFonts w:ascii="Arial" w:cs="Arial" w:eastAsia="Arial" w:hAnsi="Arial"/>
          <w:sz w:val="15"/>
          <w:szCs w:val="15"/>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97" w:lineRule="exact"/>
        <w:rPr>
          <w:rFonts w:ascii="Arial" w:cs="Arial" w:eastAsia="Arial" w:hAnsi="Arial"/>
          <w:sz w:val="15"/>
          <w:szCs w:val="15"/>
          <w:color w:val="auto"/>
        </w:rPr>
      </w:pPr>
    </w:p>
    <w:p>
      <w:pPr>
        <w:ind w:right="60" w:firstLine="464"/>
        <w:spacing w:after="0" w:line="291"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the Citigroup Global Markets Inc. General Counsel (fax no.: (212) 816-7912) and confirmed to the General Counsel, Citigroup Global Markets Inc., at 388 Greenwich Street, New York, New York, 10013, Attention: General Counsel, and Goldman, Sachs &amp; Co. General Counsel (fax no.: (212) 902-3000) and confirmed to the General Counsel, Goldman, Sachs &amp; Co., at 85 Broad Street, New York, New York, 10004, Attention: General Counsel; if sent to the Company, will be mailed, delivered or telefaxed to ExlService General Counsel (fax no: (212) 277-7111) and confirmed to it at 350 Park Avenue, 10th Floor, New York, New York 10022, attention of the Legal Department.</w:t>
      </w:r>
    </w:p>
    <w:p>
      <w:pPr>
        <w:spacing w:after="0" w:line="120" w:lineRule="exact"/>
        <w:rPr>
          <w:rFonts w:ascii="Arial" w:cs="Arial" w:eastAsia="Arial" w:hAnsi="Arial"/>
          <w:sz w:val="16"/>
          <w:szCs w:val="16"/>
          <w:color w:val="auto"/>
        </w:rPr>
      </w:pPr>
    </w:p>
    <w:p>
      <w:pPr>
        <w:ind w:right="680" w:firstLine="464"/>
        <w:spacing w:after="0" w:line="370" w:lineRule="auto"/>
        <w:tabs>
          <w:tab w:leader="none" w:pos="720"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Successors</w:t>
      </w:r>
      <w:r>
        <w:rPr>
          <w:rFonts w:ascii="Arial" w:cs="Arial" w:eastAsia="Arial" w:hAnsi="Arial"/>
          <w:sz w:val="15"/>
          <w:szCs w:val="15"/>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62" w:lineRule="exact"/>
        <w:rPr>
          <w:rFonts w:ascii="Arial" w:cs="Arial" w:eastAsia="Arial" w:hAnsi="Arial"/>
          <w:sz w:val="15"/>
          <w:szCs w:val="15"/>
          <w:color w:val="auto"/>
        </w:rPr>
      </w:pPr>
    </w:p>
    <w:p>
      <w:pPr>
        <w:ind w:right="260" w:firstLine="464"/>
        <w:spacing w:after="0" w:line="26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5" w:name="page36"/>
    <w:bookmarkEnd w:id="3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20" w:lineRule="exact"/>
        <w:rPr>
          <w:sz w:val="20"/>
          <w:szCs w:val="20"/>
          <w:color w:val="auto"/>
        </w:rPr>
      </w:pPr>
    </w:p>
    <w:p>
      <w:pPr>
        <w:ind w:right="40" w:firstLine="464"/>
        <w:spacing w:after="0" w:line="26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31" w:lineRule="exact"/>
        <w:rPr>
          <w:rFonts w:ascii="Arial" w:cs="Arial" w:eastAsia="Arial" w:hAnsi="Arial"/>
          <w:sz w:val="18"/>
          <w:szCs w:val="18"/>
          <w:color w:val="auto"/>
        </w:rPr>
      </w:pPr>
    </w:p>
    <w:p>
      <w:pPr>
        <w:ind w:firstLine="464"/>
        <w:spacing w:after="0" w:line="26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31" w:lineRule="exact"/>
        <w:rPr>
          <w:rFonts w:ascii="Arial" w:cs="Arial" w:eastAsia="Arial" w:hAnsi="Arial"/>
          <w:sz w:val="18"/>
          <w:szCs w:val="18"/>
          <w:color w:val="auto"/>
        </w:rPr>
      </w:pPr>
    </w:p>
    <w:p>
      <w:pPr>
        <w:ind w:right="100" w:firstLine="464"/>
        <w:spacing w:after="0" w:line="332"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85" w:lineRule="exact"/>
        <w:rPr>
          <w:rFonts w:ascii="Arial" w:cs="Arial" w:eastAsia="Arial" w:hAnsi="Arial"/>
          <w:sz w:val="16"/>
          <w:szCs w:val="16"/>
          <w:color w:val="auto"/>
        </w:rPr>
      </w:pPr>
    </w:p>
    <w:p>
      <w:pPr>
        <w:ind w:right="320" w:firstLine="464"/>
        <w:spacing w:after="0" w:line="26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“Act” shall mean the Securities Act of 1933, as amended, and the rules and regulations of the Commission promulgated thereunder.</w:t>
      </w:r>
    </w:p>
    <w:p>
      <w:pPr>
        <w:spacing w:after="0" w:line="19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7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“Disclosure Package” shall mean (i) the Preliminary Prospectus dated October 17, 2006, (ii) the Issuer Free Writing Prospectuses, if any, identified in Schedule II hereto, and (iii) any other Free Writing Prospectus that the parties hereto shall hereafter expressly agree in writing to treat as part of the Disclosure Package.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36" w:name="page37"/>
    <w:bookmarkEnd w:id="36"/>
    <w:p>
      <w:pPr>
        <w:ind w:right="4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 shall mean each date and time that the Registration Statement, any post-effective amendment or amendments thereto and any Rule 462(b) Registration Statement became or becomes effective.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“Exchange Act” shall mean the Securities Exchange Act of 1934, as amended, and the rules and regulations of the Commission promulgated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16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“Execution Time” shall mean the date and time that this Agreement is executed and delivered by the parties hereto (6:00 p.m. New York City time on October 19, 2006).</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“Inductis Acquisition Agreement” shall mean the Agreement and Plan of Merger, dated June 30, 2006, amongst the Company, Inductis, Inc. and certain other parties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“Prospectus” shall mean the prospectus relating to the Securities that is first filed pursuant to Rule 424(b) after the Execution Time.</w:t>
      </w:r>
    </w:p>
    <w:p>
      <w:pPr>
        <w:spacing w:after="0" w:line="171"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“Rule 158”, “Rule 163”, “Rule 164”, “Rule 172”, “Rule 405”, “Rule 415”, “Rule 424”, “Rule 430A” and “Rule 433” refer to such rules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32"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“Share Conversion” shall mean the conversion of the Company’s Class B common shares into Class A common shares, any related option conversion, share split or share consolidation and any related transactions described in the Disclosure Package, the Prospectus and the Registration Statement (exclusive of any supplement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7" w:name="page38"/>
    <w:bookmarkEnd w:id="37"/>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Talwar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Vikram Talwar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Vice Chairman</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Agreement is hereby confirmed and accepted as of the date first above written.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Katzenberg</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John Katzenberg</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Goldman, Sachs &amp; Co.</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 .</w:t>
            </w:r>
          </w:p>
        </w:tc>
        <w:tc>
          <w:tcPr>
            <w:tcW w:w="4260" w:type="dxa"/>
            <w:vAlign w:val="bottom"/>
          </w:tcPr>
          <w:p>
            <w:pPr>
              <w:spacing w:after="0"/>
              <w:rPr>
                <w:sz w:val="20"/>
                <w:szCs w:val="20"/>
                <w:color w:val="auto"/>
              </w:rPr>
            </w:pPr>
            <w:r>
              <w:rPr>
                <w:rFonts w:ascii="Arial" w:cs="Arial" w:eastAsia="Arial" w:hAnsi="Arial"/>
                <w:sz w:val="18"/>
                <w:szCs w:val="18"/>
                <w:color w:val="auto"/>
              </w:rPr>
              <w:t>Goldman, Sachs &amp; Co</w:t>
            </w:r>
          </w:p>
        </w:tc>
      </w:tr>
      <w:tr>
        <w:trPr>
          <w:trHeight w:val="433"/>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Goldman, Sachs &amp; Co.</w:t>
            </w:r>
          </w:p>
        </w:tc>
      </w:tr>
      <w:tr>
        <w:trPr>
          <w:trHeight w:val="222"/>
        </w:trPr>
        <w:tc>
          <w:tcPr>
            <w:tcW w:w="6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(Goldman, Sachs &amp; Co.)</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the other several Underwriters named in Schedule I to the foregoing Agreement.</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280"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5780" w:type="dxa"/>
            <w:vAlign w:val="bottom"/>
            <w:gridSpan w:val="5"/>
          </w:tcPr>
          <w:p>
            <w:pPr>
              <w:spacing w:after="0"/>
              <w:rPr>
                <w:sz w:val="20"/>
                <w:szCs w:val="20"/>
                <w:color w:val="auto"/>
              </w:rPr>
            </w:pPr>
            <w:r>
              <w:rPr>
                <w:rFonts w:ascii="Arial" w:cs="Arial" w:eastAsia="Arial" w:hAnsi="Arial"/>
                <w:sz w:val="18"/>
                <w:szCs w:val="18"/>
                <w:color w:val="auto"/>
              </w:rPr>
              <w:t>SCHEDULE I</w:t>
            </w: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Underwritten</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r>
      <w:tr>
        <w:trPr>
          <w:trHeight w:val="168"/>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0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to be Purchased</w:t>
            </w: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320" w:type="dxa"/>
            <w:vAlign w:val="bottom"/>
            <w:tcBorders>
              <w:top w:val="single" w:sz="8" w:color="auto"/>
            </w:tcBorders>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Goldman, Sachs &amp; Co.</w:t>
            </w:r>
          </w:p>
        </w:tc>
        <w:tc>
          <w:tcPr>
            <w:tcW w:w="5760" w:type="dxa"/>
            <w:vAlign w:val="bottom"/>
            <w:gridSpan w:val="4"/>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Merrill Lynch &amp; Co.</w:t>
            </w:r>
          </w:p>
        </w:tc>
        <w:tc>
          <w:tcPr>
            <w:tcW w:w="5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Thomas Weisel Partners LLC</w:t>
            </w:r>
          </w:p>
        </w:tc>
        <w:tc>
          <w:tcPr>
            <w:tcW w:w="4820" w:type="dxa"/>
            <w:vAlign w:val="bottom"/>
            <w:gridSpan w:val="3"/>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r>
    </w:tbl>
    <w:p>
      <w:pPr>
        <w:spacing w:after="0"/>
        <w:rPr>
          <w:sz w:val="20"/>
          <w:szCs w:val="20"/>
          <w:color w:val="auto"/>
        </w:rPr>
        <w:sectPr>
          <w:pgSz w:w="11900" w:h="16838" w:orient="portrait"/>
          <w:cols w:equalWidth="0" w:num="1">
            <w:col w:w="10500"/>
          </w:cols>
          <w:pgMar w:left="700" w:top="257" w:right="6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0" w:name="page41"/>
    <w:bookmarkEnd w:id="40"/>
    <w:p>
      <w:pPr>
        <w:ind w:left="518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80" w:right="1440" w:bottom="1440" w:gutter="0" w:footer="0" w:header="0"/>
        </w:sectPr>
      </w:pPr>
    </w:p>
    <w:bookmarkStart w:id="41" w:name="page42"/>
    <w:bookmarkEnd w:id="41"/>
    <w:p>
      <w:pPr>
        <w:jc w:val="right"/>
        <w:ind w:right="39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Bharat Hada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Alka Misra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Vinay Mittal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Baljinder Singh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Suneal Singhal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Jarrod Yahes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This letter is being delivered to you in connection with the proposed Underwriting Agreement (the “Underwriting Agreement”), between ExlService Holdings, Inc., a Delaware corporation (the “Company”), and each of you as representatives of a group of Underwriters named in Schedule I thereto, relating to an underwritten public offering of Common Stock, $0.001 par value (the “Common Stock”), of the Company.</w:t>
      </w:r>
    </w:p>
    <w:p>
      <w:pPr>
        <w:spacing w:after="0" w:line="10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In order to induce you and the other Underwriters to enter into the Underwriting Agreement, the undersigned will not, without the prior written consent of Citigroup Global Markets Inc. and Goldman, Sachs &amp; Co.,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shares of capital stock of the Company or any securities convertible into, or exercisable or exchangeable for such capital stock, whether now owned or hereinafter acquired, owned directly by the undersigned (including holding as a custodian) or with respect to which the undersigned has beneficial ownership within the rules and regulations of the Commission (collectively the “Undersigned’s Shares”), or publicly announce an intention to effect any such transaction, for a period of 180 days (the “Lock-Up Period”) after the date of the Underwriting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 during the last 17 days of the Lock-Up Period the Company releases earnings results or announces material news or a material event or (ii) prior to the expiration of the Lock-Up Period, the Company</w:t>
      </w:r>
    </w:p>
    <w:p>
      <w:pPr>
        <w:sectPr>
          <w:pgSz w:w="11900" w:h="16838" w:orient="portrait"/>
          <w:cols w:equalWidth="0" w:num="1">
            <w:col w:w="11420"/>
          </w:cols>
          <w:pgMar w:left="240" w:top="274" w:right="239" w:bottom="1440" w:gutter="0" w:footer="0" w:header="0"/>
        </w:sectPr>
      </w:pPr>
    </w:p>
    <w:bookmarkStart w:id="43" w:name="page44"/>
    <w:bookmarkEnd w:id="43"/>
    <w:p>
      <w:pPr>
        <w:ind w:right="6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announces that it will release earnings results during the 15-day period following the last day of the Lock-Up Period, then in each case the restricted period will be automatically extended until the expiration of the 18-day period beginning on the date of release of the earnings results or the announcement of the material news or material event, as applicable, unless Citigroup Global Markets Inc. and Goldman, Sachs &amp; Co. waive, in writing, such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such extension of the Lock-up Period last beyond the 34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originally contemplated end of such period. The undersigned hereby acknowledges that the Company has agreed in the Underwriting Agreement to provide written notice of any event that would result in an extension of the Lock-Up Period pursuant to the previous paragraph to the undersigned (in accordance with Section 12 of the Underwriting Agreement) and agrees that any such notice properly delivered will be deemed to have been given to, and received by, the undersigned. The undersigned hereby further agrees that, prior to engaging in any transaction or taking any other action that is subject to the terms of this Lock-Up Agreement during the period from the date of this Lock-Up Agreement to and including the 34th day following the expiration of the initial Lock-Up Period, it will give notice thereof to the Company and will not consummate such transaction or take any such action unless it has received written confirmation from the Company that the Lock-Up Period (as such may have been extended pursuant to the previous paragraph) has expired.</w:t>
      </w:r>
    </w:p>
    <w:p>
      <w:pPr>
        <w:spacing w:after="0" w:line="141"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Notwithstanding the foregoing, the undersigned may transfer any of the Undersigned’s Shares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donee or donees thereof agree to be bound in writing by the restrictions set forth herein, (ii) to any trust for the direct or indirect benefit of the undersigned or the immediate family of the undersigned,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(iii) with the prior written consent of Citigroup Global Markets Inc. and Goldman, Sachs &amp; Co. on behalf of the Underwriters[,][or] (iv) to any beneficiary of the undersigned pursuant to a will or other testamentary document or applicable laws of descent, [or</w:t>
      </w:r>
    </w:p>
    <w:p>
      <w:pPr>
        <w:spacing w:after="0" w:line="2" w:lineRule="exact"/>
        <w:rPr>
          <w:sz w:val="20"/>
          <w:szCs w:val="20"/>
          <w:color w:val="auto"/>
        </w:rPr>
      </w:pPr>
    </w:p>
    <w:p>
      <w:pPr>
        <w:ind w:firstLine="8"/>
        <w:spacing w:after="0" w:line="287"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acquired in the initial public offering of the Common Stock or otherwise in the open market on or after the date of the Underwriting Agreement to the extent that the transfer of Shares so acquired would not result in any obligation of the transferor to make any public filing with respect to such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clauses (i) through (iv) above, it shall be a condition to the transfer that the beneficiary or transferee execute an agreement stating that the beneficiary or transferee is receiving and holding such capital stock subject to the provisions of this Lock-Up Agreement and there shall be no further transfer of such capital stock except in accordance with this Lock-Up Agreement. For purposes of this Lock-Up Agreement, “immediate family” shall mean any relationship by blood, marriage or adoption, not more remote than first cousin. In addition, notwithstanding the foregoing, if the undersigned is a corporation, partnership or limited liability company, such entity (and its transferees) may transfer the capital stock of the Company to any wholly-owned subsidiary of such entity or to any partner, member or controlling stockholder of such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transfer does not result in an obligation on the part of any party to make any public regulatory filing with the Commission.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44" w:name="page45"/>
    <w:bookmarkEnd w:id="44"/>
    <w:p>
      <w:pPr>
        <w:ind w:right="1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for any reason (i) the Underwriting Agreement shall be terminated prior to the Closing Date (as defined in the Underwriting Agreement), (ii) the Board of Directors of the Company and the Representatives agree to not pursue the offering contemplated by the Underwriting Agreement or (iii) the offering contemplated by the Underwriting Agreement is not completed prior to February 1, 2007, the agreement set forth above shall likewise be terminated, and the undersigned will be released from its obligations hereunder.</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[Signature of officer, director or major stockholder]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[Name and address of officer, director or major stockholder]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the State of Delaware)</w:t>
      </w:r>
    </w:p>
    <w:p>
      <w:pPr>
        <w:spacing w:after="0" w:line="165"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undersigned executive officer of ExlService Holdings, Inc., a corporation organized and existing under the laws of the State of Delaware (the “Corporation”), hereby certifies as follows:</w:t>
      </w:r>
    </w:p>
    <w:p>
      <w:pPr>
        <w:spacing w:after="0" w:line="5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FIRST: The name of the corporation is ExlService Holdings, Inc. The original Certificate of Incorporation of the Corporation was filed with the Secretary of State of the State of Delaware on the 29th day of October 2002.</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SECOND: The first Amended and Restated Certificate of Incorporation of the Corporation was filed on the 13th day of December 2002.</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THIRD: A Certificate of Correction of Amended and Restated Certificate of Incorporation of the Corporation was filed on the 31st day of July 2003.</w:t>
      </w:r>
    </w:p>
    <w:p>
      <w:pPr>
        <w:spacing w:after="0" w:line="194"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FOURTH: A Certificate of Amendment to the Amended and Restated Certificate of Incorporation of the Corporation was filed on the 16th day of August 2005.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FIFTH: A Certificate of Amendment to the Amended and Restated Certificate of Incorporation of the Corporation was filed on the 28th day of June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ectPr>
          <w:pgSz w:w="11900" w:h="16838" w:orient="portrait"/>
          <w:cols w:equalWidth="0" w:num="1">
            <w:col w:w="11420"/>
          </w:cols>
          <w:pgMar w:left="240" w:top="125" w:right="239" w:bottom="1440" w:gutter="0" w:footer="0" w:header="0"/>
        </w:sectPr>
      </w:pPr>
    </w:p>
    <w:bookmarkStart w:id="46" w:name="page47"/>
    <w:bookmarkEnd w:id="46"/>
    <w:p>
      <w:pPr>
        <w:ind w:right="3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Amended and Restated Certificate of Incorporation as amended and corrected as described in the “SECOND” through “FIFTH” paragraphs herein is referred to as the “</w:t>
      </w:r>
      <w:r>
        <w:rPr>
          <w:rFonts w:ascii="Arial" w:cs="Arial" w:eastAsia="Arial" w:hAnsi="Arial"/>
          <w:sz w:val="18"/>
          <w:szCs w:val="18"/>
          <w:u w:val="single" w:color="auto"/>
          <w:color w:val="auto"/>
        </w:rPr>
        <w:t>Existing Certificate of Incorporation</w:t>
      </w:r>
      <w:r>
        <w:rPr>
          <w:rFonts w:ascii="Arial" w:cs="Arial" w:eastAsia="Arial" w:hAnsi="Arial"/>
          <w:sz w:val="18"/>
          <w:szCs w:val="18"/>
          <w:color w:val="auto"/>
        </w:rPr>
        <w:t>.”</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SIXTH: This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has been duly adopted in accordance with Sections 242 and 245 of the Delaware General Corporation Law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and by the written consent of stockholders in accordance with Section 228 of the General Corporation Law.</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SEVENTH: This Certificate of Incorporation further amends and restates in its entirety the Existing Certificate of Incorporation of the Corporation to read as follows:</w:t>
      </w:r>
    </w:p>
    <w:p>
      <w:pPr>
        <w:spacing w:after="0" w:line="51" w:lineRule="exact"/>
        <w:rPr>
          <w:sz w:val="20"/>
          <w:szCs w:val="20"/>
          <w:color w:val="auto"/>
        </w:rPr>
      </w:pPr>
    </w:p>
    <w:p>
      <w:pPr>
        <w:ind w:left="1100" w:hanging="179"/>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“ExlService Holdings, Inc.”</w:t>
      </w:r>
    </w:p>
    <w:p>
      <w:pPr>
        <w:spacing w:after="0" w:line="171" w:lineRule="exact"/>
        <w:rPr>
          <w:rFonts w:ascii="Arial" w:cs="Arial" w:eastAsia="Arial" w:hAnsi="Arial"/>
          <w:sz w:val="18"/>
          <w:szCs w:val="18"/>
          <w:color w:val="auto"/>
        </w:rPr>
      </w:pPr>
    </w:p>
    <w:p>
      <w:pPr>
        <w:ind w:right="180" w:firstLine="921"/>
        <w:spacing w:after="0" w:line="332" w:lineRule="auto"/>
        <w:tabs>
          <w:tab w:leader="none" w:pos="108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Address; Registered Office and Agent</w:t>
      </w:r>
      <w:r>
        <w:rPr>
          <w:rFonts w:ascii="Arial" w:cs="Arial" w:eastAsia="Arial" w:hAnsi="Arial"/>
          <w:sz w:val="16"/>
          <w:szCs w:val="16"/>
          <w:color w:val="auto"/>
        </w:rPr>
        <w:t>. The address of the Corporation’s registered office in the State of Delaware is 1209 Orange Street, City of Wilmington, County of New Castle, State of Delaware 19801; and the name of its registered agent at such address is The Corporation Trust Company.</w:t>
      </w:r>
    </w:p>
    <w:p>
      <w:pPr>
        <w:spacing w:after="0" w:line="85" w:lineRule="exact"/>
        <w:rPr>
          <w:rFonts w:ascii="Arial" w:cs="Arial" w:eastAsia="Arial" w:hAnsi="Arial"/>
          <w:sz w:val="16"/>
          <w:szCs w:val="16"/>
          <w:color w:val="auto"/>
        </w:rPr>
      </w:pPr>
    </w:p>
    <w:p>
      <w:pPr>
        <w:ind w:right="300" w:firstLine="921"/>
        <w:spacing w:after="0" w:line="268" w:lineRule="auto"/>
        <w:tabs>
          <w:tab w:leader="none" w:pos="108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212" w:lineRule="exact"/>
        <w:rPr>
          <w:rFonts w:ascii="Arial" w:cs="Arial" w:eastAsia="Arial" w:hAnsi="Arial"/>
          <w:sz w:val="18"/>
          <w:szCs w:val="18"/>
          <w:color w:val="auto"/>
        </w:rPr>
      </w:pPr>
    </w:p>
    <w:p>
      <w:pPr>
        <w:ind w:left="1100" w:hanging="179"/>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Number of Shares; Stock Split</w:t>
      </w:r>
      <w:r>
        <w:rPr>
          <w:rFonts w:ascii="Arial" w:cs="Arial" w:eastAsia="Arial" w:hAnsi="Arial"/>
          <w:sz w:val="18"/>
          <w:szCs w:val="18"/>
          <w:color w:val="auto"/>
        </w:rPr>
        <w:t>.</w:t>
      </w:r>
    </w:p>
    <w:p>
      <w:pPr>
        <w:spacing w:after="0" w:line="90" w:lineRule="exact"/>
        <w:rPr>
          <w:sz w:val="20"/>
          <w:szCs w:val="20"/>
          <w:color w:val="auto"/>
        </w:rPr>
      </w:pPr>
    </w:p>
    <w:p>
      <w:pPr>
        <w:ind w:right="120" w:firstLine="1484"/>
        <w:spacing w:after="0" w:line="268" w:lineRule="auto"/>
        <w:rPr>
          <w:sz w:val="20"/>
          <w:szCs w:val="20"/>
          <w:color w:val="auto"/>
        </w:rPr>
      </w:pPr>
      <w:r>
        <w:rPr>
          <w:rFonts w:ascii="Arial" w:cs="Arial" w:eastAsia="Arial" w:hAnsi="Arial"/>
          <w:sz w:val="18"/>
          <w:szCs w:val="18"/>
          <w:color w:val="auto"/>
        </w:rPr>
        <w:t>4.1 The Corporation is authorized to issue two classes of stock to be designated, respectively, “Common Stock” and “Preferred Stock.” The total number of shares of all classes of stock which the Corporation shall have authority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7" w:name="page48"/>
    <w:bookmarkEnd w:id="4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 is 115,000,000 shares, consisting of (i) 100,000,000 shares of Common Stock, $0.001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which (a) 23,500,000 shares are designated as “Series A Common Stock” (“</w:t>
      </w:r>
      <w:r>
        <w:rPr>
          <w:rFonts w:ascii="Arial" w:cs="Arial" w:eastAsia="Arial" w:hAnsi="Arial"/>
          <w:sz w:val="18"/>
          <w:szCs w:val="18"/>
          <w:u w:val="single" w:color="auto"/>
          <w:color w:val="auto"/>
        </w:rPr>
        <w:t>Series A Common Stock</w:t>
      </w:r>
      <w:r>
        <w:rPr>
          <w:rFonts w:ascii="Arial" w:cs="Arial" w:eastAsia="Arial" w:hAnsi="Arial"/>
          <w:sz w:val="18"/>
          <w:szCs w:val="18"/>
          <w:color w:val="auto"/>
        </w:rPr>
        <w:t>”) and (b) 2,300,000 shares are designated as “Series B Common Stock” (“</w:t>
      </w:r>
      <w:r>
        <w:rPr>
          <w:rFonts w:ascii="Arial" w:cs="Arial" w:eastAsia="Arial" w:hAnsi="Arial"/>
          <w:sz w:val="18"/>
          <w:szCs w:val="18"/>
          <w:u w:val="single" w:color="auto"/>
          <w:color w:val="auto"/>
        </w:rPr>
        <w:t>Series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15,000,000 shares of Preferred Stock, $0.001 par value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 of which 45,833.36 are designated as Series A Preferred Stock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w:t>
      </w:r>
    </w:p>
    <w:p>
      <w:pPr>
        <w:spacing w:after="0" w:line="143"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4.2 Effective upon the filing of this Certificate of Incorporation (the “</w:t>
      </w:r>
      <w:r>
        <w:rPr>
          <w:rFonts w:ascii="Arial" w:cs="Arial" w:eastAsia="Arial" w:hAnsi="Arial"/>
          <w:sz w:val="16"/>
          <w:szCs w:val="16"/>
          <w:u w:val="single" w:color="auto"/>
          <w:color w:val="auto"/>
        </w:rPr>
        <w:t>Effective Time</w:t>
      </w:r>
      <w:r>
        <w:rPr>
          <w:rFonts w:ascii="Arial" w:cs="Arial" w:eastAsia="Arial" w:hAnsi="Arial"/>
          <w:sz w:val="16"/>
          <w:szCs w:val="16"/>
          <w:color w:val="auto"/>
        </w:rPr>
        <w:t>”), each issued and outstanding share of Series A Common Stock shall automatically and without any further action on the part of the holder thereof be converted into two shares of Series A Common Stock and each issued and outstanding share of Series B Common Stock shall automatically and without any further action on the part of the holder thereof be converted into two shares of Series B Common Stock (collectively, the “</w:t>
      </w:r>
      <w:r>
        <w:rPr>
          <w:rFonts w:ascii="Arial" w:cs="Arial" w:eastAsia="Arial" w:hAnsi="Arial"/>
          <w:sz w:val="16"/>
          <w:szCs w:val="16"/>
          <w:u w:val="single" w:color="auto"/>
          <w:color w:val="auto"/>
        </w:rPr>
        <w:t>Stock Split</w:t>
      </w:r>
      <w:r>
        <w:rPr>
          <w:rFonts w:ascii="Arial" w:cs="Arial" w:eastAsia="Arial" w:hAnsi="Arial"/>
          <w:sz w:val="16"/>
          <w:szCs w:val="16"/>
          <w:color w:val="auto"/>
        </w:rPr>
        <w:t>”). The number of authorized shares, and the par value of the Common Stock shall not be affected by the Stock Split. Each holder of certificates of Series A Common Stock or Series B Common Stock (“</w:t>
      </w:r>
      <w:r>
        <w:rPr>
          <w:rFonts w:ascii="Arial" w:cs="Arial" w:eastAsia="Arial" w:hAnsi="Arial"/>
          <w:sz w:val="16"/>
          <w:szCs w:val="16"/>
          <w:u w:val="single" w:color="auto"/>
          <w:color w:val="auto"/>
        </w:rPr>
        <w:t>Old Certificates</w:t>
      </w:r>
      <w:r>
        <w:rPr>
          <w:rFonts w:ascii="Arial" w:cs="Arial" w:eastAsia="Arial" w:hAnsi="Arial"/>
          <w:sz w:val="16"/>
          <w:szCs w:val="16"/>
          <w:color w:val="auto"/>
        </w:rPr>
        <w:t>”) shall be entitled to receive, upon surrender of such Old Certificates to the Corporation for cancellation, certificates for shares of Common Stock, which will equal the number of shares represented by the Old Certificates being surrendered multiplied by two and rounded up to the nearest whole number. No script or fractional share certificate shall be issued in connection with the Stock Split. Old Certificates will be deemed for all purposes to represent the number of shares of Common Stock outstanding after giving effect to the Stock Split, except that the holder of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unexchanged certificates shall not be entitled to receive any distributions payable by the Corporation after the Effective Date until the Old Certificates have been surrendered. Such distribution, if any, shall be accumulated and, at the time of surrender of the Old Certificates, all such unpaid distributions shall be paid without interest.</w:t>
      </w:r>
    </w:p>
    <w:p>
      <w:pPr>
        <w:spacing w:after="0" w:line="140" w:lineRule="exact"/>
        <w:rPr>
          <w:sz w:val="20"/>
          <w:szCs w:val="20"/>
          <w:color w:val="auto"/>
        </w:rPr>
      </w:pPr>
    </w:p>
    <w:p>
      <w:pPr>
        <w:ind w:left="1500" w:right="1860" w:hanging="579"/>
        <w:spacing w:after="0" w:line="344" w:lineRule="auto"/>
        <w:tabs>
          <w:tab w:leader="none" w:pos="110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 relative rights, preferences and limitations of the shares of each class are as follows: 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ind w:right="40" w:firstLine="1948"/>
        <w:spacing w:after="0" w:line="288" w:lineRule="auto"/>
        <w:tabs>
          <w:tab w:leader="none" w:pos="2179" w:val="left"/>
        </w:tabs>
        <w:numPr>
          <w:ilvl w:val="1"/>
          <w:numId w:val="48"/>
        </w:numPr>
        <w:rPr>
          <w:rFonts w:ascii="Arial" w:cs="Arial" w:eastAsia="Arial" w:hAnsi="Arial"/>
          <w:sz w:val="16"/>
          <w:szCs w:val="16"/>
          <w:color w:val="auto"/>
        </w:rPr>
      </w:pPr>
      <w:r>
        <w:rPr>
          <w:rFonts w:ascii="Arial" w:cs="Arial" w:eastAsia="Arial" w:hAnsi="Arial"/>
          <w:sz w:val="16"/>
          <w:szCs w:val="16"/>
          <w:color w:val="auto"/>
        </w:rPr>
        <w:t>Except as otherwise provided by law or by this Certificate of Incorporation and subject to the express terms of any series of shares of Preferred Stock, the holders of outstanding shares of Common Stock shall exclusively possess voting power for the election of Directors and for all other purposes, each holder of record of shares of Common Stock shall be entitled to one vote for each share of Common Stock standing in his or her name on the books of the Corporation. Except as otherwise provided by law or by this Certificate of Incorporation and subject to the express terms of any series of shares of Preferred Stock, the holders of shares of Common Stock shall be entitled, to the exclusion of the holders of shares of Preferred Stock of any and all series, to receive such dividends as from time to time may be declared by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the event of any liquidation, dissolution or winding up of the Corporation, whether voluntary or involuntary, subject to the rights, if any, of the holders of any outstanding series of Preferred Stock, the holders of shares of Common Stock shall be entitled to share ratably according to the number of shares of Common Stock held by them in all remaining assets of the Corporation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9" w:name="page50"/>
    <w:bookmarkEnd w:id="4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for distribution to its stockholders. Subject to the rights of the holders of any one or more series of Preferred Stock then outstanding, the number of authorized shares of any class or classes of stock may be increased or decreased (but not below the number of shares thereof then outstanding) by the affirmative vote of the holders of a majority of the stock of the Corporation entitled to vote, irrespective of the provisions of Section 242(b)(2) of the General Corporation Law or any corresponding provision hereinafter enacted.</w:t>
      </w:r>
    </w:p>
    <w:p>
      <w:pPr>
        <w:spacing w:after="0" w:line="143" w:lineRule="exact"/>
        <w:rPr>
          <w:sz w:val="20"/>
          <w:szCs w:val="20"/>
          <w:color w:val="auto"/>
        </w:rPr>
      </w:pPr>
    </w:p>
    <w:p>
      <w:pPr>
        <w:jc w:val="both"/>
        <w:ind w:right="160" w:firstLine="1948"/>
        <w:spacing w:after="0" w:line="259" w:lineRule="auto"/>
        <w:tabs>
          <w:tab w:leader="none" w:pos="21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Series B Common Stock shall have the additional rights, conversion features and other terms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Following the conversion of all shares of Series B Common Stock as provided in Section 2 of </w:t>
      </w:r>
      <w:r>
        <w:rPr>
          <w:rFonts w:ascii="Arial" w:cs="Arial" w:eastAsia="Arial" w:hAnsi="Arial"/>
          <w:sz w:val="18"/>
          <w:szCs w:val="18"/>
          <w:u w:val="single" w:color="auto"/>
          <w:color w:val="auto"/>
        </w:rPr>
        <w:t>Annex A</w:t>
      </w:r>
      <w:r>
        <w:rPr>
          <w:rFonts w:ascii="Arial" w:cs="Arial" w:eastAsia="Arial" w:hAnsi="Arial"/>
          <w:sz w:val="18"/>
          <w:szCs w:val="18"/>
          <w:color w:val="auto"/>
        </w:rPr>
        <w:t>, there shall only be one class of Common Stock and it shall be referred to as Common Stock.</w:t>
      </w:r>
    </w:p>
    <w:p>
      <w:pPr>
        <w:spacing w:after="0" w:line="140"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50" w:name="page51"/>
    <w:bookmarkEnd w:id="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special rights of each series of Preferred Stock, and the qualifications, limitations or restrictions thereof, if any, may differ from those of any and all other series at any time outstanding. Each series of shares of Preferred Stock: (a) may have such voting rights or powers, full or limited, if any; (b) may be subject to redemption at such time or times and at such prices, if any; (c) may be entitled to receive dividends (which may be cumulative or non-cumulative) at such rate or rates, on such conditions and at such times, and payable in preference to, or in such relation to, the dividends payable on any other class or classes or series of stock, if any; (d) may have such rights upon the voluntary or involuntary liquidation, winding up or dissolution of, upon any distribution of the assets of, or in the event of any merger, sale or consolidation of, the Corporation, if any; (e)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(f) may be entitled to the benefit of a sinking fund to be applied to the purchase or redemption of shares of such series in such amount or amounts, if any; (g)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(h) may be subject to restrictions on transfer or registration of transfer, or on the amount of shares that may be owned by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51" w:name="page52"/>
    <w:bookmarkEnd w:id="51"/>
    <w:p>
      <w:pPr>
        <w:jc w:val="both"/>
        <w:ind w:right="4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person or group of persons; and (i)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62"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xml:space="preserve">. The designation, relative rights, preferences and limitations of the Series A Preferred Stock shall be as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attached hereto. Upon the retirement, repurchase, redemption or other acquisition of shares of Series A Preferred Stock by the Corporation, such shares shall be deemed to be unissued and undesignated shares of Preferred Stock and may be reissued by the Corporation as shares of any series of Preferred Stock</w:t>
      </w:r>
    </w:p>
    <w:p>
      <w:pPr>
        <w:spacing w:after="0" w:line="224" w:lineRule="exact"/>
        <w:rPr>
          <w:sz w:val="20"/>
          <w:szCs w:val="20"/>
          <w:color w:val="auto"/>
        </w:rPr>
      </w:pPr>
    </w:p>
    <w:p>
      <w:pPr>
        <w:ind w:left="1100" w:hanging="179"/>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90" w:lineRule="exact"/>
        <w:rPr>
          <w:sz w:val="20"/>
          <w:szCs w:val="20"/>
          <w:color w:val="auto"/>
        </w:rPr>
      </w:pPr>
    </w:p>
    <w:p>
      <w:pPr>
        <w:ind w:right="80" w:firstLine="1484"/>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The business and affairs of the Corporation shall be managed by, or under the direction of, the Board. Unless and except to the extent that the Amended and Restated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require, the election of the Directors of the Corporation need not be by written ballot. Except as otherwise provided for or fixed pursuant to the provisions of Section 5 of this Certificate of Incorporation relating to the rights of the holders of any series of Preferred Stock to elect additional Directors, the total number of Directors constituting the entire Board shall be not less than 6 nor more than 12, with the then authorized number of Directors being fixed from time to time by the Board.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52" w:name="page53"/>
    <w:bookmarkEnd w:id="52"/>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any period when the holders of any series of Preferred Stock have the right to elect additional Directors as provided for or fixed pursuant to the provisions of Section 5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and authorized number of Directors of the Corporation shall be reduced accordingly.</w:t>
      </w:r>
    </w:p>
    <w:p>
      <w:pPr>
        <w:spacing w:after="0" w:line="123" w:lineRule="exact"/>
        <w:rPr>
          <w:sz w:val="20"/>
          <w:szCs w:val="20"/>
          <w:color w:val="auto"/>
        </w:rPr>
      </w:pPr>
    </w:p>
    <w:p>
      <w:pPr>
        <w:ind w:right="280" w:firstLine="1484"/>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Staggered Board</w:t>
      </w:r>
      <w:r>
        <w:rPr>
          <w:rFonts w:ascii="Arial" w:cs="Arial" w:eastAsia="Arial" w:hAnsi="Arial"/>
          <w:sz w:val="18"/>
          <w:szCs w:val="18"/>
          <w:color w:val="auto"/>
        </w:rPr>
        <w:t>. The Board (other than those Directors elected by the holders of any series of Preferred Stock provided for or fixed pursuant to the provisions of Section 5 hereof (the “</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shall be divided into three classes, as nearly equal in number as possible, designated as Class I,</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53" w:name="page54"/>
    <w:bookmarkEnd w:id="5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II and Class III. Class I Directors shall initially serve until the 2007 annual meeting of stockholders; Class II Directors shall initially serve until the 2008 annual meeting of stockholders; and Class III Directors shall initially serve until the 2009 annual meeting of stockholders. Commencing with the annual meeting of stockholders in 2007, Directors of each class the term of which shall then expire shall be elected to hold office for a three-year term and until the election and qualification of their respective successors in office. In case of any increase or decrease, from time to time, in the number of Directors (other than Preferred Stock Directors), the number of Directors in each class shall be apportioned as nearly equally as possible.</w:t>
      </w:r>
    </w:p>
    <w:p>
      <w:pPr>
        <w:spacing w:after="0" w:line="116"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Vacancies and Newly Created Directorships</w:t>
      </w:r>
      <w:r>
        <w:rPr>
          <w:rFonts w:ascii="Arial" w:cs="Arial" w:eastAsia="Arial" w:hAnsi="Arial"/>
          <w:sz w:val="16"/>
          <w:szCs w:val="16"/>
          <w:color w:val="auto"/>
        </w:rPr>
        <w:t>. Subject to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be filled solely by the affirmative vote of a majority of the remaining Directors then in office, even if less than a quorum of the Board. Any Director so chosen shall hold office until the expiration of the term of office of the Director whom he or she has replaced and until his or her successor shall be duly elected and qualified or until such Director’s earlier death, disqualification, resignation or removal. No decrease in the number of Directors shall shorten the term of any incumbent Director.</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Except for such additional Directors, if any, as are elected by the holders of any series of Preferred Stock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provided for or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54" w:name="page55"/>
    <w:bookmarkEnd w:id="54"/>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fixed pursuant to the provisions of Section 5 hereof, any Director, or the entire Board, may be removed from office at any time, but only for cause and only by the affirmative vote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voting power of the outstanding shares of capital stock of the Corporation entitled to vote generally in the election of Directors, voting together as a single class.</w:t>
      </w:r>
    </w:p>
    <w:p>
      <w:pPr>
        <w:spacing w:after="0" w:line="157" w:lineRule="exact"/>
        <w:rPr>
          <w:sz w:val="20"/>
          <w:szCs w:val="20"/>
          <w:color w:val="auto"/>
        </w:rPr>
      </w:pPr>
    </w:p>
    <w:p>
      <w:pPr>
        <w:ind w:right="60" w:firstLine="921"/>
        <w:spacing w:after="0" w:line="290" w:lineRule="auto"/>
        <w:tabs>
          <w:tab w:leader="none" w:pos="108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To the fullest extent permitted under the General Corporation Law, as amended from time to time, no Director of the Corporation shall be personally liable to the Corporation or its stockholders for monetary damages for breach of fiduciary duty as a Director, provided that this provision shall not eliminate or limit the liability of a Director (a) for any breach of the Director’s duty of loyalty to the Corporation or its stockholders, (b) for acts or omissions not in good faith or which involve intentional misconduct or a knowing violation of law, (c) under Section 174 of the General Corporation Law or (d) for any transaction from which the Director derived any improper personal benefits. If the General Corporation Law is hereafter amended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1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Any amendment, repeal or modification of the foregoing provision shall not adversely affect any right or protection of a Director of the Corporation hereunder in respect of any act or omission occurring prior to the time of such amendment, repeal or modification.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55" w:name="page56"/>
    <w:bookmarkEnd w:id="55"/>
    <w:p>
      <w:pPr>
        <w:ind w:left="1100" w:hanging="179"/>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 “</w:t>
      </w:r>
      <w:r>
        <w:rPr>
          <w:rFonts w:ascii="Arial" w:cs="Arial" w:eastAsia="Arial" w:hAnsi="Arial"/>
          <w:sz w:val="16"/>
          <w:szCs w:val="16"/>
          <w:u w:val="single" w:color="auto"/>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w:t>
      </w:r>
      <w:r>
        <w:rPr>
          <w:rFonts w:ascii="Arial" w:cs="Arial" w:eastAsia="Arial" w:hAnsi="Arial"/>
          <w:sz w:val="16"/>
          <w:szCs w:val="16"/>
          <w:u w:val="single" w:color="auto"/>
          <w:color w:val="auto"/>
        </w:rPr>
        <w:t>Other Entity</w:t>
      </w:r>
      <w:r>
        <w:rPr>
          <w:rFonts w:ascii="Arial" w:cs="Arial" w:eastAsia="Arial" w:hAnsi="Arial"/>
          <w:sz w:val="16"/>
          <w:szCs w:val="16"/>
          <w:color w:val="auto"/>
        </w:rPr>
        <w:t>”), including service with respect to employee benefit plans, against all liability and loss suffered and expenses (including attorneys’ fees) reasonably incurred by such Covered Person. Notwithstanding the preceding sentence, except as otherwise provided in Section 8.3,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20" w:lineRule="exact"/>
        <w:rPr>
          <w:sz w:val="20"/>
          <w:szCs w:val="20"/>
          <w:color w:val="auto"/>
        </w:rPr>
      </w:pPr>
    </w:p>
    <w:p>
      <w:pPr>
        <w:jc w:val="both"/>
        <w:ind w:right="120" w:firstLine="1484"/>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Prepayment of Expenses</w:t>
      </w:r>
      <w:r>
        <w:rPr>
          <w:rFonts w:ascii="Arial" w:cs="Arial" w:eastAsia="Arial" w:hAnsi="Arial"/>
          <w:sz w:val="18"/>
          <w:szCs w:val="18"/>
          <w:color w:val="auto"/>
        </w:rPr>
        <w:t xml:space="preserve">. The Corporation shall pay the expenses (including attorneys’ fees) incurred by a Covered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applicable law, such payment of expenses in advance of the final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6" w:name="page57"/>
    <w:bookmarkEnd w:id="5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of the Proceeding shall be made only upon receipt of an undertaking by the Covered Person to repay all amounts advanced if it should be ultimately determined that the Covered Person is not entitled to be indemnified under this Section 8 or otherwise.</w:t>
      </w:r>
    </w:p>
    <w:p>
      <w:pPr>
        <w:spacing w:after="0" w:line="132" w:lineRule="exact"/>
        <w:rPr>
          <w:sz w:val="20"/>
          <w:szCs w:val="20"/>
          <w:color w:val="auto"/>
        </w:rPr>
      </w:pPr>
    </w:p>
    <w:p>
      <w:pPr>
        <w:ind w:right="140" w:firstLine="1484"/>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or advancement of expenses under this Section 8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13"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Section 8 shall not be exclusive of any other rights that such Covered Person may have or hereafter acquire under any statute, provision of this Certificate of Incorporation, the By-laws, agreement, vote of stockholders or disinterested Directors or otherwise.</w:t>
      </w:r>
    </w:p>
    <w:p>
      <w:pPr>
        <w:spacing w:after="0" w:line="140"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57" w:name="page58"/>
    <w:bookmarkEnd w:id="57"/>
    <w:p>
      <w:pPr>
        <w:ind w:right="10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8.6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Section 8 shall not adversely affect any right or protection hereunder of any Covered Person in respect of any act or omission occurring prior to the time of such repeal or modification.</w:t>
      </w:r>
    </w:p>
    <w:p>
      <w:pPr>
        <w:spacing w:after="0" w:line="85"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Other Indemnification and Prepayment of Expenses</w:t>
      </w:r>
      <w:r>
        <w:rPr>
          <w:rFonts w:ascii="Arial" w:cs="Arial" w:eastAsia="Arial" w:hAnsi="Arial"/>
          <w:sz w:val="18"/>
          <w:szCs w:val="18"/>
          <w:color w:val="auto"/>
        </w:rPr>
        <w:t>. This Section 8 shall not limit the right of the Corporation, to the extent and in the manner permitted by applicable law, to indemnify and to advance expenses to persons other than Covered Persons when and as authorized by appropriate corporate action.</w:t>
      </w:r>
    </w:p>
    <w:p>
      <w:pPr>
        <w:spacing w:after="0" w:line="140" w:lineRule="exact"/>
        <w:rPr>
          <w:sz w:val="20"/>
          <w:szCs w:val="20"/>
          <w:color w:val="auto"/>
        </w:rPr>
      </w:pPr>
    </w:p>
    <w:p>
      <w:pPr>
        <w:ind w:firstLine="921"/>
        <w:spacing w:after="0" w:line="261" w:lineRule="auto"/>
        <w:tabs>
          <w:tab w:leader="none" w:pos="108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Adoption, Amendment and/or Repeal of By-Laws</w:t>
      </w:r>
      <w:r>
        <w:rPr>
          <w:rFonts w:ascii="Arial" w:cs="Arial" w:eastAsia="Arial" w:hAnsi="Arial"/>
          <w:sz w:val="17"/>
          <w:szCs w:val="17"/>
          <w:color w:val="auto"/>
        </w:rPr>
        <w:t xml:space="preserve">. In furtherance and not in limitation of the powers conferred by the laws of the State of Delaware, the Board is expressly authorized to make, alter and repeal the By-laws, subject to the power of the Stockholders of the Corporation to alter or repeal any By-laws whether adopted by them or otherwise.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of any particular class of stock of the Corporation required by applicable law or this Certificate of Incorporation, the affirmative vote of the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the shares of the then outstanding voting stock of the Corporation, voting together as a single class, shall be required to adopt new By-laws or to alter, amend or repeal the By-laws.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280" w:right="419" w:bottom="1440" w:gutter="0" w:footer="0" w:header="0"/>
        </w:sectPr>
      </w:pPr>
    </w:p>
    <w:bookmarkStart w:id="58" w:name="page59"/>
    <w:bookmarkEnd w:id="58"/>
    <w:p>
      <w:pPr>
        <w:ind w:left="-40" w:right="20" w:firstLine="921"/>
        <w:spacing w:after="0" w:line="280" w:lineRule="auto"/>
        <w:tabs>
          <w:tab w:leader="none" w:pos="113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Amendments</w:t>
      </w:r>
      <w:r>
        <w:rPr>
          <w:rFonts w:ascii="Arial" w:cs="Arial" w:eastAsia="Arial" w:hAnsi="Arial"/>
          <w:sz w:val="16"/>
          <w:szCs w:val="16"/>
          <w:color w:val="auto"/>
        </w:rPr>
        <w:t xml:space="preserve">. The Corporation reserves the right at any time, and from time to time, to amend, alter, change or repeal any provision contained in this Certificate of Incorporation. In addition, other provisions authorized by the laws of the State of Delaware at the time in force may be added or inserted, in the manner now or hereafter prescribed by applicable law. All rights, preferences and privileges of whatsoever nature conferred upon stockholders, Directors or any other persons whomsoever by and pursuant to this Certificate of Incorporation in its present form or as hereafter amended are granted and held subject to the rights the Corporation has reserved in this Section 10.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of any particular class of stock of the Corporation required by applicable law or this Certificate of Incorporation, the affirmative vote of the holders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voting power of the shares of the then outstanding voting stock of the Corporation, voting together as a single class, shall be required to amend or repeal, or adopt any provisions inconsistent with Sections 6, 9, 10, 11 or 12 of this Certificate of Incorporation.</w:t>
      </w:r>
    </w:p>
    <w:p>
      <w:pPr>
        <w:spacing w:after="0" w:line="121" w:lineRule="exact"/>
        <w:rPr>
          <w:rFonts w:ascii="Arial" w:cs="Arial" w:eastAsia="Arial" w:hAnsi="Arial"/>
          <w:sz w:val="16"/>
          <w:szCs w:val="16"/>
          <w:color w:val="auto"/>
        </w:rPr>
      </w:pPr>
    </w:p>
    <w:p>
      <w:pPr>
        <w:ind w:left="-40" w:firstLine="921"/>
        <w:spacing w:after="0" w:line="332" w:lineRule="auto"/>
        <w:tabs>
          <w:tab w:leader="none" w:pos="113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Written Consent Prohibition</w:t>
      </w:r>
      <w:r>
        <w:rPr>
          <w:rFonts w:ascii="Arial" w:cs="Arial" w:eastAsia="Arial" w:hAnsi="Arial"/>
          <w:sz w:val="16"/>
          <w:szCs w:val="16"/>
          <w:color w:val="auto"/>
        </w:rPr>
        <w:t>. Except as otherwise provided for or fixed pursuant to the provisions of Section 5 of this Certificate of Incorporation relating to the rights of holders of any series of Preferred Stock, no action that is required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80" w:right="27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permitted to be taken by the stockholders of the Corporation at any annual or special meeting of stockholders may be effected by written consent of stockholders in lieu of a meeting of stockholders, unless the action to be effected by written consent of stockholders and the taking of such action by such written consent have expressly been approved in advance by the Board.</w:t>
      </w:r>
    </w:p>
    <w:p>
      <w:pPr>
        <w:spacing w:after="0" w:line="140" w:lineRule="exact"/>
        <w:rPr>
          <w:sz w:val="20"/>
          <w:szCs w:val="20"/>
          <w:color w:val="auto"/>
        </w:rPr>
      </w:pPr>
    </w:p>
    <w:p>
      <w:pPr>
        <w:ind w:right="80" w:firstLine="921"/>
        <w:spacing w:after="0" w:line="259" w:lineRule="auto"/>
        <w:tabs>
          <w:tab w:leader="none" w:pos="117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Special Meetings of the Corporation’s Stockholders</w:t>
      </w:r>
      <w:r>
        <w:rPr>
          <w:rFonts w:ascii="Arial" w:cs="Arial" w:eastAsia="Arial" w:hAnsi="Arial"/>
          <w:sz w:val="18"/>
          <w:szCs w:val="18"/>
          <w:color w:val="auto"/>
        </w:rPr>
        <w:t>. Unless otherwise provided by applicable law and subject to the express terms of any series of shares of Preferred Stock, a special meeting of the Corporation’s stockholders may be called only by (a) the Corporation’s Chairman of the Board or (b) a majority of the members of the Board, and may not be called by any other person or persons.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WITNESS the signature of this Amended and Restated Certificate of Incorporation this 24th day of October, 2006.</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Talwar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Vikram Talwar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Vice Chairman</w:t>
            </w:r>
          </w:p>
        </w:tc>
      </w:tr>
    </w:tbl>
    <w:p>
      <w:pPr>
        <w:sectPr>
          <w:pgSz w:w="11900" w:h="16838" w:orient="portrait"/>
          <w:cols w:equalWidth="0" w:num="1">
            <w:col w:w="10500"/>
          </w:cols>
          <w:pgMar w:left="1160" w:top="2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COMMON STOCK</w:t>
      </w:r>
    </w:p>
    <w:p>
      <w:pPr>
        <w:spacing w:after="0" w:line="177" w:lineRule="exact"/>
        <w:rPr>
          <w:sz w:val="20"/>
          <w:szCs w:val="20"/>
          <w:color w:val="auto"/>
        </w:rPr>
      </w:pPr>
    </w:p>
    <w:p>
      <w:pPr>
        <w:ind w:left="-40" w:right="240" w:firstLine="921"/>
        <w:spacing w:after="0" w:line="268" w:lineRule="auto"/>
        <w:tabs>
          <w:tab w:leader="none" w:pos="104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B Common Stock (the “</w:t>
      </w:r>
      <w:r>
        <w:rPr>
          <w:rFonts w:ascii="Arial" w:cs="Arial" w:eastAsia="Arial" w:hAnsi="Arial"/>
          <w:sz w:val="18"/>
          <w:szCs w:val="18"/>
          <w:u w:val="single" w:color="auto"/>
          <w:color w:val="auto"/>
        </w:rPr>
        <w:t>Series B Common Holders</w:t>
      </w:r>
      <w:r>
        <w:rPr>
          <w:rFonts w:ascii="Arial" w:cs="Arial" w:eastAsia="Arial" w:hAnsi="Arial"/>
          <w:sz w:val="18"/>
          <w:szCs w:val="18"/>
          <w:color w:val="auto"/>
        </w:rPr>
        <w:t>”) shall not be entitled or permitted to vote on any matter required or permitted to be voted on by the stockholders of the Corporation.</w:t>
      </w:r>
    </w:p>
    <w:p>
      <w:pPr>
        <w:spacing w:after="0" w:line="212" w:lineRule="exact"/>
        <w:rPr>
          <w:rFonts w:ascii="Arial" w:cs="Arial" w:eastAsia="Arial" w:hAnsi="Arial"/>
          <w:sz w:val="18"/>
          <w:szCs w:val="18"/>
          <w:color w:val="auto"/>
        </w:rPr>
      </w:pPr>
    </w:p>
    <w:p>
      <w:pPr>
        <w:ind w:left="1060" w:hanging="179"/>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Conversion of Series B Common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80" w:firstLine="1948"/>
        <w:spacing w:after="0" w:line="256" w:lineRule="auto"/>
        <w:tabs>
          <w:tab w:leader="none" w:pos="2139" w:val="left"/>
        </w:tabs>
        <w:numPr>
          <w:ilvl w:val="1"/>
          <w:numId w:val="56"/>
        </w:numPr>
        <w:rPr>
          <w:rFonts w:ascii="Arial" w:cs="Arial" w:eastAsia="Arial" w:hAnsi="Arial"/>
          <w:sz w:val="18"/>
          <w:szCs w:val="18"/>
          <w:color w:val="auto"/>
        </w:rPr>
      </w:pPr>
      <w:r>
        <w:rPr>
          <w:rFonts w:ascii="Arial" w:cs="Arial" w:eastAsia="Arial" w:hAnsi="Arial"/>
          <w:sz w:val="18"/>
          <w:szCs w:val="18"/>
          <w:color w:val="auto"/>
        </w:rPr>
        <w:t>Immediately prior to the occurrence of a Conversion Event (as hereinafter defined), all of the outstanding shares of Series B Common Stock shall be converted, with no further action required by the Company and/or the holders of Series B Common Stock, into shares of Series A Common Stock at the Conversion Rate. The “Conversion Rate” shall initially be one (1) and may change, from time to time, in accordance with this Section 2 of this Annex A.</w:t>
      </w:r>
    </w:p>
    <w:p>
      <w:pPr>
        <w:spacing w:after="0" w:line="143" w:lineRule="exact"/>
        <w:rPr>
          <w:rFonts w:ascii="Arial" w:cs="Arial" w:eastAsia="Arial" w:hAnsi="Arial"/>
          <w:sz w:val="18"/>
          <w:szCs w:val="18"/>
          <w:color w:val="auto"/>
        </w:rPr>
      </w:pPr>
    </w:p>
    <w:p>
      <w:pPr>
        <w:ind w:left="-40" w:firstLine="1948"/>
        <w:spacing w:after="0" w:line="291" w:lineRule="auto"/>
        <w:tabs>
          <w:tab w:leader="none" w:pos="2149" w:val="left"/>
        </w:tabs>
        <w:numPr>
          <w:ilvl w:val="1"/>
          <w:numId w:val="56"/>
        </w:numPr>
        <w:rPr>
          <w:rFonts w:ascii="Arial" w:cs="Arial" w:eastAsia="Arial" w:hAnsi="Arial"/>
          <w:sz w:val="16"/>
          <w:szCs w:val="16"/>
          <w:color w:val="auto"/>
        </w:rPr>
      </w:pPr>
      <w:r>
        <w:rPr>
          <w:rFonts w:ascii="Arial" w:cs="Arial" w:eastAsia="Arial" w:hAnsi="Arial"/>
          <w:sz w:val="16"/>
          <w:szCs w:val="16"/>
          <w:color w:val="auto"/>
        </w:rPr>
        <w:t>Immediately prior to the occurrence of any Conversion Event, each Series B Common Holder shall surrender all certificates representing all of the Series B Common Stock held by such Series B Common Holder at the principal office of the Corporation (or such other office or agency of the Corporation as the Corporation may designate by notice in writing to the Series B Common Holders) at any time during normal business hours. Such conversion shall be deemed to have been effected as of the close of business on the date of the Conversion Event, and at such time, the rights of the Series B Common Holders shall cease and the person or persons in whose name or names the certificate or certificates for shares of Series A Common Stock are to be issued upon such conversion shall be deemed to have become holders of the Series A Common Stock represented thereby.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74" w:right="259" w:bottom="1440" w:gutter="0" w:footer="0" w:header="0"/>
        </w:sectPr>
      </w:pPr>
    </w:p>
    <w:bookmarkStart w:id="62" w:name="page63"/>
    <w:bookmarkEnd w:id="62"/>
    <w:p>
      <w:pPr>
        <w:ind w:left="-40" w:right="40" w:firstLine="1948"/>
        <w:spacing w:after="0" w:line="268" w:lineRule="auto"/>
        <w:tabs>
          <w:tab w:leader="none" w:pos="2139"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after such surrender, the Corporation shall issue and deliver in accordance with the surrendering holder’s instructions the certificate or certificates for the Series A Common Stock issuable upon such conversion.</w:t>
      </w:r>
    </w:p>
    <w:p>
      <w:pPr>
        <w:spacing w:after="0" w:line="131" w:lineRule="exact"/>
        <w:rPr>
          <w:rFonts w:ascii="Arial" w:cs="Arial" w:eastAsia="Arial" w:hAnsi="Arial"/>
          <w:sz w:val="18"/>
          <w:szCs w:val="18"/>
          <w:color w:val="auto"/>
        </w:rPr>
      </w:pPr>
    </w:p>
    <w:p>
      <w:pPr>
        <w:ind w:left="-40" w:firstLine="1948"/>
        <w:spacing w:after="0" w:line="309" w:lineRule="auto"/>
        <w:tabs>
          <w:tab w:leader="none" w:pos="2149"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 the case of, and as a condition to, any capital reorganization of, or any reclassification, subdivision or combination of shares of Series A Common Stock or Series B Common Stock into a greater or lesser number of shares (whether with or without par value) or a change in the par value of Series A Common Stock or Series B Common Stock (or from par value to no par value, or from no par value to par value) or in the case of, and as a condition to, the consolidation or merger of the Corporation with or into another corporation (other than a merger in which the Corporation is the continuing corporation and which does not result in any reclassification of outstanding shares of Series A Common Stock or Series B Common Stock), the Conversion Rate shall be adjusted so that each share of Series B Common Stock shall be convertible, in accordance with the provisions of this Section 2 of this Annex A, into the number of shares of stock or other securities or property receivable upon such reorganization, reclassification, consolidation or merger by a holder of the number of shares of Series A Common Stock into which such share of Series B Common Stock was convertible immediately prior to such reorganization, reclassification, consolidation or merger; and, in any such case, appropriate adjustment shall be made in the application of the provisions set forth in this Section 2 of this Annex A with respect to</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80" w:right="259" w:bottom="1440" w:gutter="0" w:footer="0" w:header="0"/>
        </w:sectPr>
      </w:pPr>
    </w:p>
    <w:bookmarkStart w:id="63" w:name="page64"/>
    <w:bookmarkEnd w:id="6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and interests thereafter of the Series B Common Stock to the end that the provisions set forth in this Section 2 of this Annex A (including provisions with respect to the Conversion Rate and the restrictions set forth in subparagraph (a)) shall thereafter be applicable, as nearly as they reasonably may be, in relation to any shares of stock or other securities or property thereafter deliverable upon the conversion of the shares of Series B Common Stock. No adjustment under this Section 2(d) of this Annex A shall be made in respect of the Stock Split.</w:t>
      </w:r>
    </w:p>
    <w:p>
      <w:pPr>
        <w:spacing w:after="0" w:line="14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(e) Shares of Series B Common Stock which are converted into shares of Series A Common Stock as provided herein shall not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reissued.</w:t>
      </w:r>
    </w:p>
    <w:p>
      <w:pPr>
        <w:spacing w:after="0" w:line="165" w:lineRule="exact"/>
        <w:rPr>
          <w:sz w:val="20"/>
          <w:szCs w:val="20"/>
          <w:color w:val="auto"/>
        </w:rPr>
      </w:pPr>
    </w:p>
    <w:p>
      <w:pPr>
        <w:ind w:firstLine="1948"/>
        <w:spacing w:after="0" w:line="306" w:lineRule="auto"/>
        <w:tabs>
          <w:tab w:leader="none" w:pos="215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Corporation shall at all times reserve and keep available out of its authorized but unissued shares of Series A Common Stock or its treasury shares solely for the purpose of issue upon the conversion of the Series B Common Stock as provided in this Section 2 of this Annex A, such number of shares of Series A Common Stock as shall then be issuable upon the conversion of all then outstanding shares of Series B Common Stock.</w:t>
      </w:r>
    </w:p>
    <w:p>
      <w:pPr>
        <w:spacing w:after="0" w:line="106" w:lineRule="exact"/>
        <w:rPr>
          <w:rFonts w:ascii="Arial" w:cs="Arial" w:eastAsia="Arial" w:hAnsi="Arial"/>
          <w:sz w:val="16"/>
          <w:szCs w:val="16"/>
          <w:color w:val="auto"/>
        </w:rPr>
      </w:pPr>
    </w:p>
    <w:p>
      <w:pPr>
        <w:ind w:right="40" w:firstLine="1948"/>
        <w:spacing w:after="0" w:line="255" w:lineRule="auto"/>
        <w:tabs>
          <w:tab w:leader="none" w:pos="21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issuance of certificates for Series A Common Stock upon the conversion of Series B Common Stock shall be made without charge to the holders of such shares for any issuance tax in respect thereof or other cost incurred by the Corporation in connection with such conversion and the related issuance of Series A Common Stock. The Corporation shall not close its books against the transfer of Series B Common Stock or of Series A Common Stock issued or issuable upon the conversion of Series B Common Stock in any manner which would interfere with the timely conversion of Series B Common Stock.</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280" w:right="399" w:bottom="1440" w:gutter="0" w:footer="0" w:header="0"/>
        </w:sectPr>
      </w:pPr>
    </w:p>
    <w:bookmarkStart w:id="64" w:name="page65"/>
    <w:bookmarkEnd w:id="64"/>
    <w:p>
      <w:pPr>
        <w:ind w:left="-320" w:firstLine="1948"/>
        <w:spacing w:after="0" w:line="254" w:lineRule="auto"/>
        <w:tabs>
          <w:tab w:leader="none" w:pos="1869"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Section 2 of this Annex A, each of the following events shall constitute a Conversion Event: (i) the sale or other transfer or disposition of eighty percent or more of the issued and outstanding capital stock of the Corporation, or the sale, lease or other transfer or disposition of all or substantially all of the assets of the Corporation, in either case whether (A) directly or indirectly, by merger, combination or other similar transaction or (B) in a single transaction or a series of related transactions; (ii) the consummation of a sale of the common stock of the Corporation in a public offering, registered under the Securities Act of 1933; and (iii) any of the Series B Common Stock being held by any person free and clear of any vesting requirements.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80"/>
          </w:cols>
          <w:pgMar w:left="560" w:top="280" w:right="5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STOCK</w:t>
      </w:r>
    </w:p>
    <w:p>
      <w:pPr>
        <w:spacing w:after="0" w:line="177" w:lineRule="exact"/>
        <w:rPr>
          <w:sz w:val="20"/>
          <w:szCs w:val="20"/>
          <w:color w:val="auto"/>
        </w:rPr>
      </w:pPr>
    </w:p>
    <w:p>
      <w:pPr>
        <w:ind w:left="-40" w:right="200" w:firstLine="921"/>
        <w:spacing w:after="0" w:line="268" w:lineRule="auto"/>
        <w:tabs>
          <w:tab w:leader="none" w:pos="104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A Preferred Stock (the “</w:t>
      </w:r>
      <w:r>
        <w:rPr>
          <w:rFonts w:ascii="Arial" w:cs="Arial" w:eastAsia="Arial" w:hAnsi="Arial"/>
          <w:sz w:val="18"/>
          <w:szCs w:val="18"/>
          <w:u w:val="single" w:color="auto"/>
          <w:color w:val="auto"/>
        </w:rPr>
        <w:t>Series A Preferred Holders</w:t>
      </w:r>
      <w:r>
        <w:rPr>
          <w:rFonts w:ascii="Arial" w:cs="Arial" w:eastAsia="Arial" w:hAnsi="Arial"/>
          <w:sz w:val="18"/>
          <w:szCs w:val="18"/>
          <w:color w:val="auto"/>
        </w:rPr>
        <w:t>”) shall not be entitled or permitted to vote on any matter required or permitted to be voted on by the stockholders of the Corporation.</w:t>
      </w:r>
    </w:p>
    <w:p>
      <w:pPr>
        <w:spacing w:after="0" w:line="131" w:lineRule="exact"/>
        <w:rPr>
          <w:rFonts w:ascii="Arial" w:cs="Arial" w:eastAsia="Arial" w:hAnsi="Arial"/>
          <w:sz w:val="18"/>
          <w:szCs w:val="18"/>
          <w:color w:val="auto"/>
        </w:rPr>
      </w:pPr>
    </w:p>
    <w:p>
      <w:pPr>
        <w:ind w:left="-40" w:firstLine="921"/>
        <w:spacing w:after="0" w:line="290" w:lineRule="auto"/>
        <w:tabs>
          <w:tab w:leader="none" w:pos="104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Series A Preferred Holders shall be entitled to receive annual dividends, as and when declared by the Board out of funds legally available therefor, as set forth herein. As an annual dividend, each Series A Preferred Holder shall be entitled to 10% of the Liquidation Preference (as defined below) per share then held by them, as adjusted for any stock split, combination or similar recapitalization with respect to such share. Such annual dividends shall be payable, at the election of the Corporation, in cash or in the form of an additional Liquidation Preference. Such dividends shall accrue annually but shall be paid only upon redemption, liquidation, or as otherwise declared by the Board. Such dividends shall be cumulative and shall accrue on a day–to–day basis, whether or not earned, from and after the day immediately succeeding the date the Series A Preferred Stock is issued. Dividends payable for any partial dividend period shall be computed on the basis of actual days elapsed over a 365 day year.</w:t>
      </w:r>
    </w:p>
    <w:p>
      <w:pPr>
        <w:spacing w:after="0" w:line="199" w:lineRule="exact"/>
        <w:rPr>
          <w:rFonts w:ascii="Arial" w:cs="Arial" w:eastAsia="Arial" w:hAnsi="Arial"/>
          <w:sz w:val="16"/>
          <w:szCs w:val="16"/>
          <w:color w:val="auto"/>
        </w:rPr>
      </w:pPr>
    </w:p>
    <w:p>
      <w:pPr>
        <w:ind w:left="1060" w:hanging="179"/>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120" w:firstLine="1492"/>
        <w:spacing w:after="0" w:line="268" w:lineRule="auto"/>
        <w:tabs>
          <w:tab w:leader="none" w:pos="16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of liquidation, dissolution or winding up of the Corporation, either voluntary or involuntary, the Series A Preferred Holders shall be entitled to receive, prior and in preference to any distribution of any assets or surplus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74" w:right="279" w:bottom="1440" w:gutter="0" w:footer="0" w:header="0"/>
        </w:sectPr>
      </w:pPr>
    </w:p>
    <w:bookmarkStart w:id="66" w:name="page67"/>
    <w:bookmarkEnd w:id="66"/>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of the Corporation to the holders of shares of Common Stock (the “</w:t>
      </w:r>
      <w:r>
        <w:rPr>
          <w:rFonts w:ascii="Arial" w:cs="Arial" w:eastAsia="Arial" w:hAnsi="Arial"/>
          <w:sz w:val="15"/>
          <w:szCs w:val="15"/>
          <w:u w:val="single" w:color="auto"/>
          <w:color w:val="auto"/>
        </w:rPr>
        <w:t>Common Holders</w:t>
      </w:r>
      <w:r>
        <w:rPr>
          <w:rFonts w:ascii="Arial" w:cs="Arial" w:eastAsia="Arial" w:hAnsi="Arial"/>
          <w:sz w:val="15"/>
          <w:szCs w:val="15"/>
          <w:color w:val="auto"/>
        </w:rPr>
        <w:t>”) by reason of their ownership thereof, for each outstanding share of Series A Preferred Stock then held by them, an amount equal to: $100 per share of Series A Preferred Stock, plus any declared and unpaid dividends on such Series A Preferred Stock, as adjusted for any stock split, combination or similar recapitalization with respect to such shares, and as such amount is adjusted for any dividends payable as an additional Liquidation Preference, in accordance with Section 2 above (the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 If, upon the occurrence of such event, the assets and funds thus distributed among the holders of the Series A Preferred Stock shall be insufficient to permit the payment to such holders of the full amount of the applicable Liquidation Preference, then the entire assets and funds of the Corporation legally available for distribution shall be distributed ratably among the holders of the Series A Preferred Stock in proportion to the Liquidation Preference each such holder is otherwise entitled to receive.</w:t>
      </w:r>
    </w:p>
    <w:p>
      <w:pPr>
        <w:spacing w:after="0" w:line="105" w:lineRule="exact"/>
        <w:rPr>
          <w:sz w:val="20"/>
          <w:szCs w:val="20"/>
          <w:color w:val="auto"/>
        </w:rPr>
      </w:pPr>
    </w:p>
    <w:p>
      <w:pPr>
        <w:ind w:right="80" w:firstLine="1492"/>
        <w:spacing w:after="0" w:line="256" w:lineRule="auto"/>
        <w:tabs>
          <w:tab w:leader="none" w:pos="17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After the payment to the holders of Series A Preferred Stock of the full preferential amounts specified in Section 3(a) above, no further payments shall be made to the holders of Series A Preferred Stock by reason thereof and any remaining assets of the Corporation shall then be distributed with equal priority and pro rata among the holders of Common Stock, based on the number of shares of Common Stock held by each such holder relative to the total number of outstanding shares of Common Stock.</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280" w:right="359" w:bottom="1440" w:gutter="0" w:footer="0" w:header="0"/>
        </w:sectPr>
      </w:pPr>
    </w:p>
    <w:bookmarkStart w:id="67" w:name="page68"/>
    <w:bookmarkEnd w:id="67"/>
    <w:p>
      <w:pPr>
        <w:jc w:val="both"/>
        <w:ind w:left="-80" w:right="20" w:firstLine="1492"/>
        <w:spacing w:after="0" w:line="259" w:lineRule="auto"/>
        <w:tabs>
          <w:tab w:leader="none" w:pos="1642"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transaction that results in a change of voting control of the Corporation, including without limitation a reorganization, consolidation or merger of the Corporation with or into any other entity or person, or a sale, lease or conveyance of all or substantially all of the assets of the Corporation, shall be subject to the provisions of Section 5 of this Annex B.</w:t>
      </w:r>
    </w:p>
    <w:p>
      <w:pPr>
        <w:spacing w:after="0" w:line="140" w:lineRule="exact"/>
        <w:rPr>
          <w:rFonts w:ascii="Arial" w:cs="Arial" w:eastAsia="Arial" w:hAnsi="Arial"/>
          <w:sz w:val="18"/>
          <w:szCs w:val="18"/>
          <w:color w:val="auto"/>
        </w:rPr>
      </w:pPr>
    </w:p>
    <w:p>
      <w:pPr>
        <w:ind w:left="-80" w:right="200" w:firstLine="1492"/>
        <w:spacing w:after="0" w:line="268" w:lineRule="auto"/>
        <w:tabs>
          <w:tab w:leader="none" w:pos="16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purposes of this Section 3, a liquidation, dissolution or winding up of the Corporation shall be deemed to be occasioned by, and to include, the events set forth in Section 5(a) of this Annex B.</w:t>
      </w:r>
    </w:p>
    <w:p>
      <w:pPr>
        <w:spacing w:after="0" w:line="212" w:lineRule="exact"/>
        <w:rPr>
          <w:rFonts w:ascii="Arial" w:cs="Arial" w:eastAsia="Arial" w:hAnsi="Arial"/>
          <w:sz w:val="18"/>
          <w:szCs w:val="18"/>
          <w:color w:val="auto"/>
        </w:rPr>
      </w:pPr>
    </w:p>
    <w:p>
      <w:pPr>
        <w:ind w:left="1020" w:hanging="179"/>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60" w:hanging="248"/>
        <w:spacing w:after="0"/>
        <w:tabs>
          <w:tab w:leader="none" w:pos="16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By the Corporation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0" w:right="220" w:firstLine="1948"/>
        <w:spacing w:after="0" w:line="298" w:lineRule="auto"/>
        <w:tabs>
          <w:tab w:leader="none" w:pos="207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Corporation may, at its option, and at any time, redeem, at the applicable Redemption Price (as determined in Section 4(d) below), all (but not a portion) of the Series A Preferred Stock outstanding on the Corporation Redemption Date (as defined in Section 4(a)(ii) below). The Corporation shall give notice pursuant to this Section 4 to all of the holders of the then outstanding Series A Preferred Stock at the address of each such holder appearing on the books of the Corporation or given by such holder to the Corporation for the purpose of notice.</w:t>
      </w:r>
    </w:p>
    <w:p>
      <w:pPr>
        <w:spacing w:after="0" w:line="112" w:lineRule="exact"/>
        <w:rPr>
          <w:rFonts w:ascii="Arial" w:cs="Arial" w:eastAsia="Arial" w:hAnsi="Arial"/>
          <w:sz w:val="16"/>
          <w:szCs w:val="16"/>
          <w:color w:val="auto"/>
        </w:rPr>
      </w:pPr>
    </w:p>
    <w:p>
      <w:pPr>
        <w:ind w:left="-80" w:firstLine="1948"/>
        <w:spacing w:after="0" w:line="268" w:lineRule="auto"/>
        <w:tabs>
          <w:tab w:leader="none" w:pos="2118"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the Corporation elects to redeem Series A Preferred Stock in accordance with Section 4(a)(i), the Corporation shall mail a notice of redemption (the “</w:t>
      </w:r>
      <w:r>
        <w:rPr>
          <w:rFonts w:ascii="Arial" w:cs="Arial" w:eastAsia="Arial" w:hAnsi="Arial"/>
          <w:sz w:val="18"/>
          <w:szCs w:val="18"/>
          <w:u w:val="single" w:color="auto"/>
          <w:color w:val="auto"/>
        </w:rPr>
        <w:t>Corporation Redemption Notice</w:t>
      </w:r>
      <w:r>
        <w:rPr>
          <w:rFonts w:ascii="Arial" w:cs="Arial" w:eastAsia="Arial" w:hAnsi="Arial"/>
          <w:sz w:val="18"/>
          <w:szCs w:val="18"/>
          <w:color w:val="auto"/>
        </w:rPr>
        <w:t>”) to each Series A Preferred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320" w:top="280" w:right="299" w:bottom="1440" w:gutter="0" w:footer="0" w:header="0"/>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record, addressed to such Series A Preferred Holder at the address of such Series A Preferred Holder appearing on the books of the Corporation or given by the Series A Preferred Holder to the Corporation for the purpose of the notice, not earlier than sixty (60) nor later than twenty (20) days before the date fixed for a redemption pursuant to this Section 4(a) (the “</w:t>
      </w:r>
      <w:r>
        <w:rPr>
          <w:rFonts w:ascii="Arial" w:cs="Arial" w:eastAsia="Arial" w:hAnsi="Arial"/>
          <w:sz w:val="18"/>
          <w:szCs w:val="18"/>
          <w:u w:val="single" w:color="auto"/>
          <w:color w:val="auto"/>
        </w:rPr>
        <w:t>Corporation Redemption Date</w:t>
      </w:r>
      <w:r>
        <w:rPr>
          <w:rFonts w:ascii="Arial" w:cs="Arial" w:eastAsia="Arial" w:hAnsi="Arial"/>
          <w:sz w:val="18"/>
          <w:szCs w:val="18"/>
          <w:color w:val="auto"/>
        </w:rPr>
        <w:t>”). The notice of redemption shall include (i) the shares to be redeemed, (ii) the Corporation Redemption Date, (iii) the Redemption Price and (iv) the place at which the stockholders may obtain payment of the Redemption Price upon surrender of their share certificates.</w:t>
      </w:r>
    </w:p>
    <w:p>
      <w:pPr>
        <w:spacing w:after="0" w:line="143" w:lineRule="exact"/>
        <w:rPr>
          <w:sz w:val="20"/>
          <w:szCs w:val="20"/>
          <w:color w:val="auto"/>
        </w:rPr>
      </w:pPr>
    </w:p>
    <w:p>
      <w:pPr>
        <w:ind w:right="80" w:firstLine="1948"/>
        <w:spacing w:after="0" w:line="255" w:lineRule="auto"/>
        <w:tabs>
          <w:tab w:leader="none" w:pos="224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Cessation of Rights</w:t>
      </w:r>
      <w:r>
        <w:rPr>
          <w:rFonts w:ascii="Arial" w:cs="Arial" w:eastAsia="Arial" w:hAnsi="Arial"/>
          <w:sz w:val="18"/>
          <w:szCs w:val="18"/>
          <w:color w:val="auto"/>
        </w:rPr>
        <w:t>. If funds are available on the date fixed for a redemption of the Series A Preferred Stock, then whether or not the share certificates, representing shares which are to be redeemed, are surrendered for payment of the applicable redemption price, the shares which are redeemed shall no longer be outstanding and the holders thereof shall cease to be stockholders of the Corporation with respect to the shares redeemed on or after the date fixed for redemption and shall be entitled only to receive the applicable redemption price for such redeemed shares, without interest, upon surrender of the share certificates, representing the redeemed shares.</w:t>
      </w:r>
    </w:p>
    <w:p>
      <w:pPr>
        <w:spacing w:after="0" w:line="223" w:lineRule="exact"/>
        <w:rPr>
          <w:rFonts w:ascii="Arial" w:cs="Arial" w:eastAsia="Arial" w:hAnsi="Arial"/>
          <w:sz w:val="18"/>
          <w:szCs w:val="18"/>
          <w:color w:val="auto"/>
        </w:rPr>
      </w:pPr>
    </w:p>
    <w:p>
      <w:pPr>
        <w:ind w:left="1740" w:hanging="24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By the Holders of Series A Preferred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60" w:firstLine="1948"/>
        <w:spacing w:after="0" w:line="268" w:lineRule="auto"/>
        <w:tabs>
          <w:tab w:leader="none" w:pos="21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Upon the occurrence of a Mandatory Redemption Event (as defined in this Section 4(b)(i)), the holders of more than 50% of the outstanding shares of Series A Preferred Stock shall be entitled to require, at any time within one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69" w:name="page70"/>
    <w:bookmarkEnd w:id="6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hundred eighty (180) days of the Mandatory Redemption Event, the Corporation to redeem, at the applicable Redemption Price, all shares of the Series A Preferred Stock held by the Series A Preferred Holders and submitted for redemption on the Mandatory Redemption Date (as defined in Section 4(b)(ii) below). For the purposes of this paragraph, a “</w:t>
      </w:r>
      <w:r>
        <w:rPr>
          <w:rFonts w:ascii="Arial" w:cs="Arial" w:eastAsia="Arial" w:hAnsi="Arial"/>
          <w:sz w:val="16"/>
          <w:szCs w:val="16"/>
          <w:u w:val="single" w:color="auto"/>
          <w:color w:val="auto"/>
        </w:rPr>
        <w:t>Mandatory Redemption Event</w:t>
      </w:r>
      <w:r>
        <w:rPr>
          <w:rFonts w:ascii="Arial" w:cs="Arial" w:eastAsia="Arial" w:hAnsi="Arial"/>
          <w:sz w:val="16"/>
          <w:szCs w:val="16"/>
          <w:color w:val="auto"/>
        </w:rPr>
        <w:t>” shall be the occurrence of any of the following events: (A) any representation or warranty made by Conseco, Inc., an Indiana corporation (“</w:t>
      </w:r>
      <w:r>
        <w:rPr>
          <w:rFonts w:ascii="Arial" w:cs="Arial" w:eastAsia="Arial" w:hAnsi="Arial"/>
          <w:sz w:val="16"/>
          <w:szCs w:val="16"/>
          <w:u w:val="single" w:color="auto"/>
          <w:color w:val="auto"/>
        </w:rPr>
        <w:t>Conseco</w:t>
      </w:r>
      <w:r>
        <w:rPr>
          <w:rFonts w:ascii="Arial" w:cs="Arial" w:eastAsia="Arial" w:hAnsi="Arial"/>
          <w:sz w:val="16"/>
          <w:szCs w:val="16"/>
          <w:color w:val="auto"/>
        </w:rPr>
        <w:t>”), under the Stock Purchase Agreement by and among Oak Hill Capital Partners, L.P., a Delaware limited partnership (“</w:t>
      </w:r>
      <w:r>
        <w:rPr>
          <w:rFonts w:ascii="Arial" w:cs="Arial" w:eastAsia="Arial" w:hAnsi="Arial"/>
          <w:sz w:val="16"/>
          <w:szCs w:val="16"/>
          <w:u w:val="single" w:color="auto"/>
          <w:color w:val="auto"/>
        </w:rPr>
        <w:t>Oak Hill</w:t>
      </w:r>
      <w:r>
        <w:rPr>
          <w:rFonts w:ascii="Arial" w:cs="Arial" w:eastAsia="Arial" w:hAnsi="Arial"/>
          <w:sz w:val="16"/>
          <w:szCs w:val="16"/>
          <w:color w:val="auto"/>
        </w:rPr>
        <w:t>”), Financial Technology Ventures (Q), L.P., a Delaware limited partnership, and certain of its affiliates, Conseco, the Corporation and certain of the Corporation’s subsidiaries dated November 14, 2002 (the “</w:t>
      </w:r>
      <w:r>
        <w:rPr>
          <w:rFonts w:ascii="Arial" w:cs="Arial" w:eastAsia="Arial" w:hAnsi="Arial"/>
          <w:sz w:val="16"/>
          <w:szCs w:val="16"/>
          <w:u w:val="single" w:color="auto"/>
          <w:color w:val="auto"/>
        </w:rPr>
        <w:t>Stock Purchase Agreement</w:t>
      </w:r>
      <w:r>
        <w:rPr>
          <w:rFonts w:ascii="Arial" w:cs="Arial" w:eastAsia="Arial" w:hAnsi="Arial"/>
          <w:sz w:val="16"/>
          <w:szCs w:val="16"/>
          <w:color w:val="auto"/>
        </w:rPr>
        <w:t>”), is materially inaccurate or breached in any material respect (without regard to any materiality qualifications or limitations on the survival of the representations and warranties contained in the Stock Purchase Agreement); (B) a material adverse change, after the date hereof, in the condition, financial or otherwise, business, properties, assets, results of operations or prospects of the Corporation or its subsidiaries; (C) during the period between April 1, 2003 and December 31, 2003, the aggregate consolidated revenue of the subsidiaries of the Corporation for any three consecutive calendar months shall be twenty five percent (25%) below the anticipated revenue for such period, as reflected in the operating plan provided to Oak Hill on October 15, 2002 (the “Plan”); or (D) during the period between April 1, 2003 and December 31, 2003, the aggregate consolidated net cash flow, as such term is used in the Plan, for any three consecutive calendar months, is twenty five percent (25%) below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70" w:name="page71"/>
    <w:bookmarkEnd w:id="7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anticipated net cash flow for such period, as reflected in the Plan. If the funds of the Corporation legally available for redemption of shares of Series A Preferred Stock on any Mandatory Redemption Date are insufficient to redeem the total number of shares of Series A Preferred Stock submitted for redemption on such Mandatory Redemption Date, those funds which are legally available will be used to first redeem as many shares of Series A Preferred Stock as may be lawfully redeemed and that were submitted for redemption by holders thereof. At any time thereafter when additional funds of the Corporation are legally available for the redemption of shares of Series A Preferred Stock, such funds will immediately be used to redeem the balance of the shares which the Corporation has become obliged to redeem on any Mandatory Redemption Date (or such lesser maximum amount that shall be lawful at such time), but which it has not redeemed.</w:t>
      </w:r>
    </w:p>
    <w:p>
      <w:pPr>
        <w:spacing w:after="0" w:line="120" w:lineRule="exact"/>
        <w:rPr>
          <w:sz w:val="20"/>
          <w:szCs w:val="20"/>
          <w:color w:val="auto"/>
        </w:rPr>
      </w:pPr>
    </w:p>
    <w:p>
      <w:pPr>
        <w:ind w:right="40" w:firstLine="1948"/>
        <w:spacing w:after="0" w:line="291" w:lineRule="auto"/>
        <w:tabs>
          <w:tab w:leader="none" w:pos="219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Immediately upon receipt of a demand for redemption pursuant to Section 4 (b), the Corporation shall give written notice (the “</w:t>
      </w:r>
      <w:r>
        <w:rPr>
          <w:rFonts w:ascii="Arial" w:cs="Arial" w:eastAsia="Arial" w:hAnsi="Arial"/>
          <w:sz w:val="16"/>
          <w:szCs w:val="16"/>
          <w:u w:val="single" w:color="auto"/>
          <w:color w:val="auto"/>
        </w:rPr>
        <w:t>Mandatory Redemption Notice</w:t>
      </w:r>
      <w:r>
        <w:rPr>
          <w:rFonts w:ascii="Arial" w:cs="Arial" w:eastAsia="Arial" w:hAnsi="Arial"/>
          <w:sz w:val="16"/>
          <w:szCs w:val="16"/>
          <w:color w:val="auto"/>
        </w:rPr>
        <w:t>”) to all of the Series A Preferred Holders of record, addressed to each Series A Preferred Holder at the address of such Series A Preferred Holder appearing on the books of the Corporation or given by such Series A Preferred Holder to the Corporation for the purpose of the notice; such Mandatory Redemption Notice shall include: (a) a date fixed for redemption which shall be within thirty (30) days after the Corporation receives a demand for redemption pursuant to Section 4(b) (the “</w:t>
      </w:r>
      <w:r>
        <w:rPr>
          <w:rFonts w:ascii="Arial" w:cs="Arial" w:eastAsia="Arial" w:hAnsi="Arial"/>
          <w:sz w:val="16"/>
          <w:szCs w:val="16"/>
          <w:u w:val="single" w:color="auto"/>
          <w:color w:val="auto"/>
        </w:rPr>
        <w:t>Mandatory Redemption Date</w:t>
      </w:r>
      <w:r>
        <w:rPr>
          <w:rFonts w:ascii="Arial" w:cs="Arial" w:eastAsia="Arial" w:hAnsi="Arial"/>
          <w:sz w:val="16"/>
          <w:szCs w:val="16"/>
          <w:color w:val="auto"/>
        </w:rPr>
        <w:t>”) and (b) the Redemption Price. Each share of Series A Preferred Stock submitted for redemption in accordance with this Section 4(b) shall be redeemed on the Mandatory Redemption Date at the applicable Redemption Price. On or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71" w:name="page72"/>
    <w:bookmarkEnd w:id="7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Mandatory Redemption Date, each holder of shares of Series A Preferred Stock submitted for redemption shall surrender the certificate or certificates evidencing such shares to the Corporation, at the place designated in the Mandatory Redemption Notice and shall thereupon be entitled to receive payment of the appropriate Redemption Price. The Corporation shall be under no obligation to redeem, pursuant to this Section 4(b), shares of Series A Preferred Stock (A) for which no stock certificate or affidavit of lost stock certificate is surrendered on or prior to such Mandatory Redemption Date or (B) to the extent that any such redemption would be in violation of applicable law.</w:t>
      </w:r>
    </w:p>
    <w:p>
      <w:pPr>
        <w:spacing w:after="0" w:line="116" w:lineRule="exact"/>
        <w:rPr>
          <w:sz w:val="20"/>
          <w:szCs w:val="20"/>
          <w:color w:val="auto"/>
        </w:rPr>
      </w:pPr>
    </w:p>
    <w:p>
      <w:pPr>
        <w:jc w:val="both"/>
        <w:ind w:firstLine="1948"/>
        <w:spacing w:after="0" w:line="255" w:lineRule="auto"/>
        <w:tabs>
          <w:tab w:leader="none" w:pos="224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Cessation of Rights</w:t>
      </w:r>
      <w:r>
        <w:rPr>
          <w:rFonts w:ascii="Arial" w:cs="Arial" w:eastAsia="Arial" w:hAnsi="Arial"/>
          <w:sz w:val="18"/>
          <w:szCs w:val="18"/>
          <w:color w:val="auto"/>
        </w:rPr>
        <w:t>. Subject to the last sentence of 4(b)(i) this Annex B, from and after the applicable Mandatory Redemption Date, unless there shall have been a default in payment of the appropriate Redemption Price, all rights of the holders of shares of the Series A Preferred Stock submitted for redemption in response to a Redemption Notice (except the right to receive the Redemption Price without interest upon surrender of their certificate or certificates) shall cease with respect to such shares of Series A Preferred Stock, and such shares of Series A Preferred Stock shall not thereafter be outstanding for any purpose whatsoever.</w:t>
      </w:r>
    </w:p>
    <w:p>
      <w:pPr>
        <w:spacing w:after="0" w:line="142" w:lineRule="exact"/>
        <w:rPr>
          <w:rFonts w:ascii="Arial" w:cs="Arial" w:eastAsia="Arial" w:hAnsi="Arial"/>
          <w:sz w:val="18"/>
          <w:szCs w:val="18"/>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right="340" w:firstLine="1492"/>
        <w:spacing w:after="0" w:line="268" w:lineRule="auto"/>
        <w:tabs>
          <w:tab w:leader="none" w:pos="17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Redemption Price</w:t>
      </w:r>
      <w:r>
        <w:rPr>
          <w:rFonts w:ascii="Arial" w:cs="Arial" w:eastAsia="Arial" w:hAnsi="Arial"/>
          <w:sz w:val="18"/>
          <w:szCs w:val="18"/>
          <w:color w:val="auto"/>
        </w:rPr>
        <w:t>. For the purposes of this Section 4 of this Annex B, as of any date, the applicable redemption price shall equal the applicable Liquidation Preference, including accrued but unpaid dividends, as of such date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72" w:name="page73"/>
    <w:bookmarkEnd w:id="72"/>
    <w:p>
      <w:pPr>
        <w:ind w:left="1020" w:hanging="179"/>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Consolidation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60" w:hanging="248"/>
        <w:spacing w:after="0"/>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At any time, in the event of:</w:t>
      </w:r>
    </w:p>
    <w:p>
      <w:pPr>
        <w:spacing w:after="0" w:line="90" w:lineRule="exact"/>
        <w:rPr>
          <w:rFonts w:ascii="Arial" w:cs="Arial" w:eastAsia="Arial" w:hAnsi="Arial"/>
          <w:sz w:val="18"/>
          <w:szCs w:val="18"/>
          <w:color w:val="auto"/>
        </w:rPr>
      </w:pPr>
    </w:p>
    <w:p>
      <w:pPr>
        <w:jc w:val="both"/>
        <w:ind w:left="-80" w:right="220" w:firstLine="1948"/>
        <w:spacing w:after="0" w:line="306" w:lineRule="auto"/>
        <w:tabs>
          <w:tab w:leader="none" w:pos="207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 consolidation or merger of the Corporation or any of its direct or indirect subsidiaries in one or a series of related transactions with or into any other corporation, or any other entity or person in which the stockholders of the Corporation immediately prior to such transaction hold in the aggregate less than one-half of the outstanding voting securities of the surviving entity after the merger,</w:t>
      </w:r>
    </w:p>
    <w:p>
      <w:pPr>
        <w:spacing w:after="0" w:line="106" w:lineRule="exact"/>
        <w:rPr>
          <w:rFonts w:ascii="Arial" w:cs="Arial" w:eastAsia="Arial" w:hAnsi="Arial"/>
          <w:sz w:val="16"/>
          <w:szCs w:val="16"/>
          <w:color w:val="auto"/>
        </w:rPr>
      </w:pPr>
    </w:p>
    <w:p>
      <w:pPr>
        <w:ind w:left="-80" w:firstLine="1948"/>
        <w:spacing w:after="0" w:line="268" w:lineRule="auto"/>
        <w:tabs>
          <w:tab w:leader="none" w:pos="2118"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corporate reorganization in which the stockholders of the Corporation immediately prior to such transaction control or hold in the aggregate less than one-half of the outstanding voting securities of the surviving entity after the merger,</w:t>
      </w:r>
    </w:p>
    <w:p>
      <w:pPr>
        <w:spacing w:after="0" w:line="131" w:lineRule="exact"/>
        <w:rPr>
          <w:rFonts w:ascii="Arial" w:cs="Arial" w:eastAsia="Arial" w:hAnsi="Arial"/>
          <w:sz w:val="18"/>
          <w:szCs w:val="18"/>
          <w:color w:val="auto"/>
        </w:rPr>
      </w:pPr>
    </w:p>
    <w:p>
      <w:pPr>
        <w:ind w:left="-80" w:right="40" w:firstLine="1948"/>
        <w:spacing w:after="0" w:line="268" w:lineRule="auto"/>
        <w:tabs>
          <w:tab w:leader="none" w:pos="2167"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sale, lease or conveyance of all or substantially all of the assets of the Corporation or any of its direct or indirect subsidiaries in one or a series of related transactions, or</w:t>
      </w:r>
    </w:p>
    <w:p>
      <w:pPr>
        <w:spacing w:after="0" w:line="131" w:lineRule="exact"/>
        <w:rPr>
          <w:rFonts w:ascii="Arial" w:cs="Arial" w:eastAsia="Arial" w:hAnsi="Arial"/>
          <w:sz w:val="18"/>
          <w:szCs w:val="18"/>
          <w:color w:val="auto"/>
        </w:rPr>
      </w:pPr>
    </w:p>
    <w:p>
      <w:pPr>
        <w:ind w:left="-80" w:right="220" w:firstLine="1948"/>
        <w:spacing w:after="0" w:line="332" w:lineRule="auto"/>
        <w:tabs>
          <w:tab w:leader="none" w:pos="2157" w:val="left"/>
        </w:tabs>
        <w:numPr>
          <w:ilvl w:val="2"/>
          <w:numId w:val="69"/>
        </w:numPr>
        <w:rPr>
          <w:rFonts w:ascii="Arial" w:cs="Arial" w:eastAsia="Arial" w:hAnsi="Arial"/>
          <w:sz w:val="16"/>
          <w:szCs w:val="16"/>
          <w:color w:val="auto"/>
        </w:rPr>
      </w:pPr>
      <w:r>
        <w:rPr>
          <w:rFonts w:ascii="Arial" w:cs="Arial" w:eastAsia="Arial" w:hAnsi="Arial"/>
          <w:sz w:val="16"/>
          <w:szCs w:val="16"/>
          <w:color w:val="auto"/>
        </w:rPr>
        <w:t>a reorganization of the Corporation as defined in Section 368(a)(1)(B) of the Internal Revenue Code of 1986 or in which more than fifty percent (50%) of the outstanding stock of the Corporation is exchanged (calculated on an as-converted to Common Stock basis),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320" w:top="280" w:right="319" w:bottom="1440" w:gutter="0" w:footer="0" w:header="0"/>
        </w:sectPr>
      </w:pPr>
    </w:p>
    <w:bookmarkStart w:id="73" w:name="page74"/>
    <w:bookmarkEnd w:id="73"/>
    <w:p>
      <w:pPr>
        <w:jc w:val="both"/>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 in any such case, the holders of the Series A Preferred Stock shall be paid an amount of cash or securities (or a combination thereof) received from the acquiring corporation, person or entity, as applicable, at the closing of any such transaction, that is equal to the amount per share that would be payable to the holders of the Series A Preferred Stock as if all such consideration received by the Corporation and its shareholders in connection with such event were being distributed in a liquidation of the Corporation pursuant to Section 3 hereof.</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Any securities to be delivered to the holders of the Series A Preferred Stock pursuant to this Section 5 of this Annex B shall be valued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8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 securities not subject to restrictions on free marketability covered by Section 5(b)(ii) below:</w:t>
      </w:r>
    </w:p>
    <w:p>
      <w:pPr>
        <w:spacing w:after="0" w:line="90" w:lineRule="exact"/>
        <w:rPr>
          <w:sz w:val="20"/>
          <w:szCs w:val="20"/>
          <w:color w:val="auto"/>
        </w:rPr>
      </w:pPr>
    </w:p>
    <w:p>
      <w:pPr>
        <w:ind w:right="140" w:firstLine="1948"/>
        <w:spacing w:after="0" w:line="268" w:lineRule="auto"/>
        <w:tabs>
          <w:tab w:leader="none" w:pos="22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deemed to be the average of the security’s closing prices on such exchange over the 30-day period ending three (3) days prior to the closing;</w:t>
      </w:r>
    </w:p>
    <w:p>
      <w:pPr>
        <w:spacing w:after="0" w:line="131" w:lineRule="exact"/>
        <w:rPr>
          <w:rFonts w:ascii="Arial" w:cs="Arial" w:eastAsia="Arial" w:hAnsi="Arial"/>
          <w:sz w:val="18"/>
          <w:szCs w:val="18"/>
          <w:color w:val="auto"/>
        </w:rPr>
      </w:pPr>
    </w:p>
    <w:p>
      <w:pPr>
        <w:ind w:right="220" w:firstLine="1948"/>
        <w:spacing w:after="0" w:line="268" w:lineRule="auto"/>
        <w:tabs>
          <w:tab w:leader="none" w:pos="22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30-day period ending three (3) days prior to the closing; and</w:t>
      </w:r>
    </w:p>
    <w:p>
      <w:pPr>
        <w:spacing w:after="0" w:line="131" w:lineRule="exact"/>
        <w:rPr>
          <w:rFonts w:ascii="Arial" w:cs="Arial" w:eastAsia="Arial" w:hAnsi="Arial"/>
          <w:sz w:val="18"/>
          <w:szCs w:val="18"/>
          <w:color w:val="auto"/>
        </w:rPr>
      </w:pPr>
    </w:p>
    <w:p>
      <w:pPr>
        <w:ind w:firstLine="1948"/>
        <w:spacing w:after="0" w:line="268" w:lineRule="auto"/>
        <w:tabs>
          <w:tab w:leader="none" w:pos="22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mutually determined by the Corporation and the holders of not less than a majority of the outstanding Series A Preferred Stock.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80" w:right="319" w:bottom="1440" w:gutter="0" w:footer="0" w:header="0"/>
        </w:sectPr>
      </w:pPr>
    </w:p>
    <w:bookmarkStart w:id="74" w:name="page75"/>
    <w:bookmarkEnd w:id="74"/>
    <w:p>
      <w:pPr>
        <w:ind w:left="-40" w:right="220" w:firstLine="1948"/>
        <w:spacing w:after="0" w:line="259" w:lineRule="auto"/>
        <w:tabs>
          <w:tab w:leader="none" w:pos="2158"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method of valuation of securities subject to restrictions on free marketability shall be to make an appropriate discount from the market value determined as above in Section 5(b)(i)(A)(B) or (C) to reflect the approximate fair market value thereof, as mutually determined by the Corporation and the holders of not less than a majority of the outstanding Series A Preferred Stock.</w:t>
      </w:r>
    </w:p>
    <w:p>
      <w:pPr>
        <w:spacing w:after="0" w:line="140" w:lineRule="exact"/>
        <w:rPr>
          <w:rFonts w:ascii="Arial" w:cs="Arial" w:eastAsia="Arial" w:hAnsi="Arial"/>
          <w:sz w:val="18"/>
          <w:szCs w:val="18"/>
          <w:color w:val="auto"/>
        </w:rPr>
      </w:pPr>
    </w:p>
    <w:p>
      <w:pPr>
        <w:ind w:left="-40" w:firstLine="1948"/>
        <w:spacing w:after="0" w:line="256" w:lineRule="auto"/>
        <w:tabs>
          <w:tab w:leader="none" w:pos="22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the event of any dispute between the Corporation and the holders of Series A Preferred Stock regarding valuation issues as provided in this Section 5(b), such dispute shall be submitted to binding arbitration in accordance with the currently prevailing commercial arbitration rules of the American Arbitration Association. The decisions and awards rendered in such proceedings shall be final and conclusive and may be entered in any court having jurisdiction thereof.</w:t>
      </w:r>
    </w:p>
    <w:p>
      <w:pPr>
        <w:spacing w:after="0" w:line="143" w:lineRule="exact"/>
        <w:rPr>
          <w:rFonts w:ascii="Arial" w:cs="Arial" w:eastAsia="Arial" w:hAnsi="Arial"/>
          <w:sz w:val="18"/>
          <w:szCs w:val="18"/>
          <w:color w:val="auto"/>
        </w:rPr>
      </w:pPr>
    </w:p>
    <w:p>
      <w:pPr>
        <w:ind w:left="-40" w:right="20" w:firstLine="1492"/>
        <w:spacing w:after="0" w:line="288" w:lineRule="auto"/>
        <w:tabs>
          <w:tab w:leader="none" w:pos="16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Corporation shall give each holder of record of Series A Preferred Stock written notice of such proposed transaction not later than twenty (20) days prior to the stockholders’ meeting called to approve any transaction described in Section 5(a) hereof, or twenty (20) days prior to the closing of such transaction, whichever is earlier, and shall also notify such holders in writing of the final approval of such transaction. The first of said notices shall describe the material terms and conditions of the contemplated transaction as well as the terms and conditions of this Section 5, and the Corporation shall thereafter give such holders prompt notice of any material changes in such proposed transaction. The transaction shall in no event take place sooner than (i) twenty (20) days after the mailing by the Corporation of the first notice provided for herein, or (ii) fifteen (15) days after the mailing by the Corporation of any additional notice of material changes provided for herein; provided, however, that such periods may be shortened upon the written consent of the holders of at least a majority of the then outstanding Series A Preferred Stock, but not to the extent of having the effect of depriving any holder of Series A Preferred Stock of actual notice of the impending transaction.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80" w:top="280" w:right="27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these By-laws, unless the context otherwise requires, the term:</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By-laws</w:t>
      </w:r>
      <w:r>
        <w:rPr>
          <w:rFonts w:ascii="Arial" w:cs="Arial" w:eastAsia="Arial" w:hAnsi="Arial"/>
          <w:sz w:val="18"/>
          <w:szCs w:val="18"/>
          <w:color w:val="auto"/>
        </w:rPr>
        <w:t>” means these Amended and Restated By-Laws of the Corporation, as further amended from time to time.</w:t>
      </w:r>
    </w:p>
    <w:p>
      <w:pPr>
        <w:spacing w:after="0" w:line="171" w:lineRule="exact"/>
        <w:rPr>
          <w:sz w:val="20"/>
          <w:szCs w:val="20"/>
          <w:color w:val="auto"/>
        </w:rPr>
      </w:pPr>
    </w:p>
    <w:p>
      <w:pPr>
        <w:ind w:right="940" w:firstLine="913"/>
        <w:spacing w:after="0" w:line="268"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Corporation, as further amended, supplemented or restated from time to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 of Directors of 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Corporation.</w:t>
      </w:r>
    </w:p>
    <w:p>
      <w:pPr>
        <w:sectPr>
          <w:pgSz w:w="11900" w:h="16838" w:orient="portrait"/>
          <w:cols w:equalWidth="0" w:num="1">
            <w:col w:w="11420"/>
          </w:cols>
          <w:pgMar w:left="240" w:top="125"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means the Chief Financial Officer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Controller</w:t>
      </w:r>
      <w:r>
        <w:rPr>
          <w:rFonts w:ascii="Arial" w:cs="Arial" w:eastAsia="Arial" w:hAnsi="Arial"/>
          <w:sz w:val="18"/>
          <w:szCs w:val="18"/>
          <w:color w:val="auto"/>
        </w:rPr>
        <w:t>” means the Controller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Corporation</w:t>
      </w:r>
      <w:r>
        <w:rPr>
          <w:rFonts w:ascii="Arial" w:cs="Arial" w:eastAsia="Arial" w:hAnsi="Arial"/>
          <w:sz w:val="18"/>
          <w:szCs w:val="18"/>
          <w:color w:val="auto"/>
        </w:rPr>
        <w:t>” means ExlService Holdings,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Directors</w:t>
      </w:r>
      <w:r>
        <w:rPr>
          <w:rFonts w:ascii="Arial" w:cs="Arial" w:eastAsia="Arial" w:hAnsi="Arial"/>
          <w:sz w:val="18"/>
          <w:szCs w:val="18"/>
          <w:color w:val="auto"/>
        </w:rPr>
        <w:t>” means directors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Entire Board</w:t>
      </w:r>
      <w:r>
        <w:rPr>
          <w:rFonts w:ascii="Arial" w:cs="Arial" w:eastAsia="Arial" w:hAnsi="Arial"/>
          <w:sz w:val="18"/>
          <w:szCs w:val="18"/>
          <w:color w:val="auto"/>
        </w:rPr>
        <w:t>” means all then authorized directors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thereto.</w:t>
      </w:r>
    </w:p>
    <w:p>
      <w:pPr>
        <w:spacing w:after="0" w:line="17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IPO Date</w:t>
      </w:r>
      <w:r>
        <w:rPr>
          <w:rFonts w:ascii="Arial" w:cs="Arial" w:eastAsia="Arial" w:hAnsi="Arial"/>
          <w:sz w:val="18"/>
          <w:szCs w:val="18"/>
          <w:color w:val="auto"/>
        </w:rPr>
        <w:t>” “ means the date upon which the Corporation consummates the initial public offering of shares of common stock of the Corporation pursuant to an effective Registration Statement filed under the Securities Act.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 from time to time.</w:t>
      </w:r>
    </w:p>
    <w:p>
      <w:pPr>
        <w:spacing w:after="0" w:line="171"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Stockholders</w:t>
      </w:r>
      <w:r>
        <w:rPr>
          <w:rFonts w:ascii="Arial" w:cs="Arial" w:eastAsia="Arial" w:hAnsi="Arial"/>
          <w:sz w:val="18"/>
          <w:szCs w:val="18"/>
          <w:color w:val="auto"/>
        </w:rPr>
        <w:t>” means stockholders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77" w:name="page78"/>
    <w:bookmarkEnd w:id="7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STOCKHOLDERS</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Every meeting of Stockholders may be held at such place, within or without the State of Delaware, as may be designated by resolution of the Board from time to time. The Board may, in its sole discretion, determine that the meeting of Stockholders shall not be held at any place, but may instead be held solely by means of remote communication in accordance with Delaware law.</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 If required by applicable law, a meeting of Stockholders shall be held annually for the election of Directors at such date and time as may be designated by resolution of the Board from time to time. Any other business may be transacted at the annual meeting as shall have been properly brought before the meeting.</w:t>
      </w:r>
    </w:p>
    <w:p>
      <w:pPr>
        <w:spacing w:after="0" w:line="140" w:lineRule="exact"/>
        <w:rPr>
          <w:sz w:val="20"/>
          <w:szCs w:val="20"/>
          <w:color w:val="auto"/>
        </w:rPr>
      </w:pPr>
    </w:p>
    <w:p>
      <w:pPr>
        <w:jc w:val="both"/>
        <w:ind w:right="400" w:firstLine="913"/>
        <w:spacing w:after="0" w:line="30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Unless otherwise prescribed by applicable law and subject to the express terms of any series of shares of preferred stock, special meetings of Stockholders may be called only by (a) the Chairman or (b) a majority of the members of the Board, and may not be called by any other person or persons. Business transacted at any special meeting of Stockholders shall be limited to the purpose stated in the notice.</w:t>
      </w:r>
    </w:p>
    <w:p>
      <w:pPr>
        <w:spacing w:after="0" w:line="10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Fixing Record Date</w:t>
      </w:r>
      <w:r>
        <w:rPr>
          <w:rFonts w:ascii="Arial" w:cs="Arial" w:eastAsia="Arial" w:hAnsi="Arial"/>
          <w:sz w:val="18"/>
          <w:szCs w:val="18"/>
          <w:color w:val="auto"/>
        </w:rPr>
        <w:t>. For the purpose of (a) determining the Stockholders entitled (i) to notice of or to vote at any meeting of Stockholders or any adjournment thereof or (ii) to receive payment of any dividend or other distribution or allotment of any rights, or entitled to exercise any rights in respect of any change,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78" w:name="page79"/>
    <w:bookmarkEnd w:id="7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or exchange of stock; or (b) any other lawful action, the Board may fix a record date, which record date shall not precede the date upon which the resolution fixing the record date was adopted by the Board and which record date, unless otherwise required by applicable law, shall not be (y) in the case of clause (a)(i) above, more than 60 nor less than 10 days before the date of such meeting and (z) in the case of clause (a)(ii) or (b) above, more than 60 days prior to such action. If no such record date is fixed:</w:t>
      </w:r>
    </w:p>
    <w:p>
      <w:pPr>
        <w:spacing w:after="0" w:line="62"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2.4.1 the record date for determining Stockholders entitled to notice of or to vote at a meeting of Stockholders shall be the close of business on the day next preceding the day on which notice is given, or, if notice is waived, the close of business on the day next preceding the day on which the meeting is held; and</w:t>
      </w:r>
    </w:p>
    <w:p>
      <w:pPr>
        <w:spacing w:after="0" w:line="140" w:lineRule="exact"/>
        <w:rPr>
          <w:sz w:val="20"/>
          <w:szCs w:val="20"/>
          <w:color w:val="auto"/>
        </w:rPr>
      </w:pPr>
    </w:p>
    <w:p>
      <w:pPr>
        <w:ind w:right="220" w:firstLine="1484"/>
        <w:spacing w:after="0" w:line="256" w:lineRule="auto"/>
        <w:rPr>
          <w:sz w:val="20"/>
          <w:szCs w:val="20"/>
          <w:color w:val="auto"/>
        </w:rPr>
      </w:pPr>
      <w:r>
        <w:rPr>
          <w:rFonts w:ascii="Arial" w:cs="Arial" w:eastAsia="Arial" w:hAnsi="Arial"/>
          <w:sz w:val="18"/>
          <w:szCs w:val="18"/>
          <w:color w:val="auto"/>
        </w:rPr>
        <w:t>2.4.2 the record date for determining Stockholders for any purpose other than those specified in Section 2.4.1 hereof shall be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spacing w:after="0" w:line="14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 of Meetings of Stockholders</w:t>
      </w:r>
      <w:r>
        <w:rPr>
          <w:rFonts w:ascii="Arial" w:cs="Arial" w:eastAsia="Arial" w:hAnsi="Arial"/>
          <w:sz w:val="18"/>
          <w:szCs w:val="18"/>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9" w:name="page80"/>
    <w:bookmarkEnd w:id="7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 in person and vote at such meeting, and, in the case of a special meeting, the purpose or purposes for which the meeting is called. Unless otherwise provided by applicable law, the Certificate of Incorporation or these By-laws, notice of any 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 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spacing w:after="0" w:line="123" w:lineRule="exact"/>
        <w:rPr>
          <w:sz w:val="20"/>
          <w:szCs w:val="20"/>
          <w:color w:val="auto"/>
        </w:rPr>
      </w:pPr>
    </w:p>
    <w:p>
      <w:pPr>
        <w:jc w:val="both"/>
        <w:ind w:right="320" w:firstLine="913"/>
        <w:spacing w:after="0" w:line="30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Waivers of Notice</w:t>
      </w:r>
      <w:r>
        <w:rPr>
          <w:rFonts w:ascii="Arial" w:cs="Arial" w:eastAsia="Arial" w:hAnsi="Arial"/>
          <w:sz w:val="16"/>
          <w:szCs w:val="16"/>
          <w:color w:val="auto"/>
        </w:rPr>
        <w:t>. Whenever giving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0" w:name="page81"/>
    <w:bookmarkEnd w:id="80"/>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Stockholder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10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 examine the stock ledger, the list of Stockholders or the books of the Corporation, or to vote in person or by proxy at any meeting of Stockholders.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1" w:name="page82"/>
    <w:bookmarkEnd w:id="81"/>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w:t>
      </w:r>
      <w:r>
        <w:rPr>
          <w:rFonts w:ascii="Arial" w:cs="Arial" w:eastAsia="Arial" w:hAnsi="Arial"/>
          <w:sz w:val="16"/>
          <w:szCs w:val="16"/>
          <w:u w:val="single" w:color="auto"/>
          <w:color w:val="auto"/>
        </w:rPr>
        <w:t>Quorum of Stockholders; Adjournment</w:t>
      </w:r>
      <w:r>
        <w:rPr>
          <w:rFonts w:ascii="Arial" w:cs="Arial" w:eastAsia="Arial" w:hAnsi="Arial"/>
          <w:sz w:val="16"/>
          <w:szCs w:val="16"/>
          <w:color w:val="auto"/>
        </w:rPr>
        <w:t xml:space="preserve">. Except as otherwise provided by applicable law, the Certificate of Incorporation or these By-laws, at each meeting of Stockholders, the presence in person or by proxy of the holders of a majority in voting power of all outstanding shares of stock entitled to vote at the meeting of Stockholders, shall constitute a quorum for the transaction of any business at such meeting, except that, where a separate vote by a class or series of classes is required, a quorum shall consist of no less than a majority in voting power of the shares of such classes or series of classes. When a quorum is present to organize a meeting of Stockholders and for purposes of voting on any matter, the quorum for such meeting or matter is not broken by the subsequent withdrawal of any Stockholder. In the absence of a quorum, the person presiding over the meeting or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limit the right of the Corporation to vote stock, including but not limited to its own stock, held by it in a fiduciary capacity.</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Voting; Proxies</w:t>
      </w:r>
      <w:r>
        <w:rPr>
          <w:rFonts w:ascii="Arial" w:cs="Arial" w:eastAsia="Arial" w:hAnsi="Arial"/>
          <w:sz w:val="16"/>
          <w:szCs w:val="16"/>
          <w:color w:val="auto"/>
        </w:rPr>
        <w:t>. Unless otherwise provided in the Certificate of Incorporation, every Stockholder entitled to vote at any meeting of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be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82" w:name="page83"/>
    <w:bookmarkEnd w:id="8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a plurality of the votes cast shall be sufficient to elect Directors as more fully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12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Voting Procedures and Inspectors of Election at Meetings of Stockholders</w:t>
      </w:r>
      <w:r>
        <w:rPr>
          <w:rFonts w:ascii="Arial" w:cs="Arial" w:eastAsia="Arial" w:hAnsi="Arial"/>
          <w:sz w:val="16"/>
          <w:szCs w:val="16"/>
          <w:color w:val="auto"/>
        </w:rPr>
        <w:t>.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2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Conduct of Meetings; Director Nominations; Meeting Business and Other Stockholder Proposals</w:t>
      </w:r>
      <w:r>
        <w:rPr>
          <w:rFonts w:ascii="Arial" w:cs="Arial" w:eastAsia="Arial" w:hAnsi="Arial"/>
          <w:sz w:val="18"/>
          <w:szCs w:val="18"/>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may adopt by resolution such rules and regulations for the conduct of the meeting of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it shall deem</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84" w:name="page85"/>
    <w:bookmarkEnd w:id="84"/>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appropriate. At each meeting of Stockholders, the CEO, or in the absence of the CEO, the President, or in the absence of the President, the Chairman, or if there is no Chairman or if there be one and the Chairman is absent,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are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applicable to Stockholders of record of the Corporation, their duly authorized and constituted proxies or such other persons as the person presiding over the meeting shall determine;</w:t>
      </w:r>
    </w:p>
    <w:p>
      <w:pPr>
        <w:spacing w:after="0" w:line="4" w:lineRule="exact"/>
        <w:rPr>
          <w:sz w:val="20"/>
          <w:szCs w:val="20"/>
          <w:color w:val="auto"/>
        </w:rPr>
      </w:pPr>
    </w:p>
    <w:p>
      <w:pPr>
        <w:jc w:val="both"/>
        <w:ind w:right="200" w:firstLine="8"/>
        <w:spacing w:after="0" w:line="254" w:lineRule="auto"/>
        <w:tabs>
          <w:tab w:leader="none" w:pos="297"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85" w:name="page86"/>
    <w:bookmarkEnd w:id="8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spacing w:after="0" w:line="120"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 Only persons who are nominated in accordance with the following procedures shall be eligible for election as Directors. Nominations of persons for election to the Board may be made at an annual meeting or special meeting of Stockholders only (i) by or at the direction of the Board, (ii) by any nominating committee designated by the Board or (iii) by any Stockholder of the Corporation who was a Stockholder of record of the Corporation at the time the notice provided for in this Section 2.11 is delivered to the Secretary, who is entitled to vote for the election of Directors at the meeting and who complies with the applicable provisions of Section 2.11.4 hereof (persons nominated in accordance with (iii) above are referred to herein as “Stockholder nominees”).</w:t>
      </w:r>
    </w:p>
    <w:p>
      <w:pPr>
        <w:spacing w:after="0" w:line="14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 xml:space="preserve">2.11.3. </w:t>
      </w:r>
      <w:r>
        <w:rPr>
          <w:rFonts w:ascii="Arial" w:cs="Arial" w:eastAsia="Arial" w:hAnsi="Arial"/>
          <w:sz w:val="15"/>
          <w:szCs w:val="15"/>
          <w:u w:val="single" w:color="auto"/>
          <w:color w:val="auto"/>
        </w:rPr>
        <w:t>Meeting Business</w:t>
      </w:r>
      <w:r>
        <w:rPr>
          <w:rFonts w:ascii="Arial" w:cs="Arial" w:eastAsia="Arial" w:hAnsi="Arial"/>
          <w:sz w:val="15"/>
          <w:szCs w:val="15"/>
          <w:color w:val="auto"/>
        </w:rPr>
        <w:t>: At any annual meeting of Stockholders, only such business shall be conducted as shall have been properly brought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before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6" w:name="page87"/>
    <w:bookmarkEnd w:id="86"/>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To be properly brought before an annual meeting of Stockholders, (i) business must be specified in the notice of meeting (or any supplement thereto) given by or at the direction of the Board, (ii) otherwise properly brought before the meeting by or at the direction of the Board or (iii) otherwise properly brought before the meeting by a Stockholder who was a Stockholder of record of the Corporation at the time the notice provided for in this Section 2.11 is delivered to the Secretary, who is entitled to vote at the meeting and who complies with the applicable provisions of Section 2.11.4 hereof (business brought before the meeting in accordance with (iii) above is referred to as “Stockholder business”).</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2.11.4. </w:t>
      </w:r>
      <w:r>
        <w:rPr>
          <w:rFonts w:ascii="Arial" w:cs="Arial" w:eastAsia="Arial" w:hAnsi="Arial"/>
          <w:sz w:val="16"/>
          <w:szCs w:val="16"/>
          <w:u w:val="single" w:color="auto"/>
          <w:color w:val="auto"/>
        </w:rPr>
        <w:t>Other Stockholder Proposals</w:t>
      </w:r>
      <w:r>
        <w:rPr>
          <w:rFonts w:ascii="Arial" w:cs="Arial" w:eastAsia="Arial" w:hAnsi="Arial"/>
          <w:sz w:val="16"/>
          <w:szCs w:val="16"/>
          <w:color w:val="auto"/>
        </w:rPr>
        <w:t>: In addition to any other applicable requirements, at any annual or special meeting of Stockholders</w:t>
      </w:r>
    </w:p>
    <w:p>
      <w:pPr>
        <w:spacing w:after="0" w:line="38" w:lineRule="exact"/>
        <w:rPr>
          <w:sz w:val="20"/>
          <w:szCs w:val="20"/>
          <w:color w:val="auto"/>
        </w:rPr>
      </w:pPr>
    </w:p>
    <w:p>
      <w:pPr>
        <w:ind w:firstLine="8"/>
        <w:spacing w:after="0" w:line="288" w:lineRule="auto"/>
        <w:tabs>
          <w:tab w:leader="none" w:pos="21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87" w:name="page88"/>
    <w:bookmarkEnd w:id="87"/>
    <w:p>
      <w:pPr>
        <w:ind w:right="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and not less than the later of (a) ninety (90) days prior to such special meeting or (b) the tenth (10th) day following the day on which the notice of such special meeting was made by mail or Public Disclosure (as defined below); provided, however, that in the event that either (i) the annual meeting of Stockholders is advanced by more than thirty (30) days, or delayed by more than seventy (70) days, from the first anniversary of the prior year’s annual meeting of Stockholders,</w:t>
      </w:r>
    </w:p>
    <w:p>
      <w:pPr>
        <w:spacing w:after="0" w:line="1" w:lineRule="exact"/>
        <w:rPr>
          <w:sz w:val="20"/>
          <w:szCs w:val="20"/>
          <w:color w:val="auto"/>
        </w:rPr>
      </w:pPr>
    </w:p>
    <w:p>
      <w:pPr>
        <w:ind w:firstLine="8"/>
        <w:spacing w:after="0" w:line="252" w:lineRule="auto"/>
        <w:tabs>
          <w:tab w:leader="none" w:pos="2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annual meeting was held during the prior year or (iii) in the case of the Corporation’s first annual meeting of Stockholders following its IPO Date, notice by the Stockholder to be timely must be received (i) no earlier than one hundred and twenty (120) days prior to such annual meeting and (ii) 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14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Notwithstanding anything in the immediately preceding paragraph to the contrary, in the event that the number of directors to be elected to the Board at an annual meeting is increased and there is no public announcement by the Corporation naming the nominees for the additional directorships at least one hundred (100) days prior to the first anniversary of the preceding year’s annual meeting, a Notice of Nomination shall also be considered timely, but only with respect to nominees for the additional directorships, if it shall be delivered at the Office of the Corporation, addressed to the attention of the Secretary, not later than the close of business on the tenth (10th) day following the day on which such public announcement is first made by the Corporation.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88" w:name="page89"/>
    <w:bookmarkEnd w:id="88"/>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Notice of Nomination shall set forth (i) the name and record address of the Stockholder and/or beneficial owner proposing to make nominations,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nomination, (iv) all information regarding each Stockholder nominee that would be required to be set forth in a definitive proxy statement filed with the Securities and Exchange Commission pursuant to Section 14 of the Exchange Act and the written consent of each such Stockholder nominee to being named in a proxy statement as a nominee and to serve if elected and (v) all other information that would be required to be filed with the Securities and Exchange Commission if the person proposing such nominations were a participant in a solicitation subject to Section 14 of the Exchange Act or any successor statute thereto. The Corporation may require any Stockholder nominee to furnish such other information as it may reasonably require to determine the eligibility of such Stockholder nominee to serve as a Director of the Corporation. The person presiding over the meeting shall, if the facts warrant, determine and declare to the meeting that any proposed nomination of a Stockholder nominee was not made in accordance with the foregoing procedures and, if he or she should so determine, shall so declare to the meeting, and the defective nomination shall be disregarded.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9" w:name="page90"/>
    <w:bookmarkEnd w:id="89"/>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Notice of Business shall set forth (i) the name and record address of the Stockholder and/or beneficial owner proposing such Stockholder business,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the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Securities and Exchange Commission if the person proposing such Stockholder business were a participant in a solicitation subject to Section 14 of the Exchange Act. Notwithstanding anything in these By-laws to the contrary, no business shall be conducted at the annual meeting of Stockholders except in accordance with the procedures set forth in Section 2.11.3 and this Section 2.11.4, provided, however, that nothing in this Section 2.11.4 shall be deemed to preclude discussion by any Stockholder of any business properly brought before the annual meeting in accordance with said procedures. Notwithstanding anything else to the contrary in these By-laws, any Stockholder business may be excluded if the exclusion of such Stockholder business is permitted by the applicable regulations of the Securities and Exchange Commission. Only such business shall be conducted at a special meeting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90" w:name="page91"/>
    <w:bookmarkEnd w:id="90"/>
    <w:p>
      <w:pPr>
        <w:jc w:val="both"/>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as shall have been brought before the special meeting pursuant to the Corporation’s notice of meeting. The person presiding over the meeting shall, if the facts warrant, determine and declare to the meeting, that business was not properly brought before the meeting in accordance with the foregoing procedures and, if he or she should so determine, shall so declare to the meeting, and any such business not properly brought before the meeting shall not be transacted.</w:t>
      </w:r>
    </w:p>
    <w:p>
      <w:pPr>
        <w:spacing w:after="0" w:line="88"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Notwithstanding the foregoing provisions of this Section 2.11, if the Stockholder (or a qualified representative of the Stockholder) does not appear at the annual or special meeting of Stockholders to present the Stockholder nomination or the Stockholder business, as applicable, such nomination shall be disregarded and such business shall not be transacted, notwithstanding that proxies in respect of such vote may have been received by the Corporation.</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For purposes of this Section 2.11, “Public Disclosure” shall be deemed to be first made when disclosure of such date of the annual or special meeting of Stockholders, as the case may be, is first made in a press release reported by the Dow Jones News Services, Associated Press or comparable national news service, or in a document publicly filed by the Corporation with the Securities and Exchange Commission pursuant to Sections 13, 14 or 15(d) of the Exchange Act.</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Notwithstanding the foregoing, a Stockholder shall also comply with all applicable requirements of the Exchange Act and the rules and regulations thereunder with respect to the matters set forth in this Section 2.11. Nothing in this Section 2.11 shall be deemed to affect any rights of the holders of any series of preferred stock of the Corporation pursuant to any applicable provision of the Certificate of Incorporation.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91" w:name="page92"/>
    <w:bookmarkEnd w:id="9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2.12 </w:t>
      </w:r>
      <w:r>
        <w:rPr>
          <w:rFonts w:ascii="Arial" w:cs="Arial" w:eastAsia="Arial" w:hAnsi="Arial"/>
          <w:sz w:val="16"/>
          <w:szCs w:val="16"/>
          <w:u w:val="single" w:color="auto"/>
          <w:color w:val="auto"/>
        </w:rPr>
        <w:t>Order of Business</w:t>
      </w:r>
      <w:r>
        <w:rPr>
          <w:rFonts w:ascii="Arial" w:cs="Arial" w:eastAsia="Arial" w:hAnsi="Arial"/>
          <w:sz w:val="16"/>
          <w:szCs w:val="16"/>
          <w:color w:val="auto"/>
        </w:rPr>
        <w:t>. The order of business at all meetings of Stockholders shall be as determined by the person presiding over the meeting.</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3</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171"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Powers</w:t>
      </w:r>
      <w:r>
        <w:rPr>
          <w:rFonts w:ascii="Arial" w:cs="Arial" w:eastAsia="Arial" w:hAnsi="Arial"/>
          <w:sz w:val="16"/>
          <w:szCs w:val="16"/>
          <w:color w:val="auto"/>
        </w:rPr>
        <w:t>.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spacing w:after="0" w:line="10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Number; Qualification; Term of Office</w:t>
      </w:r>
      <w:r>
        <w:rPr>
          <w:rFonts w:ascii="Arial" w:cs="Arial" w:eastAsia="Arial" w:hAnsi="Arial"/>
          <w:sz w:val="16"/>
          <w:szCs w:val="16"/>
          <w:color w:val="auto"/>
        </w:rPr>
        <w:t>.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The Board (other than those Directors elected by the holders of any series of Preferred Stock provided for or fixed pursuant to the provisions of the Certificate of Incorporation (the “Preferred Stock Directors”)) shall be divided into three classes, as nearly equal in number as possible, designated Class I, Class II and Class</w:t>
      </w:r>
    </w:p>
    <w:p>
      <w:pPr>
        <w:spacing w:after="0" w:line="2" w:lineRule="exact"/>
        <w:rPr>
          <w:sz w:val="20"/>
          <w:szCs w:val="20"/>
          <w:color w:val="auto"/>
        </w:rPr>
      </w:pPr>
    </w:p>
    <w:p>
      <w:pPr>
        <w:ind w:right="260" w:firstLine="8"/>
        <w:spacing w:after="0" w:line="255" w:lineRule="auto"/>
        <w:tabs>
          <w:tab w:leader="none" w:pos="2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Class I Directors shall initially serve until the first annual meeting of Stockholders held after the IPO Date; Class II Directors shall initially serve until the second annual meeting of Stockholders held after the IPO Date; and Class III Directors shall initially serve until the third annual meeting of Stockholders held after the IPO Date. Commencing with the first annual meeting of Stockholders held after the IPO</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92" w:name="page93"/>
    <w:bookmarkEnd w:id="92"/>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Directors of each class the term of which shall then expire shall be elected to hold office for a term expiring at the third succeeding annual meeting of Stockholders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w:t>
      </w:r>
    </w:p>
    <w:p>
      <w:pPr>
        <w:spacing w:after="0" w:line="107"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Election</w:t>
      </w:r>
      <w:r>
        <w:rPr>
          <w:rFonts w:ascii="Arial" w:cs="Arial" w:eastAsia="Arial" w:hAnsi="Arial"/>
          <w:sz w:val="16"/>
          <w:szCs w:val="16"/>
          <w:color w:val="auto"/>
        </w:rPr>
        <w:t>. Directors shall, except as otherwise required by applicable law or by the Certificate of Incorporation, be elected by a plurality of the votes cast at a meeting of Stockholders by the holders of shares present in person or represented by proxy at the meeting and entitled to vote in the election.</w:t>
      </w:r>
    </w:p>
    <w:p>
      <w:pPr>
        <w:spacing w:after="0" w:line="8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Unless otherwise provided by applicable law or the Certificate of Incorporation and subject to the rights of the holders of any series of Preferred Stock then outstanding, any newly created Directorships resulting from any increase in the authorized number of Directors or any vacancies in the Board resulting from death, resignation, retirement, disqualification, removal from office or other cause shall be filled solely by the affirmative vote of a majority of the remaining Directors then in office although less than a quorum, or by a sole remaining Director, and Directors so chosen shall hold office until the expiration of the term of office of the Director whom he or she has replaced and until his or her successor is duly elected and qualified or until such Director’s earlier death, disqualification, resignation or removal. No decrease in the number of Directors constituting the Board shall shorten the term of any incumbent Director. When any Director shall give notice of resignation effective at a future date, the Board may fill such vacancy to take effect when such resignation shall become effective in accordance with the General Corporation Law.</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93" w:name="page94"/>
    <w:bookmarkEnd w:id="93"/>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3.5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upon notice given in writing or by electronic transmission to the Corporation. Such resignation shall take effect at the time therein specified, and, unless otherwise specified in such resignation, the acceptance of such resignation shall not be necessary to make it effective.</w:t>
      </w:r>
    </w:p>
    <w:p>
      <w:pPr>
        <w:spacing w:after="0" w:line="140" w:lineRule="exact"/>
        <w:rPr>
          <w:sz w:val="20"/>
          <w:szCs w:val="20"/>
          <w:color w:val="auto"/>
        </w:rPr>
      </w:pPr>
    </w:p>
    <w:p>
      <w:pPr>
        <w:ind w:right="100" w:firstLine="913"/>
        <w:spacing w:after="0" w:line="23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Except for Preferred Stock Directors, any Director, or the Entire Board, may be removed from office at any time, but only for cause and only by the affirmative vote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voting power of the outstanding shares of stock of the Corporation entitled to vote generally in the election of Directors, voting together as a single class.</w:t>
      </w:r>
    </w:p>
    <w:p>
      <w:pPr>
        <w:spacing w:after="0" w:line="15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Compensation</w:t>
      </w:r>
      <w:r>
        <w:rPr>
          <w:rFonts w:ascii="Arial" w:cs="Arial" w:eastAsia="Arial" w:hAnsi="Arial"/>
          <w:sz w:val="16"/>
          <w:szCs w:val="16"/>
          <w:color w:val="auto"/>
        </w:rPr>
        <w:t>.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3.7 shall preclude any Director from serving the Corporation or its subsidiaries in any other capacity and receiving proper compensation therefor.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94" w:name="page95"/>
    <w:bookmarkEnd w:id="94"/>
    <w:p>
      <w:pPr>
        <w:ind w:right="3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 State of Delaware as shall from time to time be determined by the Board.</w:t>
      </w:r>
    </w:p>
    <w:p>
      <w:pPr>
        <w:spacing w:after="0" w:line="132"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may be held at any time or place, within or without the State of Delaware, whenever called by the Chairman, the CEO, the President or the Secretary or by any two or more Directors then serving as Directors on at least 24 hours’ notice to each Director given by one of the means specified in Section 3.12 hereof other than by mail, or on at least three days’ notice if given by mail.</w:t>
      </w:r>
    </w:p>
    <w:p>
      <w:pPr>
        <w:spacing w:after="0" w:line="107"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Telephone Meetings</w:t>
      </w:r>
      <w:r>
        <w:rPr>
          <w:rFonts w:ascii="Arial" w:cs="Arial" w:eastAsia="Arial" w:hAnsi="Arial"/>
          <w:sz w:val="16"/>
          <w:szCs w:val="16"/>
          <w:color w:val="auto"/>
        </w:rPr>
        <w:t>. Directors or members of any committee designated by the Board may participate in a meeting of the Board or of such committee by means of conference telephone or other communications equipment by means of which all persons participating in the meeting can hear each other, and participation in a meeting pursuant to this Section 3.10 shall constitute presence in person at such meeting.</w:t>
      </w:r>
    </w:p>
    <w:p>
      <w:pPr>
        <w:spacing w:after="0" w:line="107"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Adjourned Meetings</w:t>
      </w:r>
      <w:r>
        <w:rPr>
          <w:rFonts w:ascii="Arial" w:cs="Arial" w:eastAsia="Arial" w:hAnsi="Arial"/>
          <w:sz w:val="15"/>
          <w:szCs w:val="15"/>
          <w:color w:val="auto"/>
        </w:rPr>
        <w:t>.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3.12 hereof other than by mail, or at least three (3) days’ notice if by mail. Any business may be transacted at an adjourned meeting that might have been transacted at the meeting as originally called.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95" w:name="page96"/>
    <w:bookmarkEnd w:id="95"/>
    <w:p>
      <w:pPr>
        <w:ind w:right="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3.12 </w:t>
      </w:r>
      <w:r>
        <w:rPr>
          <w:rFonts w:ascii="Arial" w:cs="Arial" w:eastAsia="Arial" w:hAnsi="Arial"/>
          <w:sz w:val="18"/>
          <w:szCs w:val="18"/>
          <w:u w:val="single" w:color="auto"/>
          <w:color w:val="auto"/>
        </w:rPr>
        <w:t>Notice Procedure</w:t>
      </w:r>
      <w:r>
        <w:rPr>
          <w:rFonts w:ascii="Arial" w:cs="Arial" w:eastAsia="Arial" w:hAnsi="Arial"/>
          <w:sz w:val="18"/>
          <w:szCs w:val="18"/>
          <w:color w:val="auto"/>
        </w:rPr>
        <w:t>. Subject to Sections 3.9 and 3.10 hereof, whenever, under the provisions of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telex, telecopy or other means of electronic transmission.</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the giving of any notice to Directors is required by applicable law, the Certificate of Incorporation or these By-laws, a waiver thereof, in writing, signed by the person or persons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written waiver of notice unless so required by applicable law, the Certificate of Incorporation or these By-laws.</w:t>
      </w:r>
    </w:p>
    <w:p>
      <w:pPr>
        <w:spacing w:after="0" w:line="12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Chairman, or in the absence of the Chairman, the CEO or, in the absence of the CEO, the President, or in the absence of the President, a chairman chosen by a majority of the Directors present, shall preside. The Secretary shall act as secretary at each meeting of the Board. In case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96" w:name="page97"/>
    <w:bookmarkEnd w:id="96"/>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Secretary shall be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6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Quorum of Directors</w:t>
      </w:r>
      <w:r>
        <w:rPr>
          <w:rFonts w:ascii="Arial" w:cs="Arial" w:eastAsia="Arial" w:hAnsi="Arial"/>
          <w:sz w:val="18"/>
          <w:szCs w:val="18"/>
          <w:color w:val="auto"/>
        </w:rPr>
        <w:t>. The presence in person of a majority of the Entire Board shall be necessary and sufficient to constitute a quorum for the transaction of business at any meeting of the Board.</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Action by Majority Vote</w:t>
      </w:r>
      <w:r>
        <w:rPr>
          <w:rFonts w:ascii="Arial" w:cs="Arial" w:eastAsia="Arial" w:hAnsi="Arial"/>
          <w:sz w:val="18"/>
          <w:szCs w:val="18"/>
          <w:color w:val="auto"/>
        </w:rPr>
        <w:t>. Except as otherwise expressly required by applicable law, the Certificate of Incorporation or these By-laws, the act of a majority of the Directors present at a meeting at which a quorum is present shall be the act of the Board.</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COMMITTEES OF THE BOARD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Board may, by resolution, designate one or more committees, each committee to consist of one or more of the Directors of the Corporation.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Board may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97" w:name="page98"/>
    <w:bookmarkEnd w:id="9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(including Section 141(c)(2) of the General Corporation Law as it exists now or may hereafter be amended)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The Board may remove any Director from any committee at any time, with or without cause. Unless otherwise specified in the resolution of the Board designating a committee or the charter for such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3 of these By-laws.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8" w:name="page99"/>
    <w:bookmarkEnd w:id="98"/>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90"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OFFICERS</w:t>
      </w:r>
    </w:p>
    <w:p>
      <w:pPr>
        <w:spacing w:after="0" w:line="171" w:lineRule="exact"/>
        <w:rPr>
          <w:sz w:val="20"/>
          <w:szCs w:val="20"/>
          <w:color w:val="auto"/>
        </w:rPr>
      </w:pPr>
    </w:p>
    <w:p>
      <w:pPr>
        <w:jc w:val="both"/>
        <w:ind w:right="120" w:firstLine="913"/>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Positions</w:t>
      </w:r>
      <w:r>
        <w:rPr>
          <w:rFonts w:ascii="Arial" w:cs="Arial" w:eastAsia="Arial" w:hAnsi="Arial"/>
          <w:sz w:val="18"/>
          <w:szCs w:val="18"/>
          <w:color w:val="auto"/>
        </w:rPr>
        <w:t>. The officers of the Corporation shall be a CEO, a President, a Secretary, a Treasurer and such other officers as the Board may elect, including a Chairman, a Chief Financial Officer, a Controller, one or more Vice Presidents and one or more Assistant Secretaries and Assistant Treasurers, who shall exercise such powers and perform such duties as shall be determined from time to time by resolution of the Board.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Election</w:t>
      </w:r>
      <w:r>
        <w:rPr>
          <w:rFonts w:ascii="Arial" w:cs="Arial" w:eastAsia="Arial" w:hAnsi="Arial"/>
          <w:sz w:val="16"/>
          <w:szCs w:val="16"/>
          <w:color w:val="auto"/>
        </w:rPr>
        <w:t>. The officers of the Corporation shall be elected by the Board at its annual meeting or at such other time or times as the Board shall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16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Term of Office</w:t>
      </w:r>
      <w:r>
        <w:rPr>
          <w:rFonts w:ascii="Arial" w:cs="Arial" w:eastAsia="Arial" w:hAnsi="Arial"/>
          <w:sz w:val="16"/>
          <w:szCs w:val="16"/>
          <w:color w:val="auto"/>
        </w:rPr>
        <w:t>.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99" w:name="page100"/>
    <w:bookmarkEnd w:id="99"/>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of the Corporation, if any. Any officer may be removed at any time, with or without cause, by the Board. Any vacancy occurring in any office of the Corporation may be filled by the Board. The removal of an officer, with or without cause, shall be without prejudice to the officer’s contract rights, if any. The election or appointment of an officer shall not of itself create contract rights.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Fidelity Bonds</w:t>
      </w:r>
      <w:r>
        <w:rPr>
          <w:rFonts w:ascii="Arial" w:cs="Arial" w:eastAsia="Arial" w:hAnsi="Arial"/>
          <w:sz w:val="18"/>
          <w:szCs w:val="18"/>
          <w:color w:val="auto"/>
        </w:rPr>
        <w:t>. The Corporation may secure the fidelity of any or all of its officers or agents by bond or otherwise.</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if one shall have been appointed, shall preside at all meetings of the Board and shall exercise such powers and perform such other duties as shall be determined from time to time by resolution of the Board.</w:t>
      </w:r>
    </w:p>
    <w:p>
      <w:pPr>
        <w:spacing w:after="0" w:line="13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CEO shall have general supervision over, and direction of, the business and affairs of the Corporation, subject, however, to the control of the Board and of any duly authorized committee of the Board. The CEO shall preside at all meetings of the Stockholders and at all meetings of the Board at which the Chairman (if there be one) is not present. The CEO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CEO shall perform all duties incident to the office of CEO of a corporation and such other duties as may from time to time be assigned to the CEO by resolution of the Board.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00" w:name="page101"/>
    <w:bookmarkEnd w:id="100"/>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5.7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have general supervision over, and direction of, the business and affairs of the Corporation, subject, however to the control of the CEO and the Board and any duly authorized committee of the Board. In the absence of the CEO, the President shall preside at meetings of the Stockholders and at meetings of the Board at which the Chairman (if there be one) is not present. The President may sign and execute in the name of the Corporation deeds, mortgages, bonds, contracts and other instruments, except in cases in which the signing and execution thereof shall be expressly delegated by resolution of the Board or by these By-laws to the CEO or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spacing w:after="0" w:line="11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overall supervision of the financial operations of the Corporation and shall perform all duties incident to the office of chief financial officer of a corporation and such other duties as may from time to time be assigned the Chief Financial Officer by the CEO or resolution of the Board.</w:t>
      </w:r>
    </w:p>
    <w:p>
      <w:pPr>
        <w:spacing w:after="0" w:line="140"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Controller</w:t>
      </w:r>
      <w:r>
        <w:rPr>
          <w:rFonts w:ascii="Arial" w:cs="Arial" w:eastAsia="Arial" w:hAnsi="Arial"/>
          <w:sz w:val="16"/>
          <w:szCs w:val="16"/>
          <w:color w:val="auto"/>
        </w:rPr>
        <w:t>. The Controller shall be the chief accounting officer of the Corporation and shall perform all duties incident to the office of controller of a corporation and such other duties as may from time to time be assigned the Controller by the CEO, the Chief Financial Officer or resolution of the Board.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Vice Presidents</w:t>
      </w:r>
      <w:r>
        <w:rPr>
          <w:rFonts w:ascii="Arial" w:cs="Arial" w:eastAsia="Arial" w:hAnsi="Arial"/>
          <w:sz w:val="16"/>
          <w:szCs w:val="16"/>
          <w:color w:val="auto"/>
        </w:rPr>
        <w:t>. The Vice-Presidents shall perform such duties as may from time to time be assigned to such Vice Presidents by the CEO,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President 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01" w:name="page102"/>
    <w:bookmarkEnd w:id="10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 of the Board. At the request of the CEO or, in the absence of the CEO, the President, or, in the President’s absence, at the request of the Board, the Vice Presidents shall (in such order as may be designated by the Board, or, in the absence of any such designation, in order of seniority based on age) perform all of the duties of the President and, in so performing, shall have all the powers of, and be subject to all restrictions upon, the President. Any Vice President may sign 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w:t>
      </w:r>
    </w:p>
    <w:p>
      <w:pPr>
        <w:spacing w:after="0" w:line="144"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the CEO or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 affix the seal of the Corporation and to attest the same by such officer’s signature. The Secretary or an Assistant Secretary may also attest all instruments signed by the CEO,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02" w:name="page103"/>
    <w:bookmarkEnd w:id="102"/>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by the CEO or by the President.</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CEO, the President or the Board, whenever the CEO,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resolution of the Board, by the CEO or by the President.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03" w:name="page104"/>
    <w:bookmarkEnd w:id="103"/>
    <w:p>
      <w:pPr>
        <w:ind w:right="1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5.13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Assistant Secretaries and Assistant Treasurers shall perform such duties as shall be assigned to them by the Secretary or by the Treasurer, respectively, or by resolution of the Board, by the CEO or by the President.</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6</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INDEMNIFICATION</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in connection with such Proceeding.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280" w:right="339" w:bottom="1440" w:gutter="0" w:footer="0" w:header="0"/>
        </w:sectPr>
      </w:pPr>
    </w:p>
    <w:bookmarkStart w:id="104" w:name="page105"/>
    <w:bookmarkEnd w:id="104"/>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xml:space="preserve">. The Corporation shall pay the expenses (including attorneys’ fees) incurred by a Covered Person in defending any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113"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1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6 shall not be exclusive of any other rights that such Covered Person may have or hereafter acquire under any statute, provision of the Certificate of Incorporation, these By-laws, agreement, vote of stockholders or disinterested directors or otherwise.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Other Sources</w:t>
      </w:r>
      <w:r>
        <w:rPr>
          <w:rFonts w:ascii="Arial" w:cs="Arial" w:eastAsia="Arial" w:hAnsi="Arial"/>
          <w:sz w:val="16"/>
          <w:szCs w:val="16"/>
          <w:color w:val="auto"/>
        </w:rPr>
        <w:t>. The Corporation’s obligation, if any, to indemnify or to advance expenses to any Covered Person who was or is serving at 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request as a</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80" w:right="339" w:bottom="1440" w:gutter="0" w:footer="0" w:header="0"/>
        </w:sectPr>
      </w:pPr>
    </w:p>
    <w:bookmarkStart w:id="105" w:name="page106"/>
    <w:bookmarkEnd w:id="105"/>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officer, employee or agent of an Other Entity shall be reduced by any amount such Covered Person collects as indemnification or advancement of expenses from such Other Entity.</w:t>
      </w:r>
    </w:p>
    <w:p>
      <w:pPr>
        <w:spacing w:after="0" w:line="132"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Article 6 shall not adversely affect any right or protection hereunder of any Covered Person in respect of any act or omission occurring prior to the time of such repeal or modification.</w:t>
      </w:r>
    </w:p>
    <w:p>
      <w:pPr>
        <w:spacing w:after="0" w:line="85"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Other Indemnification and Prepayment of Expenses</w:t>
      </w:r>
      <w:r>
        <w:rPr>
          <w:rFonts w:ascii="Arial" w:cs="Arial" w:eastAsia="Arial" w:hAnsi="Arial"/>
          <w:sz w:val="16"/>
          <w:szCs w:val="16"/>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Certificates Representing Shares</w:t>
      </w:r>
      <w:r>
        <w:rPr>
          <w:rFonts w:ascii="Arial" w:cs="Arial" w:eastAsia="Arial" w:hAnsi="Arial"/>
          <w:sz w:val="16"/>
          <w:szCs w:val="16"/>
          <w:color w:val="auto"/>
        </w:rPr>
        <w:t>. Every holder of stock shall be entitled to have a certificate signed by or in the name of the Corporation by the Chairman, if any, the CEO, the President or a 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 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106" w:name="page107"/>
    <w:bookmarkEnd w:id="106"/>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43"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Seal</w:t>
      </w:r>
      <w:r>
        <w:rPr>
          <w:rFonts w:ascii="Arial" w:cs="Arial" w:eastAsia="Arial" w:hAnsi="Arial"/>
          <w:sz w:val="16"/>
          <w:szCs w:val="16"/>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07" w:name="page108"/>
    <w:bookmarkEnd w:id="10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7.6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w:t>
      </w:r>
    </w:p>
    <w:p>
      <w:pPr>
        <w:spacing w:after="0" w:line="171" w:lineRule="exact"/>
        <w:rPr>
          <w:sz w:val="20"/>
          <w:szCs w:val="20"/>
          <w:color w:val="auto"/>
        </w:rPr>
      </w:pPr>
    </w:p>
    <w:p>
      <w:pPr>
        <w:ind w:firstLine="913"/>
        <w:spacing w:after="0" w:line="23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Subject to the provisions of the Certificate of Incorporation, these By-laws may be altered, amended or repealed and new By-laws may be adopted either (i) by the Board or (ii) by the affirmative vote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shares of stock present in person or represented by proxy and entitled to vote thereon. The power of the Board to alter, amend or repeal By-laws or to adopt new By-laws shall not divest or limit the power of Stockholders to alter, amend or repeal By-laws or to adopt new By-laws.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80"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4.1</w:t>
      </w:r>
    </w:p>
    <w:p>
      <w:pPr>
        <w:spacing w:after="0" w:line="9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REGISTRATION RIGHTS AGREEMENT</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 the STOCKHOLDERS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222885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October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131445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80" w:type="dxa"/>
            <w:vAlign w:val="bottom"/>
            <w:vMerge w:val="restart"/>
          </w:tcPr>
          <w:p>
            <w:pPr>
              <w:spacing w:after="0"/>
              <w:rPr>
                <w:sz w:val="20"/>
                <w:szCs w:val="20"/>
                <w:color w:val="auto"/>
              </w:rPr>
            </w:pPr>
            <w:r>
              <w:rPr>
                <w:rFonts w:ascii="Arial" w:cs="Arial" w:eastAsia="Arial" w:hAnsi="Arial"/>
                <w:sz w:val="18"/>
                <w:szCs w:val="18"/>
                <w:color w:val="auto"/>
                <w:w w:val="97"/>
              </w:rPr>
              <w:t>1.(a)</w:t>
            </w:r>
          </w:p>
        </w:tc>
        <w:tc>
          <w:tcPr>
            <w:tcW w:w="10760" w:type="dxa"/>
            <w:vAlign w:val="bottom"/>
            <w:gridSpan w:val="4"/>
            <w:vMerge w:val="restart"/>
          </w:tcPr>
          <w:p>
            <w:pPr>
              <w:ind w:left="6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380" w:type="dxa"/>
            <w:vAlign w:val="bottom"/>
            <w:vMerge w:val="continue"/>
          </w:tcPr>
          <w:p>
            <w:pPr>
              <w:spacing w:after="0"/>
              <w:rPr>
                <w:sz w:val="17"/>
                <w:szCs w:val="17"/>
                <w:color w:val="auto"/>
              </w:rPr>
            </w:pPr>
          </w:p>
        </w:tc>
        <w:tc>
          <w:tcPr>
            <w:tcW w:w="10760" w:type="dxa"/>
            <w:vAlign w:val="bottom"/>
            <w:gridSpan w:val="4"/>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Interpretation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General; Securities Subject to this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Grant of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Registrable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Holders of Registrable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Transfer of Registration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Request for 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Incidental or “Piggy-Back” Rights with Respect to a 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Effective 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(e)</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Underwriting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(f)</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Selection of Underwriters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(g)</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Incidental or “Piggy-Back”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Request for Incidental or “Piggy-Back”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Form S-3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Request for a Form S-3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Form S-3 Underwriting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Limitations on Form S-3 Registrations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(e)</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Automatic Shelf Registration 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Hedging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Holdback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Restrictions on Public Sale by Designated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Restrictions on Public Sale by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Registration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Obligations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Seller Requirements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Notice to Discontinue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Registration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Indemnification;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360" w:type="dxa"/>
            <w:vAlign w:val="bottom"/>
            <w:gridSpan w:val="2"/>
          </w:tcPr>
          <w:p>
            <w:pPr>
              <w:jc w:val="center"/>
              <w:ind w:right="45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0" w:name="page111"/>
    <w:bookmarkEnd w:id="110"/>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6980" w:type="dxa"/>
            <w:vAlign w:val="bottom"/>
          </w:tcPr>
          <w:p>
            <w:pPr>
              <w:ind w:left="60"/>
              <w:spacing w:after="0"/>
              <w:rPr>
                <w:sz w:val="20"/>
                <w:szCs w:val="20"/>
                <w:color w:val="auto"/>
              </w:rPr>
            </w:pPr>
            <w:r>
              <w:rPr>
                <w:rFonts w:ascii="Arial" w:cs="Arial" w:eastAsia="Arial" w:hAnsi="Arial"/>
                <w:sz w:val="18"/>
                <w:szCs w:val="18"/>
                <w:color w:val="auto"/>
              </w:rPr>
              <w:t>Indemnification by the Company</w:t>
            </w:r>
          </w:p>
        </w:tc>
        <w:tc>
          <w:tcPr>
            <w:tcW w:w="3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(b)</w:t>
            </w:r>
          </w:p>
        </w:tc>
        <w:tc>
          <w:tcPr>
            <w:tcW w:w="6980" w:type="dxa"/>
            <w:vAlign w:val="bottom"/>
          </w:tcPr>
          <w:p>
            <w:pPr>
              <w:ind w:left="60"/>
              <w:spacing w:after="0"/>
              <w:rPr>
                <w:sz w:val="20"/>
                <w:szCs w:val="20"/>
                <w:color w:val="auto"/>
              </w:rPr>
            </w:pPr>
            <w:r>
              <w:rPr>
                <w:rFonts w:ascii="Arial" w:cs="Arial" w:eastAsia="Arial" w:hAnsi="Arial"/>
                <w:sz w:val="18"/>
                <w:szCs w:val="18"/>
                <w:color w:val="auto"/>
              </w:rPr>
              <w:t>Indemnification by Designated Stockholders</w:t>
            </w:r>
          </w:p>
        </w:tc>
        <w:tc>
          <w:tcPr>
            <w:tcW w:w="3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(c)</w:t>
            </w:r>
          </w:p>
        </w:tc>
        <w:tc>
          <w:tcPr>
            <w:tcW w:w="6980" w:type="dxa"/>
            <w:vAlign w:val="bottom"/>
          </w:tcPr>
          <w:p>
            <w:pPr>
              <w:ind w:left="60"/>
              <w:spacing w:after="0"/>
              <w:rPr>
                <w:sz w:val="20"/>
                <w:szCs w:val="20"/>
                <w:color w:val="auto"/>
              </w:rPr>
            </w:pPr>
            <w:r>
              <w:rPr>
                <w:rFonts w:ascii="Arial" w:cs="Arial" w:eastAsia="Arial" w:hAnsi="Arial"/>
                <w:sz w:val="18"/>
                <w:szCs w:val="18"/>
                <w:color w:val="auto"/>
              </w:rPr>
              <w:t>Conduct of Indemnification Proceedings</w:t>
            </w:r>
          </w:p>
        </w:tc>
        <w:tc>
          <w:tcPr>
            <w:tcW w:w="3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8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(d)</w:t>
            </w:r>
          </w:p>
        </w:tc>
        <w:tc>
          <w:tcPr>
            <w:tcW w:w="6980" w:type="dxa"/>
            <w:vAlign w:val="bottom"/>
          </w:tcPr>
          <w:p>
            <w:pPr>
              <w:ind w:left="60"/>
              <w:spacing w:after="0"/>
              <w:rPr>
                <w:sz w:val="20"/>
                <w:szCs w:val="20"/>
                <w:color w:val="auto"/>
              </w:rPr>
            </w:pPr>
            <w:r>
              <w:rPr>
                <w:rFonts w:ascii="Arial" w:cs="Arial" w:eastAsia="Arial" w:hAnsi="Arial"/>
                <w:sz w:val="18"/>
                <w:szCs w:val="18"/>
                <w:color w:val="auto"/>
              </w:rPr>
              <w:t>Contribution</w:t>
            </w:r>
          </w:p>
        </w:tc>
        <w:tc>
          <w:tcPr>
            <w:tcW w:w="3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7340" w:type="dxa"/>
            <w:vAlign w:val="bottom"/>
            <w:gridSpan w:val="2"/>
          </w:tcPr>
          <w:p>
            <w:pPr>
              <w:ind w:left="60"/>
              <w:spacing w:after="0"/>
              <w:rPr>
                <w:sz w:val="20"/>
                <w:szCs w:val="20"/>
                <w:color w:val="auto"/>
              </w:rPr>
            </w:pPr>
            <w:r>
              <w:rPr>
                <w:rFonts w:ascii="Arial" w:cs="Arial" w:eastAsia="Arial" w:hAnsi="Arial"/>
                <w:sz w:val="18"/>
                <w:szCs w:val="18"/>
                <w:color w:val="auto"/>
              </w:rPr>
              <w:t>Rule 144</w:t>
            </w:r>
          </w:p>
        </w:tc>
        <w:tc>
          <w:tcPr>
            <w:tcW w:w="3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7340" w:type="dxa"/>
            <w:vAlign w:val="bottom"/>
            <w:gridSpan w:val="2"/>
          </w:tcPr>
          <w:p>
            <w:pPr>
              <w:ind w:left="60"/>
              <w:spacing w:after="0"/>
              <w:rPr>
                <w:sz w:val="20"/>
                <w:szCs w:val="20"/>
                <w:color w:val="auto"/>
              </w:rPr>
            </w:pPr>
            <w:r>
              <w:rPr>
                <w:rFonts w:ascii="Arial" w:cs="Arial" w:eastAsia="Arial" w:hAnsi="Arial"/>
                <w:sz w:val="18"/>
                <w:szCs w:val="18"/>
                <w:color w:val="auto"/>
              </w:rPr>
              <w:t>Miscellaneous</w:t>
            </w:r>
          </w:p>
        </w:tc>
        <w:tc>
          <w:tcPr>
            <w:tcW w:w="3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6980" w:type="dxa"/>
            <w:vAlign w:val="bottom"/>
          </w:tcPr>
          <w:p>
            <w:pPr>
              <w:ind w:left="60"/>
              <w:spacing w:after="0"/>
              <w:rPr>
                <w:sz w:val="20"/>
                <w:szCs w:val="20"/>
                <w:color w:val="auto"/>
              </w:rPr>
            </w:pPr>
            <w:r>
              <w:rPr>
                <w:rFonts w:ascii="Arial" w:cs="Arial" w:eastAsia="Arial" w:hAnsi="Arial"/>
                <w:sz w:val="18"/>
                <w:szCs w:val="18"/>
                <w:color w:val="auto"/>
              </w:rPr>
              <w:t>Stock Splits, etc.</w:t>
            </w:r>
          </w:p>
        </w:tc>
        <w:tc>
          <w:tcPr>
            <w:tcW w:w="3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(b)</w:t>
            </w:r>
          </w:p>
        </w:tc>
        <w:tc>
          <w:tcPr>
            <w:tcW w:w="6980" w:type="dxa"/>
            <w:vAlign w:val="bottom"/>
          </w:tcPr>
          <w:p>
            <w:pPr>
              <w:ind w:left="60"/>
              <w:spacing w:after="0"/>
              <w:rPr>
                <w:sz w:val="20"/>
                <w:szCs w:val="20"/>
                <w:color w:val="auto"/>
              </w:rPr>
            </w:pPr>
            <w:r>
              <w:rPr>
                <w:rFonts w:ascii="Arial" w:cs="Arial" w:eastAsia="Arial" w:hAnsi="Arial"/>
                <w:sz w:val="18"/>
                <w:szCs w:val="18"/>
                <w:color w:val="auto"/>
              </w:rPr>
              <w:t>No Inconsistent Agreements</w:t>
            </w:r>
          </w:p>
        </w:tc>
        <w:tc>
          <w:tcPr>
            <w:tcW w:w="3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(c)</w:t>
            </w:r>
          </w:p>
        </w:tc>
        <w:tc>
          <w:tcPr>
            <w:tcW w:w="6980" w:type="dxa"/>
            <w:vAlign w:val="bottom"/>
          </w:tcPr>
          <w:p>
            <w:pPr>
              <w:ind w:left="60"/>
              <w:spacing w:after="0"/>
              <w:rPr>
                <w:sz w:val="20"/>
                <w:szCs w:val="20"/>
                <w:color w:val="auto"/>
              </w:rPr>
            </w:pPr>
            <w:r>
              <w:rPr>
                <w:rFonts w:ascii="Arial" w:cs="Arial" w:eastAsia="Arial" w:hAnsi="Arial"/>
                <w:sz w:val="18"/>
                <w:szCs w:val="18"/>
                <w:color w:val="auto"/>
              </w:rPr>
              <w:t>Remedies</w:t>
            </w:r>
          </w:p>
        </w:tc>
        <w:tc>
          <w:tcPr>
            <w:tcW w:w="3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(d)</w:t>
            </w:r>
          </w:p>
        </w:tc>
        <w:tc>
          <w:tcPr>
            <w:tcW w:w="698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3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(e)</w:t>
            </w:r>
          </w:p>
        </w:tc>
        <w:tc>
          <w:tcPr>
            <w:tcW w:w="6980" w:type="dxa"/>
            <w:vAlign w:val="bottom"/>
          </w:tcPr>
          <w:p>
            <w:pPr>
              <w:ind w:left="60"/>
              <w:spacing w:after="0"/>
              <w:rPr>
                <w:sz w:val="20"/>
                <w:szCs w:val="20"/>
                <w:color w:val="auto"/>
              </w:rPr>
            </w:pPr>
            <w:r>
              <w:rPr>
                <w:rFonts w:ascii="Arial" w:cs="Arial" w:eastAsia="Arial" w:hAnsi="Arial"/>
                <w:sz w:val="18"/>
                <w:szCs w:val="18"/>
                <w:color w:val="auto"/>
              </w:rPr>
              <w:t>Notices</w:t>
            </w:r>
          </w:p>
        </w:tc>
        <w:tc>
          <w:tcPr>
            <w:tcW w:w="3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(f)</w:t>
            </w:r>
          </w:p>
        </w:tc>
        <w:tc>
          <w:tcPr>
            <w:tcW w:w="6980" w:type="dxa"/>
            <w:vAlign w:val="bottom"/>
          </w:tcPr>
          <w:p>
            <w:pPr>
              <w:ind w:left="60"/>
              <w:spacing w:after="0"/>
              <w:rPr>
                <w:sz w:val="20"/>
                <w:szCs w:val="20"/>
                <w:color w:val="auto"/>
              </w:rPr>
            </w:pPr>
            <w:r>
              <w:rPr>
                <w:rFonts w:ascii="Arial" w:cs="Arial" w:eastAsia="Arial" w:hAnsi="Arial"/>
                <w:sz w:val="18"/>
                <w:szCs w:val="18"/>
                <w:color w:val="auto"/>
              </w:rPr>
              <w:t>Permitted Assignees; Third Party Beneficiaries</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(g)</w:t>
            </w:r>
          </w:p>
        </w:tc>
        <w:tc>
          <w:tcPr>
            <w:tcW w:w="698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(h)</w:t>
            </w:r>
          </w:p>
        </w:tc>
        <w:tc>
          <w:tcPr>
            <w:tcW w:w="6980" w:type="dxa"/>
            <w:vAlign w:val="bottom"/>
          </w:tcPr>
          <w:p>
            <w:pPr>
              <w:ind w:left="60"/>
              <w:spacing w:after="0"/>
              <w:rPr>
                <w:sz w:val="20"/>
                <w:szCs w:val="20"/>
                <w:color w:val="auto"/>
              </w:rPr>
            </w:pPr>
            <w:r>
              <w:rPr>
                <w:rFonts w:ascii="Arial" w:cs="Arial" w:eastAsia="Arial" w:hAnsi="Arial"/>
                <w:sz w:val="18"/>
                <w:szCs w:val="18"/>
                <w:color w:val="auto"/>
              </w:rPr>
              <w:t>Headings</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(i)</w:t>
            </w:r>
          </w:p>
        </w:tc>
        <w:tc>
          <w:tcPr>
            <w:tcW w:w="698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(j)</w:t>
            </w:r>
          </w:p>
        </w:tc>
        <w:tc>
          <w:tcPr>
            <w:tcW w:w="69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(k)</w:t>
            </w:r>
          </w:p>
        </w:tc>
        <w:tc>
          <w:tcPr>
            <w:tcW w:w="698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(l)</w:t>
            </w:r>
          </w:p>
        </w:tc>
        <w:tc>
          <w:tcPr>
            <w:tcW w:w="698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(m)</w:t>
            </w:r>
          </w:p>
        </w:tc>
        <w:tc>
          <w:tcPr>
            <w:tcW w:w="698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8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(n)</w:t>
            </w:r>
          </w:p>
        </w:tc>
        <w:tc>
          <w:tcPr>
            <w:tcW w:w="6980" w:type="dxa"/>
            <w:vAlign w:val="bottom"/>
          </w:tcPr>
          <w:p>
            <w:pPr>
              <w:ind w:left="60"/>
              <w:spacing w:after="0"/>
              <w:rPr>
                <w:sz w:val="20"/>
                <w:szCs w:val="20"/>
                <w:color w:val="auto"/>
              </w:rPr>
            </w:pPr>
            <w:r>
              <w:rPr>
                <w:rFonts w:ascii="Arial" w:cs="Arial" w:eastAsia="Arial" w:hAnsi="Arial"/>
                <w:sz w:val="18"/>
                <w:szCs w:val="18"/>
                <w:color w:val="auto"/>
              </w:rPr>
              <w:t>Other Agreements</w:t>
            </w:r>
          </w:p>
        </w:tc>
        <w:tc>
          <w:tcPr>
            <w:tcW w:w="38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71"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REGISTRATION RIGHTS AGREEMENT, dated as of October 25, 2006, by and among ExlService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stockholders that are party to this Agreement from time to time, as set forth on the signature page hereto.</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intends to consummate an Initial Public Offering (as hereinafter defined);</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the parties hereto desire to provide for, among other things, the grant of registration rights with respect to the Registrable Securities (as hereinafter defined) in contemplation of such Initial Public Offering.</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adequacy of which are hereby acknowledged, the parties hereto agree as follows: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 (a)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and unless the context requires a different meaning, the following terms have the meanings indicated:</w:t>
      </w:r>
    </w:p>
    <w:p>
      <w:pPr>
        <w:spacing w:after="0" w:line="113" w:lineRule="exact"/>
        <w:rPr>
          <w:sz w:val="20"/>
          <w:szCs w:val="20"/>
          <w:color w:val="auto"/>
        </w:rPr>
      </w:pPr>
    </w:p>
    <w:p>
      <w:pPr>
        <w:jc w:val="both"/>
        <w:ind w:right="1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Person,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 Person, shall mean the possession, directly or indirectly, of the power to direct or cause the direction of the management or policies of such Person, whether through the ownership of voting securities, by agreement or otherwise.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Registration Rights Agreement as the same may be amended, supplemented or modified in accordance with the terms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Underwriter</w:t>
      </w:r>
      <w:r>
        <w:rPr>
          <w:rFonts w:ascii="Arial" w:cs="Arial" w:eastAsia="Arial" w:hAnsi="Arial"/>
          <w:sz w:val="18"/>
          <w:szCs w:val="18"/>
          <w:color w:val="auto"/>
        </w:rPr>
        <w:t>” has the meaning set forth in Section 3(f)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means an “automatic shelf registration statement” as defined in Rule 405 promulgated under the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in the State of New York or Delaware are authorized or required by law or executive order to close.</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with respect to the Registrable Securities, as of the date of determination, (a) if the Registrable Securities are listed on a national securities exchange, the closing price per share of a Registrable Security on such date published in</w:t>
      </w:r>
    </w:p>
    <w:p>
      <w:pPr>
        <w:sectPr>
          <w:pgSz w:w="11900" w:h="16838" w:orient="portrait"/>
          <w:cols w:equalWidth="0" w:num="1">
            <w:col w:w="11420"/>
          </w:cols>
          <w:pgMar w:left="240" w:top="280" w:right="239" w:bottom="1440" w:gutter="0" w:footer="0" w:header="0"/>
        </w:sectPr>
      </w:pPr>
    </w:p>
    <w:bookmarkStart w:id="112" w:name="page113"/>
    <w:bookmarkEnd w:id="112"/>
    <w:p>
      <w:pPr>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Wall Street Journal (National Edition)</w:t>
      </w:r>
      <w:r>
        <w:rPr>
          <w:rFonts w:ascii="Arial" w:cs="Arial" w:eastAsia="Arial" w:hAnsi="Arial"/>
          <w:sz w:val="16"/>
          <w:szCs w:val="16"/>
          <w:color w:val="auto"/>
        </w:rPr>
        <w:t xml:space="preserve"> or, if no such closing price on such date is published in </w:t>
      </w:r>
      <w:r>
        <w:rPr>
          <w:rFonts w:ascii="Arial" w:cs="Arial" w:eastAsia="Arial" w:hAnsi="Arial"/>
          <w:sz w:val="16"/>
          <w:szCs w:val="16"/>
          <w:u w:val="single" w:color="auto"/>
          <w:color w:val="auto"/>
        </w:rPr>
        <w:t>The Wall Street Journal (National Edition)</w:t>
      </w:r>
      <w:r>
        <w:rPr>
          <w:rFonts w:ascii="Arial" w:cs="Arial" w:eastAsia="Arial" w:hAnsi="Arial"/>
          <w:sz w:val="16"/>
          <w:szCs w:val="16"/>
          <w:color w:val="auto"/>
        </w:rPr>
        <w:t>, the average of the closing bid and asked prices on such date, as officially reported on the principal national securities exchange on which the Registrable Securities are then listed or admitted to trading; or (b), if the Security is not listed or admitted to trading on any national securities exchange, the last sale price or, if such last sale price is not reported, the average of the high bid and low asked prices in the over-the-counter market, as reported by The Nasdaq Stock Market LLC or such other system then in use; or (c) if on any such date the Security is not quoted by any such organization, the average of the closing bid and asked prices as furnished by a professional market maker making a market in the Security selected by the Company; or (d) if none of (a), (b) or (c) is applicable, a market price per share determined in good faith by the Board of Directors. If trading is conducted on a continuous basis on any exchange, then the closing price shall be as set forth at 4:00 P.M. New York City time.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Securities and Exchange Commission or any similar agency then having jurisdiction to enforce the Securities Act.</w:t>
      </w:r>
    </w:p>
    <w:p>
      <w:pPr>
        <w:spacing w:after="0" w:line="194" w:lineRule="exact"/>
        <w:rPr>
          <w:sz w:val="20"/>
          <w:szCs w:val="20"/>
          <w:color w:val="auto"/>
        </w:rPr>
      </w:pPr>
    </w:p>
    <w:p>
      <w:pPr>
        <w:jc w:val="both"/>
        <w:ind w:right="40" w:firstLine="913"/>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(i) the Common Stock, par value $0.001 per share, of the Company, (ii) any other common stock of the Company, (iii) any securities of the Company or any successor or assign of the Company into which such stock described in clauses (i) and (ii) is reclassified or reconstituted or into which such stock is converted or otherwise exchanged in connection with a combination of shares, recapitalization, merger, sale of assets, consolidation or other reorganization or otherwise or (iv) any securities received as a dividend or distribution in respect of the securities described in clauses (i), (ii), and (iii) above.</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Free Writing Prospectus</w:t>
      </w:r>
      <w:r>
        <w:rPr>
          <w:rFonts w:ascii="Arial" w:cs="Arial" w:eastAsia="Arial" w:hAnsi="Arial"/>
          <w:sz w:val="18"/>
          <w:szCs w:val="18"/>
          <w:color w:val="auto"/>
        </w:rPr>
        <w:t>” means each Free Writing Prospectus prepared by or on behalf of the Company or used or referred to by the Company in connection with the offering of Registrable Securities.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Underwriter</w:t>
      </w:r>
      <w:r>
        <w:rPr>
          <w:rFonts w:ascii="Arial" w:cs="Arial" w:eastAsia="Arial" w:hAnsi="Arial"/>
          <w:sz w:val="18"/>
          <w:szCs w:val="18"/>
          <w:color w:val="auto"/>
        </w:rPr>
        <w:t>” has the meaning set forth in Section 4(a)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set forth in Section 3(a) of this Agreement.</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Stockholder</w:t>
      </w:r>
      <w:r>
        <w:rPr>
          <w:rFonts w:ascii="Arial" w:cs="Arial" w:eastAsia="Arial" w:hAnsi="Arial"/>
          <w:sz w:val="16"/>
          <w:szCs w:val="16"/>
          <w:color w:val="auto"/>
        </w:rPr>
        <w:t>” means collectively Financial Technology Ventures (Q), L.P., Financial Technology Ventures, L.P., Financial Technology Ventures II (Q), L.P., Financial Technology Ventures II, L.P., Oak Hill Capital Management Partners, L.P., Oak Hill Capital Partners, L.P., Vikram Talwar, the Vikram Talwar 2004 Spousal Lifetime Access Trust, the Vikram Talwar 2004 Grantor Retained Annuity Trust, the Urvashi Talwar 2004 Spousal Lifetime Access Trust, Rohit Kapoor, the Rohit Kapoor 2005 Spousal Lifetime Access Trust, the Shikha Kapoor 2005 Family Trust, the Rohit Kapoor 2005 Grantor Retained Annuity Trust and the assignees of each of the foregoing as permitted by Section 2(d) of this Agreement.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13" w:name="page114"/>
    <w:bookmarkEnd w:id="1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Designated Stockholders’ Counsel</w:t>
      </w:r>
      <w:r>
        <w:rPr>
          <w:rFonts w:ascii="Arial" w:cs="Arial" w:eastAsia="Arial" w:hAnsi="Arial"/>
          <w:sz w:val="18"/>
          <w:szCs w:val="18"/>
          <w:color w:val="auto"/>
        </w:rPr>
        <w:t>” has the meaning set forth in Section 8(a)(i) of this Agreement.</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Package</w:t>
      </w:r>
      <w:r>
        <w:rPr>
          <w:rFonts w:ascii="Arial" w:cs="Arial" w:eastAsia="Arial" w:hAnsi="Arial"/>
          <w:sz w:val="18"/>
          <w:szCs w:val="18"/>
          <w:color w:val="auto"/>
        </w:rPr>
        <w:t>” means, with respect to any offering of securities, (i) the preliminary Prospectus, (ii) each Free Writing Prospectus and (iii) all other information, in each case, that is deemed, under Rule 159 promulgated under the Securities Act, to have been conveyed to purchasers of securities at the time of sale of such securities (including, without limitation, a contract of sale).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thereunder.</w:t>
      </w:r>
    </w:p>
    <w:p>
      <w:pPr>
        <w:spacing w:after="0" w:line="19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Agreements</w:t>
      </w:r>
      <w:r>
        <w:rPr>
          <w:rFonts w:ascii="Arial" w:cs="Arial" w:eastAsia="Arial" w:hAnsi="Arial"/>
          <w:sz w:val="16"/>
          <w:szCs w:val="16"/>
          <w:color w:val="auto"/>
        </w:rPr>
        <w:t>” means, collectively, the (i) Stock Purchase Agreement, dated July 22, 2004, by and between the Company and NUI Investments Limited, (ii) Supplemental Stockholders Agreement, dated December 3, 2004, by and among the Company, TCV V, L.P. and TCV V Member Fund, L.P. and (iii) Option Agreement, dated as of July 1, 2004, by and between the Company and The Prudential Insurance Company of America Corporation.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promulgated under the Securities Act.</w:t>
      </w:r>
    </w:p>
    <w:p>
      <w:pPr>
        <w:spacing w:after="0" w:line="171"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FTV</w:t>
      </w:r>
      <w:r>
        <w:rPr>
          <w:rFonts w:ascii="Arial" w:cs="Arial" w:eastAsia="Arial" w:hAnsi="Arial"/>
          <w:sz w:val="18"/>
          <w:szCs w:val="18"/>
          <w:color w:val="auto"/>
        </w:rPr>
        <w:t>” means Financial Technology Ventures (Q), L.P., Financial Technology Ventures, L.P., Financial Technology Ventures II (Q), L.P. and Financial Technology Ventures II, L.P., acting collectively.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Counterparty</w:t>
      </w:r>
      <w:r>
        <w:rPr>
          <w:rFonts w:ascii="Arial" w:cs="Arial" w:eastAsia="Arial" w:hAnsi="Arial"/>
          <w:sz w:val="18"/>
          <w:szCs w:val="18"/>
          <w:color w:val="auto"/>
        </w:rPr>
        <w:t>” means a broker-dealer registered under Section 15(b) of the Exchange Act or an Affiliate thereof.</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Transaction</w:t>
      </w:r>
      <w:r>
        <w:rPr>
          <w:rFonts w:ascii="Arial" w:cs="Arial" w:eastAsia="Arial" w:hAnsi="Arial"/>
          <w:sz w:val="16"/>
          <w:szCs w:val="16"/>
          <w:color w:val="auto"/>
        </w:rPr>
        <w:t>” means any transaction involving a security linked to the Registrable Securities or any security that would be deemed to be a “derivative security” (as defined in Rule 16a-1(c) promulgated under the Exchange Act) with respect to the Registrable Securities or transaction (even if not a security) which would (were it a security) be considered such a derivative security, or which transfers some or all of the economic risk of ownership of the Registrable Securities, including, without limitation, any forward contract, equity swap, put or call, put or call equivalent position, collar, non-recourse loan, sale of exchangeable security or similar transaction. For the avoidance of doubt, the following transactions shall be deemed to be Hedging Transactions:</w:t>
      </w:r>
    </w:p>
    <w:p>
      <w:pPr>
        <w:spacing w:after="0" w:line="35" w:lineRule="exact"/>
        <w:rPr>
          <w:sz w:val="20"/>
          <w:szCs w:val="20"/>
          <w:color w:val="auto"/>
        </w:rPr>
      </w:pPr>
    </w:p>
    <w:p>
      <w:pPr>
        <w:ind w:right="560" w:firstLine="921"/>
        <w:spacing w:after="0" w:line="268" w:lineRule="auto"/>
        <w:tabs>
          <w:tab w:leader="none" w:pos="11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transactions by a Designated Stockholder in which a Hedging Counterparty engages in short sales of Registrable Securities pursuant to a Prospectus and may use Registrable Securities to close out its short position;</w:t>
      </w:r>
    </w:p>
    <w:p>
      <w:pPr>
        <w:spacing w:after="0" w:line="131" w:lineRule="exact"/>
        <w:rPr>
          <w:rFonts w:ascii="Arial" w:cs="Arial" w:eastAsia="Arial" w:hAnsi="Arial"/>
          <w:sz w:val="18"/>
          <w:szCs w:val="18"/>
          <w:color w:val="auto"/>
        </w:rPr>
      </w:pPr>
    </w:p>
    <w:p>
      <w:pPr>
        <w:ind w:right="340" w:firstLine="921"/>
        <w:spacing w:after="0" w:line="268"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transactions pursuant to which a Designated Stockholder sells short Registrable Securities pursuant to a Prospectus and delivers Registrable Securities to close out its short position;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114" w:name="page115"/>
    <w:bookmarkEnd w:id="114"/>
    <w:p>
      <w:pPr>
        <w:ind w:right="280" w:firstLine="921"/>
        <w:spacing w:after="0" w:line="259"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transactions by a Designated Stockholder in which the Designated Stockholder delivers, in a transaction exempt from registration under the Securities Act, Registrable Securities to the Hedging Counterparty who will then publicly resell or otherwise transfer such Registrable Securities pursuant to a Prospectus or an exemption from registration under the Securities Act; and</w:t>
      </w:r>
    </w:p>
    <w:p>
      <w:pPr>
        <w:spacing w:after="0" w:line="140" w:lineRule="exact"/>
        <w:rPr>
          <w:rFonts w:ascii="Arial" w:cs="Arial" w:eastAsia="Arial" w:hAnsi="Arial"/>
          <w:sz w:val="18"/>
          <w:szCs w:val="18"/>
          <w:color w:val="auto"/>
        </w:rPr>
      </w:pPr>
    </w:p>
    <w:p>
      <w:pPr>
        <w:ind w:firstLine="921"/>
        <w:spacing w:after="0" w:line="332"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loan or pledge of Registrable Securities to a Hedging Counterparty who may then become a selling stockholder and sell the loaned securities or, in an event of default in the case of a pledge, sell the pledged securities, in each case, in a public transaction pursuant to a Prospectus.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Incidental Registration</w:t>
      </w:r>
      <w:r>
        <w:rPr>
          <w:rFonts w:ascii="Arial" w:cs="Arial" w:eastAsia="Arial" w:hAnsi="Arial"/>
          <w:sz w:val="18"/>
          <w:szCs w:val="18"/>
          <w:color w:val="auto"/>
        </w:rPr>
        <w:t>” has the meaning set forth in Section 4(a)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9(c)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9(c) of this Agreement.</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means the initial public offering of the shares of Common Stock of the Company pursuant to an effective Registration Statement filed under the Securities Act.</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Holders</w:t>
      </w:r>
      <w:r>
        <w:rPr>
          <w:rFonts w:ascii="Arial" w:cs="Arial" w:eastAsia="Arial" w:hAnsi="Arial"/>
          <w:sz w:val="18"/>
          <w:szCs w:val="18"/>
          <w:color w:val="auto"/>
        </w:rPr>
        <w:t>” (a) means, at any time, the Majority Designated Stockholders and (b) upon the earlier of (A) 18 months after the consummation of the Initial Public Offering or (B) 12 months after the consummation of the Initial Public Offering if a Demand Registration has been completed, also means (i) FTV and (ii) the Management Stockholders.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has the meaning set forth in Section 8(a)(viii)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Pricing Date</w:t>
      </w:r>
      <w:r>
        <w:rPr>
          <w:rFonts w:ascii="Arial" w:cs="Arial" w:eastAsia="Arial" w:hAnsi="Arial"/>
          <w:sz w:val="18"/>
          <w:szCs w:val="18"/>
          <w:color w:val="auto"/>
        </w:rPr>
        <w:t>” means the date upon which the Company prices the Initial Public Offering.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has the meaning set forth in Section 9(a) of this Agreement.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w:t>
      </w:r>
      <w:r>
        <w:rPr>
          <w:rFonts w:ascii="Arial" w:cs="Arial" w:eastAsia="Arial" w:hAnsi="Arial"/>
          <w:sz w:val="18"/>
          <w:szCs w:val="18"/>
          <w:color w:val="auto"/>
        </w:rPr>
        <w:t>” means, with respect to each Designated Stockholder, the lock-up agreement entered into by such Designated Stockholder with the underwriters of the Initial Public Offering.</w:t>
      </w:r>
    </w:p>
    <w:p>
      <w:pPr>
        <w:spacing w:after="0" w:line="132"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Designated Stockholders</w:t>
      </w:r>
      <w:r>
        <w:rPr>
          <w:rFonts w:ascii="Arial" w:cs="Arial" w:eastAsia="Arial" w:hAnsi="Arial"/>
          <w:sz w:val="18"/>
          <w:szCs w:val="18"/>
          <w:color w:val="auto"/>
        </w:rPr>
        <w:t>” means beneficial owners of Registrable Securities representing more than 50% of the total number of outstanding Registrable Securities (on an as-converted basis).</w:t>
      </w:r>
    </w:p>
    <w:p>
      <w:pPr>
        <w:spacing w:after="0" w:line="132" w:lineRule="exact"/>
        <w:rPr>
          <w:sz w:val="20"/>
          <w:szCs w:val="20"/>
          <w:color w:val="auto"/>
        </w:rPr>
      </w:pPr>
    </w:p>
    <w:p>
      <w:pPr>
        <w:jc w:val="center"/>
        <w:ind w:left="460" w:right="70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Initiating Holders</w:t>
      </w:r>
      <w:r>
        <w:rPr>
          <w:rFonts w:ascii="Arial" w:cs="Arial" w:eastAsia="Arial" w:hAnsi="Arial"/>
          <w:sz w:val="18"/>
          <w:szCs w:val="18"/>
          <w:color w:val="auto"/>
        </w:rPr>
        <w:t>” means Initiating Holders holding a majority of the Registrable Securities held by all of the Initiating Holders. 4</w:t>
      </w:r>
    </w:p>
    <w:p>
      <w:pPr>
        <w:sectPr>
          <w:pgSz w:w="11900" w:h="16838" w:orient="portrait"/>
          <w:cols w:equalWidth="0" w:num="1">
            <w:col w:w="11400"/>
          </w:cols>
          <w:pgMar w:left="240" w:top="280" w:right="259" w:bottom="1440" w:gutter="0" w:footer="0" w:header="0"/>
        </w:sectPr>
      </w:pPr>
    </w:p>
    <w:bookmarkStart w:id="115" w:name="page116"/>
    <w:bookmarkEnd w:id="11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Majority S-3 Initiating Holders</w:t>
      </w:r>
      <w:r>
        <w:rPr>
          <w:rFonts w:ascii="Arial" w:cs="Arial" w:eastAsia="Arial" w:hAnsi="Arial"/>
          <w:sz w:val="16"/>
          <w:szCs w:val="16"/>
          <w:color w:val="auto"/>
        </w:rPr>
        <w:t>” means S-3 Initiating Holders holding a majority of the Registrable Securities held by all of the S-3 Initiating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165" w:lineRule="exact"/>
        <w:rPr>
          <w:sz w:val="20"/>
          <w:szCs w:val="20"/>
          <w:color w:val="auto"/>
        </w:rPr>
      </w:pPr>
    </w:p>
    <w:p>
      <w:pPr>
        <w:jc w:val="both"/>
        <w:ind w:right="4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Stockholders</w:t>
      </w:r>
      <w:r>
        <w:rPr>
          <w:rFonts w:ascii="Arial" w:cs="Arial" w:eastAsia="Arial" w:hAnsi="Arial"/>
          <w:sz w:val="16"/>
          <w:szCs w:val="16"/>
          <w:color w:val="auto"/>
        </w:rPr>
        <w:t>” means Vikram Talwar, the Vikram Talwar 2004 Spousal Lifetime Access Trust, the Vikram Talwar 2004 Grantor Retained Annuity Trust, the Urvashi Talwar 2004 Spousal Lifetime Access Trust, Rohit Kapoor, the Rohit Kapoor 2005 Spousal Lifetime Access Trust, the Shikha Kapoor 2005 Family Trust and the Rohit Kapoor 2005 Grantor Retained Annuity Trust, acting collectively.</w:t>
      </w:r>
    </w:p>
    <w:p>
      <w:pPr>
        <w:spacing w:after="0" w:line="107"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Price</w:t>
      </w:r>
      <w:r>
        <w:rPr>
          <w:rFonts w:ascii="Arial" w:cs="Arial" w:eastAsia="Arial" w:hAnsi="Arial"/>
          <w:sz w:val="16"/>
          <w:szCs w:val="16"/>
          <w:color w:val="auto"/>
        </w:rPr>
        <w:t xml:space="preserve">” means, on any date of determination, the average of the daily Closing Price of the Registrable Securities for the immediately preceding thirty (30) days on which the national securities exchanges are open for trading;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Closing Price is determined pursuant to clause (c) of the definition of Closing Price, the “Market Price” means such Closing Price on the date of determination.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means the National Association of Securities Dealers, Inc.</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Assignee</w:t>
      </w:r>
      <w:r>
        <w:rPr>
          <w:rFonts w:ascii="Arial" w:cs="Arial" w:eastAsia="Arial" w:hAnsi="Arial"/>
          <w:sz w:val="16"/>
          <w:szCs w:val="16"/>
          <w:color w:val="auto"/>
        </w:rPr>
        <w:t>” means, with respect to any Person, to the extent applicable, (i) such Person’s parents, spouse, siblings, children (including stepchildren and adopted children), children’s spouses, grandchildren or grandchildren’s spouses thereof (“</w:t>
      </w:r>
      <w:r>
        <w:rPr>
          <w:rFonts w:ascii="Arial" w:cs="Arial" w:eastAsia="Arial" w:hAnsi="Arial"/>
          <w:sz w:val="16"/>
          <w:szCs w:val="16"/>
          <w:u w:val="single" w:color="auto"/>
          <w:color w:val="auto"/>
        </w:rPr>
        <w:t>Family Members</w:t>
      </w:r>
      <w:r>
        <w:rPr>
          <w:rFonts w:ascii="Arial" w:cs="Arial" w:eastAsia="Arial" w:hAnsi="Arial"/>
          <w:sz w:val="16"/>
          <w:szCs w:val="16"/>
          <w:color w:val="auto"/>
        </w:rPr>
        <w:t>”), (ii) a corporation, partnership or limited liability company, a majority of the beneficial interests of which shall be held by such Person, such Person’s Affiliates and/or such Person’s Family Members, (iii) a trust, the beneficiaries of which are such Person and/or such Person’s Family Members, (iv) such Person’s heirs, executors, administrators, estate or a trust under such Person’s will, (v) an entity described in Section 501(c)(3) of the United States Internal Revenue Code of 1986, as amended, that is established by such Person, (vi) any Affiliate of such Person and (vii) any Person to whom such Person transfers Registrable Securities representing at least 0.5% of the outstanding Common Stock as of the date of such transfer.</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Withdrawal</w:t>
      </w:r>
      <w:r>
        <w:rPr>
          <w:rFonts w:ascii="Arial" w:cs="Arial" w:eastAsia="Arial" w:hAnsi="Arial"/>
          <w:sz w:val="18"/>
          <w:szCs w:val="18"/>
          <w:color w:val="auto"/>
        </w:rPr>
        <w:t>” has the meaning set forth in Section 3(g) of this Agreement.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trust, incorporated or unincorporated association, joint venture, joint stock company, limited liability company, government (or an agency or political subdivision thereof) or other entity of any kind, and shall include any successor (by merger or otherwise) of such entity.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Pledgee</w:t>
      </w:r>
      <w:r>
        <w:rPr>
          <w:rFonts w:ascii="Arial" w:cs="Arial" w:eastAsia="Arial" w:hAnsi="Arial"/>
          <w:sz w:val="18"/>
          <w:szCs w:val="18"/>
          <w:color w:val="auto"/>
        </w:rPr>
        <w:t>” has the meaning set forth in Section 2(d)(i).</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related to any Registration Statement (including, without limitation, a prospectus or prospectus supplement that discloses information previously omitted from a prospectus filed as part of an effective registration statement in reliance on Rule 415, 430A or 430B (or any successor rules or regulations) under the Securities Act), as amended or supplemented by any amendment or prospectus supplement, including post-effective amendments, and all materials incorporated by reference in such prospectus.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16" w:name="page117"/>
    <w:bookmarkEnd w:id="1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Records</w:t>
      </w:r>
      <w:r>
        <w:rPr>
          <w:rFonts w:ascii="Arial" w:cs="Arial" w:eastAsia="Arial" w:hAnsi="Arial"/>
          <w:sz w:val="18"/>
          <w:szCs w:val="18"/>
          <w:color w:val="auto"/>
        </w:rPr>
        <w:t>” has the meaning set forth in Section 8(a)(viii) of this Agreement.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subject to Section 2(b) and Section 2(d)(i), any and all shares of Common Stock now or hereafter owned by the Designated Stockholders or issued or issuable upon conversion of any convertible securities or exercise of any warrants or options now or hereafter held by any of the Designated Stockholders.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has the meaning set forth in Section 8(d)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filed pursuant to the Securities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Initiating Holders</w:t>
      </w:r>
      <w:r>
        <w:rPr>
          <w:rFonts w:ascii="Arial" w:cs="Arial" w:eastAsia="Arial" w:hAnsi="Arial"/>
          <w:sz w:val="18"/>
          <w:szCs w:val="18"/>
          <w:color w:val="auto"/>
        </w:rPr>
        <w:t>” has the meaning set forth in Section 5(a)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Participating Stockholders</w:t>
      </w:r>
      <w:r>
        <w:rPr>
          <w:rFonts w:ascii="Arial" w:cs="Arial" w:eastAsia="Arial" w:hAnsi="Arial"/>
          <w:sz w:val="18"/>
          <w:szCs w:val="18"/>
          <w:color w:val="auto"/>
        </w:rPr>
        <w:t>” has the meaning set forth in Section 5(a)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Registration</w:t>
      </w:r>
      <w:r>
        <w:rPr>
          <w:rFonts w:ascii="Arial" w:cs="Arial" w:eastAsia="Arial" w:hAnsi="Arial"/>
          <w:sz w:val="18"/>
          <w:szCs w:val="18"/>
          <w:color w:val="auto"/>
        </w:rPr>
        <w:t>” has the meaning set forth in Section 5(a)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Seasoned Issuer</w:t>
      </w:r>
      <w:r>
        <w:rPr>
          <w:rFonts w:ascii="Arial" w:cs="Arial" w:eastAsia="Arial" w:hAnsi="Arial"/>
          <w:sz w:val="16"/>
          <w:szCs w:val="16"/>
          <w:color w:val="auto"/>
        </w:rPr>
        <w:t>” means an issuer eligible to use Form S-3 or F-3 for a primary offering in reliance on General Instruction I.B.1 to those Forms.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w:t>
      </w:r>
    </w:p>
    <w:p>
      <w:pPr>
        <w:spacing w:after="0" w:line="19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public offering</w:t>
      </w:r>
      <w:r>
        <w:rPr>
          <w:rFonts w:ascii="Arial" w:cs="Arial" w:eastAsia="Arial" w:hAnsi="Arial"/>
          <w:sz w:val="18"/>
          <w:szCs w:val="18"/>
          <w:color w:val="auto"/>
        </w:rPr>
        <w:t>” of securities means a public offering of such securities registered under the Securities Act in which an underwriter, placement agent or other intermediary participates in the distribution of such securities, including, without limitation, a Hedging Transaction in which a Hedging Counterparty participates.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Business Reason</w:t>
      </w:r>
      <w:r>
        <w:rPr>
          <w:rFonts w:ascii="Arial" w:cs="Arial" w:eastAsia="Arial" w:hAnsi="Arial"/>
          <w:sz w:val="18"/>
          <w:szCs w:val="18"/>
          <w:color w:val="auto"/>
        </w:rPr>
        <w:t>” has the meaning set forth in Section 3(a) of this Agreement.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means a “well-known seasoned issuer” as defined in Rule 405 of the General Rules and Regulations promulgated under the Securities Act and which (a) is a “well-known seasoned issuer” under paragraph (1)(i)(A) of such definition or (b) is a “well-known seasoned issuer” under paragraph (1)(i)(B) of such definition and is also eligible to register a primary offering of its securities relying on General Instruction I.B.1 of Form S-3 or Form F-3 under the Securities Act.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117" w:name="page118"/>
    <w:bookmarkEnd w:id="117"/>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Interpretation</w:t>
      </w:r>
      <w:r>
        <w:rPr>
          <w:rFonts w:ascii="Arial" w:cs="Arial" w:eastAsia="Arial" w:hAnsi="Arial"/>
          <w:sz w:val="18"/>
          <w:szCs w:val="18"/>
          <w:color w:val="auto"/>
        </w:rPr>
        <w:t>. Unless otherwise noted:</w:t>
      </w:r>
    </w:p>
    <w:p>
      <w:pPr>
        <w:spacing w:after="0" w:line="90" w:lineRule="exact"/>
        <w:rPr>
          <w:rFonts w:ascii="Arial" w:cs="Arial" w:eastAsia="Arial" w:hAnsi="Arial"/>
          <w:sz w:val="18"/>
          <w:szCs w:val="18"/>
          <w:color w:val="auto"/>
        </w:rPr>
      </w:pPr>
    </w:p>
    <w:p>
      <w:pPr>
        <w:ind w:right="660" w:firstLine="1948"/>
        <w:spacing w:after="0" w:line="332" w:lineRule="auto"/>
        <w:tabs>
          <w:tab w:leader="none" w:pos="2150" w:val="left"/>
        </w:tabs>
        <w:numPr>
          <w:ilvl w:val="2"/>
          <w:numId w:val="79"/>
        </w:numPr>
        <w:rPr>
          <w:rFonts w:ascii="Arial" w:cs="Arial" w:eastAsia="Arial" w:hAnsi="Arial"/>
          <w:sz w:val="16"/>
          <w:szCs w:val="16"/>
          <w:color w:val="auto"/>
        </w:rPr>
      </w:pPr>
      <w:r>
        <w:rPr>
          <w:rFonts w:ascii="Arial" w:cs="Arial" w:eastAsia="Arial" w:hAnsi="Arial"/>
          <w:sz w:val="16"/>
          <w:szCs w:val="16"/>
          <w:color w:val="auto"/>
        </w:rPr>
        <w:t>All references to laws, rules, regulations and forms in this Agreement shall be deemed to be references to such laws, rules, regulations and forms, as amended from time to time or, to the extent replaced, the comparable successor thereto in effect at the time.</w:t>
      </w:r>
    </w:p>
    <w:p>
      <w:pPr>
        <w:spacing w:after="0" w:line="85" w:lineRule="exact"/>
        <w:rPr>
          <w:rFonts w:ascii="Arial" w:cs="Arial" w:eastAsia="Arial" w:hAnsi="Arial"/>
          <w:sz w:val="16"/>
          <w:szCs w:val="16"/>
          <w:color w:val="auto"/>
        </w:rPr>
      </w:pPr>
    </w:p>
    <w:p>
      <w:pPr>
        <w:ind w:right="660" w:firstLine="1948"/>
        <w:spacing w:after="0" w:line="268" w:lineRule="auto"/>
        <w:tabs>
          <w:tab w:leader="none" w:pos="2198"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references to agencies, self-regulatory organizations or governmental entities in this Agreement shall be deemed to be references to the comparable successor thereto.</w:t>
      </w:r>
    </w:p>
    <w:p>
      <w:pPr>
        <w:spacing w:after="0" w:line="131" w:lineRule="exact"/>
        <w:rPr>
          <w:rFonts w:ascii="Arial" w:cs="Arial" w:eastAsia="Arial" w:hAnsi="Arial"/>
          <w:sz w:val="18"/>
          <w:szCs w:val="18"/>
          <w:color w:val="auto"/>
        </w:rPr>
      </w:pPr>
    </w:p>
    <w:p>
      <w:pPr>
        <w:ind w:right="440" w:firstLine="1948"/>
        <w:spacing w:after="0" w:line="268" w:lineRule="auto"/>
        <w:tabs>
          <w:tab w:leader="none" w:pos="2247"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references to agreements and other contractual instruments shall be deemed to be references to such agreements or other instruments as they may be amended from time to time.</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General; Securities Subject to this Agreement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80"/>
        </w:numPr>
        <w:rPr>
          <w:rFonts w:ascii="Arial" w:cs="Arial" w:eastAsia="Arial" w:hAnsi="Arial"/>
          <w:sz w:val="15"/>
          <w:szCs w:val="15"/>
          <w:color w:val="auto"/>
        </w:rPr>
      </w:pPr>
      <w:r>
        <w:rPr>
          <w:rFonts w:ascii="Arial" w:cs="Arial" w:eastAsia="Arial" w:hAnsi="Arial"/>
          <w:sz w:val="15"/>
          <w:szCs w:val="15"/>
          <w:u w:val="single" w:color="auto"/>
          <w:color w:val="auto"/>
        </w:rPr>
        <w:t>Grant of Rights</w:t>
      </w:r>
      <w:r>
        <w:rPr>
          <w:rFonts w:ascii="Arial" w:cs="Arial" w:eastAsia="Arial" w:hAnsi="Arial"/>
          <w:sz w:val="15"/>
          <w:szCs w:val="15"/>
          <w:color w:val="auto"/>
        </w:rPr>
        <w:t>. The Company hereby grants registration rights to the Designated Stockholders upon the terms and conditions set forth in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5"/>
          <w:szCs w:val="15"/>
          <w:color w:val="auto"/>
        </w:rPr>
      </w:pPr>
    </w:p>
    <w:p>
      <w:pPr>
        <w:ind w:right="20" w:firstLine="1492"/>
        <w:spacing w:after="0" w:line="291" w:lineRule="auto"/>
        <w:tabs>
          <w:tab w:leader="none" w:pos="1732"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Registrable Securities</w:t>
      </w:r>
      <w:r>
        <w:rPr>
          <w:rFonts w:ascii="Arial" w:cs="Arial" w:eastAsia="Arial" w:hAnsi="Arial"/>
          <w:sz w:val="16"/>
          <w:szCs w:val="16"/>
          <w:color w:val="auto"/>
        </w:rPr>
        <w:t>. For the purposes of this Agreement, Registrable Securities held by any Designated Stockholder will cease to be Registrable Securities, when (i) a Registration Statement covering such Registrable Securities has been declared effective under the Securities Act by the Commission and such Registrable Securities have been disposed of pursuant to such effective Registration Statement (except as provided by Section 2(d)), (ii) the entire amount of the Registrable Securities held by any Designated Stockholder (x) represents less than 0.5% of the outstanding Common Stock and (y) may be sold in a single sale, in the opinion of counsel reasonably satisfactory to the Company, without any limitation as to volume pursuant to Rule 144 (or any successor rule or regulation) under the Securities Act or (iii) they have ceased to be outstanding.</w:t>
      </w:r>
    </w:p>
    <w:p>
      <w:pPr>
        <w:spacing w:after="0" w:line="120" w:lineRule="exact"/>
        <w:rPr>
          <w:rFonts w:ascii="Arial" w:cs="Arial" w:eastAsia="Arial" w:hAnsi="Arial"/>
          <w:sz w:val="16"/>
          <w:szCs w:val="16"/>
          <w:color w:val="auto"/>
        </w:rPr>
      </w:pPr>
    </w:p>
    <w:p>
      <w:pPr>
        <w:ind w:firstLine="1492"/>
        <w:spacing w:after="0" w:line="291" w:lineRule="auto"/>
        <w:tabs>
          <w:tab w:leader="none" w:pos="1722"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Holders of Registrable Securities</w:t>
      </w:r>
      <w:r>
        <w:rPr>
          <w:rFonts w:ascii="Arial" w:cs="Arial" w:eastAsia="Arial" w:hAnsi="Arial"/>
          <w:sz w:val="16"/>
          <w:szCs w:val="16"/>
          <w:color w:val="auto"/>
        </w:rPr>
        <w:t>. A Person is deemed to be a holder of Registrable Securities whenever such Person owns of record Registrable Securities, or holds an option to purchase, or a security convertible into or exercisable or exchangeable for, Registrable Securities whether or not such purchase, conversion, exercise or exchange has actually been effected. If the Company receives conflicting instructions, notices or elections from two or more Persons with respect to the same Registrable Securities, the Company may act upon the basis of the instructions, notice or election received from the registered owner of such Registrable Securities. Registrable Securities issuable upon exercise of an option or upon conversion, exercise or exchange of another security shall be deemed outstanding for the purposes of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8" w:name="page119"/>
    <w:bookmarkEnd w:id="118"/>
    <w:p>
      <w:pPr>
        <w:ind w:left="1700" w:hanging="248"/>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of Registration Rights</w:t>
      </w:r>
      <w:r>
        <w:rPr>
          <w:rFonts w:ascii="Arial" w:cs="Arial" w:eastAsia="Arial" w:hAnsi="Arial"/>
          <w:sz w:val="18"/>
          <w:szCs w:val="18"/>
          <w:color w:val="auto"/>
        </w:rPr>
        <w:t>.</w:t>
      </w:r>
    </w:p>
    <w:p>
      <w:pPr>
        <w:spacing w:after="0" w:line="90" w:lineRule="exact"/>
        <w:rPr>
          <w:sz w:val="20"/>
          <w:szCs w:val="20"/>
          <w:color w:val="auto"/>
        </w:rPr>
      </w:pPr>
    </w:p>
    <w:p>
      <w:pPr>
        <w:ind w:left="-40" w:firstLine="1492"/>
        <w:spacing w:after="0" w:line="285" w:lineRule="auto"/>
        <w:tabs>
          <w:tab w:leader="none" w:pos="1653" w:val="left"/>
        </w:tabs>
        <w:numPr>
          <w:ilvl w:val="1"/>
          <w:numId w:val="82"/>
        </w:numPr>
        <w:rPr>
          <w:rFonts w:ascii="Arial" w:cs="Arial" w:eastAsia="Arial" w:hAnsi="Arial"/>
          <w:sz w:val="16"/>
          <w:szCs w:val="16"/>
          <w:color w:val="auto"/>
        </w:rPr>
      </w:pPr>
      <w:r>
        <w:rPr>
          <w:rFonts w:ascii="Arial" w:cs="Arial" w:eastAsia="Arial" w:hAnsi="Arial"/>
          <w:sz w:val="16"/>
          <w:szCs w:val="16"/>
          <w:color w:val="auto"/>
        </w:rPr>
        <w:t>Each Designated Stockholder may transfer or pledge Registrable Securities with the associated registration rights under this Agreement (including transfers occurring by operation of law or by reason of intestacy) to a Permitted Assignee, an Affiliate of such Permitted Assignee or a pledgee (“</w:t>
      </w:r>
      <w:r>
        <w:rPr>
          <w:rFonts w:ascii="Arial" w:cs="Arial" w:eastAsia="Arial" w:hAnsi="Arial"/>
          <w:sz w:val="16"/>
          <w:szCs w:val="16"/>
          <w:u w:val="single" w:color="auto"/>
          <w:color w:val="auto"/>
        </w:rPr>
        <w:t>Pledgee</w:t>
      </w:r>
      <w:r>
        <w:rPr>
          <w:rFonts w:ascii="Arial" w:cs="Arial" w:eastAsia="Arial" w:hAnsi="Arial"/>
          <w:sz w:val="16"/>
          <w:szCs w:val="16"/>
          <w:color w:val="auto"/>
        </w:rPr>
        <w:t xml:space="preserve">”) only if (1) such Permitted Assignee, Affiliate or Pledgee agrees in writing to be bound as an Designated Stockholder by the provisions of this Agreement, with such agreement substantially in the form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and (2)(A) immediately following such transfer or pledge, the further disposition of such Registrable Securities by such Permitted Assignee, Affiliate or Pledgee would be restricted under the Securities Act and the entire amount of all such Registrable Securities could not be sold in a single sale, in the opinion of counsel reasonably satisfactory to the Company, without any limitation as to volume pursuant to Rule 144 (or any successor rule or regulation) under the Securities Act or (B) such Permitted Assignee, Affiliate or Pledgee, together with its Affiliates, beneficially owns Registrable Securities representing more than 5% of the outstanding shares of Common Stock as of the date of such transfer or pledge;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FTV and the Management Stockholders may not pursuant to this Section 2(d)(i) transfer any of their rights to act as the Initiating Holders pursuant to clause (b) of the definition thereof. Upon any transfer of Registrable Securities other than as set forth in this Section 2(d), such securities shall no longer constitute Registrable Securities, except that any Registrable Securities that are pledged or made the subject of a Hedging Transaction, which Registrable Securities are not ultimately disposed of by the Designated Stockholder pursuant to such pledge or Hedging Transaction shall, to the extent such Registrable Securities remain “restricted securities” under the Securities Act, be deemed to remain “Registrable Securities” notwithstanding the release of such pledge or the completion of such Hedging Transaction.</w:t>
      </w:r>
    </w:p>
    <w:p>
      <w:pPr>
        <w:spacing w:after="0" w:line="128" w:lineRule="exact"/>
        <w:rPr>
          <w:rFonts w:ascii="Arial" w:cs="Arial" w:eastAsia="Arial" w:hAnsi="Arial"/>
          <w:sz w:val="16"/>
          <w:szCs w:val="16"/>
          <w:color w:val="auto"/>
        </w:rPr>
      </w:pPr>
    </w:p>
    <w:p>
      <w:pPr>
        <w:ind w:left="-40" w:right="80" w:firstLine="1492"/>
        <w:spacing w:after="0" w:line="298" w:lineRule="auto"/>
        <w:tabs>
          <w:tab w:leader="none" w:pos="1702"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a Designated Stockholder assigns its rights under this Agreement in connection with the transfer of less than all of its Registrable Securities, the Designated Stockholder shall retain its rights under this Agreement with respect to its remaining Registrable Securities. If a Designated Stockholder assigns its rights under this Agreement in connection with the transfer of all of its Registrable Securities, such Designated Stockholder shall have no further rights or obligations under this Agreement, except under Section 8 hereof in respect of offerings in which it participated.</w:t>
      </w:r>
    </w:p>
    <w:p>
      <w:pPr>
        <w:spacing w:after="0" w:line="112" w:lineRule="exact"/>
        <w:rPr>
          <w:rFonts w:ascii="Arial" w:cs="Arial" w:eastAsia="Arial" w:hAnsi="Arial"/>
          <w:sz w:val="16"/>
          <w:szCs w:val="16"/>
          <w:color w:val="auto"/>
        </w:rPr>
      </w:pPr>
    </w:p>
    <w:p>
      <w:pPr>
        <w:ind w:left="1060" w:hanging="17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71" w:lineRule="exact"/>
        <w:rPr>
          <w:sz w:val="20"/>
          <w:szCs w:val="20"/>
          <w:color w:val="auto"/>
        </w:rPr>
      </w:pPr>
    </w:p>
    <w:p>
      <w:pPr>
        <w:ind w:left="-40" w:right="40" w:firstLine="1492"/>
        <w:spacing w:after="0" w:line="294" w:lineRule="auto"/>
        <w:tabs>
          <w:tab w:leader="none" w:pos="168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Request for Demand Registration</w:t>
      </w:r>
      <w:r>
        <w:rPr>
          <w:rFonts w:ascii="Arial" w:cs="Arial" w:eastAsia="Arial" w:hAnsi="Arial"/>
          <w:sz w:val="16"/>
          <w:szCs w:val="16"/>
          <w:color w:val="auto"/>
        </w:rPr>
        <w:t>. At any time, and from time to time, the Initiating Holders may make a written request to the Company to register, and the Company shall register, under the Securities Act (other than pursuant to a Registration Statement on Form S-4 or S-8 or any successor form thereto), in accordance with the terms of this Agreement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the number of Registrable Securities stated in such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effect (i) more than three such Demand Registrations, (ii) a Demand Registration if the Initiating Holders propose to sell Registrable Securities in such Demand Registration at an anticipated aggregate offering price (calculated based upon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119" w:name="page120"/>
    <w:bookmarkEnd w:id="119"/>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Market Price of the Registrable Securities on the date on which the Company receives the written request for such Demand Registration) to the public of less than $20,000,000 unless such Demand Registration includes all of the then-outstanding Registrable Securities, (iii) any such Demand Registration commencing prior to the time permitted under any applicable Lock-up Agreement of the Designated Stockholders, as such Lock-up Agreement may be amended or waived, or</w:t>
      </w:r>
    </w:p>
    <w:p>
      <w:pPr>
        <w:spacing w:after="0" w:line="1" w:lineRule="exact"/>
        <w:rPr>
          <w:sz w:val="20"/>
          <w:szCs w:val="20"/>
          <w:color w:val="auto"/>
        </w:rPr>
      </w:pPr>
    </w:p>
    <w:p>
      <w:pPr>
        <w:ind w:firstLine="8"/>
        <w:spacing w:after="0" w:line="284" w:lineRule="auto"/>
        <w:tabs>
          <w:tab w:leader="none" w:pos="2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any such Demand Registration within ninety (90) days after the effective date of any other Registration Statement of the Company (other than a Registration Statement on Form S-4 or S-8 or any successor form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each of FTV and the Management Stockholders may not exercise its right to act an Initiating Holder pursuant to clause (b) of the definition thereof (i) more than once or (ii) if such holder does not own at least 7.5% of the Company’s outstanding Common Stock as of the date such holder seeks to exercise such right. In addition, if the Board of Directors, in its good faith judgment, determines that any registration of Registrable Securities should not be made or continued because it would materially interfere with any material financing, acquisition, corporate reorganization or merger or other material transaction involving the Company (a “</w:t>
      </w:r>
      <w:r>
        <w:rPr>
          <w:rFonts w:ascii="Arial" w:cs="Arial" w:eastAsia="Arial" w:hAnsi="Arial"/>
          <w:sz w:val="16"/>
          <w:szCs w:val="16"/>
          <w:u w:val="single" w:color="auto"/>
          <w:color w:val="auto"/>
        </w:rPr>
        <w:t>Valid Business Reason</w:t>
      </w:r>
      <w:r>
        <w:rPr>
          <w:rFonts w:ascii="Arial" w:cs="Arial" w:eastAsia="Arial" w:hAnsi="Arial"/>
          <w:sz w:val="16"/>
          <w:szCs w:val="16"/>
          <w:color w:val="auto"/>
        </w:rPr>
        <w:t>”), (x) the Company may postpone filing a Registration Statement (but not the preparation of the Registration Statement) relating to a Demand Registration until such Valid Business Reason no longer exists, but in no event for more than forty-five (45) days after the date when the Demand Registration was requested or, if later, after the occurrence of the Valid Business Reason and (y) in case a Registration Statement has been filed relating to a Demand Registration, the Company, upon the approval of a majority of the Board of Directors, may postpone amending or supplementing such Registration Statement (in which case, if the Valid Business Reason no longer exists or if more than forty-five (45) days have passed since such postponement, the Initiating Holders may request the prompt amendment or supplement of such Registration Statement or request a new Demand Registration (which request shall not be counted as an additional Demand Registration for purposes of clause (i) above)). The Company shall give written notice to all Designated Stockholders of its determination to postpone a Registration Statement and of the fact that the Valid Business Reason for such postponement no longer exists, in each case, promptly after the occurrence thereof. Notwithstanding anything to the contrary contained herein, the Company may not postpone a filing under this Section 3(a) due to a Valid Business Reason more than once in any six (6) month period. Each request for a Demand Registration by the Initiating Holders shall state the amount of the Registrable Securities proposed to be sold and the intended method of disposition thereof.</w:t>
      </w:r>
    </w:p>
    <w:p>
      <w:pPr>
        <w:spacing w:after="0" w:line="127" w:lineRule="exact"/>
        <w:rPr>
          <w:rFonts w:ascii="Arial" w:cs="Arial" w:eastAsia="Arial" w:hAnsi="Arial"/>
          <w:sz w:val="16"/>
          <w:szCs w:val="16"/>
          <w:color w:val="auto"/>
        </w:rPr>
      </w:pPr>
    </w:p>
    <w:p>
      <w:pPr>
        <w:ind w:right="260" w:firstLine="1492"/>
        <w:spacing w:after="0" w:line="294" w:lineRule="auto"/>
        <w:tabs>
          <w:tab w:leader="none" w:pos="1732"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Incidental or “Piggy-Back” Rights with Respect to a Demand Registration</w:t>
      </w:r>
      <w:r>
        <w:rPr>
          <w:rFonts w:ascii="Arial" w:cs="Arial" w:eastAsia="Arial" w:hAnsi="Arial"/>
          <w:sz w:val="16"/>
          <w:szCs w:val="16"/>
          <w:color w:val="auto"/>
        </w:rPr>
        <w:t>. Any Designated Stockholder which has not requested a registration under Section 3(a) may, pursuant to this Section 3(b), offer its Registrable Securities under any Demand Registration. The Company shall (i) as promptly as practicable, but in no event later than five (5) days after the receipt of a request for a Demand Registration from an Initiating Holder, give written notice thereof to all of the Designated Stockholders (other than Initiating Holders which have requested a registration under Section 3(a)), which notice shall specify the number of Registrable Securities subject to the request for Demand Registration, the names and notice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120" w:name="page121"/>
    <w:bookmarkEnd w:id="120"/>
    <w:p>
      <w:pPr>
        <w:ind w:right="1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of the Initiating Holders and the intended method of disposition of such Registrable Securities, and (ii) subject to Section 3(e), include in the Registration Statement filed pursuant to the Demand Registration all of the Registrable Securities held by such Designated Stockholders from whom the Company has received a written request for inclusion therein within ten (10) days of the date on which the Company sent the written notice referred to in clause</w:t>
      </w:r>
    </w:p>
    <w:p>
      <w:pPr>
        <w:spacing w:after="0" w:line="1" w:lineRule="exact"/>
        <w:rPr>
          <w:sz w:val="20"/>
          <w:szCs w:val="20"/>
          <w:color w:val="auto"/>
        </w:rPr>
      </w:pPr>
    </w:p>
    <w:p>
      <w:pPr>
        <w:jc w:val="both"/>
        <w:ind w:right="220" w:firstLine="8"/>
        <w:spacing w:after="0" w:line="295" w:lineRule="auto"/>
        <w:tabs>
          <w:tab w:leader="none" w:pos="21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above. Each such request by such Designated Stockholders shall specify the number of Registrable Securities proposed to be registered. The failure of any Designated Stockholder to respond within such 10-day period referred to in clause (ii) above shall be deemed to be a waiver of such Designated Stockholder’s rights under this Section 3(b) with respect to such Demand Registration. Any Designated Stockholder may waive its rights under this Section 3(b) prior to the expiration of such 10-day period by giving written notice to the Company.</w:t>
      </w:r>
    </w:p>
    <w:p>
      <w:pPr>
        <w:spacing w:after="0" w:line="115" w:lineRule="exact"/>
        <w:rPr>
          <w:rFonts w:ascii="Arial" w:cs="Arial" w:eastAsia="Arial" w:hAnsi="Arial"/>
          <w:sz w:val="16"/>
          <w:szCs w:val="16"/>
          <w:color w:val="auto"/>
        </w:rPr>
      </w:pPr>
    </w:p>
    <w:p>
      <w:pPr>
        <w:ind w:right="100" w:firstLine="1492"/>
        <w:spacing w:after="0" w:line="318" w:lineRule="auto"/>
        <w:tabs>
          <w:tab w:leader="none" w:pos="1722"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Effective Demand Registration</w:t>
      </w:r>
      <w:r>
        <w:rPr>
          <w:rFonts w:ascii="Arial" w:cs="Arial" w:eastAsia="Arial" w:hAnsi="Arial"/>
          <w:sz w:val="15"/>
          <w:szCs w:val="15"/>
          <w:color w:val="auto"/>
        </w:rPr>
        <w:t>. The Company shall use its commercially reasonable efforts to cause any such Demand Registration to become effective as promptly as practicable but in no event later than the later of (i) one hundred and twenty (120) days after it receives a request under Section 3(a) hereof and (ii) ninety (90) days after the effective date of any other Registration Statement of the Company (other than a Registration Statement on Form S-4 or S-8 or any successor form thereto) that had been filed but not yet declared effective at the time such Demand Registration was made, and to remain continuously effective for the lesser of (i) the period during which all Registrable Securities registered in the Demand Registration are sold or (ii) 120 days.</w:t>
      </w:r>
    </w:p>
    <w:p>
      <w:pPr>
        <w:spacing w:after="0" w:line="99" w:lineRule="exact"/>
        <w:rPr>
          <w:rFonts w:ascii="Arial" w:cs="Arial" w:eastAsia="Arial" w:hAnsi="Arial"/>
          <w:sz w:val="15"/>
          <w:szCs w:val="15"/>
          <w:color w:val="auto"/>
        </w:rPr>
      </w:pPr>
    </w:p>
    <w:p>
      <w:pPr>
        <w:ind w:right="260" w:firstLine="1492"/>
        <w:spacing w:after="0" w:line="268" w:lineRule="auto"/>
        <w:tabs>
          <w:tab w:leader="none" w:pos="173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Section 3(g) or 8(d), the Company shall pay all Registration Expenses in connection with a Demand Registration, whether or not such Demand Registration becomes effective.</w:t>
      </w:r>
    </w:p>
    <w:p>
      <w:pPr>
        <w:spacing w:after="0" w:line="131" w:lineRule="exact"/>
        <w:rPr>
          <w:rFonts w:ascii="Arial" w:cs="Arial" w:eastAsia="Arial" w:hAnsi="Arial"/>
          <w:sz w:val="18"/>
          <w:szCs w:val="18"/>
          <w:color w:val="auto"/>
        </w:rPr>
      </w:pPr>
    </w:p>
    <w:p>
      <w:pPr>
        <w:ind w:firstLine="1492"/>
        <w:spacing w:after="0" w:line="287" w:lineRule="auto"/>
        <w:tabs>
          <w:tab w:leader="none" w:pos="172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Underwriting Procedures</w:t>
      </w:r>
      <w:r>
        <w:rPr>
          <w:rFonts w:ascii="Arial" w:cs="Arial" w:eastAsia="Arial" w:hAnsi="Arial"/>
          <w:sz w:val="16"/>
          <w:szCs w:val="16"/>
          <w:color w:val="auto"/>
        </w:rPr>
        <w:t xml:space="preserve">. If the Company or the Majority Initiating Holders so elect, the Company shall use its commercially reasonable efforts to cause the offering made pursuant to such Demand Registration to be in the form of a firm commitment underwritten offering and the managing underwriter or underwriters selected for such offering shall be the Approved Underwriter selected in accordance with Section 3(f). In connection with any Demand Registration under this Section 3 involving an underwritten offering, none of the Registrable Securities held by any Designated Stockholder making a request for inclusion of such Registrable Securities pursuant to Section 3(a) or 3(b) hereof shall be included in such underwritten offering unless such Designated Stockholder accepts the terms of the offering as agreed upon by the Company, the Majority Initiating Holders and the Approved Underwriter, and then only in such quantity as set forth below. If the Approved Underwriter advises the Company that the aggregate amount of such Registrable Securities requested to be included in such offering is sufficiently large to have a material adverse effect on the distribution of sales price of the Registrable Securities in such offering, then the Company shall include in such Demand Registration, to the extent of the amount that the Approved Underwriter believes may be sold without causing such material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such number of Registrable Securities of the Designated Stockholders participating in the offering under</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21" w:name="page122"/>
    <w:bookmarkEnd w:id="12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3(a) or 3(b), which Registrable Securities shall be allocated pro rata among such Designated Stockholders participating in the offering (on an as converted basis), based on the number of Registrable Securities held by each such Designated Stockholder,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any other securities of the Company requested by holders thereof to be included in such registration, pro rata among such other holders on the basis of the number of securities that each such holder requested to be included in such registration, except to the extent any such holders have agreed under the Existing Agreements to grant priority with regard to participation in such registration to any of the other holders, and </w:t>
      </w:r>
      <w:r>
        <w:rPr>
          <w:rFonts w:ascii="Arial" w:cs="Arial" w:eastAsia="Arial" w:hAnsi="Arial"/>
          <w:sz w:val="16"/>
          <w:szCs w:val="16"/>
          <w:u w:val="single" w:color="auto"/>
          <w:color w:val="auto"/>
        </w:rPr>
        <w:t>third</w:t>
      </w:r>
      <w:r>
        <w:rPr>
          <w:rFonts w:ascii="Arial" w:cs="Arial" w:eastAsia="Arial" w:hAnsi="Arial"/>
          <w:sz w:val="16"/>
          <w:szCs w:val="16"/>
          <w:color w:val="auto"/>
        </w:rPr>
        <w:t>, securities offered by the Company for its own account.</w:t>
      </w:r>
    </w:p>
    <w:p>
      <w:pPr>
        <w:spacing w:after="0" w:line="116" w:lineRule="exact"/>
        <w:rPr>
          <w:sz w:val="20"/>
          <w:szCs w:val="20"/>
          <w:color w:val="auto"/>
        </w:rPr>
      </w:pPr>
    </w:p>
    <w:p>
      <w:pPr>
        <w:ind w:right="40" w:firstLine="1492"/>
        <w:spacing w:after="0" w:line="289" w:lineRule="auto"/>
        <w:tabs>
          <w:tab w:leader="none" w:pos="1703"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Selection of Underwriters</w:t>
      </w:r>
      <w:r>
        <w:rPr>
          <w:rFonts w:ascii="Arial" w:cs="Arial" w:eastAsia="Arial" w:hAnsi="Arial"/>
          <w:sz w:val="16"/>
          <w:szCs w:val="16"/>
          <w:color w:val="auto"/>
        </w:rPr>
        <w:t xml:space="preserve">. If any Demand Registration or S-3 Registration, as the case may be, of Registrable Securities is in the form of an underwritten offering, the Company shall select and obtain one or more investment banking firms of national reputation to act as the managing underwriter or underwriters of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firm shall, in any case, also be approved by the Majority Initiating Holders or Majority S-3 Initiating Holders, as the case may be, such approval not to be unreasonably delayed or withheld. Notwithstanding the foregoing, if any S-3 Registration of Registrable Securities is in the form of a Hedging Transaction, the Majority S-3 Initiating Holders shall select and obtain an investment banking firm of national reputation to act as the managing underwriter (or the equivalent position) of the Hedging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firm shall, in any case, also be approved by the Company, such approval not to be unreasonably delayed or withheld. An investment banking firm or firms selected pursuant to this Section 3(f) shall be referred to as the “</w:t>
      </w:r>
      <w:r>
        <w:rPr>
          <w:rFonts w:ascii="Arial" w:cs="Arial" w:eastAsia="Arial" w:hAnsi="Arial"/>
          <w:sz w:val="16"/>
          <w:szCs w:val="16"/>
          <w:u w:val="single" w:color="auto"/>
          <w:color w:val="auto"/>
        </w:rPr>
        <w:t>Approved Underwriter</w:t>
      </w:r>
      <w:r>
        <w:rPr>
          <w:rFonts w:ascii="Arial" w:cs="Arial" w:eastAsia="Arial" w:hAnsi="Arial"/>
          <w:sz w:val="16"/>
          <w:szCs w:val="16"/>
          <w:color w:val="auto"/>
        </w:rPr>
        <w:t>” in this Agreement.</w:t>
      </w:r>
    </w:p>
    <w:p>
      <w:pPr>
        <w:spacing w:after="0" w:line="118" w:lineRule="exact"/>
        <w:rPr>
          <w:rFonts w:ascii="Arial" w:cs="Arial" w:eastAsia="Arial" w:hAnsi="Arial"/>
          <w:sz w:val="16"/>
          <w:szCs w:val="16"/>
          <w:color w:val="auto"/>
        </w:rPr>
      </w:pPr>
    </w:p>
    <w:p>
      <w:pPr>
        <w:jc w:val="both"/>
        <w:ind w:right="60" w:firstLine="1492"/>
        <w:spacing w:after="0" w:line="283" w:lineRule="auto"/>
        <w:tabs>
          <w:tab w:leader="none" w:pos="1732"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The Majority Initiating Holders shall be entitled to withdraw or revoke a request for a Demand Registration without the prior written consent of the Company if (i) such withdrawal or revocation is as a result of facts or circumstances arising after the date on which a request for a Demand Registration was made and the Initiating Holders reasonably determine that participation in such registration would have a material adverse effect on the Initiating Holders, (ii) the Closing Price declines by more than ten percent (10%) from the date the Initiating Holders requested such Demand Registration or</w:t>
      </w:r>
    </w:p>
    <w:p>
      <w:pPr>
        <w:spacing w:after="0" w:line="2" w:lineRule="exact"/>
        <w:rPr>
          <w:rFonts w:ascii="Arial" w:cs="Arial" w:eastAsia="Arial" w:hAnsi="Arial"/>
          <w:sz w:val="16"/>
          <w:szCs w:val="16"/>
          <w:color w:val="auto"/>
        </w:rPr>
      </w:pPr>
    </w:p>
    <w:p>
      <w:pPr>
        <w:ind w:right="120" w:firstLine="8"/>
        <w:spacing w:after="0" w:line="287" w:lineRule="auto"/>
        <w:tabs>
          <w:tab w:leader="none" w:pos="30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Initiating Holders agree to pay all fees and expenses incurred by the Company in connection with such withdrawn registration (each,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Withdrawal</w:t>
      </w:r>
      <w:r>
        <w:rPr>
          <w:rFonts w:ascii="Arial" w:cs="Arial" w:eastAsia="Arial" w:hAnsi="Arial"/>
          <w:sz w:val="16"/>
          <w:szCs w:val="16"/>
          <w:color w:val="auto"/>
        </w:rPr>
        <w:t>”). If a Permitted Withdrawal occurs under clauses (i) or (ii) above, the related Demand Registration shall be counted as a Demand Registration for purposes of Section 3(a), and if a Permitted Withdrawal occurs under clause (iii) above, the related Demand Registration shall not be counted as a Demand Registration for purposes of Section 3(a). Any Permitted Withdrawal shall constitute and effect an automatic withdrawal by all other Initiating Holders and any other Designated Stockholder participating in such Demand Registration pursuant to the provisions of Section 3(b). In addition, immediately upon determination of the price at which such Registrable Securities are to be sold in the offering, if such price is below the price which any Designated Stockholder participating in the Demand Registration finds acceptable, such Designated Stockholder shall then have the right, by written notice to the Company, to withdraw its Registrable Securities from being included in such Registration Statement.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2" w:name="page123"/>
    <w:bookmarkEnd w:id="122"/>
    <w:p>
      <w:pPr>
        <w:ind w:left="1040" w:hanging="179"/>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Incidental or “Piggy-Back” Registration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0" w:firstLine="1492"/>
        <w:spacing w:after="0" w:line="284" w:lineRule="auto"/>
        <w:tabs>
          <w:tab w:leader="none" w:pos="1662"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Request for Incidental or “Piggy-Back” Registration</w:t>
      </w:r>
      <w:r>
        <w:rPr>
          <w:rFonts w:ascii="Arial" w:cs="Arial" w:eastAsia="Arial" w:hAnsi="Arial"/>
          <w:sz w:val="16"/>
          <w:szCs w:val="16"/>
          <w:color w:val="auto"/>
        </w:rPr>
        <w:t>. At any time after the IPO Pricing Date, if the Company proposes to file a Registration Statement with respect to an offering of Common Stock by the Company for its own account (other than a Registration Statement on Form S-4 or S-8 or any successor form thereto) or for the account of any stockholder of the Company other than Designated Stockholders pursuant to Sections 3 and 5 hereof, then the Company shall give written notice of such proposed filing to each of the Designated Stockholders at least twenty (20) days before the anticipated filing date, which notice shall describe the proposed registration and distribution and offer such Designated Stockholders the opportunity to register the number of Registrable Securities that each such Designated Stockholder may request (an “</w:t>
      </w:r>
      <w:r>
        <w:rPr>
          <w:rFonts w:ascii="Arial" w:cs="Arial" w:eastAsia="Arial" w:hAnsi="Arial"/>
          <w:sz w:val="16"/>
          <w:szCs w:val="16"/>
          <w:u w:val="single" w:color="auto"/>
          <w:color w:val="auto"/>
        </w:rPr>
        <w:t>Incidental Registration</w:t>
      </w:r>
      <w:r>
        <w:rPr>
          <w:rFonts w:ascii="Arial" w:cs="Arial" w:eastAsia="Arial" w:hAnsi="Arial"/>
          <w:sz w:val="16"/>
          <w:szCs w:val="16"/>
          <w:color w:val="auto"/>
        </w:rPr>
        <w:t>”). The Company shall use its commercially reasonable efforts (within twenty (20) days after the notice provided for in the preceding sentence) to cause the managing underwriter or underwriters in the case of a proposed underwritten offering (the “</w:t>
      </w:r>
      <w:r>
        <w:rPr>
          <w:rFonts w:ascii="Arial" w:cs="Arial" w:eastAsia="Arial" w:hAnsi="Arial"/>
          <w:sz w:val="16"/>
          <w:szCs w:val="16"/>
          <w:u w:val="single" w:color="auto"/>
          <w:color w:val="auto"/>
        </w:rPr>
        <w:t>Company Underwriter</w:t>
      </w:r>
      <w:r>
        <w:rPr>
          <w:rFonts w:ascii="Arial" w:cs="Arial" w:eastAsia="Arial" w:hAnsi="Arial"/>
          <w:sz w:val="16"/>
          <w:szCs w:val="16"/>
          <w:color w:val="auto"/>
        </w:rPr>
        <w:t xml:space="preserve">”) to permit each Designated Stockholder who has requested in writing to participate in the Incidental Registration pursuant to this Section 4(a) to include the number of such Designated Stockholder’s Registrable Securities indicated by such Designated Stockholder in such offering on the same terms and conditions as the Common Stock of the Company or the account of such other stockholder, as the case may be, included therein. Prior to the effective date of the Registration Statement with respect to which such Incidental Registration has been requested, immediately upon determination of the price at which such Registrable Securities are to be sold, if such price is below the price which any Designated Stockholder who requested to participate in the Incidental Registration finds acceptable, such Designated Stockholder shall then have the right, by written notice to the Company, to withdraw its request to have its Registrable Securities included in such Registration Statement. Any withdrawal of the Registration Statement by the Company for any reason shall constitute and effect an automatic withdrawal of any Incidental Registration related thereto. In connection with any Incidental Registration under this Section 4(a) involving an underwritten offering, the Company shall not be required to include any Registrable Securities in such underwritten offering unless the Designated Stockholders thereof accept the terms of the underwritten offering as agreed upon between the Company, such other stockholders, if any, and the Company Underwriter, and then only in such quantity as set forth below. If the Company Underwriter determines that the registration of all or part of the securities that have been requested to be included would materially adversely affect the distribution or sales price of the securities in such offering, then the Company shall be required to include in such Incidental Registration, to the extent of the amount that the Company Underwriter believes may be sold without causing such material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all of the shares of Common Stock to be offered for the account of the Company, in the case of a Company initiated Incidental Registration, or the stockholders who have requested such Incidental Registration, in the case of a stockholder initiated Incidental Registration, </w:t>
      </w:r>
      <w:r>
        <w:rPr>
          <w:rFonts w:ascii="Arial" w:cs="Arial" w:eastAsia="Arial" w:hAnsi="Arial"/>
          <w:sz w:val="16"/>
          <w:szCs w:val="16"/>
          <w:u w:val="single" w:color="auto"/>
          <w:color w:val="auto"/>
        </w:rPr>
        <w:t>second</w:t>
      </w:r>
      <w:r>
        <w:rPr>
          <w:rFonts w:ascii="Arial" w:cs="Arial" w:eastAsia="Arial" w:hAnsi="Arial"/>
          <w:sz w:val="16"/>
          <w:szCs w:val="16"/>
          <w:color w:val="auto"/>
        </w:rPr>
        <w:t>, any Registrable Securities and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80" w:right="279" w:bottom="1440" w:gutter="0" w:footer="0" w:header="0"/>
        </w:sectPr>
      </w:pPr>
    </w:p>
    <w:bookmarkStart w:id="123" w:name="page124"/>
    <w:bookmarkEnd w:id="1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shares of Common Stock requested by holders thereof (including the Designated Stockholders) to be included in such registration, pro rata among the Designated Stockholders and such other holders on the basis of the number of securities that each such holder requested to be included in such registration, except to the extent any such other holders have agreed under the Existing Agreements to grant priority with regard to participation in such registration to any of the other holders, and </w:t>
      </w:r>
      <w:r>
        <w:rPr>
          <w:rFonts w:ascii="Arial" w:cs="Arial" w:eastAsia="Arial" w:hAnsi="Arial"/>
          <w:sz w:val="18"/>
          <w:szCs w:val="18"/>
          <w:u w:val="single" w:color="auto"/>
          <w:color w:val="auto"/>
        </w:rPr>
        <w:t>third</w:t>
      </w:r>
      <w:r>
        <w:rPr>
          <w:rFonts w:ascii="Arial" w:cs="Arial" w:eastAsia="Arial" w:hAnsi="Arial"/>
          <w:sz w:val="18"/>
          <w:szCs w:val="18"/>
          <w:color w:val="auto"/>
        </w:rPr>
        <w:t>, all of the shares of Common Stock to be offered for the account of the Company, in the case of a stockholder initiated Incidental Registration.</w:t>
      </w:r>
    </w:p>
    <w:p>
      <w:pPr>
        <w:spacing w:after="0" w:line="143" w:lineRule="exact"/>
        <w:rPr>
          <w:sz w:val="20"/>
          <w:szCs w:val="20"/>
          <w:color w:val="auto"/>
        </w:rPr>
      </w:pPr>
    </w:p>
    <w:p>
      <w:pPr>
        <w:ind w:right="500" w:firstLine="1492"/>
        <w:spacing w:after="0" w:line="268" w:lineRule="auto"/>
        <w:tabs>
          <w:tab w:leader="none" w:pos="173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Section 8(d), the Company shall bear all Registration Expenses in connection with any Incidental Registration pursuant to this Section 4, whether or not such Incidental Registration becomes effective.</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Form S-3 Registration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1492"/>
        <w:spacing w:after="0" w:line="285" w:lineRule="auto"/>
        <w:tabs>
          <w:tab w:leader="none" w:pos="1722"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Request for a Form S-3 Registration</w:t>
      </w:r>
      <w:r>
        <w:rPr>
          <w:rFonts w:ascii="Arial" w:cs="Arial" w:eastAsia="Arial" w:hAnsi="Arial"/>
          <w:sz w:val="16"/>
          <w:szCs w:val="16"/>
          <w:color w:val="auto"/>
        </w:rPr>
        <w:t>. Upon the Company becoming eligible for use of Form S-3 or any successor form thereto under the Securities Act in connection with a secondary public offering of its equity securities, in the event that the Company shall receive from the Majority Designated Stockholders (collectively, the “</w:t>
      </w:r>
      <w:r>
        <w:rPr>
          <w:rFonts w:ascii="Arial" w:cs="Arial" w:eastAsia="Arial" w:hAnsi="Arial"/>
          <w:sz w:val="16"/>
          <w:szCs w:val="16"/>
          <w:u w:val="single" w:color="auto"/>
          <w:color w:val="auto"/>
        </w:rPr>
        <w:t>S-3 Initiating Holders</w:t>
      </w:r>
      <w:r>
        <w:rPr>
          <w:rFonts w:ascii="Arial" w:cs="Arial" w:eastAsia="Arial" w:hAnsi="Arial"/>
          <w:sz w:val="16"/>
          <w:szCs w:val="16"/>
          <w:color w:val="auto"/>
        </w:rPr>
        <w:t>”) a written request that the Company register under the Securities Act on Form S-3 or any successor form then in effect (an ”</w:t>
      </w:r>
      <w:r>
        <w:rPr>
          <w:rFonts w:ascii="Arial" w:cs="Arial" w:eastAsia="Arial" w:hAnsi="Arial"/>
          <w:sz w:val="16"/>
          <w:szCs w:val="16"/>
          <w:u w:val="single" w:color="auto"/>
          <w:color w:val="auto"/>
        </w:rPr>
        <w:t>S-3 Registration</w:t>
      </w:r>
      <w:r>
        <w:rPr>
          <w:rFonts w:ascii="Arial" w:cs="Arial" w:eastAsia="Arial" w:hAnsi="Arial"/>
          <w:sz w:val="16"/>
          <w:szCs w:val="16"/>
          <w:color w:val="auto"/>
        </w:rPr>
        <w:t>”) the sale of all or a portion of the Registrable Securities owned by such S-3 Initiating Holders (which S-3 Registration may be a shelf registration pursuant to Rule 415 promulgated under the Securities Act (or any successor rule or regulation)), the Company shall give written notice of such request to all of the other Designated Stockholders (other than S-3 Initiating Holders which have requested an S-3 Registration under this Section 5(a)) as promptly as practicable but in no event later than ten (10) days before the anticipated filing date of such Form S-3, which notice shall describe the proposed registration, the intended method of disposition of such Registrable Securities and any other information that at the time would be appropriate to include in such notice, and offer such other Designated Stockholders the opportunity to register the number of Registrable Securities as each such Designated Stockholder may request in writing to the Company, given within ten (10) days of the date on which the Company sent the written notice of such registration. Each request for an S-3 Registration by the S-3 Initiating Holders shall state the amount of the Registrable Securities proposed to be sold and the intended method of disposition thereof. With respect to each S-3 Registration, the Company shall, subject to Section 5(b), (i) include in such offering the Registrable Securities of the S-3 Initiating Holders and the Designated Stockholders who have requested in writing to participate in such registration on the same terms and conditions as the Registrable Securities of the S-3 Initiating Holders included therein (collectively, the “</w:t>
      </w:r>
      <w:r>
        <w:rPr>
          <w:rFonts w:ascii="Arial" w:cs="Arial" w:eastAsia="Arial" w:hAnsi="Arial"/>
          <w:sz w:val="16"/>
          <w:szCs w:val="16"/>
          <w:u w:val="single" w:color="auto"/>
          <w:color w:val="auto"/>
        </w:rPr>
        <w:t>S-3 Participating Stockholders</w:t>
      </w:r>
      <w:r>
        <w:rPr>
          <w:rFonts w:ascii="Arial" w:cs="Arial" w:eastAsia="Arial" w:hAnsi="Arial"/>
          <w:sz w:val="16"/>
          <w:szCs w:val="16"/>
          <w:color w:val="auto"/>
        </w:rPr>
        <w:t>”) and (ii) use its commercially reasonable efforts to cause such registration pursuant to this Section 5(a) to become and remain effective as soon as practicable but in no event earlier than 90 days after the effective date of any other Registration Statement of the Company (other than a Registration Statement on Form S-4 or S-8 or any successor form thereto) that had been filed with the Commission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24" w:name="page125"/>
    <w:bookmarkEnd w:id="12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not yet declared effective at the time such registration was requested. Notwithstanding the foregoing, immediately upon determination of the price at which such Registrable Securities are to be sold in a S-3 Registration that is a firm commitment underwritten offering, if such price is below the price which any Participating S-3 Stockholder finds acceptable, such Participating S-3 Stockholder shall then have the right, by written notice to the Company, to withdraw its Registrable Securities from being included in such offering; provided, that such a withdrawal by any one of the S-3 Initiating Holders shall constitute and effect an automatic withdrawal by all other Participating S-3 Stockholders. If the S-3 Initiating Holders request, and if the Company is a Well-Known Seasoned Issuer, the Company shall cause such S-3 Registration to be made pursuant to an Automatic Shelf Registration Statement and may omit the names of the Participating S-3 Stockholders and the amount of the Registrable Securities to be offered thereunder.</w:t>
      </w:r>
    </w:p>
    <w:p>
      <w:pPr>
        <w:spacing w:after="0" w:line="118" w:lineRule="exact"/>
        <w:rPr>
          <w:sz w:val="20"/>
          <w:szCs w:val="20"/>
          <w:color w:val="auto"/>
        </w:rPr>
      </w:pPr>
    </w:p>
    <w:p>
      <w:pPr>
        <w:ind w:firstLine="1492"/>
        <w:spacing w:after="0" w:line="285" w:lineRule="auto"/>
        <w:tabs>
          <w:tab w:leader="none" w:pos="173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Form S-3 Underwriting Procedures</w:t>
      </w:r>
      <w:r>
        <w:rPr>
          <w:rFonts w:ascii="Arial" w:cs="Arial" w:eastAsia="Arial" w:hAnsi="Arial"/>
          <w:sz w:val="16"/>
          <w:szCs w:val="16"/>
          <w:color w:val="auto"/>
        </w:rPr>
        <w:t xml:space="preserve">. If the Majority S-3 Initiating Holders so elect, the Company shall use its commercially reasonable efforts to cause such S-3 Registration pursuant to this Section 5 to be in the form of a firm commitment underwritten offering and the managing underwriter or underwriters selected for such offering shall be the Approved Underwriter selected in accordance with Section 3(f). In connection with any S-3 Registration under Section 5(a) involving an underwritten offering, the Company shall not be required to include any Registrable Securities in such underwritten offering unless the Designated Stockholders thereof accept the terms of the underwritten offering as agreed upon between the Company, the Approved Underwriter and the Majority S-3 Initiating Holders, and then only in such quantity as set forth below. If the Approved Underwriter advises the Company that the registration of all or part of the Registrable Securities which the S-3 Initiating Holders and the other Designated Stockholders have requested to be included would materially adversely affect the distribution or sales price of the Registrable Securities in such public offering, then the Company shall include in such underwritten offering, to the extent of the amount that the Approved Underwriter believes may be sold without causing such material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such number of Registrable Securities of the Designated Stockholders participating in the offering under Section 3(a), which Registrable Securities shall be allocated pro rata among such Designated Stockholders participating in the offering (on an as converted basis), based on the number of Registrable Securities held by each such Designated Stockholder,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any other securities of the Company requested by holders thereof to be included in such registration, pro rata among such other holders on the basis of the number of securities that each such holder requested to be included in such registration, except to the extent any such holders have agreed under the Existing Agreement to grant priority with regard to participation in such registration to any of the other holders, and </w:t>
      </w:r>
      <w:r>
        <w:rPr>
          <w:rFonts w:ascii="Arial" w:cs="Arial" w:eastAsia="Arial" w:hAnsi="Arial"/>
          <w:sz w:val="16"/>
          <w:szCs w:val="16"/>
          <w:u w:val="single" w:color="auto"/>
          <w:color w:val="auto"/>
        </w:rPr>
        <w:t>third</w:t>
      </w:r>
      <w:r>
        <w:rPr>
          <w:rFonts w:ascii="Arial" w:cs="Arial" w:eastAsia="Arial" w:hAnsi="Arial"/>
          <w:sz w:val="16"/>
          <w:szCs w:val="16"/>
          <w:color w:val="auto"/>
        </w:rPr>
        <w:t>, securities offered by the Company for its own account.</w:t>
      </w:r>
    </w:p>
    <w:p>
      <w:pPr>
        <w:spacing w:after="0" w:line="126" w:lineRule="exact"/>
        <w:rPr>
          <w:rFonts w:ascii="Arial" w:cs="Arial" w:eastAsia="Arial" w:hAnsi="Arial"/>
          <w:sz w:val="16"/>
          <w:szCs w:val="16"/>
          <w:color w:val="auto"/>
        </w:rPr>
      </w:pPr>
    </w:p>
    <w:p>
      <w:pPr>
        <w:jc w:val="both"/>
        <w:ind w:right="200" w:firstLine="1492"/>
        <w:spacing w:after="0" w:line="259" w:lineRule="auto"/>
        <w:tabs>
          <w:tab w:leader="none" w:pos="172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Limitations on Form S-3 Registrations</w:t>
      </w:r>
      <w:r>
        <w:rPr>
          <w:rFonts w:ascii="Arial" w:cs="Arial" w:eastAsia="Arial" w:hAnsi="Arial"/>
          <w:sz w:val="18"/>
          <w:szCs w:val="18"/>
          <w:color w:val="auto"/>
        </w:rPr>
        <w:t>. If the Board of Directors has a Valid Business Reason, (x) the Company may postpone filing a Registration Statement relating to an S-3 Registration (but not the preparation of the Registration Statement) until such Valid Business Reason no longer exists, but in no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for more than forty-five (45) days after the date when the S-3 Registration was requested or, if later, after the occurrence of the Valid Business Reason and</w:t>
      </w:r>
    </w:p>
    <w:p>
      <w:pPr>
        <w:spacing w:after="0" w:line="38" w:lineRule="exact"/>
        <w:rPr>
          <w:sz w:val="20"/>
          <w:szCs w:val="20"/>
          <w:color w:val="auto"/>
        </w:rPr>
      </w:pPr>
    </w:p>
    <w:p>
      <w:pPr>
        <w:ind w:right="140" w:firstLine="8"/>
        <w:spacing w:after="0" w:line="281" w:lineRule="auto"/>
        <w:tabs>
          <w:tab w:leader="none" w:pos="249"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case a Registration Statement has been filed relating to a S-3 Registration, the Company, upon the approval of a majority of the Board of Directors or may postpone amending or supplementing such Registration Statement (in which case, if the Valid Business Reason no longer exists or if more than forty-five</w:t>
      </w:r>
    </w:p>
    <w:p>
      <w:pPr>
        <w:spacing w:after="0" w:line="1"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(45) days have passed since such postponement, the S-3 Initiating Holders may request the prompt amendment or supplement of such Registration Statement or a new S-3 Registration). The Company shall give written notice to all Designated Stockholders of its determination to postpone or delay amending or supplementing a Registration Statement and of the fact that the Valid Business Reason for such postponement or delay no longer exists, in each case, promptly after the occurrence thereof. Notwithstanding anything to the contrary contained herein, the Company may not postpone a filing or delay amending or supplementing a filing, under this Section 5(c), due to a Valid Business Reason more than once in any six (6) month period. In addition, the Company shall not be required to effect any registration pursuant to Section 5(a), (i) within ninety (90) days after the effective date of any other Registration Statement of the Company (other than a Registration Statement on Form S-4 or S-8 or any successor form thereto), (ii) if Form S-3 is not available for such offering by the S-3 Initiating Holders or (iii) if the S-3 Initiating Holders, together with the Designated Stockholders (other than S-3 Initiating Holders which have requested an S-3 Registration under Section 5(a)) registering Registrable Securities in such registration, propose to sell their Registrable Securities at an aggregate price (calculated based upon the Market Price of the Registrable Securities on the last date on which the Company could receive requests for inclusion in such S-3 Registration under Section 5(a)) to the public of less than $20,000,000.</w:t>
      </w:r>
    </w:p>
    <w:p>
      <w:pPr>
        <w:spacing w:after="0" w:line="120" w:lineRule="exact"/>
        <w:rPr>
          <w:rFonts w:ascii="Arial" w:cs="Arial" w:eastAsia="Arial" w:hAnsi="Arial"/>
          <w:sz w:val="16"/>
          <w:szCs w:val="16"/>
          <w:color w:val="auto"/>
        </w:rPr>
      </w:pPr>
    </w:p>
    <w:p>
      <w:pPr>
        <w:ind w:right="60" w:firstLine="1492"/>
        <w:spacing w:after="0" w:line="268" w:lineRule="auto"/>
        <w:tabs>
          <w:tab w:leader="none" w:pos="1732" w:val="left"/>
        </w:tabs>
        <w:numPr>
          <w:ilvl w:val="2"/>
          <w:numId w:val="9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Section 8(d), the Company shall bear all Registration Expenses in connection with any S-3 Registration pursuant to this Section 5, whether or not such S-3 Registration becomes effective.</w:t>
      </w:r>
    </w:p>
    <w:p>
      <w:pPr>
        <w:spacing w:after="0" w:line="131" w:lineRule="exact"/>
        <w:rPr>
          <w:rFonts w:ascii="Arial" w:cs="Arial" w:eastAsia="Arial" w:hAnsi="Arial"/>
          <w:sz w:val="18"/>
          <w:szCs w:val="18"/>
          <w:color w:val="auto"/>
        </w:rPr>
      </w:pPr>
    </w:p>
    <w:p>
      <w:pPr>
        <w:ind w:right="140" w:firstLine="1492"/>
        <w:spacing w:after="0" w:line="291" w:lineRule="auto"/>
        <w:tabs>
          <w:tab w:leader="none" w:pos="1722" w:val="left"/>
        </w:tabs>
        <w:numPr>
          <w:ilvl w:val="2"/>
          <w:numId w:val="93"/>
        </w:numPr>
        <w:rPr>
          <w:rFonts w:ascii="Arial" w:cs="Arial" w:eastAsia="Arial" w:hAnsi="Arial"/>
          <w:sz w:val="16"/>
          <w:szCs w:val="16"/>
          <w:color w:val="auto"/>
        </w:rPr>
      </w:pP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After the Registration Statement with respect to a S-3 Registration that is an Automatic Shelf Registration Statement becomes effective, upon written request by the S-3 Initiating Holders, the Company shall, as promptly as practicable after receiving such request, (i) file with the Commission a prospectus supplement naming the S-3 Participating Stockholders as selling stockholders and the amount of Registrable Securities to be offered and to include, to the extent not included or incorporated by reference in the Registration Statement, any other information omitted from the Prospectus used in connection with such Registration Statement as permitted by Rule 430B promulgated under the Securities Act (including the plan of distribution) and (ii) to pay any necessary filing fees within the time period required.</w:t>
      </w:r>
    </w:p>
    <w:p>
      <w:pPr>
        <w:spacing w:after="0" w:line="201" w:lineRule="exact"/>
        <w:rPr>
          <w:rFonts w:ascii="Arial" w:cs="Arial" w:eastAsia="Arial" w:hAnsi="Arial"/>
          <w:sz w:val="16"/>
          <w:szCs w:val="16"/>
          <w:color w:val="auto"/>
        </w:rPr>
      </w:pPr>
    </w:p>
    <w:p>
      <w:pPr>
        <w:ind w:left="1100" w:hanging="179"/>
        <w:spacing w:after="0"/>
        <w:tabs>
          <w:tab w:leader="none" w:pos="11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Hedging Transactions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94"/>
        </w:numPr>
        <w:rPr>
          <w:rFonts w:ascii="Arial" w:cs="Arial" w:eastAsia="Arial" w:hAnsi="Arial"/>
          <w:sz w:val="16"/>
          <w:szCs w:val="16"/>
          <w:color w:val="auto"/>
        </w:rPr>
      </w:pPr>
      <w:r>
        <w:rPr>
          <w:rFonts w:ascii="Arial" w:cs="Arial" w:eastAsia="Arial" w:hAnsi="Arial"/>
          <w:sz w:val="16"/>
          <w:szCs w:val="16"/>
          <w:color w:val="auto"/>
        </w:rPr>
        <w:t>In any S-3 Registration, the S-3 Initiating Holders may elect to engage in a Hedging Transaction. The Company agrees that,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connection with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26" w:name="page127"/>
    <w:bookmarkEnd w:id="1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proposed Hedging Transaction, if, in the reasonable judgment of Designated Stockholders’ Counsel (after good-faith consultation with counsel to the Company), it is necessary or desirable to register under the Securities Act such Hedging Transaction or sales or transfers (whether short or long) of Registrable Securities in connection therewith, then the Company shall use commercially reasonable efforts to take such actions (which may include, among other things, the filing of a prospectus supplement or post-effective amendment to a Registration Statement to include additional or changed information that is material or is otherwise required to be disclosed, including, without limitation, a description of such Hedging Transaction, the name of the Hedging Counterparty, identification of the Hedging Counterparty or its Affiliates as underwriters or potential underwriters, if applicable, or any change to the plan of distribution) as may reasonably be required to register such Hedging Transaction or sales or transfers of Registrable Securities in connection therewith under the Securities Act in a manner consistent with the rights and obligations of the Company hereunder with respect to the registration of Registrable Securities. Any information regarding the Hedging Transaction included in a Registration Statement, Prospectus or Free Writing Prospectus pursuant to this Section 6(a) shall, for purposes of Section 9, be deemed to be information provided by the Designated Stockholder that is party to such Hedging Transaction and is selling Registrable Securities pursuant to such Registration Statement for purposes of Section 9.</w:t>
      </w:r>
    </w:p>
    <w:p>
      <w:pPr>
        <w:spacing w:after="0" w:line="127" w:lineRule="exact"/>
        <w:rPr>
          <w:sz w:val="20"/>
          <w:szCs w:val="20"/>
          <w:color w:val="auto"/>
        </w:rPr>
      </w:pPr>
    </w:p>
    <w:p>
      <w:pPr>
        <w:ind w:right="20" w:firstLine="1492"/>
        <w:spacing w:after="0" w:line="259" w:lineRule="auto"/>
        <w:tabs>
          <w:tab w:leader="none" w:pos="17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selection of any Hedging Counterparty shall not be subject to Section 3(f), but the Hedging Counterparty shall be selected by the Designated Stockholders holding a majority of the Registrable Securities subject to the Hedging Transaction that are proposed to be included in such Registration Statement.</w:t>
      </w:r>
    </w:p>
    <w:p>
      <w:pPr>
        <w:spacing w:after="0" w:line="140" w:lineRule="exact"/>
        <w:rPr>
          <w:rFonts w:ascii="Arial" w:cs="Arial" w:eastAsia="Arial" w:hAnsi="Arial"/>
          <w:sz w:val="18"/>
          <w:szCs w:val="18"/>
          <w:color w:val="auto"/>
        </w:rPr>
      </w:pPr>
    </w:p>
    <w:p>
      <w:pPr>
        <w:ind w:firstLine="1492"/>
        <w:spacing w:after="0" w:line="332" w:lineRule="auto"/>
        <w:tabs>
          <w:tab w:leader="none" w:pos="1722"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in connection with a Hedging Transaction, a Hedging Counterparty or any Affiliate thereof is (or may be considered) an underwriter or selling stockholder, then it shall be required to provide customary indemnities to the Company regarding the plan of distribution and like matters.</w:t>
      </w:r>
    </w:p>
    <w:p>
      <w:pPr>
        <w:spacing w:after="0" w:line="85" w:lineRule="exact"/>
        <w:rPr>
          <w:rFonts w:ascii="Arial" w:cs="Arial" w:eastAsia="Arial" w:hAnsi="Arial"/>
          <w:sz w:val="16"/>
          <w:szCs w:val="16"/>
          <w:color w:val="auto"/>
        </w:rPr>
      </w:pPr>
    </w:p>
    <w:p>
      <w:pPr>
        <w:ind w:right="80" w:firstLine="1492"/>
        <w:spacing w:after="0" w:line="294" w:lineRule="auto"/>
        <w:tabs>
          <w:tab w:leader="none" w:pos="1732"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The Company further agrees to include, under the caption “Plan of Distribution” (or the equivalent caption), in each Registration Statement and any related Prospectus (to the extent such inclusion is permitted under applicable Commission regulations and is consistent with comments received from the Commission during any Commission review of the Registration Statement), language substantially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and to include in each Prospectus supplement filed in connection with any proposed Hedging Transaction language mutually agreed upon by the Company, the relevant Designated Stockholder and the Hedging Counterparty describing such Hedging Transaction.</w:t>
      </w:r>
    </w:p>
    <w:p>
      <w:pPr>
        <w:spacing w:after="0" w:line="196" w:lineRule="exact"/>
        <w:rPr>
          <w:rFonts w:ascii="Arial" w:cs="Arial" w:eastAsia="Arial" w:hAnsi="Arial"/>
          <w:sz w:val="16"/>
          <w:szCs w:val="16"/>
          <w:color w:val="auto"/>
        </w:rPr>
      </w:pPr>
    </w:p>
    <w:p>
      <w:pPr>
        <w:ind w:left="1100" w:hanging="179"/>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Holdback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Restrictions on Public Sale by Designated Stockholders.</w:t>
      </w:r>
    </w:p>
    <w:p>
      <w:pPr>
        <w:spacing w:after="0" w:line="90" w:lineRule="exact"/>
        <w:rPr>
          <w:rFonts w:ascii="Arial" w:cs="Arial" w:eastAsia="Arial" w:hAnsi="Arial"/>
          <w:sz w:val="18"/>
          <w:szCs w:val="18"/>
          <w:color w:val="auto"/>
        </w:rPr>
      </w:pPr>
    </w:p>
    <w:p>
      <w:pPr>
        <w:ind w:left="2160" w:hanging="212"/>
        <w:spacing w:after="0"/>
        <w:tabs>
          <w:tab w:leader="none" w:pos="2160" w:val="left"/>
        </w:tabs>
        <w:numPr>
          <w:ilvl w:val="2"/>
          <w:numId w:val="96"/>
        </w:numPr>
        <w:rPr>
          <w:rFonts w:ascii="Arial" w:cs="Arial" w:eastAsia="Arial" w:hAnsi="Arial"/>
          <w:sz w:val="16"/>
          <w:szCs w:val="16"/>
          <w:color w:val="auto"/>
        </w:rPr>
      </w:pPr>
      <w:r>
        <w:rPr>
          <w:rFonts w:ascii="Arial" w:cs="Arial" w:eastAsia="Arial" w:hAnsi="Arial"/>
          <w:sz w:val="16"/>
          <w:szCs w:val="16"/>
          <w:color w:val="auto"/>
        </w:rPr>
        <w:t>To the extent requested by the Approved Underwriter or the Company Underwriter, as the case may be, in the case of an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27" w:name="page128"/>
    <w:bookmarkEnd w:id="127"/>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underwritten public offering, each Designated Stockholder (other than any Pledgee or Hedging Counterparty), agrees (x) not to effect any public sale or distribution of any Registrable Securities or of any securities convertible into or exchangeable or exercisable for such Registrable Securities, including a sale pursuant to Rule 144 (or any successor rule or regulation) promulgated under the Securities Act, or offer to sell, contract to sell (including, without limitation, any short sale), grant any option to purchase or enter into any hedging or similar transaction with the same economic effect as a sale of any Registrable Securities and</w:t>
      </w:r>
    </w:p>
    <w:p>
      <w:pPr>
        <w:spacing w:after="0" w:line="3" w:lineRule="exact"/>
        <w:rPr>
          <w:sz w:val="20"/>
          <w:szCs w:val="20"/>
          <w:color w:val="auto"/>
        </w:rPr>
      </w:pPr>
    </w:p>
    <w:p>
      <w:pPr>
        <w:ind w:right="60" w:firstLine="8"/>
        <w:spacing w:after="0" w:line="276" w:lineRule="auto"/>
        <w:tabs>
          <w:tab w:leader="none" w:pos="249"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as otherwise consented to by the Company, not to make any request for a Demand Registration or S-3 Registration under this Agreement, in each case, during the period beginning on the effective date of any Registration Statement relating to a registration in which Designated Stockholders of Registrable Securities are participating and ending on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actual effective date of such Registration Statement (except as part of such registration); provided, however, that any waiver or exception from these provisions with respect to a Designated Stockholder by the Company, any Approved Underwriter or any Company Underwriter shall automatically apply to all Designated Stockholders. In connection with the Initial Public Offering, in lieu of the foregoing provisions of this Section 7(a), each Designated Stockholder shall comply with the terms of its applicable Lock-up Agreement.</w:t>
      </w:r>
    </w:p>
    <w:p>
      <w:pPr>
        <w:spacing w:after="0" w:line="129" w:lineRule="exact"/>
        <w:rPr>
          <w:rFonts w:ascii="Arial" w:cs="Arial" w:eastAsia="Arial" w:hAnsi="Arial"/>
          <w:sz w:val="16"/>
          <w:szCs w:val="16"/>
          <w:color w:val="auto"/>
        </w:rPr>
      </w:pPr>
    </w:p>
    <w:p>
      <w:pPr>
        <w:ind w:right="120" w:firstLine="1948"/>
        <w:spacing w:after="0" w:line="256" w:lineRule="auto"/>
        <w:tabs>
          <w:tab w:leader="none" w:pos="2198" w:val="left"/>
        </w:tabs>
        <w:numPr>
          <w:ilvl w:val="3"/>
          <w:numId w:val="97"/>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Pledgee or Hedging Counterparty shall be required to agree to any restriction on its ability to trade in any securities, including the restrictions set forth in this Section 7(a). The Designated Stockholders hereby agree that they shall act in good faith with respect to the restrictions set forth in Section 7(a) and shall take no action or omit to take any action with the intention of circumventing or evading the restrictions applicable to them under this 7(a).</w:t>
      </w:r>
    </w:p>
    <w:p>
      <w:pPr>
        <w:spacing w:after="0" w:line="143" w:lineRule="exact"/>
        <w:rPr>
          <w:rFonts w:ascii="Arial" w:cs="Arial" w:eastAsia="Arial" w:hAnsi="Arial"/>
          <w:sz w:val="18"/>
          <w:szCs w:val="18"/>
          <w:color w:val="auto"/>
        </w:rPr>
      </w:pPr>
    </w:p>
    <w:p>
      <w:pPr>
        <w:ind w:firstLine="1492"/>
        <w:spacing w:after="0" w:line="289" w:lineRule="auto"/>
        <w:tabs>
          <w:tab w:leader="none" w:pos="1732" w:val="left"/>
        </w:tabs>
        <w:numPr>
          <w:ilvl w:val="2"/>
          <w:numId w:val="97"/>
        </w:numPr>
        <w:rPr>
          <w:rFonts w:ascii="Arial" w:cs="Arial" w:eastAsia="Arial" w:hAnsi="Arial"/>
          <w:sz w:val="16"/>
          <w:szCs w:val="16"/>
          <w:color w:val="auto"/>
        </w:rPr>
      </w:pPr>
      <w:r>
        <w:rPr>
          <w:rFonts w:ascii="Arial" w:cs="Arial" w:eastAsia="Arial" w:hAnsi="Arial"/>
          <w:sz w:val="16"/>
          <w:szCs w:val="16"/>
          <w:u w:val="single" w:color="auto"/>
          <w:color w:val="auto"/>
        </w:rPr>
        <w:t>Restrictions on Public Sale by the Company</w:t>
      </w:r>
      <w:r>
        <w:rPr>
          <w:rFonts w:ascii="Arial" w:cs="Arial" w:eastAsia="Arial" w:hAnsi="Arial"/>
          <w:sz w:val="16"/>
          <w:szCs w:val="16"/>
          <w:color w:val="auto"/>
        </w:rPr>
        <w:t>. Unless the Company shall have received the prior written consent of the Majority Designated Stockholders, the Company agrees not to (i) effect any public sale or distribution of any of its securities, or any securities convertible into or exchangeable or exercisable for such securities (except pursuant to registrations on Form S-4 or S-8 or any successor form thereto), (ii) file any Registration Statements relating to the registration of securities for the Company’s account (except pursuant to registrations on Form S-4 or S-8 or any successor form thereto), or (iii) make any public announcements related to clause (i) or (ii), in each case, during the period beginning on the effective date of any Registration Statement relating to a registration in which the Designated Stockholders of Registrable Securities are participating and ending on the earlier of (X) the date on which all Registrable Securities registered on such Registration Statement are sold and (Y) 90 days after the actual effective date of such Registration Statement (except as part of such registration).</w:t>
      </w:r>
    </w:p>
    <w:p>
      <w:pPr>
        <w:spacing w:after="0" w:line="199" w:lineRule="exact"/>
        <w:rPr>
          <w:rFonts w:ascii="Arial" w:cs="Arial" w:eastAsia="Arial" w:hAnsi="Arial"/>
          <w:sz w:val="16"/>
          <w:szCs w:val="16"/>
          <w:color w:val="auto"/>
        </w:rPr>
      </w:pPr>
    </w:p>
    <w:p>
      <w:pPr>
        <w:ind w:left="1100" w:hanging="179"/>
        <w:spacing w:after="0"/>
        <w:tabs>
          <w:tab w:leader="none" w:pos="11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500" w:firstLine="1492"/>
        <w:spacing w:after="0" w:line="268" w:lineRule="auto"/>
        <w:tabs>
          <w:tab w:leader="none" w:pos="1722"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registration of Registrable Securities has been requested or required pursuant to Section 3, Section 4 or Section 5, the Company shall use its commercially reasonable efforts to effect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28" w:name="page129"/>
    <w:bookmarkEnd w:id="128"/>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and sale of such Registrable Securities in accordance with the intended method of distribution thereof as quickly as practicable, and in connection with any such request, the Company shall:</w:t>
      </w:r>
    </w:p>
    <w:p>
      <w:pPr>
        <w:spacing w:after="0" w:line="51" w:lineRule="exact"/>
        <w:rPr>
          <w:sz w:val="20"/>
          <w:szCs w:val="20"/>
          <w:color w:val="auto"/>
        </w:rPr>
      </w:pPr>
    </w:p>
    <w:p>
      <w:pPr>
        <w:ind w:firstLine="1948"/>
        <w:spacing w:after="0" w:line="287" w:lineRule="auto"/>
        <w:tabs>
          <w:tab w:leader="none" w:pos="215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as expeditiously as possible, prepare and file with the Commission a Registration Statement on any form for which the Company then qualifies or which counsel for the Company shall deem appropriate and which form shall be available for the sale of such Registrable Securities in accordance with the intended method of distribution thereof, and cause such Registration Statement to become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before filing a Registration Statement or Prospectus or any amendments or supplements thereto (including, without limitation, any documents incorporated by reference therein), or before using any Free Writing Prospectus, the Company shall provide one firm of legal counsel selected by the Designated Stockholders holding a majority of the Registrable Securities being registered in such registration (“</w:t>
      </w:r>
      <w:r>
        <w:rPr>
          <w:rFonts w:ascii="Arial" w:cs="Arial" w:eastAsia="Arial" w:hAnsi="Arial"/>
          <w:sz w:val="16"/>
          <w:szCs w:val="16"/>
          <w:u w:val="single" w:color="auto"/>
          <w:color w:val="auto"/>
        </w:rPr>
        <w:t>Designated Stockholders’ Counsel</w:t>
      </w:r>
      <w:r>
        <w:rPr>
          <w:rFonts w:ascii="Arial" w:cs="Arial" w:eastAsia="Arial" w:hAnsi="Arial"/>
          <w:sz w:val="16"/>
          <w:szCs w:val="16"/>
          <w:color w:val="auto"/>
        </w:rPr>
        <w:t>”) and any other Inspector with an opportunity to review and comment on such Registration Statement and each Prospectus included therein (and each amendment or supplement thereto) and each Free Writing Prospectus to be filed with the Commission, subject to such documents being under the Company’s control, and (y) the Company shall notify the Designated Stockholders’ Counsel and each seller of Registrable Securities pursuant to such Registration Statement of any stop order issued or threatened by the Commission and take all reasonable actions required to prevent the entry of such stop order or to remove it if entered;</w:t>
      </w:r>
    </w:p>
    <w:p>
      <w:pPr>
        <w:spacing w:after="0" w:line="122" w:lineRule="exact"/>
        <w:rPr>
          <w:rFonts w:ascii="Arial" w:cs="Arial" w:eastAsia="Arial" w:hAnsi="Arial"/>
          <w:sz w:val="16"/>
          <w:szCs w:val="16"/>
          <w:color w:val="auto"/>
        </w:rPr>
      </w:pPr>
    </w:p>
    <w:p>
      <w:pPr>
        <w:ind w:right="40" w:firstLine="1948"/>
        <w:spacing w:after="0" w:line="289" w:lineRule="auto"/>
        <w:tabs>
          <w:tab w:leader="none" w:pos="219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expeditiously as possible, prepare and file with the Commission such amendments and supplements to such Registration Statement and the Prospectus used in connection therewith as may be necessary to keep such Registration Statement effective for the lesser of (x) 120 days (or, in the case of an S-3 Registration, three years from the effective date of the Registration Statement if such Registration Statement is filed pursuant to Rule 415 promulgated under the Securities Act (or any successor rule or regulation)) and (y) such shorter period which will terminate when all Registrable Securities covered by such Registration Statement have been sold (or, if such Registration Statement is an Automatic Shelf Registration Statement, on the third anniversary of the date of filing of such Automatic Shelf Registration Statement);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18" w:lineRule="exact"/>
        <w:rPr>
          <w:rFonts w:ascii="Arial" w:cs="Arial" w:eastAsia="Arial" w:hAnsi="Arial"/>
          <w:sz w:val="16"/>
          <w:szCs w:val="16"/>
          <w:color w:val="auto"/>
        </w:rPr>
      </w:pPr>
    </w:p>
    <w:p>
      <w:pPr>
        <w:ind w:firstLine="1948"/>
        <w:spacing w:after="0" w:line="298" w:lineRule="auto"/>
        <w:tabs>
          <w:tab w:leader="none" w:pos="22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expeditiously as possible, furnish to each seller of Registrable Securities such number of copies of such Registration Statement, each amendment and supplement thereto (in each case including all exhibits thereto), the Prospectus included in such Registration Statement (including each preliminary Prospectus), any Prospectus filed under Rule 424 under the Securities Act and any Free Writing Prospectus as each such seller may reasonably request in order to facilitate the disposition of the Registrable Securities owned by such seller;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29" w:name="page130"/>
    <w:bookmarkEnd w:id="129"/>
    <w:p>
      <w:pPr>
        <w:ind w:left="-40" w:right="100" w:firstLine="1948"/>
        <w:spacing w:after="0" w:line="290" w:lineRule="auto"/>
        <w:tabs>
          <w:tab w:leader="none" w:pos="2197"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 expeditiously as possible, register or qualify such Registrable Securities under such other securities or “blue sky” laws of such jurisdictions as any seller of Registrable Securities may reasonably request, and to continue such registration or qualification in effect in such jurisdiction for as long as permissible pursuant to the laws of such jurisdiction, or for as long as any such seller requests or until all of such Registrable Securities are sold, whichever is shortest, and do any and all other acts and things which may be reasonably necessary or advisable to enable any such seller to consummate the disposition in such jurisdictions of the Registrable Securities owned by such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(x) qualify generally to do business in any jurisdiction where it would not otherwise be required to qualify but for this Section 8(a)(iv), (y) subject itself to taxation in any such jurisdiction or (z) consent to general service of process in any such jurisdiction;</w:t>
      </w:r>
    </w:p>
    <w:p>
      <w:pPr>
        <w:spacing w:after="0" w:line="118" w:lineRule="exact"/>
        <w:rPr>
          <w:rFonts w:ascii="Arial" w:cs="Arial" w:eastAsia="Arial" w:hAnsi="Arial"/>
          <w:sz w:val="16"/>
          <w:szCs w:val="16"/>
          <w:color w:val="auto"/>
        </w:rPr>
      </w:pPr>
    </w:p>
    <w:p>
      <w:pPr>
        <w:ind w:left="-40" w:firstLine="1948"/>
        <w:spacing w:after="0" w:line="286" w:lineRule="auto"/>
        <w:tabs>
          <w:tab w:leader="none" w:pos="2149" w:val="left"/>
        </w:tabs>
        <w:numPr>
          <w:ilvl w:val="0"/>
          <w:numId w:val="99"/>
        </w:numPr>
        <w:rPr>
          <w:rFonts w:ascii="Arial" w:cs="Arial" w:eastAsia="Arial" w:hAnsi="Arial"/>
          <w:sz w:val="16"/>
          <w:szCs w:val="16"/>
          <w:color w:val="auto"/>
        </w:rPr>
      </w:pPr>
      <w:r>
        <w:rPr>
          <w:rFonts w:ascii="Arial" w:cs="Arial" w:eastAsia="Arial" w:hAnsi="Arial"/>
          <w:sz w:val="16"/>
          <w:szCs w:val="16"/>
          <w:color w:val="auto"/>
        </w:rPr>
        <w:t>as expeditiously as possible following its actual knowledge thereof, notify each seller of Registrable Securities: (A) when a Prospectus, any Prospectus supplement, any Free Writing Prospectus, a Registration Statement or a post-effective amendment to a Registration Statement has been filed with the Commission, and, with respect to a Registration Statement or any post-effective amendment, when the same has become effective; (B) of any request by the Commission or any other federal or state governmental authority for amendments or supplements to a Registration Statement, related Prospectus or Free Writing Prospectus or for additional information; (C) of the receipt by the Company of any notification with respect to the suspension of the qualification or exemption from qualification of any of the Registrable Securities for sale in any jurisdiction or the initiation or threatening of any proceedings for such purpose; and (D) of the existence of any fact or happening of any event of which the Company has knowledge which makes any statement of a material fact in such Registration Statement, related Prospectus or Free Writing Prospectus or any document incorporated or deemed to be incorporated therein by reference untrue or which would require the making of any changes in the Registration Statement, Prospectus or Free Writing Prospectus in order that, in the case of the Registration Statement, it will not contain any untrue statement of a material fact or omit to state any material fact required to be stated therein or necessary to make the statements therein not misleading, and that in the case of such Prospectus or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20" w:lineRule="exact"/>
        <w:rPr>
          <w:rFonts w:ascii="Arial" w:cs="Arial" w:eastAsia="Arial" w:hAnsi="Arial"/>
          <w:sz w:val="16"/>
          <w:szCs w:val="16"/>
          <w:color w:val="auto"/>
        </w:rPr>
      </w:pPr>
    </w:p>
    <w:p>
      <w:pPr>
        <w:ind w:left="-40" w:right="20" w:firstLine="1948"/>
        <w:spacing w:after="0" w:line="291" w:lineRule="auto"/>
        <w:tabs>
          <w:tab w:leader="none" w:pos="2197" w:val="left"/>
        </w:tabs>
        <w:numPr>
          <w:ilvl w:val="0"/>
          <w:numId w:val="99"/>
        </w:numPr>
        <w:rPr>
          <w:rFonts w:ascii="Arial" w:cs="Arial" w:eastAsia="Arial" w:hAnsi="Arial"/>
          <w:sz w:val="16"/>
          <w:szCs w:val="16"/>
          <w:color w:val="auto"/>
        </w:rPr>
      </w:pPr>
      <w:r>
        <w:rPr>
          <w:rFonts w:ascii="Arial" w:cs="Arial" w:eastAsia="Arial" w:hAnsi="Arial"/>
          <w:sz w:val="16"/>
          <w:szCs w:val="16"/>
          <w:color w:val="auto"/>
        </w:rPr>
        <w:t>as expeditiously as possible, upon the occurrence of any event contemplated by Section 8(a)(v)(D) or, subject to Sections 3(a) and 5(c), the existence of a Valid Business Reason, as promptly as practicable, prepare a supplement or amendment to such Registration Statement, related Prospectus or Free Writing Prospectus and furnish to each seller of Registrable Securities a reasonable number of copies of such supplement to or an amendment of such Registration Statement, Prospectus or Free Writing Prospectus as may be necessary so that, after delivery to the purchasers of such Registrable Securities, in the case of the Registration Statement, it will not contain any untrue statement of a material fact or omit to state any material fact required to be stated therein or necessary to make the statements therein not misleading,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280" w:right="259" w:bottom="1440" w:gutter="0" w:footer="0" w:header="0"/>
        </w:sectPr>
      </w:pPr>
    </w:p>
    <w:bookmarkStart w:id="130" w:name="page131"/>
    <w:bookmarkEnd w:id="130"/>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that in the case of such Prospectus or Free Writing Prospectus, it will not contain any untrue statement of a material fact or omit to state any material fact required to be stated therein or necessary to make the statements therein, in light of the circumstances under which they were made, not misleading;</w:t>
      </w:r>
    </w:p>
    <w:p>
      <w:pPr>
        <w:spacing w:after="0" w:line="85" w:lineRule="exact"/>
        <w:rPr>
          <w:sz w:val="20"/>
          <w:szCs w:val="20"/>
          <w:color w:val="auto"/>
        </w:rPr>
      </w:pPr>
    </w:p>
    <w:p>
      <w:pPr>
        <w:ind w:right="300" w:firstLine="1948"/>
        <w:spacing w:after="0" w:line="254" w:lineRule="auto"/>
        <w:tabs>
          <w:tab w:leader="none" w:pos="22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and perform customary agreements (including an underwriting agreement in customary form with the Approved Underwriter or Company Underwriter, if any, selected as provided in Section 3, Section 4 or Section 5, as the case may be) and take such other commercially reasonable actions as are reasonably required in order to expedite or facilitate the disposition of such Registrable Securities and shall provide all reasonable cooperation, including causing its appropriate officers to attend and participate in “road shows” and other information meetings organized by the Approved Underwriter or Company Underwriter, if applicable, and causing counsel to the Company to deliver customary legal opinions in connection with any such underwriting agreements;</w:t>
      </w:r>
    </w:p>
    <w:p>
      <w:pPr>
        <w:spacing w:after="0" w:line="144" w:lineRule="exact"/>
        <w:rPr>
          <w:rFonts w:ascii="Arial" w:cs="Arial" w:eastAsia="Arial" w:hAnsi="Arial"/>
          <w:sz w:val="18"/>
          <w:szCs w:val="18"/>
          <w:color w:val="auto"/>
        </w:rPr>
      </w:pPr>
    </w:p>
    <w:p>
      <w:pPr>
        <w:ind w:firstLine="1948"/>
        <w:spacing w:after="0" w:line="285" w:lineRule="auto"/>
        <w:tabs>
          <w:tab w:leader="none" w:pos="23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make available at reasonable times for inspection by any managing underwriter or broker/dealer participating in any disposition of such Registrable Securities pursuant to a Registration Statement, any attorney retained by any such managing underwriter or broker/dealer and Designated Stockholders’ Counsel (each, an “</w:t>
      </w:r>
      <w:r>
        <w:rPr>
          <w:rFonts w:ascii="Arial" w:cs="Arial" w:eastAsia="Arial" w:hAnsi="Arial"/>
          <w:sz w:val="16"/>
          <w:szCs w:val="16"/>
          <w:u w:val="single" w:color="auto"/>
          <w:color w:val="auto"/>
        </w:rPr>
        <w:t>Inspector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financial and other records, pertinent corporate documents and properties of the Company and its subsidiaries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as shall be reasonably necessary to enable them to exercise their due diligence responsibility, and cause the Company’s and its subsidiaries’ officers, directors and employees, and the Company’s independent registered public accounting firm, to supply all information reasonably requested by any such Inspector in connection with such Registration Statement. Records that the Company determines, in good faith, to be confidential and which it notifies the Inspectors are confidential shall not be disclosed by the Inspectors (and the Inspectors shall confirm their agreement in writing in advance to the Company if the Company shall so request) unless (x) the disclosure of such Records is necessary, in the Company’s judgment, to avoid or correct a misstatement or omission in the Registration Statement, (y) the release of such Records is ordered pursuant to a subpoena or other order from a court of competent jurisdiction after exhaustion of all appeals therefrom or (z) the information in such Records was known to the Inspectors on a non-confidential basis prior to its disclosure by the Company or has been made generally available to the public. Each seller of Registrable Securities agrees that it shall, upon learning that disclosure of such Records is sought in a court of competent jurisdiction, give notice to the Company and allow the Company, at the Company’s expense, to undertake appropriate action to prevent disclosure of the Records deemed confidential. In the event that the Company is unsuccessful in preventing the disclosure of such Records, such seller agrees that it shall furnish only portion of those Records which it is advised by counsel is legally required and shall exercise all reasonable efforts to obtain reliable assurance that confidential treatment will be accorded to those Records;</w:t>
      </w:r>
    </w:p>
    <w:p>
      <w:pPr>
        <w:spacing w:after="0" w:line="126" w:lineRule="exact"/>
        <w:rPr>
          <w:rFonts w:ascii="Arial" w:cs="Arial" w:eastAsia="Arial" w:hAnsi="Arial"/>
          <w:sz w:val="16"/>
          <w:szCs w:val="16"/>
          <w:color w:val="auto"/>
        </w:rPr>
      </w:pPr>
    </w:p>
    <w:p>
      <w:pPr>
        <w:ind w:left="2240" w:hanging="292"/>
        <w:spacing w:after="0"/>
        <w:tabs>
          <w:tab w:leader="none" w:pos="22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such sale is pursuant to an underwritten offering, obtain a “cold comfort” letter dated the effective date of the Registration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 and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131" w:name="page132"/>
    <w:bookmarkEnd w:id="13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of the closing under the underwriting agreement from the Company’s independent registered public accounting firm in customary form and covering such matters of the type customarily covered by “cold comfort” letters as the managing underwriter reasonably requests;</w:t>
      </w:r>
    </w:p>
    <w:p>
      <w:pPr>
        <w:spacing w:after="0" w:line="132" w:lineRule="exact"/>
        <w:rPr>
          <w:sz w:val="20"/>
          <w:szCs w:val="20"/>
          <w:color w:val="auto"/>
        </w:rPr>
      </w:pPr>
    </w:p>
    <w:p>
      <w:pPr>
        <w:ind w:right="180" w:firstLine="1948"/>
        <w:spacing w:after="0" w:line="294" w:lineRule="auto"/>
        <w:tabs>
          <w:tab w:leader="none" w:pos="218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furnish, at the request of any seller of Registrable Securities on the date such securities are delivered to the underwriters for sale pursuant to such registration or, if such securities are not being sold through underwriters, on the date the Registration Statement with respect to such securities becomes effective, an opinion, dated such date, of counsel representing the Company for the purposes of such registration, addressed to the underwriters, if any, and to the seller making such request, covering such legal matters with respect to the registration in respect of which such opinion is being given as the underwriters, if any, and such seller may reasonably request and are customarily included in such opinions;</w:t>
      </w:r>
    </w:p>
    <w:p>
      <w:pPr>
        <w:spacing w:after="0" w:line="115" w:lineRule="exact"/>
        <w:rPr>
          <w:rFonts w:ascii="Arial" w:cs="Arial" w:eastAsia="Arial" w:hAnsi="Arial"/>
          <w:sz w:val="16"/>
          <w:szCs w:val="16"/>
          <w:color w:val="auto"/>
        </w:rPr>
      </w:pPr>
    </w:p>
    <w:p>
      <w:pPr>
        <w:ind w:right="200" w:firstLine="1948"/>
        <w:spacing w:after="0" w:line="256" w:lineRule="auto"/>
        <w:tabs>
          <w:tab w:leader="none" w:pos="22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comply with all applicable rules and regulations of the Commission, and make available to its security holders, as soon as reasonably practicable but no later than fifteen (15) months after the effective date of the Registration Statement, an earnings statement covering a period of twelve (12) months beginning after the effective date of the Registration Statement, in a manner which satisfies the provisions of Section 11(a) of the Securities Act and Rule 158 thereunder;</w:t>
      </w:r>
    </w:p>
    <w:p>
      <w:pPr>
        <w:spacing w:after="0" w:line="143" w:lineRule="exact"/>
        <w:rPr>
          <w:rFonts w:ascii="Arial" w:cs="Arial" w:eastAsia="Arial" w:hAnsi="Arial"/>
          <w:sz w:val="18"/>
          <w:szCs w:val="18"/>
          <w:color w:val="auto"/>
        </w:rPr>
      </w:pPr>
    </w:p>
    <w:p>
      <w:pPr>
        <w:ind w:right="140" w:firstLine="1948"/>
        <w:spacing w:after="0" w:line="268" w:lineRule="auto"/>
        <w:tabs>
          <w:tab w:leader="none" w:pos="228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cause all such Registrable Securities to be listed on each securities exchange on which similar securities issued by the Company are then listed,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listing requirements are satisfied;</w:t>
      </w:r>
    </w:p>
    <w:p>
      <w:pPr>
        <w:spacing w:after="0" w:line="131" w:lineRule="exact"/>
        <w:rPr>
          <w:rFonts w:ascii="Arial" w:cs="Arial" w:eastAsia="Arial" w:hAnsi="Arial"/>
          <w:sz w:val="18"/>
          <w:szCs w:val="18"/>
          <w:color w:val="auto"/>
        </w:rPr>
      </w:pPr>
    </w:p>
    <w:p>
      <w:pPr>
        <w:ind w:right="360" w:firstLine="1948"/>
        <w:spacing w:after="0" w:line="268" w:lineRule="auto"/>
        <w:tabs>
          <w:tab w:leader="none" w:pos="2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cooperate with each seller of Registrable Securities and each underwriter participating in the disposition of such Registrable Securities and their respective counsel in connection with any filings required to be made with the NASD;</w:t>
      </w:r>
    </w:p>
    <w:p>
      <w:pPr>
        <w:spacing w:after="0" w:line="131" w:lineRule="exact"/>
        <w:rPr>
          <w:rFonts w:ascii="Arial" w:cs="Arial" w:eastAsia="Arial" w:hAnsi="Arial"/>
          <w:sz w:val="18"/>
          <w:szCs w:val="18"/>
          <w:color w:val="auto"/>
        </w:rPr>
      </w:pPr>
    </w:p>
    <w:p>
      <w:pPr>
        <w:ind w:right="260" w:firstLine="1948"/>
        <w:spacing w:after="0" w:line="306" w:lineRule="auto"/>
        <w:tabs>
          <w:tab w:leader="none" w:pos="232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use its commercially reasonable efforts to cause the Registrable Securities covered by such Registration Statement to be registered with or approved by such other governmental agencies or authorities, as may be reasonably necessary by virtue of the business and operations of the Company to enable the seller or sellers of Registrable Securities to consummate the disposition of such Registrable Securities; and</w:t>
      </w:r>
    </w:p>
    <w:p>
      <w:pPr>
        <w:spacing w:after="0" w:line="106" w:lineRule="exact"/>
        <w:rPr>
          <w:rFonts w:ascii="Arial" w:cs="Arial" w:eastAsia="Arial" w:hAnsi="Arial"/>
          <w:sz w:val="16"/>
          <w:szCs w:val="16"/>
          <w:color w:val="auto"/>
        </w:rPr>
      </w:pPr>
    </w:p>
    <w:p>
      <w:pPr>
        <w:ind w:right="740" w:firstLine="1948"/>
        <w:spacing w:after="0" w:line="332" w:lineRule="auto"/>
        <w:tabs>
          <w:tab w:leader="none" w:pos="227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take all other steps reasonably necessary to effect the registration of the Registrable Securities contemplated hereby and reasonably cooperate with the holders of such Registrable Securities to facilitate the disposition of such Registrable Securities pursuant thereto;</w:t>
      </w:r>
    </w:p>
    <w:p>
      <w:pPr>
        <w:spacing w:after="0" w:line="85" w:lineRule="exact"/>
        <w:rPr>
          <w:rFonts w:ascii="Arial" w:cs="Arial" w:eastAsia="Arial" w:hAnsi="Arial"/>
          <w:sz w:val="16"/>
          <w:szCs w:val="16"/>
          <w:color w:val="auto"/>
        </w:rPr>
      </w:pPr>
    </w:p>
    <w:p>
      <w:pPr>
        <w:ind w:right="20" w:firstLine="1948"/>
        <w:spacing w:after="0" w:line="268" w:lineRule="auto"/>
        <w:tabs>
          <w:tab w:leader="none" w:pos="23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expeditiously as possible and within the deadlines specified by the Securities Act, make all required filings of all Prospectuses and Free Writing Prospectuses with the Commission;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32" w:name="page133"/>
    <w:bookmarkEnd w:id="132"/>
    <w:p>
      <w:pPr>
        <w:ind w:left="-40" w:right="220" w:firstLine="1948"/>
        <w:spacing w:after="0" w:line="268" w:lineRule="auto"/>
        <w:tabs>
          <w:tab w:leader="none" w:pos="2334"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expeditiously as possible and within the deadlines specified by the Securities Act, make all required filing fee payments in respect of any Registration Statement or Prospectus used under this Agreement (and any offering covered thereby).</w:t>
      </w:r>
    </w:p>
    <w:p>
      <w:pPr>
        <w:spacing w:after="0" w:line="131" w:lineRule="exact"/>
        <w:rPr>
          <w:rFonts w:ascii="Arial" w:cs="Arial" w:eastAsia="Arial" w:hAnsi="Arial"/>
          <w:sz w:val="18"/>
          <w:szCs w:val="18"/>
          <w:color w:val="auto"/>
        </w:rPr>
      </w:pPr>
    </w:p>
    <w:p>
      <w:pPr>
        <w:ind w:left="-40" w:firstLine="1492"/>
        <w:spacing w:after="0" w:line="286" w:lineRule="auto"/>
        <w:tabs>
          <w:tab w:leader="none" w:pos="169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Seller Requirements</w:t>
      </w:r>
      <w:r>
        <w:rPr>
          <w:rFonts w:ascii="Arial" w:cs="Arial" w:eastAsia="Arial" w:hAnsi="Arial"/>
          <w:sz w:val="16"/>
          <w:szCs w:val="16"/>
          <w:color w:val="auto"/>
        </w:rPr>
        <w:t>. In connection with any offering under any Registration Statement under this Agreement, each Designated Stockholder (i) shall promptly furnish to the Company in writing such information with respect to such Designated Stockholder and the intended method of disposition of its Registrable Securities as the Company may reasonably request or as may be required by law for use in connection with any related Registration Statement or Prospectus (or amendment or supplement thereto) and all information required to be disclosed in order to make the information previously furnished to the Company by such Designated Stockholder not contain a material misstatement of fact or necessary to cause such Registration Statement or Prospectus (or amendment or supplement thereto) not to omit a material fact with respect to such Designated Stockholder necessary in order to make the statements therein not misleading; (ii) shall comply with the Securities Act and the Exchange Act and all applicable state securities laws and comply with all applicable regulations in connection with the registration and the disposition of the Registrable Securities; and (iii) shall not use any Free Writing Prospectus without the prior written consent of the Company. If any seller of Registrable Securities fails to provide such information required to be included in such Registration Statement by applicable securities laws or otherwise necessary or desirable in connection with the disposition of such Registrable Securities in a timely manner after written request therefor, the Company may exclude such seller’s Registrable Securities from a registration under Sections 3, 4 or 5 hereof.</w:t>
      </w:r>
    </w:p>
    <w:p>
      <w:pPr>
        <w:spacing w:after="0" w:line="127" w:lineRule="exact"/>
        <w:rPr>
          <w:rFonts w:ascii="Arial" w:cs="Arial" w:eastAsia="Arial" w:hAnsi="Arial"/>
          <w:sz w:val="16"/>
          <w:szCs w:val="16"/>
          <w:color w:val="auto"/>
        </w:rPr>
      </w:pPr>
    </w:p>
    <w:p>
      <w:pPr>
        <w:ind w:left="-40" w:right="40" w:firstLine="1492"/>
        <w:spacing w:after="0" w:line="286" w:lineRule="auto"/>
        <w:tabs>
          <w:tab w:leader="none" w:pos="168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Notice to Discontinue</w:t>
      </w:r>
      <w:r>
        <w:rPr>
          <w:rFonts w:ascii="Arial" w:cs="Arial" w:eastAsia="Arial" w:hAnsi="Arial"/>
          <w:sz w:val="16"/>
          <w:szCs w:val="16"/>
          <w:color w:val="auto"/>
        </w:rPr>
        <w:t>. Each Designated Stockholder agrees that, upon receipt of any notice from the Company of the happening of any event of the kind described in Section 8(a)(v)(D) or, subject to Section 3(a) and 5(c), the existence of Valid Business Reason, such Designated Stockholder shall forthwith discontinue disposition of Registrable Securities pursuant to the Registration Statement covering such Registrable Securities until such Designated Stockholder’s receipt of the copies of the supplemented or amended Prospectus or Free Writing Prospectus contemplated by Section 8(a)(vi) (or if no supplemental or amended prospectus or Free Writing Prospectus is required, upon confirmation from the Company that use of the Prospectus or Free Writing Prospectus is once again permitted) and, if so directed by the Company, such Designated Stockholder shall deliver to the Company (at the Company’s expense) all copies, other than permanent file copies then in such Designated Stockholder’s possession, of the Prospectus or Free Writing Prospectus covering such Registrable Securities which is current at the time of receipt of such notice. If the Company shall give any such notice, the Company shall extend the period during which such Registration Statement shall be maintained effective pursuant to this Agreement (including, without limitation, the period referred to in Section 8(a)(ii)) by the number of days during the period from and including the date of the giving of such notice pursuant to Section 8(a)(v)(D) to and including the date when sellers of such Registrable Securities under such Registration Statement shall have received the copies of the supplemented or amended Prospectus or Free Writing Prospectus contemplated by and meeting the requirements of Section 8(a)(v).</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80" w:right="279" w:bottom="1440" w:gutter="0" w:footer="0" w:header="0"/>
        </w:sectPr>
      </w:pPr>
    </w:p>
    <w:bookmarkStart w:id="133" w:name="page134"/>
    <w:bookmarkEnd w:id="133"/>
    <w:p>
      <w:pPr>
        <w:ind w:left="-40" w:firstLine="1492"/>
        <w:spacing w:after="0" w:line="286" w:lineRule="auto"/>
        <w:tabs>
          <w:tab w:leader="none" w:pos="1692"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Expenses</w:t>
      </w:r>
      <w:r>
        <w:rPr>
          <w:rFonts w:ascii="Arial" w:cs="Arial" w:eastAsia="Arial" w:hAnsi="Arial"/>
          <w:sz w:val="16"/>
          <w:szCs w:val="16"/>
          <w:color w:val="auto"/>
        </w:rPr>
        <w:t>. The Company shall pay all expenses arising from or incident to its performance of, or compliance with, this Agreement, including, without limitation, (i) Commission, stock exchange and NASD registration and filing fees, (ii) all fees and expenses incurred in complying with state securities or “blue sky” laws (including reasonable fees, charges and disbursements of counsel to any underwriter incurred in connection with “blue sky” qualifications of the Registrable Securities as may be set forth in any underwriting agreement), (iii) all printing, messenger and delivery expenses, (iv) the fees, charges and expenses of counsel to the Company and of its independent registered public accounting firm and any other accounting fees, charges and expenses incurred by the Company (including, without limitation, any expenses arising from any “cold comfort” letters or any special audits incident to or required by any registration or qualification) and, the reasonable and documented legal fees, charges and expenses of one law firm designated by the holders of a majority of the Registrable Securities participating in any registration incurred by the Designated Stockholders in any such registration and (v) any liability insurance or other premiums for insurance obtained in connection with any Demand Registration or piggy-back registration thereon, Incidental Registration or S-3 Registration pursuant to the terms of this Agreement, regardless of whether such Registration Statement is declared effective. All of the expenses described in the preceding sentence of this Section 8(d) are referred to herein as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Designated Stockholders of Registrable Securities sold pursuant to a Registration Statement shall bear the expense of any broker’s commission or underwriter’s discount or commission relating to registration and sale of such Designated Stockholders’ Registrable Securities and shall, other than as set forth in clause (iv) above, bear the fees and expenses of their own counsel.</w:t>
      </w:r>
    </w:p>
    <w:p>
      <w:pPr>
        <w:spacing w:after="0" w:line="201" w:lineRule="exact"/>
        <w:rPr>
          <w:rFonts w:ascii="Arial" w:cs="Arial" w:eastAsia="Arial" w:hAnsi="Arial"/>
          <w:sz w:val="16"/>
          <w:szCs w:val="16"/>
          <w:color w:val="auto"/>
        </w:rPr>
      </w:pPr>
    </w:p>
    <w:p>
      <w:pPr>
        <w:ind w:left="1060" w:hanging="179"/>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Indemnification; Contribution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firstLine="1492"/>
        <w:spacing w:after="0" w:line="288" w:lineRule="auto"/>
        <w:tabs>
          <w:tab w:leader="none" w:pos="1682"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Designated Stockholder, its partners, directors, officers, Affiliates, stockholders, members, employees, trustees and each Person who controls (within the meaning of Section 15 of the Securities Act) such Designated Stockholder from and against any and all losses, claims, damages, liabilities and expenses, or any action or proceeding in respect thereof (including reasonable costs of investigation and reasonable attorneys’ fees and expenses) (each, a “</w:t>
      </w:r>
      <w:r>
        <w:rPr>
          <w:rFonts w:ascii="Arial" w:cs="Arial" w:eastAsia="Arial" w:hAnsi="Arial"/>
          <w:sz w:val="16"/>
          <w:szCs w:val="16"/>
          <w:u w:val="single" w:color="auto"/>
          <w:color w:val="auto"/>
        </w:rPr>
        <w:t>Liability</w:t>
      </w:r>
      <w:r>
        <w:rPr>
          <w:rFonts w:ascii="Arial" w:cs="Arial" w:eastAsia="Arial" w:hAnsi="Arial"/>
          <w:sz w:val="16"/>
          <w:szCs w:val="16"/>
          <w:color w:val="auto"/>
        </w:rPr>
        <w:t>” and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arising out of or based upon (a) any untrue, or allegedly untrue, statement of a material fact contained in the Disclosure Package, the Registration Statement, the Prospectus, any Free Writing Prospectus or in any amendment or supplement thereto; and (b) the omission or alleged omission to state in the Disclosure Package, the Registration Statement, the Prospectus, any Free Writing Prospectus or in any amendment or supplement thereto any material fact required to be stated therein or necessary to make the statements therein not misleading under the circumstances such statements were made; provided, however, that the Company shall not be held liable in any such case to the extent that any such Liability arises out of or is based upon an untrue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80" w:top="280" w:right="279" w:bottom="1440" w:gutter="0" w:footer="0" w:header="0"/>
        </w:sectPr>
      </w:pPr>
    </w:p>
    <w:bookmarkStart w:id="134" w:name="page135"/>
    <w:bookmarkEnd w:id="13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or alleged untrue statement or omission or alleged omission contained in such Disclosure Package, Registration Statement, Prospectus, Free Writing Prospectus or such amendment or supplement thereto in reliance upon and in conformity with information concerning such Designated Stockholder furnished in writing to the Company by or on behalf of such Designated Stockholder expressly for use therein, including, without limitation, the information furnished to the Company pursuant to Sections 8(b) and 9(b). The Company shall also provide customary indemnities to any underwriters of the Registrable Securities, their officers, directors and employees and each Person who controls such underwriters (within the meaning of Section 15 of the Securities Act) to the same extent as provided above with respect to the indemnification of the Designated Stockholders of Registrable Securities.</w:t>
      </w:r>
    </w:p>
    <w:p>
      <w:pPr>
        <w:spacing w:after="0" w:line="120" w:lineRule="exact"/>
        <w:rPr>
          <w:sz w:val="20"/>
          <w:szCs w:val="20"/>
          <w:color w:val="auto"/>
        </w:rPr>
      </w:pPr>
    </w:p>
    <w:p>
      <w:pPr>
        <w:ind w:firstLine="1492"/>
        <w:spacing w:after="0" w:line="286" w:lineRule="auto"/>
        <w:tabs>
          <w:tab w:leader="none" w:pos="173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Indemnification by Designated Stockholders</w:t>
      </w:r>
      <w:r>
        <w:rPr>
          <w:rFonts w:ascii="Arial" w:cs="Arial" w:eastAsia="Arial" w:hAnsi="Arial"/>
          <w:sz w:val="16"/>
          <w:szCs w:val="16"/>
          <w:color w:val="auto"/>
        </w:rPr>
        <w:t xml:space="preserve">. In connection with any offering in which a Designated Stockholder is participating pursuant to Section 3, 4 or 5, such Designated Stockholder agrees severally to indemnify and hold harmless the Company, the other Designated Stockholders, any underwriter retained by the Company and each Person who controls the Company, the other Designated Stockholders or such underwriter (within the meaning of Section 15 of the Securities Act) to the same extent as the foregoing indemnity from the Company to the Designated Stockholders (including indemnification of their respective partners, directors, officers, members, employees and trustees), but only to the extent that Liabilities arise out of or are based upon a statement or alleged statement or an omission or alleged omission that was made in reliance upon and in conformity with information with respect to such Designated Stockholder furnished in writing to the Company by or on behalf of such Designated Stockholder expressly for use in such Disclosure Package, Registration Statement, Prospectus, Free Writing Prospectus or such amendment or supplement thereto, including, without limitation, the information furnished to the Company pursuant to Section 8(b);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total amount to be indemnified by such Designated Stockholder pursuant to this Section 9(b) shall be limited to the net proceeds received by such Designated Stockholder in the offering to which such Disclosure Package, Registration Statement, Prospectus, Free Writing Prospectus or such amendment or supplement thereto relates.</w:t>
      </w:r>
    </w:p>
    <w:p>
      <w:pPr>
        <w:spacing w:after="0" w:line="127" w:lineRule="exact"/>
        <w:rPr>
          <w:rFonts w:ascii="Arial" w:cs="Arial" w:eastAsia="Arial" w:hAnsi="Arial"/>
          <w:sz w:val="16"/>
          <w:szCs w:val="16"/>
          <w:color w:val="auto"/>
        </w:rPr>
      </w:pPr>
    </w:p>
    <w:p>
      <w:pPr>
        <w:ind w:firstLine="1492"/>
        <w:spacing w:after="0" w:line="253" w:lineRule="auto"/>
        <w:tabs>
          <w:tab w:leader="none" w:pos="1722" w:val="left"/>
        </w:tabs>
        <w:numPr>
          <w:ilvl w:val="0"/>
          <w:numId w:val="10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Any Person entitled to indemnification or contribution hereunder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agrees to give prompt written notice to the indemnifying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after the receipt by the Indemnified Party of any written notice of the commencement of any action, suit, proceeding or investigation or threat thereof made in writing for which the Indemnified Party intends to claim indemnification or contribution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so notify the Indemnifying Party shall not relieve the Indemnifying Party of any Liability that it may have to the Indemnified Party hereunder (except to the extent that the Indemnifying Party is materially prejudiced or otherwise forfeits substantive rights or defenses by reason of such failure). If notice of commencement of any such action is given to the Indemnifying Party as above provided, the Indemnifying Party shall be entitled to participate in and, to the extent it may wish, jointly with any other Indemnifying Party similarly notified, to assume the defense of</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35" w:name="page136"/>
    <w:bookmarkEnd w:id="135"/>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action at its own expense, with counsel chosen by it and reasonably satisfactory to such Indemnified Party. Each Indemnified Party shall have the right to employ separate counsel in any such action and participate in the defense thereof, but the fees and expenses of such counsel shall be paid by the Indemnified Party unless (i) the Indemnifying Party agrees to pay the same, (ii) the Indemnifying Party fails to assume the defense of such action with counsel reasonably satisfactory to the Indemnified Party or (iii) the named parties to any such action (including any impleaded parties) include both the Indemnifying Party and the Indemnified Party and such parties have been advised by such counsel that either (x) representation of such Indemnified Party and the Indemnifying Party by the same counsel would be inappropriate under applicable standards of professional conduct or (y) there may be one or more legal defenses available to the Indemnified Party which are different from or additional to those available to the Indemnifying Party. In any of such cases, the Indemnifying Party shall not have the right to assume the defense of such action on behalf of such Indemnified Party, it being understood, however, that the Indemnifying Party shall not be liable for the reasonable fees and expenses of more than one separate firm of attorneys (in addition to any local counsel) for all Indemnified Parties and all such expenses shall be reimbursed as incurred. No Indemnifying Party shall be liable for any settlement entered into without its written consent, which consent shall not be unreasonably withheld. No Indemnifying Party shall, without the consent of such Indemnified Party, effect any settlement of any pending or threatened proceeding in respect of which such Indemnified Party is a party and indemnity has been sought hereunder by such Indemnified Party, unless such settlement includes an unconditional release of such Indemnified Party from all liability for claims that are the subject matter of such proceeding. Notwithstanding the foregoing, if at any time an Indemnified Party shall have requested the Indemnifying Party to reimburse the Indemnified Party for fees and expenses of counsel as contemplated by this Section 9, the Indemnifying Party agrees that it shall be liable for any settlement of any proceeding effected without the Indemnifying Party’s written consent if (i) such settlement is entered into more than thirty (30) business days after receipt by the Indemnifying Party of the aforesaid request and (ii) the Indemnifying Party shall not have reimbursed the Indemnified Party in accordance with such request or contested the reasonableness of such fees and expenses prior to the date of such settlement.</w:t>
      </w:r>
    </w:p>
    <w:p>
      <w:pPr>
        <w:spacing w:after="0" w:line="133" w:lineRule="exact"/>
        <w:rPr>
          <w:sz w:val="20"/>
          <w:szCs w:val="20"/>
          <w:color w:val="auto"/>
        </w:rPr>
      </w:pPr>
    </w:p>
    <w:p>
      <w:pPr>
        <w:ind w:firstLine="1492"/>
        <w:spacing w:after="0" w:line="290" w:lineRule="auto"/>
        <w:tabs>
          <w:tab w:leader="none" w:pos="173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this Section 9 from the Indemnifying Party is unavailable to an Indemnified Party hereunder or insufficient to hold harmless an Indemnified Party in respect of any Liabilities referred to herein, then each Indemnifying Party, in lieu of indemnifying such Indemnified Party, shall contribute to the amount paid or payable by such Indemnified Party as a result of such Liabilities in such proportion as is appropriate to reflect the relative fault of the Indemnifying Party and Indemnified Party in connection with the actions which resulted in such Liabilities, as well as any other relevant equitable considerations. The relative faults of such Indemnifying Party and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36" w:name="page137"/>
    <w:bookmarkEnd w:id="13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Indemnified Party, and the parties’ relative intent, knowledge, access to information and opportunity to correct or prevent such action. The amount paid or payable by a party as a result of the Liabilities referred to above shall be deemed to include, subject to the limitations set forth in Sections 9(a), 9(b) and 9(c), any legal or other fees, charges or expenses reasonably incurred by such party in connection with any investigation or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that the total amount to be contributed by any Designated Stockholder shall be limited to the net proceeds (after deducting the underwriters’ discounts and commissions) received by such Designated Stockholder in the offering.</w:t>
      </w:r>
    </w:p>
    <w:p>
      <w:pPr>
        <w:spacing w:after="0" w:line="14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9(d) were determined by pro rata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62" w:lineRule="exact"/>
        <w:rPr>
          <w:sz w:val="20"/>
          <w:szCs w:val="20"/>
          <w:color w:val="auto"/>
        </w:rPr>
      </w:pPr>
    </w:p>
    <w:p>
      <w:pPr>
        <w:ind w:right="180" w:firstLine="921"/>
        <w:spacing w:after="0" w:line="255" w:lineRule="auto"/>
        <w:tabs>
          <w:tab w:leader="none" w:pos="11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The Company covenants that from and after the IPO Pricing Date it shall take such action as may be required from time to time to enable such Designated Stockholder to sell Registrable Securities without registration under the Securities Act within the limitation of the exemptions provided by (i) Rule 144 under the Securities Act, as such rule may be amended from time to time, or (ii) any similar rules or regulations hereafter adopted by the Commission. The Company shall, upon the request of any Designated Stockholder, deliver to such Designated Stockholder a written statement as to whether it has complied with such requirements.</w:t>
      </w:r>
    </w:p>
    <w:p>
      <w:pPr>
        <w:spacing w:after="0" w:line="223" w:lineRule="exact"/>
        <w:rPr>
          <w:rFonts w:ascii="Arial" w:cs="Arial" w:eastAsia="Arial" w:hAnsi="Arial"/>
          <w:sz w:val="18"/>
          <w:szCs w:val="18"/>
          <w:color w:val="auto"/>
        </w:rPr>
      </w:pPr>
    </w:p>
    <w:p>
      <w:pPr>
        <w:ind w:left="1180" w:hanging="259"/>
        <w:spacing w:after="0"/>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700" w:firstLine="1492"/>
        <w:spacing w:after="0" w:line="268" w:lineRule="auto"/>
        <w:tabs>
          <w:tab w:leader="none" w:pos="172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Stock Splits, etc</w:t>
      </w:r>
      <w:r>
        <w:rPr>
          <w:rFonts w:ascii="Arial" w:cs="Arial" w:eastAsia="Arial" w:hAnsi="Arial"/>
          <w:sz w:val="18"/>
          <w:szCs w:val="18"/>
          <w:color w:val="auto"/>
        </w:rPr>
        <w:t>. The provisions of this Agreement shall be appropriately adjusted for any stock dividends, splits, reverse splits, combinations recapitalizations and the like occurring after the date hereof.</w:t>
      </w:r>
    </w:p>
    <w:p>
      <w:pPr>
        <w:spacing w:after="0" w:line="131" w:lineRule="exact"/>
        <w:rPr>
          <w:rFonts w:ascii="Arial" w:cs="Arial" w:eastAsia="Arial" w:hAnsi="Arial"/>
          <w:sz w:val="18"/>
          <w:szCs w:val="18"/>
          <w:color w:val="auto"/>
        </w:rPr>
      </w:pPr>
    </w:p>
    <w:p>
      <w:pPr>
        <w:ind w:right="100" w:firstLine="1492"/>
        <w:spacing w:after="0" w:line="255" w:lineRule="auto"/>
        <w:tabs>
          <w:tab w:leader="none" w:pos="173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hereby represents and warrants that, except for the Existing Agreements, it has not previously entered into any agreement granting registration rights to any Person with respect to any securities of the Company. The Company shall not enter into any agreement with respect to its securities that is inconsistent with the rights granted to the Designated Stockholders in this Agreement or grant any additional registration rights to any Person or with respect to any securities that are not Registrable Securities which rights are inconsistent with the rights granted in this Agreement.</w:t>
      </w:r>
    </w:p>
    <w:p>
      <w:pPr>
        <w:spacing w:after="0" w:line="142" w:lineRule="exact"/>
        <w:rPr>
          <w:rFonts w:ascii="Arial" w:cs="Arial" w:eastAsia="Arial" w:hAnsi="Arial"/>
          <w:sz w:val="18"/>
          <w:szCs w:val="18"/>
          <w:color w:val="auto"/>
        </w:rPr>
      </w:pPr>
    </w:p>
    <w:p>
      <w:pPr>
        <w:ind w:right="440" w:firstLine="1492"/>
        <w:spacing w:after="0" w:line="256" w:lineRule="auto"/>
        <w:tabs>
          <w:tab w:leader="none" w:pos="172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Designated Stockholders, in addition to being entitled to exercise all rights granted by law, including recovery of damages, shall be entitled to specific performance of their rights under this Agreement. The Company agrees that monetary damages would not be adequate compensation for any loss incurred by reason of a breach by it of the provisions of this Agreement and hereby agrees to waive in any action for specific performance the defense that a remedy at law would be adequate.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37" w:name="page138"/>
    <w:bookmarkEnd w:id="137"/>
    <w:p>
      <w:pPr>
        <w:ind w:right="100" w:firstLine="1492"/>
        <w:spacing w:after="0" w:line="291" w:lineRule="auto"/>
        <w:tabs>
          <w:tab w:leader="none" w:pos="173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and Waivers</w:t>
      </w:r>
      <w:r>
        <w:rPr>
          <w:rFonts w:ascii="Arial" w:cs="Arial" w:eastAsia="Arial" w:hAnsi="Arial"/>
          <w:sz w:val="16"/>
          <w:szCs w:val="16"/>
          <w:color w:val="auto"/>
        </w:rPr>
        <w:t xml:space="preserve">. Except as otherwise provided herein, the provisions of this Agreement may not be amended, modified or supplemented, and waivers or consents to departures from the provisions hereof may not be given unless consented to in writing by the Company and Majority Designated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amendment, modification, supplement, waiver or consent to depart from the provisions hereof shall be effective if such amendment, modification, supplement, waiver or consent to depart from the provisions hereof materially and adversely affects the substantive rights or obligations of one Designated Stockholder, or group of Designated Stockholders, without a similar and proportionate effect on the substantive rights or obligations of all Designated Stockholders, unless each such disproportionately affected Designated Stockholder consents in writing thereto.</w:t>
      </w:r>
    </w:p>
    <w:p>
      <w:pPr>
        <w:spacing w:after="0" w:line="120" w:lineRule="exact"/>
        <w:rPr>
          <w:rFonts w:ascii="Arial" w:cs="Arial" w:eastAsia="Arial" w:hAnsi="Arial"/>
          <w:sz w:val="16"/>
          <w:szCs w:val="16"/>
          <w:color w:val="auto"/>
        </w:rPr>
      </w:pPr>
    </w:p>
    <w:p>
      <w:pPr>
        <w:ind w:firstLine="1492"/>
        <w:spacing w:after="0" w:line="332" w:lineRule="auto"/>
        <w:tabs>
          <w:tab w:leader="none" w:pos="172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and other communications provided for or permitted hereunder shall be made in writing and shall be made by registered or certified first-class mail, return receipt requested, telecopy, electronic transmission, courier service or personal delivery:</w:t>
      </w:r>
    </w:p>
    <w:p>
      <w:pPr>
        <w:spacing w:after="0" w:line="4" w:lineRule="exact"/>
        <w:rPr>
          <w:rFonts w:ascii="Arial" w:cs="Arial" w:eastAsia="Arial" w:hAnsi="Arial"/>
          <w:sz w:val="16"/>
          <w:szCs w:val="16"/>
          <w:color w:val="auto"/>
        </w:rPr>
      </w:pPr>
    </w:p>
    <w:p>
      <w:pPr>
        <w:ind w:left="2380" w:hanging="441"/>
        <w:spacing w:after="0"/>
        <w:tabs>
          <w:tab w:leader="none" w:pos="2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90"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15"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8"/>
          <w:szCs w:val="18"/>
          <w:color w:val="auto"/>
        </w:rPr>
        <w:t>350 Park Avenue</w:t>
      </w:r>
    </w:p>
    <w:p>
      <w:pPr>
        <w:spacing w:after="0" w:line="9" w:lineRule="exact"/>
        <w:rPr>
          <w:rFonts w:ascii="Arial" w:cs="Arial" w:eastAsia="Arial" w:hAnsi="Arial"/>
          <w:sz w:val="18"/>
          <w:szCs w:val="18"/>
          <w:color w:val="auto"/>
        </w:rPr>
      </w:pPr>
    </w:p>
    <w:p>
      <w:pPr>
        <w:ind w:left="2400" w:right="6960"/>
        <w:spacing w:after="0" w:line="366" w:lineRule="auto"/>
        <w:rPr>
          <w:rFonts w:ascii="Arial" w:cs="Arial" w:eastAsia="Arial" w:hAnsi="Arial"/>
          <w:sz w:val="18"/>
          <w:szCs w:val="18"/>
          <w:color w:val="auto"/>
        </w:rPr>
      </w:pPr>
      <w:r>
        <w:rPr>
          <w:rFonts w:ascii="Arial" w:cs="Arial" w:eastAsia="Arial" w:hAnsi="Arial"/>
          <w:sz w:val="16"/>
          <w:szCs w:val="16"/>
          <w:color w:val="auto"/>
        </w:rPr>
        <w:t>New York, New York 10022 Telecopy: (212) 277-7111 Attention: General Counsel with a copy to:</w:t>
      </w:r>
    </w:p>
    <w:p>
      <w:pPr>
        <w:spacing w:after="0" w:line="59" w:lineRule="exact"/>
        <w:rPr>
          <w:rFonts w:ascii="Arial" w:cs="Arial" w:eastAsia="Arial" w:hAnsi="Arial"/>
          <w:sz w:val="18"/>
          <w:szCs w:val="18"/>
          <w:color w:val="auto"/>
        </w:rPr>
      </w:pPr>
    </w:p>
    <w:p>
      <w:pPr>
        <w:ind w:left="2400" w:right="5620"/>
        <w:spacing w:after="0" w:line="254" w:lineRule="auto"/>
        <w:rPr>
          <w:rFonts w:ascii="Arial" w:cs="Arial" w:eastAsia="Arial" w:hAnsi="Arial"/>
          <w:sz w:val="18"/>
          <w:szCs w:val="18"/>
          <w:color w:val="auto"/>
        </w:rPr>
      </w:pPr>
      <w:r>
        <w:rPr>
          <w:rFonts w:ascii="Arial" w:cs="Arial" w:eastAsia="Arial" w:hAnsi="Arial"/>
          <w:sz w:val="18"/>
          <w:szCs w:val="18"/>
          <w:color w:val="auto"/>
        </w:rPr>
        <w:t>Paul, Weiss, Rifkind, Wharton &amp; Garrison LLP 1285 Avenue of the Americas</w:t>
      </w:r>
    </w:p>
    <w:p>
      <w:pPr>
        <w:ind w:left="2400" w:right="6560"/>
        <w:spacing w:after="0" w:line="302" w:lineRule="auto"/>
        <w:rPr>
          <w:rFonts w:ascii="Arial" w:cs="Arial" w:eastAsia="Arial" w:hAnsi="Arial"/>
          <w:sz w:val="18"/>
          <w:szCs w:val="18"/>
          <w:color w:val="auto"/>
        </w:rPr>
      </w:pPr>
      <w:r>
        <w:rPr>
          <w:rFonts w:ascii="Arial" w:cs="Arial" w:eastAsia="Arial" w:hAnsi="Arial"/>
          <w:sz w:val="16"/>
          <w:szCs w:val="16"/>
          <w:color w:val="auto"/>
        </w:rPr>
        <w:t>New York, New York 10019-6064 Telecopy: (212) 757-3990 Attention: John C. Kennedy, Esq.</w:t>
      </w:r>
    </w:p>
    <w:p>
      <w:pPr>
        <w:spacing w:after="0" w:line="149" w:lineRule="exact"/>
        <w:rPr>
          <w:rFonts w:ascii="Arial" w:cs="Arial" w:eastAsia="Arial" w:hAnsi="Arial"/>
          <w:sz w:val="18"/>
          <w:szCs w:val="18"/>
          <w:color w:val="auto"/>
        </w:rPr>
      </w:pPr>
    </w:p>
    <w:p>
      <w:pPr>
        <w:ind w:left="2380" w:hanging="441"/>
        <w:spacing w:after="0"/>
        <w:tabs>
          <w:tab w:leader="none" w:pos="2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to any Designated Stockholder, at its address as it appears in the books and records of the Company.</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(5) Business Days after being deposited in the mail, postage prepaid, if mailed; and when receipt is acknowledged, if telecopied, or electronically transmitted. Any party may by notice given in accordance with this Section 11(e) designate another address or Person for receipt of notices hereunder.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138" w:name="page139"/>
    <w:bookmarkEnd w:id="138"/>
    <w:p>
      <w:pPr>
        <w:jc w:val="both"/>
        <w:ind w:firstLine="1492"/>
        <w:spacing w:after="0" w:line="259" w:lineRule="auto"/>
        <w:tabs>
          <w:tab w:leader="none" w:pos="170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Permitted Assignees; Third Party Beneficiaries</w:t>
      </w:r>
      <w:r>
        <w:rPr>
          <w:rFonts w:ascii="Arial" w:cs="Arial" w:eastAsia="Arial" w:hAnsi="Arial"/>
          <w:sz w:val="18"/>
          <w:szCs w:val="18"/>
          <w:color w:val="auto"/>
        </w:rPr>
        <w:t>. This Agreement shall inure to the benefit of and be binding upon the permitted assignees of the parties hereto as provided in Section 2(d). Except as provided in Section 9, no Person other than the parties hereto and their permitted assignees is intended to be a beneficiary of this Agreement.</w:t>
      </w:r>
    </w:p>
    <w:p>
      <w:pPr>
        <w:spacing w:after="0" w:line="140" w:lineRule="exact"/>
        <w:rPr>
          <w:rFonts w:ascii="Arial" w:cs="Arial" w:eastAsia="Arial" w:hAnsi="Arial"/>
          <w:sz w:val="18"/>
          <w:szCs w:val="18"/>
          <w:color w:val="auto"/>
        </w:rPr>
      </w:pPr>
    </w:p>
    <w:p>
      <w:pPr>
        <w:ind w:right="20" w:firstLine="1492"/>
        <w:spacing w:after="0" w:line="332" w:lineRule="auto"/>
        <w:tabs>
          <w:tab w:leader="none" w:pos="173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58" w:lineRule="exact"/>
        <w:rPr>
          <w:rFonts w:ascii="Arial" w:cs="Arial" w:eastAsia="Arial" w:hAnsi="Arial"/>
          <w:sz w:val="16"/>
          <w:szCs w:val="16"/>
          <w:color w:val="auto"/>
        </w:rPr>
      </w:pPr>
    </w:p>
    <w:p>
      <w:pPr>
        <w:ind w:left="1700" w:hanging="208"/>
        <w:spacing w:after="0"/>
        <w:tabs>
          <w:tab w:leader="none" w:pos="1700" w:val="left"/>
        </w:tabs>
        <w:numPr>
          <w:ilvl w:val="0"/>
          <w:numId w:val="11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AGREEMENT SHALL BE GOVERNED BY AND CONSTRUED IN ACCORDANCE WITH THE</w:t>
      </w:r>
    </w:p>
    <w:p>
      <w:pPr>
        <w:spacing w:after="0" w:line="44"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b w:val="1"/>
          <w:bCs w:val="1"/>
          <w:color w:val="auto"/>
        </w:rPr>
        <w:t>LAWS OF THE STATE OF NEW YORK, WITHOUT REGARD TO THE PRINCIPLES OF CONFLICTS OF LAW THEREOF.</w:t>
      </w:r>
    </w:p>
    <w:p>
      <w:pPr>
        <w:spacing w:after="0" w:line="164" w:lineRule="exact"/>
        <w:rPr>
          <w:rFonts w:ascii="Arial" w:cs="Arial" w:eastAsia="Arial" w:hAnsi="Arial"/>
          <w:sz w:val="16"/>
          <w:szCs w:val="16"/>
          <w:u w:val="single" w:color="auto"/>
          <w:color w:val="auto"/>
        </w:rPr>
      </w:pPr>
    </w:p>
    <w:p>
      <w:pPr>
        <w:ind w:right="60" w:firstLine="1492"/>
        <w:spacing w:after="0" w:line="259" w:lineRule="auto"/>
        <w:tabs>
          <w:tab w:leader="none" w:pos="169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w:t>
      </w:r>
    </w:p>
    <w:p>
      <w:pPr>
        <w:spacing w:after="0" w:line="140" w:lineRule="exact"/>
        <w:rPr>
          <w:rFonts w:ascii="Arial" w:cs="Arial" w:eastAsia="Arial" w:hAnsi="Arial"/>
          <w:sz w:val="18"/>
          <w:szCs w:val="18"/>
          <w:color w:val="auto"/>
        </w:rPr>
      </w:pPr>
    </w:p>
    <w:p>
      <w:pPr>
        <w:ind w:right="20" w:firstLine="1492"/>
        <w:spacing w:after="0" w:line="268" w:lineRule="auto"/>
        <w:tabs>
          <w:tab w:leader="none" w:pos="17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the context otherwise requires, references to sections or subsections refer to sections or subsections of this Agreement. Terms defined in the singular have a comparable meaning when used in the plural, and vice versa.</w:t>
      </w:r>
    </w:p>
    <w:p>
      <w:pPr>
        <w:spacing w:after="0" w:line="131" w:lineRule="exact"/>
        <w:rPr>
          <w:rFonts w:ascii="Arial" w:cs="Arial" w:eastAsia="Arial" w:hAnsi="Arial"/>
          <w:sz w:val="18"/>
          <w:szCs w:val="18"/>
          <w:color w:val="auto"/>
        </w:rPr>
      </w:pPr>
    </w:p>
    <w:p>
      <w:pPr>
        <w:ind w:right="140" w:firstLine="1492"/>
        <w:spacing w:after="0" w:line="298" w:lineRule="auto"/>
        <w:tabs>
          <w:tab w:leader="none" w:pos="169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intended by the parties as a final expression of their agreement and intended to be a complete and exclusive statement of the agreement and understanding of the parties hereto with respect to the subject matter contained herein. There are no restrictions, promises, representations, warranties or undertakings with respect to the subject matter contained herein, other than those set forth or referred to herein. This Agreement supersedes all prior agreements and understandings among the parties with respect to such subject matter.</w:t>
      </w:r>
    </w:p>
    <w:p>
      <w:pPr>
        <w:spacing w:after="0" w:line="112" w:lineRule="exact"/>
        <w:rPr>
          <w:rFonts w:ascii="Arial" w:cs="Arial" w:eastAsia="Arial" w:hAnsi="Arial"/>
          <w:sz w:val="16"/>
          <w:szCs w:val="16"/>
          <w:color w:val="auto"/>
        </w:rPr>
      </w:pPr>
    </w:p>
    <w:p>
      <w:pPr>
        <w:ind w:right="220" w:firstLine="1492"/>
        <w:spacing w:after="0" w:line="268" w:lineRule="auto"/>
        <w:tabs>
          <w:tab w:leader="none" w:pos="178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shall execute such documents and perform such further acts as may be reasonably required or desirable to carry out or to perform the provisions of this Agreement.</w:t>
      </w:r>
    </w:p>
    <w:p>
      <w:pPr>
        <w:spacing w:after="0" w:line="131" w:lineRule="exact"/>
        <w:rPr>
          <w:rFonts w:ascii="Arial" w:cs="Arial" w:eastAsia="Arial" w:hAnsi="Arial"/>
          <w:sz w:val="18"/>
          <w:szCs w:val="18"/>
          <w:color w:val="auto"/>
        </w:rPr>
      </w:pPr>
    </w:p>
    <w:p>
      <w:pPr>
        <w:ind w:right="220" w:firstLine="1492"/>
        <w:spacing w:after="0" w:line="370" w:lineRule="auto"/>
        <w:tabs>
          <w:tab w:leader="none" w:pos="1732"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Other Agreements</w:t>
      </w:r>
      <w:r>
        <w:rPr>
          <w:rFonts w:ascii="Arial" w:cs="Arial" w:eastAsia="Arial" w:hAnsi="Arial"/>
          <w:sz w:val="15"/>
          <w:szCs w:val="15"/>
          <w:color w:val="auto"/>
        </w:rPr>
        <w:t>. Nothing contained in this Agreement shall be deemed to be a waiver of, or release from, any obligations any party hereto may have under, or any restrictions on the transfer of Registrable Securities or other securities of the Company imposed by, any other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139" w:name="page140"/>
    <w:bookmarkEnd w:id="139"/>
    <w:p>
      <w:pPr>
        <w:ind w:right="4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executed, or have caused to be executed, this Registration Rights Agreement on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CFO</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OAK HILL CAPITAL PARTNERS, L.P.</w:t>
      </w:r>
    </w:p>
    <w:p>
      <w:pPr>
        <w:spacing w:after="0" w:line="1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Monsky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OAK HILL CAPITAL MANAGEMENT PARTNERS, L.P.</w:t>
      </w:r>
    </w:p>
    <w:p>
      <w:pPr>
        <w:spacing w:after="0" w:line="1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Monsky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TECHNOLOGY VENTURES, L.P.</w:t>
      </w:r>
    </w:p>
    <w:p>
      <w:pPr>
        <w:spacing w:after="0" w:line="1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Haynes</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Partner and COO</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TECHNOLOGY VENTURES (Q), L.P.</w:t>
      </w:r>
    </w:p>
    <w:p>
      <w:pPr>
        <w:spacing w:after="0" w:line="1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Haynes</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Partner and COO</w:t>
      </w:r>
    </w:p>
    <w:p>
      <w:pPr>
        <w:sectPr>
          <w:pgSz w:w="11900" w:h="16838" w:orient="portrait"/>
          <w:cols w:equalWidth="0" w:num="1">
            <w:col w:w="11420"/>
          </w:cols>
          <w:pgMar w:left="240" w:top="280" w:right="239" w:bottom="1440" w:gutter="0" w:footer="0" w:header="0"/>
        </w:sectPr>
      </w:pPr>
    </w:p>
    <w:bookmarkStart w:id="140" w:name="page141"/>
    <w:bookmarkEnd w:id="14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TECHNOLOGY VENTURES II (Q), L.P.</w:t>
      </w:r>
    </w:p>
    <w:p>
      <w:pPr>
        <w:spacing w:after="0" w:line="11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A. Haynes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Partner and COO</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FINANCIAL TECHNOLOGY VENTURES II, L.P.</w:t>
      </w:r>
    </w:p>
    <w:p>
      <w:pPr>
        <w:spacing w:after="0" w:line="117"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A. Haynes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Partner and COO</w:t>
      </w:r>
    </w:p>
    <w:p>
      <w:pPr>
        <w:spacing w:after="0" w:line="1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Vikram Talwar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VIKRAM TALWAR 2004 SPOUSAL LIFETIME ACCESS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11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Urvashi Talwar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Urvashi Talwar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URVASHI TALWAR 2004 SPOUSAL LIFETIME ACCESS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11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Talwar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Vikram Talwar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220"/>
          </w:cols>
          <w:pgMar w:left="1440" w:top="280" w:right="239" w:bottom="1440" w:gutter="0" w:footer="0" w:header="0"/>
        </w:sectPr>
      </w:pPr>
    </w:p>
    <w:bookmarkStart w:id="141" w:name="page142"/>
    <w:bookmarkEnd w:id="14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VIKRAM TALWAR 2004 GRANTOR RETAINED ANNUITY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1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Vikram Talwar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1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Rohit Kapoor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ROHIT KAPOOR 2005 SPOUSAL LIFETIME ACCESS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11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Shikha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Shikha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Tulika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Tulika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SHIKHA KAPOOR 2005 FAMILY TRUST</w:t>
      </w:r>
    </w:p>
    <w:p>
      <w:pPr>
        <w:spacing w:after="0" w:line="117"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Tulika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Tulika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ROHIT KAPOOR 2005 GRANTOR RETAINED ANNUITY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1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ectPr>
          <w:pgSz w:w="11900" w:h="16838" w:orient="portrait"/>
          <w:cols w:equalWidth="0" w:num="1">
            <w:col w:w="10220"/>
          </w:cols>
          <w:pgMar w:left="1440" w:top="2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and Address of Transferee]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Address of Transferor]</w:t>
      </w:r>
    </w:p>
    <w:tbl>
      <w:tblPr>
        <w:tblLayout w:type="fixed"/>
        <w:tblInd w:w="20" w:type="dxa"/>
        <w:tblCellMar>
          <w:top w:w="0" w:type="dxa"/>
          <w:left w:w="0" w:type="dxa"/>
          <w:bottom w:w="0" w:type="dxa"/>
          <w:right w:w="0" w:type="dxa"/>
        </w:tblCellMar>
      </w:tblPr>
      <w:tr>
        <w:trPr>
          <w:trHeight w:val="199"/>
        </w:trPr>
        <w:tc>
          <w:tcPr>
            <w:tcW w:w="5760" w:type="dxa"/>
            <w:vAlign w:val="bottom"/>
          </w:tcPr>
          <w:p>
            <w:pPr>
              <w:spacing w:after="0"/>
              <w:rPr>
                <w:sz w:val="17"/>
                <w:szCs w:val="17"/>
                <w:color w:val="auto"/>
              </w:rPr>
            </w:pPr>
          </w:p>
        </w:tc>
        <w:tc>
          <w:tcPr>
            <w:tcW w:w="5640" w:type="dxa"/>
            <w:vAlign w:val="bottom"/>
            <w:gridSpan w:val="7"/>
          </w:tcPr>
          <w:p>
            <w:pPr>
              <w:jc w:val="right"/>
              <w:ind w:right="180"/>
              <w:spacing w:after="0" w:line="199" w:lineRule="exact"/>
              <w:rPr>
                <w:sz w:val="20"/>
                <w:szCs w:val="20"/>
                <w:color w:val="auto"/>
              </w:rPr>
            </w:pPr>
            <w:r>
              <w:rPr>
                <w:rFonts w:ascii="Arial" w:cs="Arial" w:eastAsia="Arial" w:hAnsi="Arial"/>
                <w:sz w:val="18"/>
                <w:szCs w:val="18"/>
                <w:color w:val="auto"/>
              </w:rPr>
              <w:t>, 200</w:t>
            </w:r>
          </w:p>
        </w:tc>
      </w:tr>
      <w:tr>
        <w:trPr>
          <w:trHeight w:val="316"/>
        </w:trPr>
        <w:tc>
          <w:tcPr>
            <w:tcW w:w="5760" w:type="dxa"/>
            <w:vAlign w:val="bottom"/>
          </w:tcPr>
          <w:p>
            <w:pPr>
              <w:spacing w:after="0"/>
              <w:rPr>
                <w:sz w:val="20"/>
                <w:szCs w:val="20"/>
                <w:color w:val="auto"/>
              </w:rPr>
            </w:pPr>
            <w:r>
              <w:rPr>
                <w:rFonts w:ascii="Arial" w:cs="Arial" w:eastAsia="Arial" w:hAnsi="Arial"/>
                <w:sz w:val="18"/>
                <w:szCs w:val="18"/>
                <w:color w:val="auto"/>
              </w:rPr>
              <w:t>Ladies and Gentlemen:</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59"/>
        </w:trPr>
        <w:tc>
          <w:tcPr>
            <w:tcW w:w="5760" w:type="dxa"/>
            <w:vAlign w:val="bottom"/>
          </w:tcPr>
          <w:p>
            <w:pPr>
              <w:ind w:left="900"/>
              <w:spacing w:after="0"/>
              <w:rPr>
                <w:sz w:val="20"/>
                <w:szCs w:val="20"/>
                <w:color w:val="auto"/>
              </w:rPr>
            </w:pPr>
            <w:r>
              <w:rPr>
                <w:rFonts w:ascii="Arial" w:cs="Arial" w:eastAsia="Arial" w:hAnsi="Arial"/>
                <w:sz w:val="18"/>
                <w:szCs w:val="18"/>
                <w:color w:val="auto"/>
                <w:w w:val="87"/>
              </w:rPr>
              <w:t>Reference is made to the Registration Rights Agreement, dated as of</w:t>
            </w:r>
          </w:p>
        </w:tc>
        <w:tc>
          <w:tcPr>
            <w:tcW w:w="520" w:type="dxa"/>
            <w:vAlign w:val="bottom"/>
          </w:tcPr>
          <w:p>
            <w:pPr>
              <w:spacing w:after="0"/>
              <w:rPr>
                <w:sz w:val="22"/>
                <w:szCs w:val="22"/>
                <w:color w:val="auto"/>
              </w:rPr>
            </w:pPr>
          </w:p>
        </w:tc>
        <w:tc>
          <w:tcPr>
            <w:tcW w:w="5120" w:type="dxa"/>
            <w:vAlign w:val="bottom"/>
            <w:gridSpan w:val="6"/>
          </w:tcPr>
          <w:p>
            <w:pPr>
              <w:jc w:val="right"/>
              <w:ind w:right="20"/>
              <w:spacing w:after="0"/>
              <w:rPr>
                <w:sz w:val="20"/>
                <w:szCs w:val="20"/>
                <w:color w:val="auto"/>
              </w:rPr>
            </w:pPr>
            <w:r>
              <w:rPr>
                <w:rFonts w:ascii="Arial" w:cs="Arial" w:eastAsia="Arial" w:hAnsi="Arial"/>
                <w:sz w:val="18"/>
                <w:szCs w:val="18"/>
                <w:color w:val="auto"/>
                <w:w w:val="89"/>
              </w:rPr>
              <w:t>, 2006 (the “Registration Rights Agreement”), by and among ExlService</w:t>
            </w:r>
          </w:p>
        </w:tc>
      </w:tr>
      <w:tr>
        <w:trPr>
          <w:trHeight w:val="20"/>
        </w:trPr>
        <w:tc>
          <w:tcPr>
            <w:tcW w:w="5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Holdings, Inc., a Delaware corporation, and the certain stockholders named therein. All capitalized terms used herein but not otherwise defined shall have the meanings given to them in the Registration Rights Agreement.</w:t>
      </w:r>
    </w:p>
    <w:p>
      <w:pPr>
        <w:spacing w:after="0" w:line="126" w:lineRule="exact"/>
        <w:rPr>
          <w:sz w:val="20"/>
          <w:szCs w:val="20"/>
          <w:color w:val="auto"/>
        </w:rPr>
      </w:pPr>
    </w:p>
    <w:p>
      <w:pPr>
        <w:jc w:val="both"/>
        <w:ind w:right="120" w:firstLine="913"/>
        <w:spacing w:after="0" w:line="262" w:lineRule="auto"/>
        <w:rPr>
          <w:sz w:val="20"/>
          <w:szCs w:val="20"/>
          <w:color w:val="auto"/>
        </w:rPr>
      </w:pPr>
      <w:r>
        <w:rPr>
          <w:rFonts w:ascii="Arial" w:cs="Arial" w:eastAsia="Arial" w:hAnsi="Arial"/>
          <w:sz w:val="18"/>
          <w:szCs w:val="18"/>
          <w:color w:val="auto"/>
        </w:rPr>
        <w:t xml:space="preserve">In connection with the transfer by </w:t>
      </w:r>
      <w:r>
        <w:rPr>
          <w:rFonts w:ascii="Arial" w:cs="Arial" w:eastAsia="Arial" w:hAnsi="Arial"/>
          <w:sz w:val="18"/>
          <w:szCs w:val="18"/>
          <w:b w:val="1"/>
          <w:bCs w:val="1"/>
          <w:color w:val="auto"/>
        </w:rPr>
        <w:t>[Name of Transferor]</w:t>
      </w:r>
      <w:r>
        <w:rPr>
          <w:rFonts w:ascii="Arial" w:cs="Arial" w:eastAsia="Arial" w:hAnsi="Arial"/>
          <w:sz w:val="18"/>
          <w:szCs w:val="18"/>
          <w:color w:val="auto"/>
        </w:rPr>
        <w:t xml:space="preserve"> of Registrable Securities with associated registration rights under the Registration Rights Agreement to </w:t>
      </w:r>
      <w:r>
        <w:rPr>
          <w:rFonts w:ascii="Arial" w:cs="Arial" w:eastAsia="Arial" w:hAnsi="Arial"/>
          <w:sz w:val="18"/>
          <w:szCs w:val="18"/>
          <w:b w:val="1"/>
          <w:bCs w:val="1"/>
          <w:color w:val="auto"/>
        </w:rPr>
        <w:t>[Name of Transferee]</w:t>
      </w:r>
      <w:r>
        <w:rPr>
          <w:rFonts w:ascii="Arial" w:cs="Arial" w:eastAsia="Arial" w:hAnsi="Arial"/>
          <w:sz w:val="18"/>
          <w:szCs w:val="18"/>
          <w:color w:val="auto"/>
        </w:rPr>
        <w:t xml:space="preserve"> as transferee (the “</w:t>
      </w:r>
      <w:r>
        <w:rPr>
          <w:rFonts w:ascii="Arial" w:cs="Arial" w:eastAsia="Arial" w:hAnsi="Arial"/>
          <w:sz w:val="18"/>
          <w:szCs w:val="18"/>
          <w:u w:val="single" w:color="auto"/>
          <w:color w:val="auto"/>
        </w:rPr>
        <w:t>Transferee</w:t>
      </w:r>
      <w:r>
        <w:rPr>
          <w:rFonts w:ascii="Arial" w:cs="Arial" w:eastAsia="Arial" w:hAnsi="Arial"/>
          <w:sz w:val="18"/>
          <w:szCs w:val="18"/>
          <w:color w:val="auto"/>
        </w:rPr>
        <w:t>”), the Transferee hereby agrees to be bound as a Designated Stockholder by the provisions of the Registration Rights Agreement as provided under Section 2(d)(i) thereto.</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consent shall be governed by New York law.</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Transferee]</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-5715</wp:posOffset>
            </wp:positionV>
            <wp:extent cx="25215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90" w:lineRule="exact"/>
        <w:rPr>
          <w:sz w:val="20"/>
          <w:szCs w:val="20"/>
          <w:color w:val="auto"/>
        </w:rPr>
      </w:pPr>
    </w:p>
    <w:p>
      <w:pPr>
        <w:ind w:left="4506"/>
        <w:spacing w:after="0"/>
        <w:rPr>
          <w:sz w:val="20"/>
          <w:szCs w:val="20"/>
          <w:color w:val="auto"/>
        </w:rPr>
      </w:pPr>
      <w:r>
        <w:rPr>
          <w:rFonts w:ascii="Arial" w:cs="Arial" w:eastAsia="Arial" w:hAnsi="Arial"/>
          <w:sz w:val="18"/>
          <w:szCs w:val="18"/>
          <w:b w:val="1"/>
          <w:bCs w:val="1"/>
          <w:u w:val="single" w:color="auto"/>
          <w:color w:val="auto"/>
        </w:rPr>
        <w:t>Plan of Distribution</w:t>
      </w:r>
    </w:p>
    <w:p>
      <w:pPr>
        <w:spacing w:after="0" w:line="17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 selling stockholder may also enter into hedging and/or monetization transactions. For example, a selling stockholder may:</w:t>
      </w:r>
    </w:p>
    <w:p>
      <w:pPr>
        <w:spacing w:after="0" w:line="90" w:lineRule="exact"/>
        <w:rPr>
          <w:sz w:val="20"/>
          <w:szCs w:val="20"/>
          <w:color w:val="auto"/>
        </w:rPr>
      </w:pPr>
    </w:p>
    <w:p>
      <w:pPr>
        <w:ind w:left="326" w:right="100" w:hanging="326"/>
        <w:spacing w:after="0" w:line="259" w:lineRule="auto"/>
        <w:tabs>
          <w:tab w:leader="none" w:pos="32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of a broker-dealer or other third party in connection with which that other party will become a selling stockholder and engage in short sales of our common stock under this prospectus, in which case the other party may use shares of our common stock received from the selling stockholder to close out any short position;</w:t>
      </w:r>
    </w:p>
    <w:p>
      <w:pPr>
        <w:spacing w:after="0" w:line="59" w:lineRule="exact"/>
        <w:rPr>
          <w:rFonts w:ascii="Arial" w:cs="Arial" w:eastAsia="Arial" w:hAnsi="Arial"/>
          <w:sz w:val="18"/>
          <w:szCs w:val="18"/>
          <w:color w:val="auto"/>
        </w:rPr>
      </w:pPr>
    </w:p>
    <w:p>
      <w:pPr>
        <w:ind w:left="326" w:hanging="326"/>
        <w:spacing w:after="0"/>
        <w:tabs>
          <w:tab w:leader="none" w:pos="32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sell short our common stock under this prospectus and use shares of our common stock held by the selling stockholder to close out any short position;</w:t>
      </w:r>
    </w:p>
    <w:p>
      <w:pPr>
        <w:spacing w:after="0" w:line="113" w:lineRule="exact"/>
        <w:rPr>
          <w:rFonts w:ascii="Arial" w:cs="Arial" w:eastAsia="Arial" w:hAnsi="Arial"/>
          <w:sz w:val="16"/>
          <w:szCs w:val="16"/>
          <w:color w:val="auto"/>
        </w:rPr>
      </w:pPr>
    </w:p>
    <w:p>
      <w:pPr>
        <w:jc w:val="both"/>
        <w:ind w:left="326" w:right="380" w:hanging="326"/>
        <w:spacing w:after="0" w:line="306" w:lineRule="auto"/>
        <w:tabs>
          <w:tab w:leader="none" w:pos="32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enter into options, forwards or other transactions that require the selling stockholder to deliver, in a transaction exempt from registration under the Securities Act, shares of our common stock to a broker-dealer or an affiliate of a broker-dealer or other third party who may then become a selling stockholder and publicly resell or otherwise transfer shares of our common stock under this prospectus;</w:t>
      </w:r>
    </w:p>
    <w:p>
      <w:pPr>
        <w:spacing w:after="0" w:line="25" w:lineRule="exact"/>
        <w:rPr>
          <w:rFonts w:ascii="Arial" w:cs="Arial" w:eastAsia="Arial" w:hAnsi="Arial"/>
          <w:sz w:val="16"/>
          <w:szCs w:val="16"/>
          <w:color w:val="auto"/>
        </w:rPr>
      </w:pPr>
    </w:p>
    <w:p>
      <w:pPr>
        <w:ind w:left="326" w:right="60" w:hanging="326"/>
        <w:spacing w:after="0" w:line="259" w:lineRule="auto"/>
        <w:tabs>
          <w:tab w:leader="none" w:pos="32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loan or pledge shares of our common stock to a broker-dealer or affiliate of a broker-dealer or other third party who may then become a selling stockholder and sell the loaned shares or, in an event of default in the case of a pledge, become a selling stockholder and sell the pledged shares, under this prospectus; or</w:t>
      </w:r>
    </w:p>
    <w:p>
      <w:pPr>
        <w:spacing w:after="0" w:line="59" w:lineRule="exact"/>
        <w:rPr>
          <w:rFonts w:ascii="Arial" w:cs="Arial" w:eastAsia="Arial" w:hAnsi="Arial"/>
          <w:sz w:val="18"/>
          <w:szCs w:val="18"/>
          <w:color w:val="auto"/>
        </w:rPr>
      </w:pPr>
    </w:p>
    <w:p>
      <w:pPr>
        <w:ind w:left="326" w:right="80" w:hanging="326"/>
        <w:spacing w:after="0" w:line="314" w:lineRule="auto"/>
        <w:tabs>
          <w:tab w:leader="none" w:pos="32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 or borrowed from the selling stockholder or others to settle those sales or to close out any related open borrowings of stock, and may use securities received from the selling stockholder in settlement of those derivatives to close out any related open borrowings of stock. The third party in such sale transactions will be an underwriter and will be identified in the applicable prospectus supplement (or a post effective amendment).</w:t>
      </w:r>
    </w:p>
    <w:p>
      <w:pPr>
        <w:sectPr>
          <w:pgSz w:w="11900" w:h="16838" w:orient="portrait"/>
          <w:cols w:equalWidth="0" w:num="1">
            <w:col w:w="10966"/>
          </w:cols>
          <w:pgMar w:left="694"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This STOCK REPURCHASE AGREEMENT, dated October 25, 2006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holders of Series A Preferred Stock, par value $0.001 per share, of the Company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w:t>
      </w:r>
    </w:p>
    <w:p>
      <w:pPr>
        <w:spacing w:after="0" w:line="14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WHEREAS, the Company is in the process of consummating an initial public offering (the “</w:t>
      </w:r>
      <w:r>
        <w:rPr>
          <w:rFonts w:ascii="Arial" w:cs="Arial" w:eastAsia="Arial" w:hAnsi="Arial"/>
          <w:sz w:val="18"/>
          <w:szCs w:val="18"/>
          <w:u w:val="single" w:color="auto"/>
          <w:color w:val="auto"/>
        </w:rPr>
        <w:t>Public Offering</w:t>
      </w:r>
      <w:r>
        <w:rPr>
          <w:rFonts w:ascii="Arial" w:cs="Arial" w:eastAsia="Arial" w:hAnsi="Arial"/>
          <w:sz w:val="18"/>
          <w:szCs w:val="18"/>
          <w:color w:val="auto"/>
        </w:rPr>
        <w:t>”) of its shares of common stock, pursuant to the Securities Act of 1933;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intends to use a portion of the proceeds from the Public Offering to repurchase all of its outstanding shares of Preferred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adequacy of which are hereby acknowledged, the parties hereto hereby agree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REPURCHASE</w:t>
      </w:r>
    </w:p>
    <w:p>
      <w:pPr>
        <w:spacing w:after="0" w:line="171" w:lineRule="exact"/>
        <w:rPr>
          <w:sz w:val="20"/>
          <w:szCs w:val="20"/>
          <w:color w:val="auto"/>
        </w:rPr>
      </w:pPr>
    </w:p>
    <w:p>
      <w:pPr>
        <w:jc w:val="both"/>
        <w:ind w:right="160" w:firstLine="913"/>
        <w:spacing w:after="0" w:line="335"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Share Repurchase</w:t>
      </w:r>
      <w:r>
        <w:rPr>
          <w:rFonts w:ascii="Arial" w:cs="Arial" w:eastAsia="Arial" w:hAnsi="Arial"/>
          <w:sz w:val="15"/>
          <w:szCs w:val="15"/>
          <w:color w:val="auto"/>
        </w:rPr>
        <w:t>. Upon consummation of the Public Offering, (the “</w:t>
      </w:r>
      <w:r>
        <w:rPr>
          <w:rFonts w:ascii="Arial" w:cs="Arial" w:eastAsia="Arial" w:hAnsi="Arial"/>
          <w:sz w:val="15"/>
          <w:szCs w:val="15"/>
          <w:u w:val="single" w:color="auto"/>
          <w:color w:val="auto"/>
        </w:rPr>
        <w:t>Repurchase Date</w:t>
      </w:r>
      <w:r>
        <w:rPr>
          <w:rFonts w:ascii="Arial" w:cs="Arial" w:eastAsia="Arial" w:hAnsi="Arial"/>
          <w:sz w:val="15"/>
          <w:szCs w:val="15"/>
          <w:color w:val="auto"/>
        </w:rPr>
        <w:t xml:space="preserve">”), and effective solely upon such consummation and the other terms of this Agreement, each Selling Stockholder agrees to sell, and the Company agrees to repurchase, the number of shares of Preferred Stock set forth opposite such Selling Stockholder’s name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(with respect to each Selling Stockholder, such Selling Stockholder’s “</w:t>
      </w:r>
      <w:r>
        <w:rPr>
          <w:rFonts w:ascii="Arial" w:cs="Arial" w:eastAsia="Arial" w:hAnsi="Arial"/>
          <w:sz w:val="15"/>
          <w:szCs w:val="15"/>
          <w:u w:val="single" w:color="auto"/>
          <w:color w:val="auto"/>
        </w:rPr>
        <w:t>Repurchased Shares</w:t>
      </w:r>
      <w:r>
        <w:rPr>
          <w:rFonts w:ascii="Arial" w:cs="Arial" w:eastAsia="Arial" w:hAnsi="Arial"/>
          <w:sz w:val="15"/>
          <w:szCs w:val="15"/>
          <w:color w:val="auto"/>
        </w:rPr>
        <w:t>”).</w:t>
      </w:r>
    </w:p>
    <w:p>
      <w:pPr>
        <w:spacing w:after="0" w:line="88" w:lineRule="exact"/>
        <w:rPr>
          <w:sz w:val="20"/>
          <w:szCs w:val="20"/>
          <w:color w:val="auto"/>
        </w:rPr>
      </w:pPr>
    </w:p>
    <w:p>
      <w:pPr>
        <w:ind w:right="80" w:firstLine="913"/>
        <w:spacing w:after="0" w:line="312"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Consideration</w:t>
      </w:r>
      <w:r>
        <w:rPr>
          <w:rFonts w:ascii="Arial" w:cs="Arial" w:eastAsia="Arial" w:hAnsi="Arial"/>
          <w:sz w:val="15"/>
          <w:szCs w:val="15"/>
          <w:color w:val="auto"/>
        </w:rPr>
        <w:t>. The aggregate consideration payable by the Company for the Repurchased Shares (the “</w:t>
      </w:r>
      <w:r>
        <w:rPr>
          <w:rFonts w:ascii="Arial" w:cs="Arial" w:eastAsia="Arial" w:hAnsi="Arial"/>
          <w:sz w:val="15"/>
          <w:szCs w:val="15"/>
          <w:u w:val="single" w:color="auto"/>
          <w:color w:val="auto"/>
        </w:rPr>
        <w:t>Repurchase Price</w:t>
      </w:r>
      <w:r>
        <w:rPr>
          <w:rFonts w:ascii="Arial" w:cs="Arial" w:eastAsia="Arial" w:hAnsi="Arial"/>
          <w:sz w:val="15"/>
          <w:szCs w:val="15"/>
          <w:color w:val="auto"/>
        </w:rPr>
        <w:t>”) shall equal the applicable Liquidation Preference (as defined in the Company’s Amended and Restated Certificate of Incorporation), including accrued and unpaid dividends, of such Repurchased Shares as of the Repurchase Date. The applicable Repurchase Price shall be payable to each Selling Stockholder upon receipt by the Company of the share certificates representing such Selling Stockholders’ Repurchased Shares and all other documents evidencing the Selling Stockholder’s ownership of the Repurchased Shares, properly endorsed by the Selling Stockholder for transfer to the Company or accompanied by properly executed assignments to the Company in proper form, together with transfer tax stamps, if any. Payment of the applicable Repurchase Price shall be made by wire transfer to those Selling Stockholders who have provided wire transfer instructions to the Company at least 2 business days prior to the Repurchase Date or by check.</w:t>
      </w:r>
    </w:p>
    <w:p>
      <w:pPr>
        <w:spacing w:after="0" w:line="10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Cessation of Rights</w:t>
      </w:r>
      <w:r>
        <w:rPr>
          <w:rFonts w:ascii="Arial" w:cs="Arial" w:eastAsia="Arial" w:hAnsi="Arial"/>
          <w:sz w:val="16"/>
          <w:szCs w:val="16"/>
          <w:color w:val="auto"/>
        </w:rPr>
        <w:t>. Unless there shall have been a default in payment by the Company of the Repurchase Price, all rights of the Selling Stockholders to the Repurchased Shares shall cease with respect to such shares from and after the Repurchase Date and the Selling Stockholders shall cease to be stockholders of the Company with respect to such Repurchased Shares and shall be entitled only to receive the applicable Repurchase Price, without interest, upon surrender of the share certificates representing such Repurchased Shares and other documents as provided in Section 1.2 above.</w:t>
      </w:r>
    </w:p>
    <w:p>
      <w:pPr>
        <w:sectPr>
          <w:pgSz w:w="11900" w:h="16838" w:orient="portrait"/>
          <w:cols w:equalWidth="0" w:num="1">
            <w:col w:w="11420"/>
          </w:cols>
          <w:pgMar w:left="240" w:top="125"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Representations and Warranties of the Parties</w:t>
      </w:r>
      <w:r>
        <w:rPr>
          <w:rFonts w:ascii="Arial" w:cs="Arial" w:eastAsia="Arial" w:hAnsi="Arial"/>
          <w:sz w:val="18"/>
          <w:szCs w:val="18"/>
          <w:color w:val="auto"/>
        </w:rPr>
        <w:t>. The Company represents to each Selling Stockholder and each Selling Stockholder represents, severally, and not jointly, to the Company that:</w:t>
      </w:r>
    </w:p>
    <w:p>
      <w:pPr>
        <w:spacing w:after="0" w:line="51" w:lineRule="exact"/>
        <w:rPr>
          <w:sz w:val="20"/>
          <w:szCs w:val="20"/>
          <w:color w:val="auto"/>
        </w:rPr>
      </w:pPr>
    </w:p>
    <w:p>
      <w:pPr>
        <w:ind w:right="240" w:firstLine="1492"/>
        <w:spacing w:after="0" w:line="259" w:lineRule="auto"/>
        <w:tabs>
          <w:tab w:leader="none" w:pos="17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party has the full power and authority to enter into, execute and deliver this Agreement and to perform the transactions contemplated hereby and, if such party is not a natural person, such party is duly incorporated or organized and existing under the laws of the jurisdiction of its incorporation or organization;</w:t>
      </w:r>
    </w:p>
    <w:p>
      <w:pPr>
        <w:spacing w:after="0" w:line="140" w:lineRule="exact"/>
        <w:rPr>
          <w:rFonts w:ascii="Arial" w:cs="Arial" w:eastAsia="Arial" w:hAnsi="Arial"/>
          <w:sz w:val="18"/>
          <w:szCs w:val="18"/>
          <w:color w:val="auto"/>
        </w:rPr>
      </w:pPr>
    </w:p>
    <w:p>
      <w:pPr>
        <w:ind w:right="200" w:firstLine="1492"/>
        <w:spacing w:after="0" w:line="268" w:lineRule="auto"/>
        <w:tabs>
          <w:tab w:leader="none" w:pos="17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execution and delivery by such party of this Agreement and the performance by such party of the transactions contemplated hereby have been duly authorized by all necessary corporate or other action of such party;</w:t>
      </w:r>
    </w:p>
    <w:p>
      <w:pPr>
        <w:spacing w:after="0" w:line="131" w:lineRule="exact"/>
        <w:rPr>
          <w:rFonts w:ascii="Arial" w:cs="Arial" w:eastAsia="Arial" w:hAnsi="Arial"/>
          <w:sz w:val="18"/>
          <w:szCs w:val="18"/>
          <w:color w:val="auto"/>
        </w:rPr>
      </w:pPr>
    </w:p>
    <w:p>
      <w:pPr>
        <w:ind w:firstLine="1492"/>
        <w:spacing w:after="0" w:line="259" w:lineRule="auto"/>
        <w:tabs>
          <w:tab w:leader="none" w:pos="17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assuming the due authorization, execution and delivery hereof by the other parties, this Agreement constitutes the legal, valid and binding obligation of such party, enforceable against such party in accordance with its terms, except as such enforceability may be limited by applicable bankruptcy, insolvency, reorganization, moratorium or similar laws affecting creditors’ rights generally; and</w:t>
      </w:r>
    </w:p>
    <w:p>
      <w:pPr>
        <w:spacing w:after="0" w:line="140" w:lineRule="exact"/>
        <w:rPr>
          <w:rFonts w:ascii="Arial" w:cs="Arial" w:eastAsia="Arial" w:hAnsi="Arial"/>
          <w:sz w:val="18"/>
          <w:szCs w:val="18"/>
          <w:color w:val="auto"/>
        </w:rPr>
      </w:pPr>
    </w:p>
    <w:p>
      <w:pPr>
        <w:ind w:firstLine="1492"/>
        <w:spacing w:after="0" w:line="289" w:lineRule="auto"/>
        <w:tabs>
          <w:tab w:leader="none" w:pos="17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such party and the consummation of the transactions contemplated hereby will not, (i) violate any provision of the organizational or governance documents of such party, (ii) require such party to obtain any consent, approval or action of, or make any filing with or give any notice to, any governmental authority in such party’s country of organization or any other person pursuant to any instrument, contract or other agreement to which such party is a party or by which such party is bound, other than any such consent, approval, action or filing that has already duly obtained or made, (iii) conflict with or result in any material breach or violation of any of the terms and conditions of, or constitute (or with notice or lapse of time or both constitute) a default under, any instrument, contract or other agreement to which such party is a party or by which such party is bound, (iv) violate any order, judgment or decree against, or binding upon, such party or upon its respective securities, properties or businesses, or (v) violate any law or regulation of such party’s country of organization or any other country in which it maintains its principal office.</w:t>
      </w:r>
    </w:p>
    <w:p>
      <w:pPr>
        <w:spacing w:after="0" w:line="118"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Additional Representations and Warranties of the Selling</w:t>
      </w:r>
      <w:r>
        <w:rPr>
          <w:rFonts w:ascii="Arial" w:cs="Arial" w:eastAsia="Arial" w:hAnsi="Arial"/>
          <w:sz w:val="16"/>
          <w:szCs w:val="16"/>
          <w:color w:val="auto"/>
        </w:rPr>
        <w:t xml:space="preserve"> Stockholders. Each Selling Stockholder represents, severally, and not jointly, to the Company that such Selling Stockholder owns beneficially and of record its Repurchased Shares and has good, valid and marketable title to its Repurchased Shares, free and clear of all encumbrances. Such Selling Stockholder has the unrestricted power and authority to transfer its Repurchased Shares to the Company. Upon delivery to the Company of the share certificates representing such Selling Stockholder’s Repurchased Shares and payment therefor, the Company shall acquire good, valid and marketable title to such Repurchased Shares, free and clear of all encumbrances.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3.1 Survival</w:t>
      </w:r>
      <w:r>
        <w:rPr>
          <w:rFonts w:ascii="Arial" w:cs="Arial" w:eastAsia="Arial" w:hAnsi="Arial"/>
          <w:sz w:val="18"/>
          <w:szCs w:val="18"/>
          <w:color w:val="auto"/>
        </w:rPr>
        <w:t>. All of the representations and warranties made herein shall survive indefinitely.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parties hereto in connection with the subject matter hereof.</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Heirs, Successors and Assigns</w:t>
      </w:r>
      <w:r>
        <w:rPr>
          <w:rFonts w:ascii="Arial" w:cs="Arial" w:eastAsia="Arial" w:hAnsi="Arial"/>
          <w:sz w:val="18"/>
          <w:szCs w:val="18"/>
          <w:color w:val="auto"/>
        </w:rPr>
        <w:t>. The terms of this Agreement shall be binding upon, and shall inure to the benefit of the Company and the Selling Stockholders and their respective heirs, successors and assigns.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 If a provision of this Agreement is held to be invalid and the rest of this Agreement is not invalidated, each party shall use all reasonable efforts to effect as far as practicable and valid under applicable law a new provision to achieve the purpose of such invalidated provision.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in any number of counterparts, each when executed and delivered shall be deemed to be an original and all of which counterparts taken together shall constitute but one and the same instrument.</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shall execute such documents and perform such further acts (including obtaining any consents, exemptions, authorizations or other actions by, or giving any notices to, or making any filings with, any governmental authority or any other person) as may be reasonably required or desirable to carry out or to perform the provisions of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w:t>
      </w:r>
    </w:p>
    <w:p>
      <w:pPr>
        <w:spacing w:after="0" w:line="90" w:lineRule="exact"/>
        <w:rPr>
          <w:sz w:val="20"/>
          <w:szCs w:val="20"/>
          <w:color w:val="auto"/>
        </w:rPr>
      </w:pPr>
    </w:p>
    <w:p>
      <w:pPr>
        <w:ind w:right="200" w:firstLine="921"/>
        <w:spacing w:after="0" w:line="268" w:lineRule="auto"/>
        <w:tabs>
          <w:tab w:leader="none" w:pos="11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WITHOUT REGARD TO CONFLICT OF LAW PROVISIONS THEREOF.</w:t>
      </w:r>
    </w:p>
    <w:p>
      <w:pPr>
        <w:spacing w:after="0" w:line="131" w:lineRule="exact"/>
        <w:rPr>
          <w:rFonts w:ascii="Arial" w:cs="Arial" w:eastAsia="Arial" w:hAnsi="Arial"/>
          <w:sz w:val="18"/>
          <w:szCs w:val="18"/>
          <w:color w:val="auto"/>
        </w:rPr>
      </w:pPr>
    </w:p>
    <w:p>
      <w:pPr>
        <w:ind w:right="80" w:firstLine="921"/>
        <w:spacing w:after="0" w:line="255" w:lineRule="auto"/>
        <w:tabs>
          <w:tab w:leader="none" w:pos="11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NOT PROHIBITED BY APPLICABLE LAW WHICH CANNOT BE WAIVED, EACH PARTY HEREBY WAIVES, AND COVENANTS THAT IT WILL NOT ASSERT (WHETHER AS PLAINTIFF, DEFENDANT OR OTHERWISE), ANY RIGHT TO TRIAL BY JURY IN ANY FORUM IN RESPECT OF ANY ISSUE, CLAIM, DEMAND, ACTION, OR CAUSE OF ACTION ARISING OUT OF OR BASED UPON THIS AGREEMENT OR THE SUBJECT MATTER HEREOF, IN EACH CASE WHETHER NOW EXISTING OR HEREAFTER ARISING OR WHETHER IN CONTRACT OR TORT OR OTHERWISE.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47" w:name="page148"/>
    <w:bookmarkEnd w:id="147"/>
    <w:p>
      <w:pPr>
        <w:ind w:left="-120" w:firstLine="921"/>
        <w:spacing w:after="0" w:line="294" w:lineRule="auto"/>
        <w:tabs>
          <w:tab w:leader="none" w:pos="10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hereto irrevocably submit to the exclusive jurisdiction of any state or federal court sitting in the County of New York, in the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60" w:top="280" w:right="359" w:bottom="1440" w:gutter="0" w:footer="0" w:header="0"/>
        </w:sectPr>
      </w:pPr>
    </w:p>
    <w:bookmarkStart w:id="148" w:name="page149"/>
    <w:bookmarkEnd w:id="14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executed, or have caused to be executed, this Repurchase Agreement on the date first written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CFO</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SELLING STOCKHOLDERS:</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OAK HILL CAPITAL PARTNERS, L.P.</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OHCP GenPar, L.P.,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OHCP MGP,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Monsky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OAK HILL CAPITAL MANAGEMENT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OHCP GenPar, L.P.,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OHCP MGP,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Monsky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9" w:name="page150"/>
    <w:bookmarkEnd w:id="14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TECHNOLOGY VENTURES,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5"/>
              </w:rPr>
              <w:t>Financial Technology Management, LLC, its general</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Garman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N. Garman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FINANCIAL TECHNOLOGY VENTURES (Q), L.P.</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5"/>
              </w:rPr>
              <w:t>Financial Technology Management, LLC, its general</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Garman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N. Garman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FINANCIAL TECHNOLOGY VENTURES II, L.P.</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1"/>
              </w:rPr>
              <w:t>Financial Technology Management II, LLC, its general</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Garman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N. Garman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FINANCIAL TECHNOLOGY VENTURES II (Q), L.P.</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1"/>
              </w:rPr>
              <w:t>Financial Technology Management II, LLC, its general</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Garman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N. Garman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Vikram Talwar</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280" w:right="239" w:bottom="1440" w:gutter="0" w:footer="0" w:header="0"/>
        </w:sectPr>
      </w:pPr>
    </w:p>
    <w:bookmarkStart w:id="150" w:name="page151"/>
    <w:bookmarkEnd w:id="15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Sumir Anand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Lalit Vaj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Sanjay Gupta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Vikas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Vikas Bhalla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 Deepak Dhawan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33020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Deepak Dhawan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Pavan Bagai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Parul Kumar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Narasimha Kini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Amitabh Ganju</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80" w:right="1440" w:bottom="1440" w:gutter="0" w:footer="0" w:header="0"/>
        </w:sectPr>
      </w:pPr>
    </w:p>
    <w:bookmarkStart w:id="151" w:name="page152"/>
    <w:bookmarkEnd w:id="15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311785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t>Gulshan Dua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Sandeep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Suneal Singhal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Alka Misra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2119"/>
        <w:spacing w:after="0"/>
        <w:rPr>
          <w:sz w:val="20"/>
          <w:szCs w:val="20"/>
          <w:color w:val="auto"/>
        </w:rPr>
      </w:pPr>
      <w:r>
        <w:rPr>
          <w:rFonts w:ascii="Arial" w:cs="Arial" w:eastAsia="Arial" w:hAnsi="Arial"/>
          <w:sz w:val="18"/>
          <w:szCs w:val="18"/>
          <w:color w:val="auto"/>
        </w:rPr>
        <w:t>Sandeep Kejirwal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Bharat S. Hada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Baljinder Singh</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509"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6020" w:type="dxa"/>
            <w:vAlign w:val="bottom"/>
            <w:gridSpan w:val="3"/>
          </w:tcPr>
          <w:p>
            <w:pPr>
              <w:jc w:val="center"/>
              <w:ind w:right="3482"/>
              <w:spacing w:after="0"/>
              <w:rPr>
                <w:sz w:val="20"/>
                <w:szCs w:val="20"/>
                <w:color w:val="auto"/>
              </w:rPr>
            </w:pPr>
            <w:r>
              <w:rPr>
                <w:rFonts w:ascii="Arial" w:cs="Arial" w:eastAsia="Arial" w:hAnsi="Arial"/>
                <w:sz w:val="18"/>
                <w:szCs w:val="18"/>
                <w:b w:val="1"/>
                <w:bCs w:val="1"/>
                <w:color w:val="auto"/>
                <w:w w:val="96"/>
              </w:rPr>
              <w:t>SCHEDULE 1</w:t>
            </w:r>
          </w:p>
        </w:tc>
      </w:tr>
      <w:tr>
        <w:trPr>
          <w:trHeight w:val="297"/>
        </w:trPr>
        <w:tc>
          <w:tcPr>
            <w:tcW w:w="3560" w:type="dxa"/>
            <w:vAlign w:val="bottom"/>
          </w:tcPr>
          <w:p>
            <w:pPr>
              <w:spacing w:after="0"/>
              <w:rPr>
                <w:sz w:val="24"/>
                <w:szCs w:val="24"/>
                <w:color w:val="auto"/>
              </w:rPr>
            </w:pPr>
          </w:p>
        </w:tc>
        <w:tc>
          <w:tcPr>
            <w:tcW w:w="6020" w:type="dxa"/>
            <w:vAlign w:val="bottom"/>
            <w:gridSpan w:val="3"/>
          </w:tcPr>
          <w:p>
            <w:pPr>
              <w:jc w:val="center"/>
              <w:ind w:right="3482"/>
              <w:spacing w:after="0"/>
              <w:rPr>
                <w:sz w:val="20"/>
                <w:szCs w:val="20"/>
                <w:color w:val="auto"/>
              </w:rPr>
            </w:pPr>
            <w:r>
              <w:rPr>
                <w:rFonts w:ascii="Arial" w:cs="Arial" w:eastAsia="Arial" w:hAnsi="Arial"/>
                <w:sz w:val="18"/>
                <w:szCs w:val="18"/>
                <w:b w:val="1"/>
                <w:bCs w:val="1"/>
                <w:color w:val="auto"/>
                <w:w w:val="85"/>
              </w:rPr>
              <w:t>Repurchased Shares</w:t>
            </w:r>
          </w:p>
        </w:tc>
      </w:tr>
      <w:tr>
        <w:trPr>
          <w:trHeight w:val="373"/>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Selling Stockholder</w:t>
            </w:r>
          </w:p>
        </w:tc>
        <w:tc>
          <w:tcPr>
            <w:tcW w:w="39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Repurchased Shares</w:t>
            </w:r>
          </w:p>
        </w:tc>
      </w:tr>
      <w:tr>
        <w:trPr>
          <w:trHeight w:val="195"/>
        </w:trPr>
        <w:tc>
          <w:tcPr>
            <w:tcW w:w="3560" w:type="dxa"/>
            <w:vAlign w:val="bottom"/>
          </w:tcPr>
          <w:p>
            <w:pPr>
              <w:spacing w:after="0" w:line="195" w:lineRule="exact"/>
              <w:rPr>
                <w:sz w:val="20"/>
                <w:szCs w:val="20"/>
                <w:color w:val="auto"/>
              </w:rPr>
            </w:pPr>
            <w:r>
              <w:rPr>
                <w:rFonts w:ascii="Arial" w:cs="Arial" w:eastAsia="Arial" w:hAnsi="Arial"/>
                <w:sz w:val="18"/>
                <w:szCs w:val="18"/>
                <w:color w:val="auto"/>
              </w:rPr>
              <w:t>Oak Hill Capital Partners, L.P.</w:t>
            </w:r>
          </w:p>
        </w:tc>
        <w:tc>
          <w:tcPr>
            <w:tcW w:w="4840" w:type="dxa"/>
            <w:vAlign w:val="bottom"/>
            <w:gridSpan w:val="2"/>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29,182.00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Oak Hill Capital Management Partners, L.P.</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748.26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Financial Technology Ventures, L.P.</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178.30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Financial Technology Ventures (Q), L.P.</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4,810.07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Financial Technology Ventures II, L.P.</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29.46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Financial Technology Ventures II (Q), L.P.</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4,958.92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Vikram Talwar</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1,496.51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Rohit Kapoor</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1,496.51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Sumir Anand</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113.18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Lalit Vij</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219.49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Sanjay Gupta</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129.70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Vikas Bhalla</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181.38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Deepak Dhawan</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282.94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Pavan Bagai</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957.77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Parul Kumar Gupta</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56.59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Joby Joseph</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34.92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Narasimha Kini</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84.88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Amitabh Ganju</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Gulshan Dua</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56.59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Sandeep Gill</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49.88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Suneal Singhal</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56.59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Alka Misra</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39.91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Sandeep Kejirwal</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19.95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Bharat S Hada</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28.29</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Baljinder Singh</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rPr>
              <w:t>49.88</w:t>
            </w:r>
          </w:p>
        </w:tc>
      </w:tr>
      <w:tr>
        <w:trPr>
          <w:trHeight w:val="365"/>
        </w:trPr>
        <w:tc>
          <w:tcPr>
            <w:tcW w:w="3560" w:type="dxa"/>
            <w:vAlign w:val="bottom"/>
          </w:tcPr>
          <w:p>
            <w:pPr>
              <w:spacing w:after="0"/>
              <w:rPr>
                <w:sz w:val="24"/>
                <w:szCs w:val="24"/>
                <w:color w:val="auto"/>
              </w:rPr>
            </w:pPr>
          </w:p>
        </w:tc>
        <w:tc>
          <w:tcPr>
            <w:tcW w:w="3920" w:type="dxa"/>
            <w:vAlign w:val="bottom"/>
          </w:tcPr>
          <w:p>
            <w:pPr>
              <w:jc w:val="center"/>
              <w:ind w:right="1352"/>
              <w:spacing w:after="0"/>
              <w:rPr>
                <w:sz w:val="20"/>
                <w:szCs w:val="20"/>
                <w:color w:val="auto"/>
              </w:rPr>
            </w:pPr>
            <w:r>
              <w:rPr>
                <w:rFonts w:ascii="Arial" w:cs="Arial" w:eastAsia="Arial" w:hAnsi="Arial"/>
                <w:sz w:val="18"/>
                <w:szCs w:val="18"/>
                <w:color w:val="auto"/>
                <w:w w:val="79"/>
              </w:rPr>
              <w:t>9</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80"/>
          </w:cols>
          <w:pgMar w:left="1160" w:top="274" w:right="11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 ANNOUNCES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CLOSING OF INITIAL PUBLIC OFFERING</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New York, October 25, 2006 - ExlService Holdings, Inc. (“EXL”) (NASDAQ: EXLS) announced today that it has successfully completed its initial public offering of 5,000,000 shares of its common stock at $13.50 per share. On Tuesday, October 24, 2006, the underwriters fully exercised their option to purchase an additional 750,000 shares to cover over-allotments, increasing the total number of shares offered to 5,750,00. The net proceeds of the offering will be approximately $72.2 million after underwriting discounts and commissions but prior to estimated offering expenses payable by EXL. EXL intends to use the net proceeds from the offering to repurchase or redeem all of its issued and outstanding Series A Preferred Stock, repay all of its outstanding senior promissory notes payable to certain of its stockholders and for working capital and general corporate purposes.</w:t>
      </w:r>
    </w:p>
    <w:p>
      <w:pPr>
        <w:spacing w:after="0" w:line="12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Citigroup Corporate and Investment Banking and Goldman, Sachs &amp; Co acted as joint book-running managers of the offering and Merrill Lynch, Pierce, Fenner &amp; Smith Incorporated and Thomas Weisel Partners LLC acted as co-managers.</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registration statement relating to the initial public offering of shares of common stock has been declared effective by the Securities and Exchange Commission. This press release does not constitute an offer to sell or the solicitation of an offer to buy the securities described above, nor shall there be any sale of such shares of common stock in any state or jurisdiction in which such offer, solicitation or sale would be unlawful prior to registration or qualification under the securities laws of any such state or jurisdiction. The offering of these securities will be made only by means of a prospectus, copies of which may be obtained from Citigroup Corporate and Investment Banking (Brooklyn Army Terminal, 140 58th Street, 8th Floor, Brooklyn, NY 11220; phone (718) 765-6732) or Goldman, Sachs &amp; Co. (85 Broad Street, New York, NY 10004, Attn: Prospectus Dept. (fax: 212.902.9316) or by e-mail to: prospectus-ny@ny.email.gs.com).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ExlService Holdings, Inc. is a recognized provider of end to end offshore services, including Business Process Outsourcing (BPO), research and analytics, and risk advisory services. It primarily serves the needs of Global 1000 companies in the banking, financial services and insurance sector. EXL is headquartered at 350 Park Avenue, New York, NY.</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This press release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w:t>
      </w:r>
    </w:p>
    <w:p>
      <w:pPr>
        <w:sectPr>
          <w:pgSz w:w="11900" w:h="16838" w:orient="portrait"/>
          <w:cols w:equalWidth="0" w:num="1">
            <w:col w:w="11420"/>
          </w:cols>
          <w:pgMar w:left="240" w:top="125" w:right="239" w:bottom="1440" w:gutter="0" w:footer="0" w:header="0"/>
        </w:sectPr>
      </w:pPr>
    </w:p>
    <w:bookmarkStart w:id="154" w:name="page155"/>
    <w:bookmarkEnd w:id="154"/>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are discussed in the “Risk Factors” and “Management’s Discussion and Analysis of Financial Condition and Results of Operations” sections and elsewhere in the company’s Registration Statement on Form S-1. These risks could cause actual results to differ materially from those implied by forward-looking statements in this release.</w:t>
      </w:r>
    </w:p>
    <w:p>
      <w:pPr>
        <w:spacing w:after="0" w:line="1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You should keep in mind that any forward-looking statement made by us herein, or elsewhere, speaks only as of the date on which we make it. New risks and uncertainties come up from time to time, and it is impossible for us to predict these events or how they may affect us. We have no obligation to update any forward-looking statements after the date hereof, except as required by federal securities laws.</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lowerRoman"/>
      <w:start w:val="1"/>
    </w:lvl>
  </w:abstractNum>
  <w:abstractNum w:abstractNumId="9">
    <w:nsid w:val="61574095"/>
    <w:multiLevelType w:val="hybridMultilevel"/>
    <w:lvl w:ilvl="0">
      <w:lvlJc w:val="left"/>
      <w:lvlText w:val="(%1)"/>
      <w:numFmt w:val="lowerLetter"/>
      <w:start w:val="1"/>
    </w:lvl>
  </w:abstractNum>
  <w:abstractNum w:abstractNumId="10">
    <w:nsid w:val="7E0C57B1"/>
    <w:multiLevelType w:val="hybridMultilevel"/>
    <w:lvl w:ilvl="0">
      <w:lvlJc w:val="left"/>
      <w:lvlText w:val="1"/>
      <w:numFmt w:val="bullet"/>
      <w:start w:val="1"/>
    </w:lvl>
  </w:abstractNum>
  <w:abstractNum w:abstractNumId="11">
    <w:nsid w:val="77AE35EB"/>
    <w:multiLevelType w:val="hybridMultilevel"/>
    <w:lvl w:ilvl="0">
      <w:lvlJc w:val="left"/>
      <w:lvlText w:val="(%1)"/>
      <w:numFmt w:val="lowerLetter"/>
      <w:start w:val="2"/>
    </w:lvl>
  </w:abstractNum>
  <w:abstractNum w:abstractNumId="12">
    <w:nsid w:val="579BE4F1"/>
    <w:multiLevelType w:val="hybridMultilevel"/>
    <w:lvl w:ilvl="0">
      <w:lvlJc w:val="left"/>
      <w:lvlText w:val="(%1)"/>
      <w:numFmt w:val="lowerLetter"/>
      <w:start w:val="4"/>
    </w:lvl>
  </w:abstractNum>
  <w:abstractNum w:abstractNumId="13">
    <w:nsid w:val="310C50B3"/>
    <w:multiLevelType w:val="hybridMultilevel"/>
    <w:lvl w:ilvl="0">
      <w:lvlJc w:val="left"/>
      <w:lvlText w:val="(%1)"/>
      <w:numFmt w:val="lowerLetter"/>
      <w:start w:val="9"/>
    </w:lvl>
  </w:abstractNum>
  <w:abstractNum w:abstractNumId="14">
    <w:nsid w:val="5FF87E05"/>
    <w:multiLevelType w:val="hybridMultilevel"/>
    <w:lvl w:ilvl="0">
      <w:lvlJc w:val="left"/>
      <w:lvlText w:val="(%1)"/>
      <w:numFmt w:val="lowerLetter"/>
      <w:start w:val="14"/>
    </w:lvl>
  </w:abstractNum>
  <w:abstractNum w:abstractNumId="15">
    <w:nsid w:val="2F305DEF"/>
    <w:multiLevelType w:val="hybridMultilevel"/>
    <w:lvl w:ilvl="0">
      <w:lvlJc w:val="left"/>
      <w:lvlText w:val="(%1)"/>
      <w:numFmt w:val="lowerLetter"/>
      <w:start w:val="61"/>
    </w:lvl>
    <w:lvl w:ilvl="1">
      <w:lvlJc w:val="left"/>
      <w:lvlText w:val="(%2)"/>
      <w:numFmt w:val="lowerLetter"/>
      <w:start w:val="19"/>
    </w:lvl>
  </w:abstractNum>
  <w:abstractNum w:abstractNumId="16">
    <w:nsid w:val="25A70BF7"/>
    <w:multiLevelType w:val="hybridMultilevel"/>
    <w:lvl w:ilvl="0">
      <w:lvlJc w:val="left"/>
      <w:lvlText w:val="(%1)"/>
      <w:numFmt w:val="lowerLetter"/>
      <w:start w:val="25"/>
    </w:lvl>
  </w:abstractNum>
  <w:abstractNum w:abstractNumId="17">
    <w:nsid w:val="1DBABF00"/>
    <w:multiLevelType w:val="hybridMultilevel"/>
    <w:lvl w:ilvl="0">
      <w:lvlJc w:val="left"/>
      <w:lvlText w:val="(%1)"/>
      <w:numFmt w:val="lowerLetter"/>
      <w:start w:val="27"/>
    </w:lvl>
  </w:abstractNum>
  <w:abstractNum w:abstractNumId="18">
    <w:nsid w:val="4AD084E9"/>
    <w:multiLevelType w:val="hybridMultilevel"/>
    <w:lvl w:ilvl="0">
      <w:lvlJc w:val="left"/>
      <w:lvlText w:val="%1"/>
      <w:numFmt w:val="lowerLetter"/>
      <w:start w:val="1"/>
    </w:lvl>
    <w:lvl w:ilvl="1">
      <w:lvlJc w:val="left"/>
      <w:lvlText w:val="(%2)"/>
      <w:numFmt w:val="lowerLetter"/>
      <w:start w:val="29"/>
    </w:lvl>
  </w:abstractNum>
  <w:abstractNum w:abstractNumId="19">
    <w:nsid w:val="1F48EAA1"/>
    <w:multiLevelType w:val="hybridMultilevel"/>
    <w:lvl w:ilvl="0">
      <w:lvlJc w:val="left"/>
      <w:lvlText w:val="(%1)"/>
      <w:numFmt w:val="lowerLetter"/>
      <w:start w:val="9"/>
    </w:lvl>
    <w:lvl w:ilvl="1">
      <w:lvlJc w:val="left"/>
      <w:lvlText w:val="(%2)"/>
      <w:numFmt w:val="lowerLetter"/>
      <w:start w:val="30"/>
    </w:lvl>
  </w:abstractNum>
  <w:abstractNum w:abstractNumId="20">
    <w:nsid w:val="1381823A"/>
    <w:multiLevelType w:val="hybridMultilevel"/>
    <w:lvl w:ilvl="0">
      <w:lvlJc w:val="left"/>
      <w:lvlText w:val="(%1)"/>
      <w:numFmt w:val="lowerLetter"/>
      <w:start w:val="34"/>
    </w:lvl>
  </w:abstractNum>
  <w:abstractNum w:abstractNumId="21">
    <w:nsid w:val="5DB70AE5"/>
    <w:multiLevelType w:val="hybridMultilevel"/>
    <w:lvl w:ilvl="0">
      <w:lvlJc w:val="left"/>
      <w:lvlText w:val="(%1)"/>
      <w:numFmt w:val="lowerLetter"/>
      <w:start w:val="38"/>
    </w:lvl>
  </w:abstractNum>
  <w:abstractNum w:abstractNumId="22">
    <w:nsid w:val="100F8FCA"/>
    <w:multiLevelType w:val="hybridMultilevel"/>
    <w:lvl w:ilvl="0">
      <w:lvlJc w:val="left"/>
      <w:lvlText w:val="(%1)"/>
      <w:numFmt w:val="lowerLetter"/>
      <w:start w:val="40"/>
    </w:lvl>
  </w:abstractNum>
  <w:abstractNum w:abstractNumId="23">
    <w:nsid w:val="6590700B"/>
    <w:multiLevelType w:val="hybridMultilevel"/>
    <w:lvl w:ilvl="0">
      <w:lvlJc w:val="left"/>
      <w:lvlText w:val="%1."/>
      <w:numFmt w:val="decimal"/>
      <w:start w:val="2"/>
    </w:lvl>
  </w:abstractNum>
  <w:abstractNum w:abstractNumId="24">
    <w:nsid w:val="15014ACB"/>
    <w:multiLevelType w:val="hybridMultilevel"/>
    <w:lvl w:ilvl="0">
      <w:lvlJc w:val="left"/>
      <w:lvlText w:val="%1"/>
      <w:numFmt w:val="decimal"/>
      <w:start w:val="1"/>
    </w:lvl>
    <w:lvl w:ilvl="1">
      <w:lvlJc w:val="left"/>
      <w:lvlText w:val="(%2)"/>
      <w:numFmt w:val="lowerLetter"/>
      <w:start w:val="2"/>
    </w:lvl>
  </w:abstractNum>
  <w:abstractNum w:abstractNumId="25">
    <w:nsid w:val="5F5E7FD0"/>
    <w:multiLevelType w:val="hybridMultilevel"/>
    <w:lvl w:ilvl="0">
      <w:lvlJc w:val="left"/>
      <w:lvlText w:val="%1."/>
      <w:numFmt w:val="decimal"/>
      <w:start w:val="3"/>
    </w:lvl>
    <w:lvl w:ilvl="1">
      <w:lvlJc w:val="left"/>
      <w:lvlText w:val="%2"/>
      <w:numFmt w:val="lowerLetter"/>
      <w:start w:val="1"/>
    </w:lvl>
  </w:abstractNum>
  <w:abstractNum w:abstractNumId="26">
    <w:nsid w:val="98A3148"/>
    <w:multiLevelType w:val="hybridMultilevel"/>
    <w:lvl w:ilvl="0">
      <w:lvlJc w:val="left"/>
      <w:lvlText w:val="%1."/>
      <w:numFmt w:val="decimal"/>
      <w:start w:val="4"/>
    </w:lvl>
    <w:lvl w:ilvl="1">
      <w:lvlJc w:val="left"/>
      <w:lvlText w:val="(%2)"/>
      <w:numFmt w:val="lowerRoman"/>
      <w:start w:val="1"/>
    </w:lvl>
  </w:abstractNum>
  <w:abstractNum w:abstractNumId="27">
    <w:nsid w:val="799D0247"/>
    <w:multiLevelType w:val="hybridMultilevel"/>
    <w:lvl w:ilvl="0">
      <w:lvlJc w:val="left"/>
      <w:lvlText w:val="%1"/>
      <w:numFmt w:val="lowerLetter"/>
      <w:start w:val="1"/>
    </w:lvl>
    <w:lvl w:ilvl="1">
      <w:lvlJc w:val="left"/>
      <w:lvlText w:val="(%2)"/>
      <w:numFmt w:val="lowerLetter"/>
      <w:start w:val="1"/>
    </w:lvl>
  </w:abstractNum>
  <w:abstractNum w:abstractNumId="28">
    <w:nsid w:val="6B94764"/>
    <w:multiLevelType w:val="hybridMultilevel"/>
    <w:lvl w:ilvl="0">
      <w:lvlJc w:val="left"/>
      <w:lvlText w:val="(%1)"/>
      <w:numFmt w:val="lowerLetter"/>
      <w:start w:val="61"/>
    </w:lvl>
    <w:lvl w:ilvl="1">
      <w:lvlJc w:val="left"/>
      <w:lvlText w:val="%2"/>
      <w:numFmt w:val="lowerLetter"/>
      <w:start w:val="1"/>
    </w:lvl>
  </w:abstractNum>
  <w:abstractNum w:abstractNumId="29">
    <w:nsid w:val="42C296BD"/>
    <w:multiLevelType w:val="hybridMultilevel"/>
    <w:lvl w:ilvl="0">
      <w:lvlJc w:val="left"/>
      <w:lvlText w:val="(%1)"/>
      <w:numFmt w:val="lowerLetter"/>
      <w:start w:val="3"/>
    </w:lvl>
  </w:abstractNum>
  <w:abstractNum w:abstractNumId="30">
    <w:nsid w:val="168E121F"/>
    <w:multiLevelType w:val="hybridMultilevel"/>
    <w:lvl w:ilvl="0">
      <w:lvlJc w:val="left"/>
      <w:lvlText w:val="(%1)"/>
      <w:numFmt w:val="lowerRoman"/>
      <w:start w:val="1"/>
    </w:lvl>
    <w:lvl w:ilvl="1">
      <w:lvlJc w:val="left"/>
      <w:lvlText w:val="%2"/>
      <w:numFmt w:val="lowerLetter"/>
      <w:start w:val="1"/>
    </w:lvl>
  </w:abstractNum>
  <w:abstractNum w:abstractNumId="31">
    <w:nsid w:val="1EBA5D23"/>
    <w:multiLevelType w:val="hybridMultilevel"/>
    <w:lvl w:ilvl="0">
      <w:lvlJc w:val="left"/>
      <w:lvlText w:val="(%1)"/>
      <w:numFmt w:val="lowerRoman"/>
      <w:start w:val="4"/>
    </w:lvl>
    <w:lvl w:ilvl="1">
      <w:lvlJc w:val="left"/>
      <w:lvlText w:val="(%2)"/>
      <w:numFmt w:val="lowerLetter"/>
      <w:start w:val="8"/>
    </w:lvl>
  </w:abstractNum>
  <w:abstractNum w:abstractNumId="32">
    <w:nsid w:val="661E3F1E"/>
    <w:multiLevelType w:val="hybridMultilevel"/>
    <w:lvl w:ilvl="0">
      <w:lvlJc w:val="left"/>
      <w:lvlText w:val="(%1)"/>
      <w:numFmt w:val="lowerLetter"/>
      <w:start w:val="10"/>
    </w:lvl>
  </w:abstractNum>
  <w:abstractNum w:abstractNumId="33">
    <w:nsid w:val="5DC79EA8"/>
    <w:multiLevelType w:val="hybridMultilevel"/>
    <w:lvl w:ilvl="0">
      <w:lvlJc w:val="left"/>
      <w:lvlText w:val="%1"/>
      <w:numFmt w:val="decimal"/>
      <w:start w:val="1"/>
    </w:lvl>
    <w:lvl w:ilvl="1">
      <w:lvlJc w:val="left"/>
      <w:lvlText w:val="(%2)"/>
      <w:numFmt w:val="lowerLetter"/>
      <w:start w:val="13"/>
    </w:lvl>
  </w:abstractNum>
  <w:abstractNum w:abstractNumId="34">
    <w:nsid w:val="540A471C"/>
    <w:multiLevelType w:val="hybridMultilevel"/>
    <w:lvl w:ilvl="0">
      <w:lvlJc w:val="left"/>
      <w:lvlText w:val="%1."/>
      <w:numFmt w:val="decimal"/>
      <w:start w:val="6"/>
    </w:lvl>
    <w:lvl w:ilvl="1">
      <w:lvlJc w:val="left"/>
      <w:lvlText w:val="(%2)"/>
      <w:numFmt w:val="lowerLetter"/>
      <w:start w:val="1"/>
    </w:lvl>
  </w:abstractNum>
  <w:abstractNum w:abstractNumId="35">
    <w:nsid w:val="7BD3EE7B"/>
    <w:multiLevelType w:val="hybridMultilevel"/>
    <w:lvl w:ilvl="0">
      <w:lvlJc w:val="left"/>
      <w:lvlText w:val="(%1)"/>
      <w:numFmt w:val="lowerLetter"/>
      <w:start w:val="4"/>
    </w:lvl>
    <w:lvl w:ilvl="1">
      <w:lvlJc w:val="left"/>
      <w:lvlText w:val="(%2)"/>
      <w:numFmt w:val="lowerRoman"/>
      <w:start w:val="1"/>
    </w:lvl>
  </w:abstractNum>
  <w:abstractNum w:abstractNumId="36">
    <w:nsid w:val="51D9C564"/>
    <w:multiLevelType w:val="hybridMultilevel"/>
    <w:lvl w:ilvl="0">
      <w:lvlJc w:val="left"/>
      <w:lvlText w:val="(%1)"/>
      <w:numFmt w:val="lowerLetter"/>
      <w:start w:val="8"/>
    </w:lvl>
  </w:abstractNum>
  <w:abstractNum w:abstractNumId="37">
    <w:nsid w:val="613EFDC5"/>
    <w:multiLevelType w:val="hybridMultilevel"/>
    <w:lvl w:ilvl="0">
      <w:lvlJc w:val="left"/>
      <w:lvlText w:val="(%1)"/>
      <w:numFmt w:val="lowerRoman"/>
      <w:start w:val="1"/>
    </w:lvl>
  </w:abstractNum>
  <w:abstractNum w:abstractNumId="38">
    <w:nsid w:val="BF72B14"/>
    <w:multiLevelType w:val="hybridMultilevel"/>
    <w:lvl w:ilvl="0">
      <w:lvlJc w:val="left"/>
      <w:lvlText w:val="(%1)"/>
      <w:numFmt w:val="lowerLetter"/>
      <w:start w:val="10"/>
    </w:lvl>
  </w:abstractNum>
  <w:abstractNum w:abstractNumId="39">
    <w:nsid w:val="11447B73"/>
    <w:multiLevelType w:val="hybridMultilevel"/>
    <w:lvl w:ilvl="0">
      <w:lvlJc w:val="left"/>
      <w:lvlText w:val="%1."/>
      <w:numFmt w:val="decimal"/>
      <w:start w:val="7"/>
    </w:lvl>
  </w:abstractNum>
  <w:abstractNum w:abstractNumId="40">
    <w:nsid w:val="42963E5A"/>
    <w:multiLevelType w:val="hybridMultilevel"/>
    <w:lvl w:ilvl="0">
      <w:lvlJc w:val="left"/>
      <w:lvlText w:val="%1."/>
      <w:numFmt w:val="decimal"/>
      <w:start w:val="8"/>
    </w:lvl>
    <w:lvl w:ilvl="1">
      <w:lvlJc w:val="left"/>
      <w:lvlText w:val="(%2)"/>
      <w:numFmt w:val="lowerLetter"/>
      <w:start w:val="2"/>
    </w:lvl>
  </w:abstractNum>
  <w:abstractNum w:abstractNumId="41">
    <w:nsid w:val="A0382C5"/>
    <w:multiLevelType w:val="hybridMultilevel"/>
    <w:lvl w:ilvl="0">
      <w:lvlJc w:val="left"/>
      <w:lvlText w:val="(%1)"/>
      <w:numFmt w:val="lowerLetter"/>
      <w:start w:val="2"/>
    </w:lvl>
    <w:lvl w:ilvl="1">
      <w:lvlJc w:val="left"/>
      <w:lvlText w:val="(%2)"/>
      <w:numFmt w:val="lowerLetter"/>
      <w:start w:val="4"/>
    </w:lvl>
  </w:abstractNum>
  <w:abstractNum w:abstractNumId="42">
    <w:nsid w:val="8F2B15E"/>
    <w:multiLevelType w:val="hybridMultilevel"/>
    <w:lvl w:ilvl="0">
      <w:lvlJc w:val="left"/>
      <w:lvlText w:val="%1."/>
      <w:numFmt w:val="decimal"/>
      <w:start w:val="9"/>
    </w:lvl>
  </w:abstractNum>
  <w:abstractNum w:abstractNumId="43">
    <w:nsid w:val="1A32234B"/>
    <w:multiLevelType w:val="hybridMultilevel"/>
    <w:lvl w:ilvl="0">
      <w:lvlJc w:val="left"/>
      <w:lvlText w:val="%1."/>
      <w:numFmt w:val="decimal"/>
      <w:start w:val="10"/>
    </w:lvl>
  </w:abstractNum>
  <w:abstractNum w:abstractNumId="44">
    <w:nsid w:val="3B0FD379"/>
    <w:multiLevelType w:val="hybridMultilevel"/>
    <w:lvl w:ilvl="0">
      <w:lvlJc w:val="left"/>
      <w:lvlText w:val="%1."/>
      <w:numFmt w:val="decimal"/>
      <w:start w:val="15"/>
    </w:lvl>
  </w:abstractNum>
  <w:abstractNum w:abstractNumId="45">
    <w:nsid w:val="68EB2F63"/>
    <w:multiLevelType w:val="hybridMultilevel"/>
    <w:lvl w:ilvl="0">
      <w:lvlJc w:val="left"/>
      <w:lvlText w:val="(%1)"/>
      <w:numFmt w:val="lowerRoman"/>
      <w:start w:val="5"/>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decimal"/>
      <w:start w:val="5"/>
    </w:lvl>
    <w:lvl w:ilvl="1">
      <w:lvlJc w:val="left"/>
      <w:lvlText w:val="(%2)"/>
      <w:numFmt w:val="lowerLetter"/>
      <w:start w:val="1"/>
    </w:lvl>
  </w:abstractNum>
  <w:abstractNum w:abstractNumId="48">
    <w:nsid w:val="6A5EE64"/>
    <w:multiLevelType w:val="hybridMultilevel"/>
    <w:lvl w:ilvl="0">
      <w:lvlJc w:val="left"/>
      <w:lvlText w:val="(%1)"/>
      <w:numFmt w:val="lowerLetter"/>
      <w:start w:val="2"/>
    </w:lvl>
  </w:abstractNum>
  <w:abstractNum w:abstractNumId="49">
    <w:nsid w:val="14330624"/>
    <w:multiLevelType w:val="hybridMultilevel"/>
    <w:lvl w:ilvl="0">
      <w:lvlJc w:val="left"/>
      <w:lvlText w:val="%1."/>
      <w:numFmt w:val="decimal"/>
      <w:start w:val="6"/>
    </w:lvl>
  </w:abstractNum>
  <w:abstractNum w:abstractNumId="50">
    <w:nsid w:val="7FFFCA11"/>
    <w:multiLevelType w:val="hybridMultilevel"/>
    <w:lvl w:ilvl="0">
      <w:lvlJc w:val="left"/>
      <w:lvlText w:val="%1."/>
      <w:numFmt w:val="decimal"/>
      <w:start w:val="7"/>
    </w:lvl>
  </w:abstractNum>
  <w:abstractNum w:abstractNumId="51">
    <w:nsid w:val="1A27709E"/>
    <w:multiLevelType w:val="hybridMultilevel"/>
    <w:lvl w:ilvl="0">
      <w:lvlJc w:val="left"/>
      <w:lvlText w:val="%1."/>
      <w:numFmt w:val="decimal"/>
      <w:start w:val="8"/>
    </w:lvl>
  </w:abstractNum>
  <w:abstractNum w:abstractNumId="52">
    <w:nsid w:val="71EA1109"/>
    <w:multiLevelType w:val="hybridMultilevel"/>
    <w:lvl w:ilvl="0">
      <w:lvlJc w:val="left"/>
      <w:lvlText w:val="%1."/>
      <w:numFmt w:val="decimal"/>
      <w:start w:val="9"/>
    </w:lvl>
  </w:abstractNum>
  <w:abstractNum w:abstractNumId="53">
    <w:nsid w:val="100F59DC"/>
    <w:multiLevelType w:val="hybridMultilevel"/>
    <w:lvl w:ilvl="0">
      <w:lvlJc w:val="left"/>
      <w:lvlText w:val="%1."/>
      <w:numFmt w:val="decimal"/>
      <w:start w:val="10"/>
    </w:lvl>
  </w:abstractNum>
  <w:abstractNum w:abstractNumId="54">
    <w:nsid w:val="7FB7E0AA"/>
    <w:multiLevelType w:val="hybridMultilevel"/>
    <w:lvl w:ilvl="0">
      <w:lvlJc w:val="left"/>
      <w:lvlText w:val="%1."/>
      <w:numFmt w:val="decimal"/>
      <w:start w:val="12"/>
    </w:lvl>
  </w:abstractNum>
  <w:abstractNum w:abstractNumId="55">
    <w:nsid w:val="6EB5BD4"/>
    <w:multiLevelType w:val="hybridMultilevel"/>
    <w:lvl w:ilvl="0">
      <w:lvlJc w:val="left"/>
      <w:lvlText w:val="%1."/>
      <w:numFmt w:val="decimal"/>
      <w:start w:val="1"/>
    </w:lvl>
    <w:lvl w:ilvl="1">
      <w:lvlJc w:val="left"/>
      <w:lvlText w:val="(%2)"/>
      <w:numFmt w:val="lowerLetter"/>
      <w:start w:val="1"/>
    </w:lvl>
  </w:abstractNum>
  <w:abstractNum w:abstractNumId="56">
    <w:nsid w:val="6F6DD9AC"/>
    <w:multiLevelType w:val="hybridMultilevel"/>
    <w:lvl w:ilvl="0">
      <w:lvlJc w:val="left"/>
      <w:lvlText w:val="(%1)"/>
      <w:numFmt w:val="lowerLetter"/>
      <w:start w:val="3"/>
    </w:lvl>
  </w:abstractNum>
  <w:abstractNum w:abstractNumId="57">
    <w:nsid w:val="94211F2"/>
    <w:multiLevelType w:val="hybridMultilevel"/>
    <w:lvl w:ilvl="0">
      <w:lvlJc w:val="left"/>
      <w:lvlText w:val="(%1)"/>
      <w:numFmt w:val="lowerLetter"/>
      <w:start w:val="6"/>
    </w:lvl>
  </w:abstractNum>
  <w:abstractNum w:abstractNumId="58">
    <w:nsid w:val="885E1B"/>
    <w:multiLevelType w:val="hybridMultilevel"/>
    <w:lvl w:ilvl="0">
      <w:lvlJc w:val="left"/>
      <w:lvlText w:val="(%1)"/>
      <w:numFmt w:val="lowerLetter"/>
      <w:start w:val="8"/>
    </w:lvl>
  </w:abstractNum>
  <w:abstractNum w:abstractNumId="59">
    <w:nsid w:val="76272110"/>
    <w:multiLevelType w:val="hybridMultilevel"/>
    <w:lvl w:ilvl="0">
      <w:lvlJc w:val="left"/>
      <w:lvlText w:val="%1."/>
      <w:numFmt w:val="decimal"/>
      <w:start w:val="1"/>
    </w:lvl>
    <w:lvl w:ilvl="1">
      <w:lvlJc w:val="left"/>
      <w:lvlText w:val="(%2)"/>
      <w:numFmt w:val="lowerLetter"/>
      <w:start w:val="1"/>
    </w:lvl>
  </w:abstractNum>
  <w:abstractNum w:abstractNumId="60">
    <w:nsid w:val="4C04A8AF"/>
    <w:multiLevelType w:val="hybridMultilevel"/>
    <w:lvl w:ilvl="0">
      <w:lvlJc w:val="left"/>
      <w:lvlText w:val="(%1)"/>
      <w:numFmt w:val="lowerLetter"/>
      <w:start w:val="2"/>
    </w:lvl>
  </w:abstractNum>
  <w:abstractNum w:abstractNumId="61">
    <w:nsid w:val="171670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2">
    <w:nsid w:val="14E17E3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
    <w:nsid w:val="3222E7CD"/>
    <w:multiLevelType w:val="hybridMultilevel"/>
    <w:lvl w:ilvl="0">
      <w:lvlJc w:val="left"/>
      <w:lvlText w:val="%1"/>
      <w:numFmt w:val="lowerLetter"/>
      <w:start w:val="1"/>
    </w:lvl>
    <w:lvl w:ilvl="1">
      <w:lvlJc w:val="left"/>
      <w:lvlText w:val="(%2)"/>
      <w:numFmt w:val="lowerLetter"/>
      <w:start w:val="61"/>
    </w:lvl>
  </w:abstractNum>
  <w:abstractNum w:abstractNumId="64">
    <w:nsid w:val="74DE0EE3"/>
    <w:multiLevelType w:val="hybridMultilevel"/>
    <w:lvl w:ilvl="0">
      <w:lvlJc w:val="left"/>
      <w:lvlText w:val="(%1)"/>
      <w:numFmt w:val="lowerLetter"/>
      <w:start w:val="2"/>
    </w:lvl>
    <w:lvl w:ilvl="1">
      <w:lvlJc w:val="left"/>
      <w:lvlText w:val="(%2)"/>
      <w:numFmt w:val="lowerLetter"/>
      <w:start w:val="9"/>
    </w:lvl>
  </w:abstractNum>
  <w:abstractNum w:abstractNumId="65">
    <w:nsid w:val="68EBC550"/>
    <w:multiLevelType w:val="hybridMultilevel"/>
    <w:lvl w:ilvl="0">
      <w:lvlJc w:val="left"/>
      <w:lvlText w:val="(%1)"/>
      <w:numFmt w:val="lowerRoman"/>
      <w:start w:val="2"/>
    </w:lvl>
  </w:abstractNum>
  <w:abstractNum w:abstractNumId="66">
    <w:nsid w:val="2DF6D648"/>
    <w:multiLevelType w:val="hybridMultilevel"/>
    <w:lvl w:ilvl="0">
      <w:lvlJc w:val="left"/>
      <w:lvlText w:val="%1"/>
      <w:numFmt w:val="lowerLetter"/>
      <w:start w:val="1"/>
    </w:lvl>
    <w:lvl w:ilvl="1">
      <w:lvlJc w:val="left"/>
      <w:lvlText w:val="(%2)"/>
      <w:numFmt w:val="lowerLetter"/>
      <w:start w:val="61"/>
    </w:lvl>
  </w:abstractNum>
  <w:abstractNum w:abstractNumId="67">
    <w:nsid w:val="46B7D447"/>
    <w:multiLevelType w:val="hybridMultilevel"/>
    <w:lvl w:ilvl="0">
      <w:lvlJc w:val="left"/>
      <w:lvlText w:val="(%1)"/>
      <w:numFmt w:val="lowerLetter"/>
      <w:start w:val="3"/>
    </w:lvl>
    <w:lvl w:ilvl="1">
      <w:lvlJc w:val="left"/>
      <w:lvlText w:val="%2"/>
      <w:numFmt w:val="lowerLetter"/>
      <w:start w:val="1"/>
    </w:lvl>
  </w:abstractNum>
  <w:abstractNum w:abstractNumId="68">
    <w:nsid w:val="4A2AC31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9">
    <w:nsid w:val="39EE015C"/>
    <w:multiLevelType w:val="hybridMultilevel"/>
    <w:lvl w:ilvl="0">
      <w:lvlJc w:val="left"/>
      <w:lvlText w:val="(%1)"/>
      <w:numFmt w:val="upperLetter"/>
      <w:start w:val="1"/>
    </w:lvl>
  </w:abstractNum>
  <w:abstractNum w:abstractNumId="70">
    <w:nsid w:val="57FC4FBB"/>
    <w:multiLevelType w:val="hybridMultilevel"/>
    <w:lvl w:ilvl="0">
      <w:lvlJc w:val="left"/>
      <w:lvlText w:val="%1"/>
      <w:numFmt w:val="lowerLetter"/>
      <w:start w:val="1"/>
    </w:lvl>
    <w:lvl w:ilvl="1">
      <w:lvlJc w:val="left"/>
      <w:lvlText w:val="(%2)"/>
      <w:numFmt w:val="lowerRoman"/>
      <w:start w:val="2"/>
    </w:lvl>
  </w:abstractNum>
  <w:abstractNum w:abstractNumId="71">
    <w:nsid w:val="CC1016F"/>
    <w:multiLevelType w:val="hybridMultilevel"/>
    <w:lvl w:ilvl="0">
      <w:lvlJc w:val="left"/>
      <w:lvlText w:val="(%1)"/>
      <w:numFmt w:val="lowerLetter"/>
      <w:start w:val="3"/>
    </w:lvl>
    <w:lvl w:ilvl="1">
      <w:lvlJc w:val="left"/>
      <w:lvlText w:val="%2"/>
      <w:numFmt w:val="lowerRoman"/>
      <w:start w:val="1"/>
    </w:lvl>
  </w:abstractNum>
  <w:abstractNum w:abstractNumId="72">
    <w:nsid w:val="43F18422"/>
    <w:multiLevelType w:val="hybridMultilevel"/>
    <w:lvl w:ilvl="0">
      <w:lvlJc w:val="left"/>
      <w:lvlText w:val="(%1)"/>
      <w:numFmt w:val="lowerRoman"/>
      <w:start w:val="4"/>
    </w:lvl>
  </w:abstractNum>
  <w:abstractNum w:abstractNumId="73">
    <w:nsid w:val="60EF0119"/>
    <w:multiLevelType w:val="hybridMultilevel"/>
    <w:lvl w:ilvl="0">
      <w:lvlJc w:val="left"/>
      <w:lvlText w:val="(%1)"/>
      <w:numFmt w:val="lowerRoman"/>
      <w:start w:val="1"/>
    </w:lvl>
  </w:abstractNum>
  <w:abstractNum w:abstractNumId="74">
    <w:nsid w:val="26F324BA"/>
    <w:multiLevelType w:val="hybridMultilevel"/>
    <w:lvl w:ilvl="0">
      <w:lvlJc w:val="left"/>
      <w:lvlText w:val="(%1)"/>
      <w:numFmt w:val="lowerRoman"/>
      <w:start w:val="2"/>
    </w:lvl>
  </w:abstractNum>
  <w:abstractNum w:abstractNumId="75">
    <w:nsid w:val="7F01579B"/>
    <w:multiLevelType w:val="hybridMultilevel"/>
    <w:lvl w:ilvl="0">
      <w:lvlJc w:val="left"/>
      <w:lvlText w:val="%1."/>
      <w:numFmt w:val="upperLetter"/>
      <w:start w:val="61"/>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3"/>
    </w:lvl>
  </w:abstractNum>
  <w:abstractNum w:abstractNumId="78">
    <w:nsid w:val="5FB837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9">
    <w:nsid w:val="50801EE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0">
    <w:nsid w:val="488AC1A"/>
    <w:multiLevelType w:val="hybridMultilevel"/>
    <w:lvl w:ilvl="0">
      <w:lvlJc w:val="left"/>
      <w:lvlText w:val="(%1)"/>
      <w:numFmt w:val="lowerLetter"/>
      <w:start w:val="4"/>
    </w:lvl>
  </w:abstractNum>
  <w:abstractNum w:abstractNumId="81">
    <w:nsid w:val="5FB8011C"/>
    <w:multiLevelType w:val="hybridMultilevel"/>
    <w:lvl w:ilvl="0">
      <w:lvlJc w:val="left"/>
      <w:lvlText w:val="%1"/>
      <w:numFmt w:val="decimal"/>
      <w:start w:val="1"/>
    </w:lvl>
    <w:lvl w:ilvl="1">
      <w:lvlJc w:val="left"/>
      <w:lvlText w:val="(%2)"/>
      <w:numFmt w:val="lowerRoman"/>
      <w:start w:val="1"/>
    </w:lvl>
  </w:abstractNum>
  <w:abstractNum w:abstractNumId="82">
    <w:nsid w:val="6AA78F7F"/>
    <w:multiLevelType w:val="hybridMultilevel"/>
    <w:lvl w:ilvl="0">
      <w:lvlJc w:val="left"/>
      <w:lvlText w:val="%1."/>
      <w:numFmt w:val="decimal"/>
      <w:start w:val="3"/>
    </w:lvl>
    <w:lvl w:ilvl="1">
      <w:lvlJc w:val="left"/>
      <w:lvlText w:val="%2"/>
      <w:numFmt w:val="lowerRoman"/>
      <w:start w:val="1"/>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lowerRoman"/>
      <w:start w:val="4"/>
    </w:lvl>
    <w:lvl w:ilvl="1">
      <w:lvlJc w:val="left"/>
      <w:lvlText w:val="(%2)"/>
      <w:numFmt w:val="lowerLetter"/>
      <w:start w:val="2"/>
    </w:lvl>
  </w:abstractNum>
  <w:abstractNum w:abstractNumId="85">
    <w:nsid w:val="6A5F7029"/>
    <w:multiLevelType w:val="hybridMultilevel"/>
    <w:lvl w:ilvl="0">
      <w:lvlJc w:val="left"/>
      <w:lvlText w:val="(%1)"/>
      <w:numFmt w:val="lowerLetter"/>
      <w:start w:val="9"/>
    </w:lvl>
    <w:lvl w:ilvl="1">
      <w:lvlJc w:val="left"/>
      <w:lvlText w:val="(%2)"/>
      <w:numFmt w:val="lowerLetter"/>
      <w:start w:val="3"/>
    </w:lvl>
  </w:abstractNum>
  <w:abstractNum w:abstractNumId="86">
    <w:nsid w:val="7D5E18F8"/>
    <w:multiLevelType w:val="hybridMultilevel"/>
    <w:lvl w:ilvl="0">
      <w:lvlJc w:val="left"/>
      <w:lvlText w:val="%1"/>
      <w:numFmt w:val="lowerLetter"/>
      <w:start w:val="1"/>
    </w:lvl>
    <w:lvl w:ilvl="1">
      <w:lvlJc w:val="left"/>
      <w:lvlText w:val="(%2)"/>
      <w:numFmt w:val="lowerLetter"/>
      <w:start w:val="6"/>
    </w:lvl>
  </w:abstractNum>
  <w:abstractNum w:abstractNumId="87">
    <w:nsid w:val="5F3534A4"/>
    <w:multiLevelType w:val="hybridMultilevel"/>
    <w:lvl w:ilvl="0">
      <w:lvlJc w:val="left"/>
      <w:lvlText w:val="(%1)"/>
      <w:numFmt w:val="lowerLetter"/>
      <w:start w:val="61"/>
    </w:lvl>
    <w:lvl w:ilvl="1">
      <w:lvlJc w:val="left"/>
      <w:lvlText w:val="%2"/>
      <w:numFmt w:val="lowerLetter"/>
      <w:start w:val="1"/>
    </w:lvl>
  </w:abstractNum>
  <w:abstractNum w:abstractNumId="88">
    <w:nsid w:val="73A1821B"/>
    <w:multiLevelType w:val="hybridMultilevel"/>
    <w:lvl w:ilvl="0">
      <w:lvlJc w:val="left"/>
      <w:lvlText w:val="%1."/>
      <w:numFmt w:val="decimal"/>
      <w:start w:val="4"/>
    </w:lvl>
    <w:lvl w:ilvl="1">
      <w:lvlJc w:val="left"/>
      <w:lvlText w:val="(%2)"/>
      <w:numFmt w:val="lowerLetter"/>
      <w:start w:val="1"/>
    </w:lvl>
  </w:abstractNum>
  <w:abstractNum w:abstractNumId="89">
    <w:nsid w:val="7DE67713"/>
    <w:multiLevelType w:val="hybridMultilevel"/>
    <w:lvl w:ilvl="0">
      <w:lvlJc w:val="left"/>
      <w:lvlText w:val="%1"/>
      <w:numFmt w:val="decimal"/>
      <w:start w:val="1"/>
    </w:lvl>
    <w:lvl w:ilvl="1">
      <w:lvlJc w:val="left"/>
      <w:lvlText w:val="(%2)"/>
      <w:numFmt w:val="lowerLetter"/>
      <w:start w:val="2"/>
    </w:lvl>
  </w:abstractNum>
  <w:abstractNum w:abstractNumId="90">
    <w:nsid w:val="555C55B5"/>
    <w:multiLevelType w:val="hybridMultilevel"/>
    <w:lvl w:ilvl="0">
      <w:lvlJc w:val="left"/>
      <w:lvlText w:val="%1."/>
      <w:numFmt w:val="decimal"/>
      <w:start w:val="5"/>
    </w:lvl>
    <w:lvl w:ilvl="1">
      <w:lvlJc w:val="left"/>
      <w:lvlText w:val="(%2)"/>
      <w:numFmt w:val="lowerLetter"/>
      <w:start w:val="1"/>
    </w:lvl>
  </w:abstractNum>
  <w:abstractNum w:abstractNumId="91">
    <w:nsid w:val="3FA62ACA"/>
    <w:multiLevelType w:val="hybridMultilevel"/>
    <w:lvl w:ilvl="0">
      <w:lvlJc w:val="left"/>
      <w:lvlText w:val="(%1)"/>
      <w:numFmt w:val="lowerLetter"/>
      <w:start w:val="2"/>
    </w:lvl>
  </w:abstractNum>
  <w:abstractNum w:abstractNumId="92">
    <w:nsid w:val="14FCE74E"/>
    <w:multiLevelType w:val="hybridMultilevel"/>
    <w:lvl w:ilvl="0">
      <w:lvlJc w:val="left"/>
      <w:lvlText w:val="(%1)"/>
      <w:numFmt w:val="lowerLetter"/>
      <w:start w:val="25"/>
    </w:lvl>
    <w:lvl w:ilvl="1">
      <w:lvlJc w:val="left"/>
      <w:lvlText w:val="%2."/>
      <w:numFmt w:val="decimal"/>
      <w:start w:val="5"/>
    </w:lvl>
    <w:lvl w:ilvl="2">
      <w:lvlJc w:val="left"/>
      <w:lvlText w:val="(%3)"/>
      <w:numFmt w:val="lowerLetter"/>
      <w:start w:val="4"/>
    </w:lvl>
  </w:abstractNum>
  <w:abstractNum w:abstractNumId="93">
    <w:nsid w:val="6A3DD3E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4">
    <w:nsid w:val="71C9129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5">
    <w:nsid w:val="9DAF63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96">
    <w:nsid w:val="53299938"/>
    <w:multiLevelType w:val="hybridMultilevel"/>
    <w:lvl w:ilvl="0">
      <w:lvlJc w:val="left"/>
      <w:lvlText w:val="(%1)"/>
      <w:numFmt w:val="lowerLetter"/>
      <w:start w:val="25"/>
    </w:lvl>
    <w:lvl w:ilvl="1">
      <w:lvlJc w:val="left"/>
      <w:lvlText w:val="%2."/>
      <w:numFmt w:val="decimal"/>
      <w:start w:val="7"/>
    </w:lvl>
    <w:lvl w:ilvl="2">
      <w:lvlJc w:val="left"/>
      <w:lvlText w:val="(%3)"/>
      <w:numFmt w:val="lowerLetter"/>
      <w:start w:val="1"/>
    </w:lvl>
    <w:lvl w:ilvl="3">
      <w:lvlJc w:val="left"/>
      <w:lvlText w:val="(%4)"/>
      <w:numFmt w:val="lowerLetter"/>
      <w:start w:val="35"/>
    </w:lvl>
  </w:abstractNum>
  <w:abstractNum w:abstractNumId="97">
    <w:nsid w:val="1FBFE8E0"/>
    <w:multiLevelType w:val="hybridMultilevel"/>
    <w:lvl w:ilvl="0">
      <w:lvlJc w:val="left"/>
      <w:lvlText w:val="(%1)"/>
      <w:numFmt w:val="lowerRoman"/>
      <w:start w:val="1"/>
    </w:lvl>
  </w:abstractNum>
  <w:abstractNum w:abstractNumId="98">
    <w:nsid w:val="5092CA79"/>
    <w:multiLevelType w:val="hybridMultilevel"/>
    <w:lvl w:ilvl="0">
      <w:lvlJc w:val="left"/>
      <w:lvlText w:val="(%1)"/>
      <w:numFmt w:val="lowerRoman"/>
      <w:start w:val="4"/>
    </w:lvl>
  </w:abstractNum>
  <w:abstractNum w:abstractNumId="99">
    <w:nsid w:val="1D545C4D"/>
    <w:multiLevelType w:val="hybridMultilevel"/>
    <w:lvl w:ilvl="0">
      <w:lvlJc w:val="left"/>
      <w:lvlText w:val="(%1)"/>
      <w:numFmt w:val="lowerRoman"/>
      <w:start w:val="7"/>
    </w:lvl>
  </w:abstractNum>
  <w:abstractNum w:abstractNumId="100">
    <w:nsid w:val="59ADEA3D"/>
    <w:multiLevelType w:val="hybridMultilevel"/>
    <w:lvl w:ilvl="0">
      <w:lvlJc w:val="left"/>
      <w:lvlText w:val="(%1)"/>
      <w:numFmt w:val="lowerRoman"/>
      <w:start w:val="10"/>
    </w:lvl>
  </w:abstractNum>
  <w:abstractNum w:abstractNumId="101">
    <w:nsid w:val="288F1A34"/>
    <w:multiLevelType w:val="hybridMultilevel"/>
    <w:lvl w:ilvl="0">
      <w:lvlJc w:val="left"/>
      <w:lvlText w:val="%1"/>
      <w:numFmt w:val="lowerLetter"/>
      <w:start w:val="1"/>
    </w:lvl>
    <w:lvl w:ilvl="1">
      <w:lvlJc w:val="left"/>
      <w:lvlText w:val="(%2)"/>
      <w:numFmt w:val="lowerRoman"/>
      <w:start w:val="17"/>
    </w:lvl>
  </w:abstractNum>
  <w:abstractNum w:abstractNumId="102">
    <w:nsid w:val="2A155DBC"/>
    <w:multiLevelType w:val="hybridMultilevel"/>
    <w:lvl w:ilvl="0">
      <w:lvlJc w:val="left"/>
      <w:lvlText w:val="(%1)"/>
      <w:numFmt w:val="lowerLetter"/>
      <w:start w:val="2"/>
    </w:lvl>
    <w:lvl w:ilvl="1">
      <w:lvlJc w:val="left"/>
      <w:lvlText w:val="%2"/>
      <w:numFmt w:val="lowerRoman"/>
      <w:start w:val="1"/>
    </w:lvl>
  </w:abstractNum>
  <w:abstractNum w:abstractNumId="103">
    <w:nsid w:val="1D9F6E5F"/>
    <w:multiLevelType w:val="hybridMultilevel"/>
    <w:lvl w:ilvl="0">
      <w:lvlJc w:val="left"/>
      <w:lvlText w:val="%1"/>
      <w:numFmt w:val="decimal"/>
      <w:start w:val="1"/>
    </w:lvl>
    <w:lvl w:ilvl="1">
      <w:lvlJc w:val="left"/>
      <w:lvlText w:val="(%2)"/>
      <w:numFmt w:val="lowerLetter"/>
      <w:start w:val="4"/>
    </w:lvl>
  </w:abstractNum>
  <w:abstractNum w:abstractNumId="104">
    <w:nsid w:val="97E1B4E"/>
    <w:multiLevelType w:val="hybridMultilevel"/>
    <w:lvl w:ilvl="0">
      <w:lvlJc w:val="left"/>
      <w:lvlText w:val="%1."/>
      <w:numFmt w:val="decimal"/>
      <w:start w:val="9"/>
    </w:lvl>
    <w:lvl w:ilvl="1">
      <w:lvlJc w:val="left"/>
      <w:lvlText w:val="(%2)"/>
      <w:numFmt w:val="lowerLetter"/>
      <w:start w:val="1"/>
    </w:lvl>
  </w:abstractNum>
  <w:abstractNum w:abstractNumId="105">
    <w:nsid w:val="51088277"/>
    <w:multiLevelType w:val="hybridMultilevel"/>
    <w:lvl w:ilvl="0">
      <w:lvlJc w:val="left"/>
      <w:lvlText w:val="(%1)"/>
      <w:numFmt w:val="lowerLetter"/>
      <w:start w:val="2"/>
    </w:lvl>
  </w:abstractNum>
  <w:abstractNum w:abstractNumId="106">
    <w:nsid w:val="1CA0C5FA"/>
    <w:multiLevelType w:val="hybridMultilevel"/>
    <w:lvl w:ilvl="0">
      <w:lvlJc w:val="left"/>
      <w:lvlText w:val="(%1)"/>
      <w:numFmt w:val="lowerLetter"/>
      <w:start w:val="4"/>
    </w:lvl>
  </w:abstractNum>
  <w:abstractNum w:abstractNumId="107">
    <w:nsid w:val="53584BCB"/>
    <w:multiLevelType w:val="hybridMultilevel"/>
    <w:lvl w:ilvl="0">
      <w:lvlJc w:val="left"/>
      <w:lvlText w:val="%1."/>
      <w:numFmt w:val="decimal"/>
      <w:start w:val="10"/>
    </w:lvl>
    <w:lvl w:ilvl="1">
      <w:lvlJc w:val="left"/>
      <w:lvlText w:val="(%2)"/>
      <w:numFmt w:val="lowerLetter"/>
      <w:start w:val="1"/>
    </w:lvl>
  </w:abstractNum>
  <w:abstractNum w:abstractNumId="108">
    <w:nsid w:val="415E286C"/>
    <w:multiLevelType w:val="hybridMultilevel"/>
    <w:lvl w:ilvl="0">
      <w:lvlJc w:val="left"/>
      <w:lvlText w:val="(%1)"/>
      <w:numFmt w:val="lowerLetter"/>
      <w:start w:val="4"/>
    </w:lvl>
    <w:lvl w:ilvl="1">
      <w:lvlJc w:val="left"/>
      <w:lvlText w:val="(%2)"/>
      <w:numFmt w:val="lowerRoman"/>
      <w:start w:val="1"/>
    </w:lvl>
  </w:abstractNum>
  <w:abstractNum w:abstractNumId="109">
    <w:nsid w:val="7C58FD05"/>
    <w:multiLevelType w:val="hybridMultilevel"/>
    <w:lvl w:ilvl="0">
      <w:lvlJc w:val="left"/>
      <w:lvlText w:val="(%1)"/>
      <w:numFmt w:val="lowerLetter"/>
      <w:start w:val="6"/>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2019-12-12T05:00:49Z</dcterms:created>
  <dcterms:modified xsi:type="dcterms:W3CDTF">2019-12-12T05:00:49Z</dcterms:modified>
</cp:coreProperties>
</file>