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5239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2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38" w:orient="portrait"/>
          <w:cols w:equalWidth="0" w:num="3">
            <w:col w:w="3200" w:space="720"/>
            <w:col w:w="3095" w:space="720"/>
            <w:col w:w="3265"/>
          </w:cols>
          <w:pgMar w:left="460" w:top="225" w:right="439" w:bottom="224"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5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80" w:type="dxa"/>
            <w:vAlign w:val="bottom"/>
          </w:tcPr>
          <w:p>
            <w:pPr>
              <w:ind w:left="560"/>
              <w:spacing w:after="0"/>
              <w:rPr>
                <w:sz w:val="20"/>
                <w:szCs w:val="20"/>
                <w:color w:val="auto"/>
              </w:rPr>
            </w:pPr>
            <w:r>
              <w:rPr>
                <w:rFonts w:ascii="Arial" w:cs="Arial" w:eastAsia="Arial" w:hAnsi="Arial"/>
                <w:sz w:val="17"/>
                <w:szCs w:val="17"/>
                <w:color w:val="0000FF"/>
              </w:rPr>
              <w:t>10022</w:t>
            </w: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580" w:type="dxa"/>
            <w:vAlign w:val="bottom"/>
            <w:gridSpan w:val="6"/>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6"/>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12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01/31/2022</w:t>
            </w:r>
          </w:p>
        </w:tc>
        <w:tc>
          <w:tcPr>
            <w:tcW w:w="11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38,525</w:t>
            </w:r>
          </w:p>
        </w:tc>
        <w:tc>
          <w:tcPr>
            <w:tcW w:w="52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ind w:right="73"/>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143,870</w:t>
            </w:r>
          </w:p>
        </w:tc>
        <w:tc>
          <w:tcPr>
            <w:tcW w:w="920" w:type="dxa"/>
            <w:vAlign w:val="bottom"/>
            <w:vMerge w:val="restart"/>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ectPr>
          <w:pgSz w:w="11900" w:h="16838" w:orient="portrait"/>
          <w:cols w:equalWidth="0" w:num="1">
            <w:col w:w="11000"/>
          </w:cols>
          <w:pgMar w:left="460" w:top="225" w:right="439" w:bottom="224"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r>
        <w:rPr>
          <w:rFonts w:ascii="Arial" w:cs="Arial" w:eastAsia="Arial" w:hAnsi="Arial"/>
          <w:sz w:val="22"/>
          <w:szCs w:val="22"/>
          <w:color w:val="008000"/>
          <w:vertAlign w:val="superscript"/>
        </w:rPr>
        <w:t>(2)</w:t>
      </w:r>
    </w:p>
    <w:p>
      <w:pPr>
        <w:spacing w:after="0" w:line="86"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40" w:type="dxa"/>
            <w:vAlign w:val="bottom"/>
            <w:vMerge w:val="restart"/>
          </w:tcPr>
          <w:p>
            <w:pPr>
              <w:jc w:val="center"/>
              <w:ind w:right="273"/>
              <w:spacing w:after="0"/>
              <w:rPr>
                <w:sz w:val="20"/>
                <w:szCs w:val="20"/>
                <w:color w:val="auto"/>
              </w:rPr>
            </w:pPr>
            <w:r>
              <w:rPr>
                <w:rFonts w:ascii="Arial" w:cs="Arial" w:eastAsia="Arial" w:hAnsi="Arial"/>
                <w:sz w:val="17"/>
                <w:szCs w:val="17"/>
                <w:color w:val="0000FF"/>
                <w:w w:val="88"/>
              </w:rPr>
              <w:t>97,185</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40" w:type="dxa"/>
            <w:vAlign w:val="bottom"/>
            <w:vMerge w:val="restart"/>
          </w:tcPr>
          <w:p>
            <w:pPr>
              <w:jc w:val="center"/>
              <w:ind w:right="273"/>
              <w:spacing w:after="0"/>
              <w:rPr>
                <w:sz w:val="20"/>
                <w:szCs w:val="20"/>
                <w:color w:val="auto"/>
              </w:rPr>
            </w:pPr>
            <w:r>
              <w:rPr>
                <w:rFonts w:ascii="Arial" w:cs="Arial" w:eastAsia="Arial" w:hAnsi="Arial"/>
                <w:sz w:val="17"/>
                <w:szCs w:val="17"/>
                <w:color w:val="0000FF"/>
                <w:w w:val="88"/>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(3)</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40" w:type="dxa"/>
            <w:vAlign w:val="bottom"/>
            <w:vMerge w:val="restart"/>
          </w:tcPr>
          <w:p>
            <w:pPr>
              <w:jc w:val="center"/>
              <w:ind w:right="29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(4)</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40" w:type="dxa"/>
            <w:vAlign w:val="bottom"/>
            <w:vMerge w:val="restart"/>
          </w:tcPr>
          <w:p>
            <w:pPr>
              <w:jc w:val="center"/>
              <w:ind w:right="273"/>
              <w:spacing w:after="0"/>
              <w:rPr>
                <w:sz w:val="20"/>
                <w:szCs w:val="20"/>
                <w:color w:val="auto"/>
              </w:rPr>
            </w:pPr>
            <w:r>
              <w:rPr>
                <w:rFonts w:ascii="Arial" w:cs="Arial" w:eastAsia="Arial" w:hAnsi="Arial"/>
                <w:sz w:val="17"/>
                <w:szCs w:val="17"/>
                <w:color w:val="0000FF"/>
                <w:w w:val="88"/>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(5)</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40" w:type="dxa"/>
            <w:vAlign w:val="bottom"/>
            <w:vMerge w:val="restart"/>
          </w:tcPr>
          <w:p>
            <w:pPr>
              <w:jc w:val="center"/>
              <w:ind w:right="273"/>
              <w:spacing w:after="0"/>
              <w:rPr>
                <w:sz w:val="20"/>
                <w:szCs w:val="20"/>
                <w:color w:val="auto"/>
              </w:rPr>
            </w:pPr>
            <w:r>
              <w:rPr>
                <w:rFonts w:ascii="Arial" w:cs="Arial" w:eastAsia="Arial" w:hAnsi="Arial"/>
                <w:sz w:val="17"/>
                <w:szCs w:val="17"/>
                <w:color w:val="0000FF"/>
                <w:w w:val="88"/>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ectPr>
          <w:pgSz w:w="11900" w:h="16838" w:orient="portrait"/>
          <w:cols w:equalWidth="0" w:num="2">
            <w:col w:w="7580" w:space="720"/>
            <w:col w:w="2700"/>
          </w:cols>
          <w:pgMar w:left="460" w:top="225" w:right="439" w:bottom="224"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2019. Such shares of Common Stock were deemed earned on January 31, 2022 based on the Compensation Committee of the Board of Directors administering the award certifying the achievement of performance targets applicable to the PRSUs for the performance period ending on December 31, 2021.</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2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2022-02-02T16:32:49Z</dcterms:created>
  <dcterms:modified xsi:type="dcterms:W3CDTF">2022-02-02T16:32:49Z</dcterms:modified>
</cp:coreProperties>
</file>