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SAWHNEY MOHANBIR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11/24/2014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80"/>
              <w:spacing w:after="0"/>
              <w:rPr>
                <w:sz w:val="20"/>
                <w:szCs w:val="20"/>
                <w:color w:val="auto"/>
              </w:rPr>
            </w:pPr>
            <w:r>
              <w:rPr>
                <w:rFonts w:ascii="Arial" w:cs="Arial" w:eastAsia="Arial" w:hAnsi="Arial"/>
                <w:sz w:val="18"/>
                <w:szCs w:val="18"/>
                <w:color w:val="0000FF"/>
              </w:rPr>
              <w:t>11/24/2014</w:t>
            </w: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3,446</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11.875</w:t>
            </w:r>
          </w:p>
        </w:tc>
        <w:tc>
          <w:tcPr>
            <w:tcW w:w="1380" w:type="dxa"/>
            <w:vAlign w:val="bottom"/>
            <w:gridSpan w:val="3"/>
            <w:vMerge w:val="restart"/>
          </w:tcPr>
          <w:p>
            <w:pPr>
              <w:jc w:val="right"/>
              <w:ind w:right="356"/>
              <w:spacing w:after="0"/>
              <w:rPr>
                <w:sz w:val="20"/>
                <w:szCs w:val="20"/>
                <w:color w:val="auto"/>
              </w:rPr>
            </w:pPr>
            <w:r>
              <w:rPr>
                <w:rFonts w:ascii="Arial" w:cs="Arial" w:eastAsia="Arial" w:hAnsi="Arial"/>
                <w:sz w:val="18"/>
                <w:szCs w:val="18"/>
                <w:color w:val="0000FF"/>
              </w:rPr>
              <w:t>3,446</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80"/>
              <w:spacing w:after="0"/>
              <w:rPr>
                <w:sz w:val="20"/>
                <w:szCs w:val="20"/>
                <w:color w:val="auto"/>
              </w:rPr>
            </w:pPr>
            <w:r>
              <w:rPr>
                <w:rFonts w:ascii="Arial" w:cs="Arial" w:eastAsia="Arial" w:hAnsi="Arial"/>
                <w:sz w:val="18"/>
                <w:szCs w:val="18"/>
                <w:color w:val="0000FF"/>
              </w:rPr>
              <w:t>11/24/2014</w:t>
            </w: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3,446</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27.9198</w:t>
            </w:r>
            <w:r>
              <w:rPr>
                <w:rFonts w:ascii="Arial" w:cs="Arial" w:eastAsia="Arial" w:hAnsi="Arial"/>
                <w:sz w:val="22"/>
                <w:szCs w:val="22"/>
                <w:color w:val="008000"/>
                <w:w w:val="85"/>
                <w:vertAlign w:val="superscript"/>
              </w:rPr>
              <w:t>(2)</w:t>
            </w:r>
          </w:p>
        </w:tc>
        <w:tc>
          <w:tcPr>
            <w:tcW w:w="500" w:type="dxa"/>
            <w:vAlign w:val="bottom"/>
          </w:tcPr>
          <w:p>
            <w:pPr>
              <w:spacing w:after="0"/>
              <w:rPr>
                <w:sz w:val="22"/>
                <w:szCs w:val="22"/>
                <w:color w:val="auto"/>
              </w:rPr>
            </w:pPr>
          </w:p>
        </w:tc>
        <w:tc>
          <w:tcPr>
            <w:tcW w:w="720" w:type="dxa"/>
            <w:vAlign w:val="bottom"/>
            <w:vMerge w:val="restart"/>
          </w:tcPr>
          <w:p>
            <w:pPr>
              <w:jc w:val="right"/>
              <w:ind w:right="516"/>
              <w:spacing w:after="0"/>
              <w:rPr>
                <w:sz w:val="20"/>
                <w:szCs w:val="20"/>
                <w:color w:val="auto"/>
              </w:rPr>
            </w:pPr>
            <w:r>
              <w:rPr>
                <w:rFonts w:ascii="Arial" w:cs="Arial" w:eastAsia="Arial" w:hAnsi="Arial"/>
                <w:sz w:val="18"/>
                <w:szCs w:val="18"/>
                <w:color w:val="0000FF"/>
              </w:rPr>
              <w:t>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80" w:type="dxa"/>
            <w:vAlign w:val="bottom"/>
            <w:gridSpan w:val="10"/>
          </w:tcPr>
          <w:p>
            <w:pPr>
              <w:ind w:left="6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3,446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11.875</w:t>
            </w:r>
          </w:p>
        </w:tc>
        <w:tc>
          <w:tcPr>
            <w:tcW w:w="1180" w:type="dxa"/>
            <w:vAlign w:val="bottom"/>
          </w:tcPr>
          <w:p>
            <w:pPr>
              <w:ind w:left="260"/>
              <w:spacing w:after="0" w:line="149" w:lineRule="exact"/>
              <w:rPr>
                <w:sz w:val="20"/>
                <w:szCs w:val="20"/>
                <w:color w:val="auto"/>
              </w:rPr>
            </w:pPr>
            <w:r>
              <w:rPr>
                <w:rFonts w:ascii="Arial" w:cs="Arial" w:eastAsia="Arial" w:hAnsi="Arial"/>
                <w:sz w:val="14"/>
                <w:szCs w:val="14"/>
                <w:color w:val="0000FF"/>
              </w:rPr>
              <w:t>11/24/2014</w:t>
            </w:r>
          </w:p>
        </w:tc>
        <w:tc>
          <w:tcPr>
            <w:tcW w:w="1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ind w:left="60"/>
              <w:spacing w:after="0" w:line="149" w:lineRule="exact"/>
              <w:rPr>
                <w:sz w:val="20"/>
                <w:szCs w:val="20"/>
                <w:color w:val="auto"/>
              </w:rPr>
            </w:pPr>
            <w:r>
              <w:rPr>
                <w:rFonts w:ascii="Arial" w:cs="Arial" w:eastAsia="Arial" w:hAnsi="Arial"/>
                <w:sz w:val="14"/>
                <w:szCs w:val="14"/>
                <w:color w:val="0000FF"/>
              </w:rPr>
              <w:t>3,446</w:t>
            </w: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0000FF"/>
                <w:w w:val="85"/>
              </w:rPr>
              <w:t>11/07/2015</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48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0000FF"/>
                <w:w w:val="97"/>
              </w:rPr>
              <w:t>$0.001</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1"/>
              </w:rPr>
              <w:t>per share</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November 24, 2014 the reporting person exercised previously issued options to purchase an aggregate of 3,446 shares of common stock of ExlService Holdings, Inc.</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$27.90 to $28.01022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3,446 of these options were fully vested and exercised.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11/26/2014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53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2019-12-16T15:38:08Z</dcterms:created>
  <dcterms:modified xsi:type="dcterms:W3CDTF">2019-12-16T15:38:08Z</dcterms:modified>
</cp:coreProperties>
</file>