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20" w:space="720"/>
            <w:col w:w="2480"/>
          </w:cols>
          <w:pgMar w:left="320" w:top="664" w:right="339" w:bottom="1440" w:gutter="0" w:footer="0" w:header="0"/>
          <w:type w:val="continuous"/>
        </w:sectPr>
      </w:pPr>
    </w:p>
    <w:p>
      <w:pPr>
        <w:spacing w:after="0" w:line="14"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680" w:space="720"/>
            <w:col w:w="28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9, 2024, ExlService Holdings, Inc. (the “Company”) and certain subsidiaries of the Company entered into a First Amendment to Amended and Restated Credit Agreement (the “Amendment”) with Citibank, N.A., as administrative agent, and the lenders party thereto, which amends the Amended and Restated Credit Agreement, dated as April 18, 2022 (as amended, restated, modified or supplemented, including by the Amendment, the “Credit Agreement”) by and among the Company and the other loan parties from time to time party thereto, the lenders from time to time party thereto, and Citibank, N.A., as administrative agent. The purposes of the Amendment are to, among other things, (a) provide for a $100,000,000 increase to the revolving credit commitments available to the Company under the Credit Agreement such that the aggregate amount of revolving credit commitments available to the Company under the Credit Agreement is now equal to $500,000,000 and (b) provide for the issuance of a new term loan facility in the aggregate amount of $100,000,000 with an annual amortization of 5%. The increased credit facility under the Amendment continues to mature on April 18, 2027.</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Depending on the type of borrowing, loans under the Credit Agreement bear interest at a rate equal to the alternate base rate or adjusted term SOFR (as such terms are defined in the Credit Agreement), plus, in each case, an applicable margin. The applicable margin for loans is tied to the Company’s total net leverage ratio with respect to loans pegged to the alternate base rate or the adjusted term SOFR.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 requirement to maintain an interest coverage ratio and total net leverage ratio, and customary events of default, the occurrence of which could result in an acceleration of obligations under the Credit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in respect of the Credit Agreement and related documents or as previously disclosed by the Company in its filings with the Securities and Exchange Commission, neither the Company nor any of its affiliates have any material relationship with any of the other parties to the Credit Agreement and related documents, other than that each of the lenders has performed, and may in the future perform, various commercial banking, investment banking, underwriting, trust and other financial advisory services for the Company and/or its affiliates, for which it has received, and will receive, only customary fees and expenses, and that from time to time the Company may provide services to one or more lenders in the ordinary course of business.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The foregoing description of the Amendment, and the Credit Agreement, does not purport to be complete and is qualified in its entirety by reference to the full text of the Amendment, which is attached hereto as Exhibit 10.1 and incorporated herein by reference, and the Credit Agreement, which has been previously filed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discussion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ind w:left="180"/>
        <w:spacing w:after="0"/>
        <w:tabs>
          <w:tab w:leader="none" w:pos="57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220" w:hanging="879"/>
        <w:spacing w:after="0" w:line="258"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First Amendment to Amended and Restated Credit Agreement, dated August 9, 2024, by and among the Company and the other loan parties party thereto, the lenders party thereto, and Citibank, N.A., as administrative agent.</w:t>
      </w:r>
    </w:p>
    <w:p>
      <w:pPr>
        <w:ind w:left="1220" w:hanging="854"/>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2024</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CREDIT 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FIRST AMENDMENT TO AMENDED AND RESTATED CREDIT AGREEMENT, dated as of August 9, 2024 (this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by and among ExlService Holdings,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(as defined in the Credit Agreement referred to below), Citibank,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Lenders (as defined below) party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Borrower, each Loan Party, each lender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have entered into certain Amended and Restated Credit Agreement, dated as of April 18, 2022 (as amended, restated, amended and restated, modified or supplemented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pursuant to the Credit Agreement, the Lenders have provided Revolving credit commitments and loans in respect thereof;</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the Borrower has requested that certain Lenders party hereto (the “</w:t>
      </w:r>
      <w:r>
        <w:rPr>
          <w:rFonts w:ascii="Times New Roman" w:cs="Times New Roman" w:eastAsia="Times New Roman" w:hAnsi="Times New Roman"/>
          <w:sz w:val="18"/>
          <w:szCs w:val="18"/>
          <w:u w:val="single" w:color="auto"/>
          <w:color w:val="auto"/>
        </w:rPr>
        <w:t>Term Lenders</w:t>
      </w:r>
      <w:r>
        <w:rPr>
          <w:rFonts w:ascii="Times New Roman" w:cs="Times New Roman" w:eastAsia="Times New Roman" w:hAnsi="Times New Roman"/>
          <w:sz w:val="18"/>
          <w:szCs w:val="18"/>
          <w:color w:val="auto"/>
        </w:rPr>
        <w:t>”) make new term loan commitments (the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and the loans provided thereunder, the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in an aggregate principal amount equal to $100,000,000 and each such Term Lender has agreed to provide a Term Loan Commitment in the amount set forth opposite such Term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on the applicable terms and conditions set forth herein and in the Amended Credit Agreement (as defined below; capitalized terms not otherwise defined in this First Amendment have the same meanings assigned thereto in the Amended Credit Agreement);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WHEREAS, pursuant to Section 2.23 of the Credit Agreement, the Borrower has also requested that certain Lenders party hereto (the “</w:t>
      </w:r>
      <w:r>
        <w:rPr>
          <w:rFonts w:ascii="Times New Roman" w:cs="Times New Roman" w:eastAsia="Times New Roman" w:hAnsi="Times New Roman"/>
          <w:sz w:val="18"/>
          <w:szCs w:val="18"/>
          <w:u w:val="single" w:color="auto"/>
          <w:color w:val="auto"/>
        </w:rPr>
        <w:t>2024 Incremental Revolving Lenders</w:t>
      </w:r>
      <w:r>
        <w:rPr>
          <w:rFonts w:ascii="Times New Roman" w:cs="Times New Roman" w:eastAsia="Times New Roman" w:hAnsi="Times New Roman"/>
          <w:sz w:val="18"/>
          <w:szCs w:val="18"/>
          <w:color w:val="auto"/>
        </w:rPr>
        <w:t>”) make available to the Borrower a Commitment Increase (as defined in the Credit Agreement) in an aggregate principal amount equal to $100,000,000 (the “</w:t>
      </w:r>
      <w:r>
        <w:rPr>
          <w:rFonts w:ascii="Times New Roman" w:cs="Times New Roman" w:eastAsia="Times New Roman" w:hAnsi="Times New Roman"/>
          <w:sz w:val="18"/>
          <w:szCs w:val="18"/>
          <w:u w:val="single" w:color="auto"/>
          <w:color w:val="auto"/>
        </w:rPr>
        <w:t>Requested First Amendment Increase</w:t>
      </w:r>
      <w:r>
        <w:rPr>
          <w:rFonts w:ascii="Times New Roman" w:cs="Times New Roman" w:eastAsia="Times New Roman" w:hAnsi="Times New Roman"/>
          <w:sz w:val="18"/>
          <w:szCs w:val="18"/>
          <w:color w:val="auto"/>
        </w:rPr>
        <w:t>”, and such commitments, the “</w:t>
      </w:r>
      <w:r>
        <w:rPr>
          <w:rFonts w:ascii="Times New Roman" w:cs="Times New Roman" w:eastAsia="Times New Roman" w:hAnsi="Times New Roman"/>
          <w:sz w:val="18"/>
          <w:szCs w:val="18"/>
          <w:u w:val="single" w:color="auto"/>
          <w:color w:val="auto"/>
        </w:rPr>
        <w:t>2024 Incremental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 together with the Term Loan Commitments, the “</w:t>
      </w:r>
      <w:r>
        <w:rPr>
          <w:rFonts w:ascii="Times New Roman" w:cs="Times New Roman" w:eastAsia="Times New Roman" w:hAnsi="Times New Roman"/>
          <w:sz w:val="18"/>
          <w:szCs w:val="18"/>
          <w:u w:val="single" w:color="auto"/>
          <w:color w:val="auto"/>
        </w:rPr>
        <w:t>New Commitments</w:t>
      </w:r>
      <w:r>
        <w:rPr>
          <w:rFonts w:ascii="Times New Roman" w:cs="Times New Roman" w:eastAsia="Times New Roman" w:hAnsi="Times New Roman"/>
          <w:sz w:val="18"/>
          <w:szCs w:val="18"/>
          <w:color w:val="auto"/>
        </w:rPr>
        <w:t xml:space="preserve">”) and each such 2024 Incremental Revolving Lender has agreed to provide a portion of the Requested First Amendment Increase in an amount equal to the aggregate principal amount set forth next to such 2024 Incremental Revolving Lender’s name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on the applicable terms and conditions set forth herein and in the Amended Credit Agreement;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pursuant to Section 9.02 of the Credit Agreement, the Borrower has also requested that the Credit Agreement be amended as more fully described herein, and each Lender party hereto, which constitutes each Lender party to the Credit Agreement, is so willing to (i) amend the Credit Agreement as set forth below and (ii) consent to and approve this First Amendment, the Amended Credit Agreement and each other Loan Document and each other document required to be delivered or approved pursuant to this First Amendment and the Amended Credit Agreement, in each case, subject to the terms and conditions set forth herein and in the Amended Credit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all of which is hereby acknowledged, the parties hereto hereby agree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Establishment of New Term Loan Credit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herein and in the Amended Credit Agreement, the Term Loan Commitments are hereby established in an aggregate principal amount of $100,000,000. Each Term Lender hereby agrees on a several and not joint basis to make the Term Loans in the aggregate principal amount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opposite such Term Lender’s name in Dollars to the Borrower on the First Amendment Effective Date (as defined below) as set forth in, and subject to the terms and conditions set forth in, the Amended Credit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Revolving Commitment Increase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herein and in the Amended Credit Agreement, each 2024 Incremental Revolving Lender hereby agrees on a several and not joint basis to make the 2024 Incremental Revolving Commitments available in Dollars to the Borrower in the aggregate principal amount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opposite such 2024 Incremental Revolving Lender’s name.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Pursuant to Section 2.23 of the Credit Agreement, the Requested First Amendment Increase documented hereby shall constitute a Commitment Increase (as defined in the Credit Agreement) under the Credit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2024 Incremental Revolving Commitments (i) shall be made pursuant to (and constitute part of) the existing “Commitments” (under and as defined in the Credit Agreement) and (ii) shall be subject to the terms and conditions applicable to the existing Revolving Commitments as set forth in the Amended Credit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Each party hereto acknowledges and agrees that on the First Amendment Effective Date, (i) the 2024 Incremental Revolving Commitments shall be added to (and constitute part of) the existing “Commitments” (under and as defined in the Credit Agreement) and (ii) the 2024 Incremental Revolving Commitments shall constitute “Revolving Commitments” for all purposes under, and subject to the provisions of, the Loan Documents (as amended by the First Amendment).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The parties hereto hereby acknowledge and agree that if on the First Amendment Effective Date there are any “Loans” (under and as defined in the Credit Agreement) outstanding under the Credit Agreement, (i) the Borrower shall borrow from all or certain of the “Lenders” (under and as defined in the Credit Agreement) and/or prepay “Loans” (under and as defined in the Credit Agreement) of all or certain of the “Lenders” (under and as defined in the Credit Agreement) such that, after giving effect thereto, the Revolving Loans (as defined in the Amended Credit Agreement) (including, without limitation, the Types and Interest Periods thereof) and such participations shall be held by the Revolving Lenders (including for such purposes the 2024 Incremental Revolving Lenders) ratably in accordance with their respective Revolving Commitments and (ii) on and after the First Amendment Effective Date, the ratable share of each Revolving Lender’s participation in Letters of Credit and Revolving Loans from draws under Letters of Credit shall be calculated after giving effect to the Requested First Amendment Increase documented hereby.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On the First Amendment Effective Date, the Borrower, the other Loan Parties,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the Administrative Agent agree that: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The Credit Agreement shall be amended to delete the stricken text (indicated textually in the same manner as the following example: </w:t>
      </w:r>
      <w:r>
        <w:rPr>
          <w:rFonts w:ascii="Times New Roman" w:cs="Times New Roman" w:eastAsia="Times New Roman" w:hAnsi="Times New Roman"/>
          <w:sz w:val="18"/>
          <w:szCs w:val="18"/>
          <w:b w:val="1"/>
          <w:bCs w:val="1"/>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double-underlined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Credit Agreement, as amended by this First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Commitment Schedule shall be amended and restated in its entirety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8"/>
          <w:szCs w:val="18"/>
          <w:color w:val="auto"/>
        </w:rPr>
        <w:t xml:space="preserve">(c)         Schedule 3.12 of the Credit Agreement shall be amended and restated in its entirety as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used in any Loan Document, all references to the “Credit Agreement” (and/or any exhibit or schedule thereto) in such Loan Document shall, unless the context otherwise requires, mean or refer to the Amended Credit Agreement (or such exhibit or schedule, as amended and restated in accordance with the terms 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and the other Loan Parties hereby represent and warrant on the First Amendment Effective Date that: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execution, delivery and performance by the Loan Parties of this First Amendment, and the performance by the Loan Parties of this First Amendment, the Amended Credit Agreement and the Loan Documents, including, without limitation, the incurrence of the New Commitments, are within each Loan Party’s corporate or limited liability company powers, as the case may be, and have been duly authorized by all necessary corporate or limited liability company and, if required, stockholder or member action.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This First Amendment has been duly executed and delivered by the Loan Parties and this First Amendment, the Amended Credit Agreement and the other Loan Documents each constitute a legal, valid and binding obligation of each Loan Party party thereto,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execution, delivery and performance by the Loan Parties of this First Amendment and the Amended Credit Agreement and the performance by such Loan Party of this First Amendment, the Amended Credit Agreement and the other Loan Documents to which such Loan Party is a party, including, without limitation, the incurrence of the New Commitments, (i)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will not violate any Requirement of Law applicable to any Loan Party or any of its Subsidiaries any order of any Governmental Authority, (iii) will not violate or result in a default under, or give rise to a right to require any payment to be made by any Loan Party or any of its Subsidiaries under, (A) any indenture or loan agreement, in each case, evidencing Indebtedness in excess of $2 million, (B) any Swap Agreement or (C) any other material agreement, in each case which is binding upon any Loan Party or any of its Subsidiaries or its assets, and (iv) will not result in the creation or imposition of any Lien on any asset of any Loan Party or any of its Subsidiaries, except Liens created pursuant to the Loan Documents,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(iii)(C)</w:t>
      </w:r>
      <w:r>
        <w:rPr>
          <w:rFonts w:ascii="Times New Roman" w:cs="Times New Roman" w:eastAsia="Times New Roman" w:hAnsi="Times New Roman"/>
          <w:sz w:val="18"/>
          <w:szCs w:val="18"/>
          <w:color w:val="auto"/>
        </w:rPr>
        <w:t>, except as would not reasonably be expected to result in a Material Adverse Effect.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At the time of and immediately after the First Amendment Effective Date, no Default or Event of Default exists or would result from this First Amendment, the entry into this First Amendment, the incurrence of the New Commitments or from the application of any proceeds from any borrowings on the First Amendment Effective Date.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representations and warranties of each Loan Party set forth in the Amended Credit Agreement and in each other Loan Document are true and correct in all material respects with the same effect as though made on and as of such date,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is true and correct in all respects.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Effectiveness of this First Amendment</w:t>
      </w:r>
      <w:r>
        <w:rPr>
          <w:rFonts w:ascii="Times New Roman" w:cs="Times New Roman" w:eastAsia="Times New Roman" w:hAnsi="Times New Roman"/>
          <w:sz w:val="18"/>
          <w:szCs w:val="18"/>
          <w:color w:val="auto"/>
        </w:rPr>
        <w:t>. This First Amendment and the obligation of the Lenders to provide the New Commitments shall become effective upon the date first written above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upon the satisfaction of the following additional conditions precedent: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Administrative Agent (or its counsel) shall have received counterparts to this First Amendment, duly executed by (i) the Borrower and the other Loan Parties and (ii) each Lender;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at the time of and immediately after the First Amendment Effective Date, no Default or Event of Default shall exist or would result from this First Amendment, the entry into this First Amendment, the incurrence of the New Commitments or from the application of any proceeds from any borrowings on the First Amendment Effective Date;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the representations and warranties of each Loan Party set forth in the Amended Credit Agreement and in each other Loan Document shall be true and correct in all material respects on and as of the First Amendment Effective Date with the same effect as though made on and as of such date,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Administrative Agent’s receipt of the following, each of which shall be originals or facsimiles unless otherwise specified, each properly executed by an authorized officer of the signing Loan Party and each in form and substance reasonably satisfactory to the Administrative Agent and its legal counsel:</w:t>
      </w:r>
    </w:p>
    <w:p>
      <w:pPr>
        <w:spacing w:after="0" w:line="176" w:lineRule="exact"/>
        <w:rPr>
          <w:sz w:val="20"/>
          <w:szCs w:val="20"/>
          <w:color w:val="auto"/>
        </w:rPr>
      </w:pPr>
    </w:p>
    <w:p>
      <w:pPr>
        <w:jc w:val="both"/>
        <w:ind w:left="660" w:firstLine="713"/>
        <w:spacing w:after="0" w:line="282" w:lineRule="auto"/>
        <w:rPr>
          <w:sz w:val="20"/>
          <w:szCs w:val="20"/>
          <w:color w:val="auto"/>
        </w:rPr>
      </w:pPr>
      <w:r>
        <w:rPr>
          <w:rFonts w:ascii="Times New Roman" w:cs="Times New Roman" w:eastAsia="Times New Roman" w:hAnsi="Times New Roman"/>
          <w:sz w:val="18"/>
          <w:szCs w:val="18"/>
          <w:color w:val="auto"/>
        </w:rPr>
        <w:t xml:space="preserve">(i)        a certificate, dated as of the First Amendment Effective Date, signed by the chief financial officer of each Loan Party, certifying as to compliance with the conditions precedent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713"/>
        <w:spacing w:after="0" w:line="256" w:lineRule="auto"/>
        <w:rPr>
          <w:sz w:val="20"/>
          <w:szCs w:val="20"/>
          <w:color w:val="auto"/>
        </w:rPr>
      </w:pPr>
      <w:r>
        <w:rPr>
          <w:rFonts w:ascii="Times New Roman" w:cs="Times New Roman" w:eastAsia="Times New Roman" w:hAnsi="Times New Roman"/>
          <w:sz w:val="18"/>
          <w:szCs w:val="18"/>
          <w:color w:val="auto"/>
        </w:rPr>
        <w:t>(ii)       a certificate of each Loan Party, dated the First Amendment Effective Date and executed by its Secretary or Assistant Secretary, which shall (A) certify the resolutions of its Board of Directors, members or other body authorizing the execution, delivery and performance of this First Amendment, (B) identify by name and title and bear the signatures of the Financial Officers and any other officers of such Loan Party authorized to sign this First Amendment, and (C) certify that attached thereto is the certificate or articles of incorporation or organization of each Loan Party certified by the relevant authority of the jurisdiction of organization of such Loan Party and a true and correct copy of its by-laws or operating, management or partnership agreement.</w:t>
      </w:r>
    </w:p>
    <w:p>
      <w:pPr>
        <w:spacing w:after="0" w:line="1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(iii)      a long form good standing certificate for each Loan Party from its jurisdiction of organization.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(iv)      a legal opinion of Troutman Pepper Hamilton Sanders LLP , legal counsel for the Loan Parties; and</w:t>
      </w:r>
    </w:p>
    <w:p>
      <w:pPr>
        <w:spacing w:after="0" w:line="225" w:lineRule="exact"/>
        <w:rPr>
          <w:sz w:val="20"/>
          <w:szCs w:val="20"/>
          <w:color w:val="auto"/>
        </w:rPr>
      </w:pPr>
    </w:p>
    <w:p>
      <w:pPr>
        <w:jc w:val="both"/>
        <w:ind w:left="660" w:firstLine="713"/>
        <w:spacing w:after="0" w:line="266" w:lineRule="auto"/>
        <w:rPr>
          <w:sz w:val="20"/>
          <w:szCs w:val="20"/>
          <w:color w:val="auto"/>
        </w:rPr>
      </w:pPr>
      <w:r>
        <w:rPr>
          <w:rFonts w:ascii="Times New Roman" w:cs="Times New Roman" w:eastAsia="Times New Roman" w:hAnsi="Times New Roman"/>
          <w:sz w:val="18"/>
          <w:szCs w:val="18"/>
          <w:color w:val="auto"/>
        </w:rPr>
        <w:t>(v)       a certificate attesting to the solvency of the Borrower and its Subsidiaries (taken as a whole) on the First Amendment Effective Date, after giving effect to the transactions contemplated hereby, including the incurrence of the New Commitments and any borrowings on the First Amendment Effective Date, from the chief financial officer of the Borrower;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the Borrower shall pay or cause to be paid (x) all fees required to be paid by that certain Fee Letter, dated as of July 17, 2024, by and between the Borrower and the Administrative Agent, and (y) all fees and expenses and reasonable out-of-pocket expenses required to be paid by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 and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at least three Business Days prior to the First Amendment Effective Date, the Borrower and each of the other Loan Parties shall have provided to the Administrative Agent or the Lenders the documentation and other information theretofore requested in writing by the Administrative Agent or the Lenders at least five business days prior to the First Amendment Effective Date that is required by regulatory authorities under applicable “know your customer” and anti-money-laundering rules and regulations, including the USA PATRIOT Act.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Reference to and Effect on the Credit Agreement and the other Loan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On and after the First Amendment Effective Date, each reference in the Credit Agreement to “this Agreement,” “hereunder,” “hereof” or words of like import referring to the Credit Agreement shall mean and be a reference to the Credit Agreement, as amended by this First Amendment.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Credit Agreement and each of the other Loan Documents, as specifically amended by this First Amendment, are and shall continue to be in full force and effect and are hereby in all respects ratified and confirmed.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execution, delivery and effectiveness of this First Amendment shall not, except as expressly provided herein, operate as a waiver of any right, power or remedy of any Lender or the Administrative Agent under the Amended Credit Agreement or any of the other Loan Documents, nor constitute a waiver of any provision of any of the Amended Credit Agreement or the other Loan Documents. On and after the First Amendment Effective Date, this First Amendment shall for all purposes constitute a Loan Document.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This First Amendment shall not extinguish the Loans or any other Obligations outstanding under the Amended Credit Agreement. Nothing contained herein shall be construed as a substitution or novation of the Loans or any other Obligations outstanding under the Amended Credit Agreement, which shall remain outstanding after the First Amendment Effective Date as modified hereby.</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The Borrower expressly acknowledges and agrees that (i) there has not been, and this First Amendment does not constitute or establish, a novation with respect to the Credit Agreement, the Amended Credit Agreement or any other Loan Document, or a mutual departure from the strict terms, provisions, and conditions thereof and (ii) nothing in this First Amendment shall affect or limit the Administrative Agent’s or Lenders’ right to demand payment of liabilities owing from Borrower to Administrative Agent or the Lenders under, or to demand strict performance of the terms, provisions and conditions of, the Amended Credit Agreement and the other Loan Documents, to exercise any and all rights, powers, and remedies under the Amended Credit Agreement or the other Loan Documents or at law or in equity, or to do any and all of the foregoing, immediately at any time after the occurrence and continuance of an Event of Default under the Amended Credit Agreement or the other Loan Documents.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Each of the Borrower and each other Loan Party hereby (i) reaffirms its obligations under the Amended Credit Agreement and each other Loan Document to which it is a party, in each case as amended by this First Amendment, (ii) reaffirms all Liens on the Collateral which have been granted by it in favor of the Administrative Agent (for the benefit of the Secured Parties) pursuant to the Loan Documents and (iii) acknowledges and agrees that the grants of security interests by and the guarantees of the Loan Parties contained in the Loan Documents are, and shall remain, in full force and effect immediately after giving effect to this First Amendment and shall apply equally to the Term Loans.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After giving effect to this First Amendment and the effectiveness of the Amended Credit Agreement, neither the modification of the Credit Agreement or the other Loan Documents effected pursuant to this First Amendment nor the execution, delivery, performance or effectiveness of this First Amendment impairs the validity, effectiveness or priority of the Liens granted pursuant to any Loan Document, and such Liens continue unimpaired with the same priority to secure repayment of all Secured Obligations, whether heretofore or hereafter incurred.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hereby agrees to pay or reimburse the Administrative Agent for its reasonable and documented out-of-pocket costs and expenses incurred in connection with this First Amendment in accordance with, and to the extent required by, the terms and conditions of Section 9.03 of the Amended Credit Agreement, including the fees, charges and disbursements of Weil, Gotshal &amp; Manges LLP, as counsel to the Administrative Agent and the Lenders.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First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First Amendment by telecopy, emailed .pdf or any other electronic means that reproduces an image of the actual executed signature page shall be effective as delivery of a manually executed counterpart of this First Amendment. The words “execution,” “signed,” “signature,” “delivery,” and words of like import in or relating to any document to be signed in connection with this First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This First Amendment shall be governed by and construed in accordance with the laws of the State of New York</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Each Loan Party hereby irrevocably and unconditionally submits, for itself and its property, to the exclusive jurisdiction of any U.S. Federal or New York State court sitting in New York, New York in any action or proceeding arising out of or relating to this First Amendment or the transactions contemplated hereby,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First Amendment shall affect any right that the Administrative Agent or any Lender may otherwise have to bring any action or proceeding relating to this First Amendment or the transactions contemplated hereby against any Loan Party or its properties in the courts of any jurisdiction.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First Amendment and the transactions contemplated hereby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FIRST AMENDMENT OR THE TRANSACTIONS CONTEMPLATED 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FIRST AMENDMENT BY, AMONG OTHER THINGS, THE MUTUAL WAIVERS AND CERTIFICATIONS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for convenience of reference only and shall not affect the interpretation of this First Amendment.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First Amendment to be executed by their respective officers thereunto duly authorized,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 HOLDINGS, INC</w:t>
      </w:r>
      <w:r>
        <w:rPr>
          <w:rFonts w:ascii="Times New Roman" w:cs="Times New Roman" w:eastAsia="Times New Roman" w:hAnsi="Times New Roman"/>
          <w:sz w:val="18"/>
          <w:szCs w:val="18"/>
          <w:color w:val="auto"/>
        </w:rPr>
        <w:t>., as Borrower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EXLSERVICE.COM,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 TECHNOLOGY SOLUTIONS, LLC</w:t>
      </w:r>
      <w:r>
        <w:rPr>
          <w:rFonts w:ascii="Times New Roman" w:cs="Times New Roman" w:eastAsia="Times New Roman" w:hAnsi="Times New Roman"/>
          <w:sz w:val="18"/>
          <w:szCs w:val="18"/>
          <w:color w:val="auto"/>
        </w:rPr>
        <w:t>, as a Loan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BUSINESS PROCESS OUTSOURCING, LLC</w:t>
      </w:r>
      <w:r>
        <w:rPr>
          <w:rFonts w:ascii="Times New Roman" w:cs="Times New Roman" w:eastAsia="Times New Roman" w:hAnsi="Times New Roman"/>
          <w:sz w:val="17"/>
          <w:szCs w:val="17"/>
          <w:color w:val="auto"/>
        </w:rPr>
        <w:t>, as a Loan Guarantor</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OUTSOURCE PARTNERS INTERNATIONAL INC., </w:t>
      </w:r>
      <w:r>
        <w:rPr>
          <w:rFonts w:ascii="Times New Roman" w:cs="Times New Roman" w:eastAsia="Times New Roman" w:hAnsi="Times New Roman"/>
          <w:sz w:val="18"/>
          <w:szCs w:val="18"/>
          <w:color w:val="auto"/>
        </w:rPr>
        <w:t>as a Loan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4" w:right="77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b w:val="1"/>
          <w:bCs w:val="1"/>
          <w:color w:val="auto"/>
        </w:rPr>
        <w:t>OVERLAND SOLUTIONS,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CLAIRVOYANT AI,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Loan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&amp; Executive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CITIBANK, N.A., </w:t>
      </w:r>
      <w:r>
        <w:rPr>
          <w:rFonts w:ascii="Times New Roman" w:cs="Times New Roman" w:eastAsia="Times New Roman" w:hAnsi="Times New Roman"/>
          <w:sz w:val="17"/>
          <w:szCs w:val="17"/>
          <w:color w:val="auto"/>
        </w:rPr>
        <w:t>individually as a Lender and as Administrative Agent</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Tony Sood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Tony Sood</w:t>
      </w:r>
    </w:p>
    <w:p>
      <w:pPr>
        <w:spacing w:after="0" w:line="23" w:lineRule="exact"/>
        <w:rPr>
          <w:sz w:val="20"/>
          <w:szCs w:val="20"/>
          <w:color w:val="auto"/>
        </w:rPr>
      </w:pPr>
    </w:p>
    <w:p>
      <w:pPr>
        <w:jc w:val="center"/>
        <w:ind w:right="-39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0"/>
          </w:cols>
          <w:pgMar w:left="1440" w:top="900" w:right="659"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7"/>
          <w:szCs w:val="17"/>
          <w:b w:val="1"/>
          <w:bCs w:val="1"/>
          <w:color w:val="auto"/>
        </w:rPr>
        <w:t>HSBC BANK USA,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Luehrs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Jan Luehrs — Director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Eberhardt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Steven Eberhardt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Ratnasamy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Frank Ratnasamy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TD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Steve Levi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(EXL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 LOAN COMMITMENTS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[On file with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2024 INCREMENTAL REVOLVING COMMITMENTS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file with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586105</wp:posOffset>
            </wp:positionV>
            <wp:extent cx="1276985"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as amended by the First Amendment to Credit Agreement, dated as of August 9,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18,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other Loan Parties party hereto,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560" w:right="579"/>
        <w:spacing w:after="0" w:line="275" w:lineRule="auto"/>
        <w:rPr>
          <w:sz w:val="20"/>
          <w:szCs w:val="20"/>
          <w:color w:val="auto"/>
        </w:rPr>
      </w:pPr>
      <w:r>
        <w:rPr>
          <w:rFonts w:ascii="Times New Roman" w:cs="Times New Roman" w:eastAsia="Times New Roman" w:hAnsi="Times New Roman"/>
          <w:sz w:val="18"/>
          <w:szCs w:val="18"/>
          <w:color w:val="auto"/>
        </w:rPr>
        <w:t xml:space="preserve">CITIBANK, N.A., PNC </w:t>
      </w:r>
      <w:r>
        <w:rPr>
          <w:rFonts w:ascii="Times New Roman" w:cs="Times New Roman" w:eastAsia="Times New Roman" w:hAnsi="Times New Roman"/>
          <w:sz w:val="18"/>
          <w:szCs w:val="18"/>
          <w:color w:val="FF0000"/>
          <w:strike w:val="1"/>
        </w:rPr>
        <w:t>BANK, NATIONAL ASSOCIATION</w:t>
      </w:r>
      <w:r>
        <w:rPr>
          <w:rFonts w:ascii="Times New Roman" w:cs="Times New Roman" w:eastAsia="Times New Roman" w:hAnsi="Times New Roman"/>
          <w:sz w:val="18"/>
          <w:szCs w:val="18"/>
          <w:u w:val="single" w:color="auto"/>
          <w:color w:val="0000FF"/>
        </w:rPr>
        <w:t>CAPITAL MARKETS LLC</w:t>
      </w:r>
      <w:r>
        <w:rPr>
          <w:rFonts w:ascii="Times New Roman" w:cs="Times New Roman" w:eastAsia="Times New Roman" w:hAnsi="Times New Roman"/>
          <w:sz w:val="18"/>
          <w:szCs w:val="18"/>
          <w:color w:val="auto"/>
        </w:rPr>
        <w:t>, TD BANK, N.A. and HSBC BANK USA, NATIONAL ASSOCIATION, as Joint Lead Arrangers,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CITIBANK, N.A. and PNC </w:t>
      </w:r>
      <w:r>
        <w:rPr>
          <w:rFonts w:ascii="Times New Roman" w:cs="Times New Roman" w:eastAsia="Times New Roman" w:hAnsi="Times New Roman"/>
          <w:sz w:val="18"/>
          <w:szCs w:val="18"/>
          <w:color w:val="FF0000"/>
          <w:strike w:val="1"/>
        </w:rPr>
        <w:t>BANK, NATIONAL ASSOCIATION,</w:t>
      </w:r>
      <w:r>
        <w:rPr>
          <w:rFonts w:ascii="Times New Roman" w:cs="Times New Roman" w:eastAsia="Times New Roman" w:hAnsi="Times New Roman"/>
          <w:sz w:val="18"/>
          <w:szCs w:val="18"/>
          <w:u w:val="single" w:color="auto"/>
          <w:color w:val="0000FF"/>
        </w:rPr>
        <w:t>CAPITAL MARKETS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Joint Bookrunners,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JPMORGAN CHASE BANK, N.A. and BANK OF AMERICA, N.A.,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Syndication Agents and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702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20"/>
                <w:szCs w:val="20"/>
                <w:color w:val="auto"/>
              </w:rPr>
            </w:pPr>
          </w:p>
        </w:tc>
      </w:tr>
      <w:tr>
        <w:trPr>
          <w:trHeight w:val="414"/>
        </w:trPr>
        <w:tc>
          <w:tcPr>
            <w:tcW w:w="17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ARTICLE I</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DEFINITIONS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1.01</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Defined Terms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1.02</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Classification of Loans and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30</w:t>
            </w:r>
            <w:r>
              <w:rPr>
                <w:rFonts w:ascii="Times New Roman" w:cs="Times New Roman" w:eastAsia="Times New Roman" w:hAnsi="Times New Roman"/>
                <w:sz w:val="18"/>
                <w:szCs w:val="18"/>
                <w:u w:val="single" w:color="auto"/>
                <w:color w:val="0000FF"/>
                <w:strike w:val="1"/>
              </w:rPr>
              <w:t>32</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1.03</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Terms Generally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30</w:t>
            </w:r>
            <w:r>
              <w:rPr>
                <w:rFonts w:ascii="Times New Roman" w:cs="Times New Roman" w:eastAsia="Times New Roman" w:hAnsi="Times New Roman"/>
                <w:sz w:val="18"/>
                <w:szCs w:val="18"/>
                <w:u w:val="single" w:color="auto"/>
                <w:color w:val="0000FF"/>
                <w:strike w:val="1"/>
              </w:rPr>
              <w:t>33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1.04</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Accounting Terms; GAAP</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30</w:t>
            </w:r>
            <w:r>
              <w:rPr>
                <w:rFonts w:ascii="Times New Roman" w:cs="Times New Roman" w:eastAsia="Times New Roman" w:hAnsi="Times New Roman"/>
                <w:sz w:val="18"/>
                <w:szCs w:val="18"/>
                <w:u w:val="single" w:color="auto"/>
                <w:color w:val="0000FF"/>
                <w:strike w:val="1"/>
              </w:rPr>
              <w:t>33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1.05</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Status of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30</w:t>
            </w:r>
            <w:r>
              <w:rPr>
                <w:rFonts w:ascii="Times New Roman" w:cs="Times New Roman" w:eastAsia="Times New Roman" w:hAnsi="Times New Roman"/>
                <w:sz w:val="18"/>
                <w:szCs w:val="18"/>
                <w:u w:val="single" w:color="auto"/>
                <w:color w:val="0000FF"/>
                <w:strike w:val="1"/>
              </w:rPr>
              <w:t>33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1.06</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Rates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31</w:t>
            </w:r>
            <w:r>
              <w:rPr>
                <w:rFonts w:ascii="Times New Roman" w:cs="Times New Roman" w:eastAsia="Times New Roman" w:hAnsi="Times New Roman"/>
                <w:sz w:val="18"/>
                <w:szCs w:val="18"/>
                <w:u w:val="single" w:color="auto"/>
                <w:color w:val="0000FF"/>
                <w:strike w:val="1"/>
              </w:rPr>
              <w:t>34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1.07</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Divisions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31</w:t>
            </w:r>
            <w:r>
              <w:rPr>
                <w:rFonts w:ascii="Times New Roman" w:cs="Times New Roman" w:eastAsia="Times New Roman" w:hAnsi="Times New Roman"/>
                <w:sz w:val="18"/>
                <w:szCs w:val="18"/>
                <w:u w:val="single" w:color="auto"/>
                <w:color w:val="0000FF"/>
                <w:strike w:val="1"/>
              </w:rPr>
              <w:t>34</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ARTICLE II</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THE CREDITS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31</w:t>
            </w:r>
            <w:r>
              <w:rPr>
                <w:rFonts w:ascii="Times New Roman" w:cs="Times New Roman" w:eastAsia="Times New Roman" w:hAnsi="Times New Roman"/>
                <w:sz w:val="18"/>
                <w:szCs w:val="18"/>
                <w:u w:val="single" w:color="auto"/>
                <w:color w:val="0000FF"/>
                <w:strike w:val="1"/>
              </w:rPr>
              <w:t>34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2.01</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Commitments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31</w:t>
            </w:r>
            <w:r>
              <w:rPr>
                <w:rFonts w:ascii="Times New Roman" w:cs="Times New Roman" w:eastAsia="Times New Roman" w:hAnsi="Times New Roman"/>
                <w:sz w:val="18"/>
                <w:szCs w:val="18"/>
                <w:u w:val="single" w:color="auto"/>
                <w:color w:val="0000FF"/>
                <w:strike w:val="1"/>
              </w:rPr>
              <w:t>34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2.02</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Loans and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32</w:t>
            </w:r>
            <w:r>
              <w:rPr>
                <w:rFonts w:ascii="Times New Roman" w:cs="Times New Roman" w:eastAsia="Times New Roman" w:hAnsi="Times New Roman"/>
                <w:sz w:val="18"/>
                <w:szCs w:val="18"/>
                <w:u w:val="single" w:color="auto"/>
                <w:color w:val="0000FF"/>
                <w:strike w:val="1"/>
              </w:rPr>
              <w:t>35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2.03</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Requests for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32</w:t>
            </w:r>
            <w:r>
              <w:rPr>
                <w:rFonts w:ascii="Times New Roman" w:cs="Times New Roman" w:eastAsia="Times New Roman" w:hAnsi="Times New Roman"/>
                <w:sz w:val="18"/>
                <w:szCs w:val="18"/>
                <w:u w:val="single" w:color="auto"/>
                <w:color w:val="0000FF"/>
                <w:strike w:val="1"/>
              </w:rPr>
              <w:t>35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2.04</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33</w:t>
            </w:r>
            <w:r>
              <w:rPr>
                <w:rFonts w:ascii="Times New Roman" w:cs="Times New Roman" w:eastAsia="Times New Roman" w:hAnsi="Times New Roman"/>
                <w:sz w:val="18"/>
                <w:szCs w:val="18"/>
                <w:u w:val="single" w:color="auto"/>
                <w:color w:val="0000FF"/>
                <w:strike w:val="1"/>
              </w:rPr>
              <w:t>36</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2.05</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33</w:t>
            </w:r>
            <w:r>
              <w:rPr>
                <w:rFonts w:ascii="Times New Roman" w:cs="Times New Roman" w:eastAsia="Times New Roman" w:hAnsi="Times New Roman"/>
                <w:sz w:val="18"/>
                <w:szCs w:val="18"/>
                <w:u w:val="single" w:color="auto"/>
                <w:color w:val="0000FF"/>
                <w:strike w:val="1"/>
              </w:rPr>
              <w:t>36</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2.06</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Letters of Credit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33</w:t>
            </w:r>
            <w:r>
              <w:rPr>
                <w:rFonts w:ascii="Times New Roman" w:cs="Times New Roman" w:eastAsia="Times New Roman" w:hAnsi="Times New Roman"/>
                <w:sz w:val="18"/>
                <w:szCs w:val="18"/>
                <w:u w:val="single" w:color="auto"/>
                <w:color w:val="0000FF"/>
                <w:strike w:val="1"/>
              </w:rPr>
              <w:t>36</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2.07</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Funding of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38</w:t>
            </w:r>
            <w:r>
              <w:rPr>
                <w:rFonts w:ascii="Times New Roman" w:cs="Times New Roman" w:eastAsia="Times New Roman" w:hAnsi="Times New Roman"/>
                <w:sz w:val="18"/>
                <w:szCs w:val="18"/>
                <w:u w:val="single" w:color="auto"/>
                <w:color w:val="0000FF"/>
                <w:strike w:val="1"/>
              </w:rPr>
              <w:t>41</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2.08</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Interest Elections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38</w:t>
            </w:r>
            <w:r>
              <w:rPr>
                <w:rFonts w:ascii="Times New Roman" w:cs="Times New Roman" w:eastAsia="Times New Roman" w:hAnsi="Times New Roman"/>
                <w:sz w:val="18"/>
                <w:szCs w:val="18"/>
                <w:u w:val="single" w:color="auto"/>
                <w:color w:val="0000FF"/>
                <w:strike w:val="1"/>
              </w:rPr>
              <w:t>41</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2.09</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Termination and Reduction of Commitments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39</w:t>
            </w:r>
            <w:r>
              <w:rPr>
                <w:rFonts w:ascii="Times New Roman" w:cs="Times New Roman" w:eastAsia="Times New Roman" w:hAnsi="Times New Roman"/>
                <w:sz w:val="18"/>
                <w:szCs w:val="18"/>
                <w:u w:val="single" w:color="auto"/>
                <w:color w:val="0000FF"/>
                <w:strike w:val="1"/>
              </w:rPr>
              <w:t>42</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2.10</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Repayment of Loans; Evidence of Debt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40</w:t>
            </w:r>
            <w:r>
              <w:rPr>
                <w:rFonts w:ascii="Times New Roman" w:cs="Times New Roman" w:eastAsia="Times New Roman" w:hAnsi="Times New Roman"/>
                <w:sz w:val="18"/>
                <w:szCs w:val="18"/>
                <w:u w:val="single" w:color="auto"/>
                <w:color w:val="0000FF"/>
                <w:strike w:val="1"/>
              </w:rPr>
              <w:t>43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2.11</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Prepayment of Loans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41</w:t>
            </w:r>
            <w:r>
              <w:rPr>
                <w:rFonts w:ascii="Times New Roman" w:cs="Times New Roman" w:eastAsia="Times New Roman" w:hAnsi="Times New Roman"/>
                <w:sz w:val="18"/>
                <w:szCs w:val="18"/>
                <w:u w:val="single" w:color="auto"/>
                <w:color w:val="0000FF"/>
                <w:strike w:val="1"/>
              </w:rPr>
              <w:t>44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2.12</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Fees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41</w:t>
            </w:r>
            <w:r>
              <w:rPr>
                <w:rFonts w:ascii="Times New Roman" w:cs="Times New Roman" w:eastAsia="Times New Roman" w:hAnsi="Times New Roman"/>
                <w:sz w:val="18"/>
                <w:szCs w:val="18"/>
                <w:u w:val="single" w:color="auto"/>
                <w:color w:val="0000FF"/>
                <w:strike w:val="1"/>
              </w:rPr>
              <w:t>45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2.13</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42</w:t>
            </w:r>
            <w:r>
              <w:rPr>
                <w:rFonts w:ascii="Times New Roman" w:cs="Times New Roman" w:eastAsia="Times New Roman" w:hAnsi="Times New Roman"/>
                <w:sz w:val="18"/>
                <w:szCs w:val="18"/>
                <w:u w:val="single" w:color="auto"/>
                <w:color w:val="0000FF"/>
                <w:strike w:val="1"/>
              </w:rPr>
              <w:t>46</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2.14</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Alternate Rate of 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43</w:t>
            </w:r>
            <w:r>
              <w:rPr>
                <w:rFonts w:ascii="Times New Roman" w:cs="Times New Roman" w:eastAsia="Times New Roman" w:hAnsi="Times New Roman"/>
                <w:sz w:val="18"/>
                <w:szCs w:val="18"/>
                <w:u w:val="single" w:color="auto"/>
                <w:color w:val="0000FF"/>
                <w:strike w:val="1"/>
              </w:rPr>
              <w:t>47</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2.15</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Increased Costs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43</w:t>
            </w:r>
            <w:r>
              <w:rPr>
                <w:rFonts w:ascii="Times New Roman" w:cs="Times New Roman" w:eastAsia="Times New Roman" w:hAnsi="Times New Roman"/>
                <w:sz w:val="18"/>
                <w:szCs w:val="18"/>
                <w:u w:val="single" w:color="auto"/>
                <w:color w:val="0000FF"/>
                <w:strike w:val="1"/>
              </w:rPr>
              <w:t>47</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2.16</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Break Funding Payments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44</w:t>
            </w:r>
            <w:r>
              <w:rPr>
                <w:rFonts w:ascii="Times New Roman" w:cs="Times New Roman" w:eastAsia="Times New Roman" w:hAnsi="Times New Roman"/>
                <w:sz w:val="18"/>
                <w:szCs w:val="18"/>
                <w:u w:val="single" w:color="auto"/>
                <w:color w:val="0000FF"/>
                <w:strike w:val="1"/>
              </w:rPr>
              <w:t>48</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2.17</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Withholding of Taxes; Gross-Up</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45</w:t>
            </w:r>
            <w:r>
              <w:rPr>
                <w:rFonts w:ascii="Times New Roman" w:cs="Times New Roman" w:eastAsia="Times New Roman" w:hAnsi="Times New Roman"/>
                <w:sz w:val="18"/>
                <w:szCs w:val="18"/>
                <w:u w:val="single" w:color="auto"/>
                <w:color w:val="0000FF"/>
                <w:strike w:val="1"/>
              </w:rPr>
              <w:t>49</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2.18</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Payments Generally; Allocation of Proceeds; Sharing of Setoffs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48</w:t>
            </w:r>
            <w:r>
              <w:rPr>
                <w:rFonts w:ascii="Times New Roman" w:cs="Times New Roman" w:eastAsia="Times New Roman" w:hAnsi="Times New Roman"/>
                <w:sz w:val="18"/>
                <w:szCs w:val="18"/>
                <w:u w:val="single" w:color="auto"/>
                <w:color w:val="0000FF"/>
                <w:strike w:val="1"/>
              </w:rPr>
              <w:t>52</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2.19</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Mitigation Obligations; Replacement of Lenders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50</w:t>
            </w:r>
            <w:r>
              <w:rPr>
                <w:rFonts w:ascii="Times New Roman" w:cs="Times New Roman" w:eastAsia="Times New Roman" w:hAnsi="Times New Roman"/>
                <w:sz w:val="18"/>
                <w:szCs w:val="18"/>
                <w:u w:val="single" w:color="auto"/>
                <w:color w:val="0000FF"/>
                <w:strike w:val="1"/>
              </w:rPr>
              <w:t>55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2.20</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Defaulting Lenders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51</w:t>
            </w:r>
            <w:r>
              <w:rPr>
                <w:rFonts w:ascii="Times New Roman" w:cs="Times New Roman" w:eastAsia="Times New Roman" w:hAnsi="Times New Roman"/>
                <w:sz w:val="18"/>
                <w:szCs w:val="18"/>
                <w:u w:val="single" w:color="auto"/>
                <w:color w:val="0000FF"/>
                <w:strike w:val="1"/>
              </w:rPr>
              <w:t>55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2.21</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Returned Payments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53</w:t>
            </w:r>
            <w:r>
              <w:rPr>
                <w:rFonts w:ascii="Times New Roman" w:cs="Times New Roman" w:eastAsia="Times New Roman" w:hAnsi="Times New Roman"/>
                <w:sz w:val="18"/>
                <w:szCs w:val="18"/>
                <w:u w:val="single" w:color="auto"/>
                <w:color w:val="0000FF"/>
                <w:strike w:val="1"/>
              </w:rPr>
              <w:t>57</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2.22</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Amend and Extend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53</w:t>
            </w:r>
            <w:r>
              <w:rPr>
                <w:rFonts w:ascii="Times New Roman" w:cs="Times New Roman" w:eastAsia="Times New Roman" w:hAnsi="Times New Roman"/>
                <w:sz w:val="18"/>
                <w:szCs w:val="18"/>
                <w:u w:val="single" w:color="auto"/>
                <w:color w:val="0000FF"/>
                <w:strike w:val="1"/>
              </w:rPr>
              <w:t>57</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2.23</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Increase of Commitments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54</w:t>
            </w:r>
            <w:r>
              <w:rPr>
                <w:rFonts w:ascii="Times New Roman" w:cs="Times New Roman" w:eastAsia="Times New Roman" w:hAnsi="Times New Roman"/>
                <w:sz w:val="18"/>
                <w:szCs w:val="18"/>
                <w:u w:val="single" w:color="auto"/>
                <w:color w:val="0000FF"/>
                <w:strike w:val="1"/>
              </w:rPr>
              <w:t>59</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2.24</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Banking Services and Swap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55</w:t>
            </w:r>
            <w:r>
              <w:rPr>
                <w:rFonts w:ascii="Times New Roman" w:cs="Times New Roman" w:eastAsia="Times New Roman" w:hAnsi="Times New Roman"/>
                <w:sz w:val="18"/>
                <w:szCs w:val="18"/>
                <w:u w:val="single" w:color="auto"/>
                <w:color w:val="0000FF"/>
                <w:strike w:val="1"/>
              </w:rPr>
              <w:t>62</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2.25</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Benchmark Replacement Setting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56</w:t>
            </w:r>
            <w:r>
              <w:rPr>
                <w:rFonts w:ascii="Times New Roman" w:cs="Times New Roman" w:eastAsia="Times New Roman" w:hAnsi="Times New Roman"/>
                <w:sz w:val="18"/>
                <w:szCs w:val="18"/>
                <w:u w:val="single" w:color="auto"/>
                <w:color w:val="0000FF"/>
                <w:strike w:val="1"/>
              </w:rPr>
              <w:t>62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ARTICLE III</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REPRESENTATIONS AND WARRANTIES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57</w:t>
            </w:r>
            <w:r>
              <w:rPr>
                <w:rFonts w:ascii="Times New Roman" w:cs="Times New Roman" w:eastAsia="Times New Roman" w:hAnsi="Times New Roman"/>
                <w:sz w:val="18"/>
                <w:szCs w:val="18"/>
                <w:u w:val="single" w:color="auto"/>
                <w:color w:val="0000FF"/>
                <w:strike w:val="1"/>
              </w:rPr>
              <w:t>63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3.01</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Organization; Powers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57</w:t>
            </w:r>
            <w:r>
              <w:rPr>
                <w:rFonts w:ascii="Times New Roman" w:cs="Times New Roman" w:eastAsia="Times New Roman" w:hAnsi="Times New Roman"/>
                <w:sz w:val="18"/>
                <w:szCs w:val="18"/>
                <w:u w:val="single" w:color="auto"/>
                <w:color w:val="0000FF"/>
                <w:strike w:val="1"/>
              </w:rPr>
              <w:t>63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3.02</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Authorization; Enforceability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57</w:t>
            </w:r>
            <w:r>
              <w:rPr>
                <w:rFonts w:ascii="Times New Roman" w:cs="Times New Roman" w:eastAsia="Times New Roman" w:hAnsi="Times New Roman"/>
                <w:sz w:val="18"/>
                <w:szCs w:val="18"/>
                <w:u w:val="single" w:color="auto"/>
                <w:color w:val="0000FF"/>
                <w:strike w:val="1"/>
              </w:rPr>
              <w:t>63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3.03</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Governmental Approvals; No Conflicts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57</w:t>
            </w:r>
            <w:r>
              <w:rPr>
                <w:rFonts w:ascii="Times New Roman" w:cs="Times New Roman" w:eastAsia="Times New Roman" w:hAnsi="Times New Roman"/>
                <w:sz w:val="18"/>
                <w:szCs w:val="18"/>
                <w:u w:val="single" w:color="auto"/>
                <w:color w:val="0000FF"/>
                <w:strike w:val="1"/>
              </w:rPr>
              <w:t>63</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3.04</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Financial Condition; No Material Adverse Change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58</w:t>
            </w:r>
            <w:r>
              <w:rPr>
                <w:rFonts w:ascii="Times New Roman" w:cs="Times New Roman" w:eastAsia="Times New Roman" w:hAnsi="Times New Roman"/>
                <w:sz w:val="18"/>
                <w:szCs w:val="18"/>
                <w:u w:val="single" w:color="auto"/>
                <w:color w:val="0000FF"/>
                <w:strike w:val="1"/>
              </w:rPr>
              <w:t>64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3.05</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Properties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58</w:t>
            </w:r>
            <w:r>
              <w:rPr>
                <w:rFonts w:ascii="Times New Roman" w:cs="Times New Roman" w:eastAsia="Times New Roman" w:hAnsi="Times New Roman"/>
                <w:sz w:val="18"/>
                <w:szCs w:val="18"/>
                <w:u w:val="single" w:color="auto"/>
                <w:color w:val="0000FF"/>
                <w:strike w:val="1"/>
              </w:rPr>
              <w:t>64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3.06</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Litigation and Environmental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58</w:t>
            </w:r>
            <w:r>
              <w:rPr>
                <w:rFonts w:ascii="Times New Roman" w:cs="Times New Roman" w:eastAsia="Times New Roman" w:hAnsi="Times New Roman"/>
                <w:sz w:val="18"/>
                <w:szCs w:val="18"/>
                <w:u w:val="single" w:color="auto"/>
                <w:color w:val="0000FF"/>
                <w:strike w:val="1"/>
              </w:rPr>
              <w:t>64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3.07</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Compliance with Laws and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58</w:t>
            </w:r>
            <w:r>
              <w:rPr>
                <w:rFonts w:ascii="Times New Roman" w:cs="Times New Roman" w:eastAsia="Times New Roman" w:hAnsi="Times New Roman"/>
                <w:sz w:val="18"/>
                <w:szCs w:val="18"/>
                <w:u w:val="single" w:color="auto"/>
                <w:color w:val="0000FF"/>
                <w:strike w:val="1"/>
              </w:rPr>
              <w:t>64</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3.08</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Investment Company Status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58</w:t>
            </w:r>
            <w:r>
              <w:rPr>
                <w:rFonts w:ascii="Times New Roman" w:cs="Times New Roman" w:eastAsia="Times New Roman" w:hAnsi="Times New Roman"/>
                <w:sz w:val="18"/>
                <w:szCs w:val="18"/>
                <w:u w:val="single" w:color="auto"/>
                <w:color w:val="0000FF"/>
                <w:strike w:val="1"/>
              </w:rPr>
              <w:t>65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3.09</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Taxes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58</w:t>
            </w:r>
            <w:r>
              <w:rPr>
                <w:rFonts w:ascii="Times New Roman" w:cs="Times New Roman" w:eastAsia="Times New Roman" w:hAnsi="Times New Roman"/>
                <w:sz w:val="18"/>
                <w:szCs w:val="18"/>
                <w:u w:val="single" w:color="auto"/>
                <w:color w:val="0000FF"/>
                <w:strike w:val="1"/>
              </w:rPr>
              <w:t>65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3.10</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ERISA</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59</w:t>
            </w:r>
            <w:r>
              <w:rPr>
                <w:rFonts w:ascii="Times New Roman" w:cs="Times New Roman" w:eastAsia="Times New Roman" w:hAnsi="Times New Roman"/>
                <w:sz w:val="18"/>
                <w:szCs w:val="18"/>
                <w:u w:val="single" w:color="auto"/>
                <w:color w:val="0000FF"/>
                <w:strike w:val="1"/>
              </w:rPr>
              <w:t>65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3.11</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Disclosure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59</w:t>
            </w:r>
            <w:r>
              <w:rPr>
                <w:rFonts w:ascii="Times New Roman" w:cs="Times New Roman" w:eastAsia="Times New Roman" w:hAnsi="Times New Roman"/>
                <w:sz w:val="18"/>
                <w:szCs w:val="18"/>
                <w:u w:val="single" w:color="auto"/>
                <w:color w:val="0000FF"/>
                <w:strike w:val="1"/>
              </w:rPr>
              <w:t>65</w:t>
            </w:r>
          </w:p>
        </w:tc>
      </w:tr>
      <w:tr>
        <w:trPr>
          <w:trHeight w:val="216"/>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3.12</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Capitalization and 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59</w:t>
            </w:r>
            <w:r>
              <w:rPr>
                <w:rFonts w:ascii="Times New Roman" w:cs="Times New Roman" w:eastAsia="Times New Roman" w:hAnsi="Times New Roman"/>
                <w:sz w:val="18"/>
                <w:szCs w:val="18"/>
                <w:u w:val="single" w:color="auto"/>
                <w:color w:val="0000FF"/>
                <w:strike w:val="1"/>
              </w:rPr>
              <w:t>65</w:t>
            </w:r>
          </w:p>
        </w:tc>
      </w:tr>
      <w:tr>
        <w:trPr>
          <w:trHeight w:val="234"/>
        </w:trPr>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3.13</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u w:val="single" w:color="auto"/>
                <w:color w:val="0000FF"/>
              </w:rPr>
              <w:t>Security Interest in Collateral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59</w:t>
            </w:r>
            <w:r>
              <w:rPr>
                <w:rFonts w:ascii="Times New Roman" w:cs="Times New Roman" w:eastAsia="Times New Roman" w:hAnsi="Times New Roman"/>
                <w:sz w:val="18"/>
                <w:szCs w:val="18"/>
                <w:u w:val="single" w:color="auto"/>
                <w:color w:val="0000FF"/>
                <w:strike w:val="1"/>
              </w:rPr>
              <w:t>66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260" w:type="dxa"/>
            <w:vAlign w:val="bottom"/>
            <w:gridSpan w:val="76"/>
          </w:tcPr>
          <w:p>
            <w:pPr>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07"/>
        </w:trPr>
        <w:tc>
          <w:tcPr>
            <w:tcW w:w="340" w:type="dxa"/>
            <w:vAlign w:val="bottom"/>
          </w:tcPr>
          <w:p>
            <w:pPr>
              <w:spacing w:after="0"/>
              <w:rPr>
                <w:sz w:val="24"/>
                <w:szCs w:val="24"/>
                <w:color w:val="auto"/>
              </w:rPr>
            </w:pPr>
          </w:p>
        </w:tc>
        <w:tc>
          <w:tcPr>
            <w:tcW w:w="1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SECTION 3.14</w:t>
            </w:r>
          </w:p>
        </w:tc>
        <w:tc>
          <w:tcPr>
            <w:tcW w:w="560" w:type="dxa"/>
            <w:vAlign w:val="bottom"/>
          </w:tcPr>
          <w:p>
            <w:pPr>
              <w:spacing w:after="0"/>
              <w:rPr>
                <w:sz w:val="24"/>
                <w:szCs w:val="24"/>
                <w:color w:val="auto"/>
              </w:rPr>
            </w:pPr>
          </w:p>
        </w:tc>
        <w:tc>
          <w:tcPr>
            <w:tcW w:w="210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Federal Reserve Regulations</w:t>
            </w:r>
          </w:p>
        </w:tc>
        <w:tc>
          <w:tcPr>
            <w:tcW w:w="4580" w:type="dxa"/>
            <w:vAlign w:val="bottom"/>
            <w:gridSpan w:val="2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600" w:type="dxa"/>
            <w:vAlign w:val="bottom"/>
            <w:gridSpan w:val="2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Sanctions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60</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3.15</w:t>
            </w:r>
          </w:p>
        </w:tc>
        <w:tc>
          <w:tcPr>
            <w:tcW w:w="560" w:type="dxa"/>
            <w:vAlign w:val="bottom"/>
          </w:tcPr>
          <w:p>
            <w:pPr>
              <w:spacing w:after="0"/>
              <w:rPr>
                <w:sz w:val="13"/>
                <w:szCs w:val="13"/>
                <w:color w:val="auto"/>
              </w:rPr>
            </w:pPr>
          </w:p>
        </w:tc>
        <w:tc>
          <w:tcPr>
            <w:tcW w:w="2080" w:type="dxa"/>
            <w:vAlign w:val="bottom"/>
            <w:gridSpan w:val="38"/>
          </w:tcPr>
          <w:p>
            <w:pPr>
              <w:spacing w:after="0" w:line="156" w:lineRule="exact"/>
              <w:rPr>
                <w:sz w:val="20"/>
                <w:szCs w:val="20"/>
                <w:color w:val="auto"/>
              </w:rPr>
            </w:pPr>
            <w:r>
              <w:rPr>
                <w:rFonts w:ascii="Times New Roman" w:cs="Times New Roman" w:eastAsia="Times New Roman" w:hAnsi="Times New Roman"/>
                <w:sz w:val="18"/>
                <w:szCs w:val="18"/>
                <w:color w:val="0000FF"/>
              </w:rPr>
              <w:t>Anti-Corruption Laws and</w:t>
            </w:r>
          </w:p>
        </w:tc>
        <w:tc>
          <w:tcPr>
            <w:tcW w:w="4600" w:type="dxa"/>
            <w:vAlign w:val="bottom"/>
            <w:gridSpan w:val="24"/>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tcBorders>
              <w:top w:val="single" w:sz="8" w:color="0000FF"/>
              <w:bottom w:val="single" w:sz="8" w:color="0000FF"/>
            </w:tcBorders>
            <w:gridSpan w:val="48"/>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3.16</w:t>
            </w:r>
          </w:p>
        </w:tc>
        <w:tc>
          <w:tcPr>
            <w:tcW w:w="560" w:type="dxa"/>
            <w:vAlign w:val="bottom"/>
          </w:tcPr>
          <w:p>
            <w:pPr>
              <w:spacing w:after="0"/>
              <w:rPr>
                <w:sz w:val="13"/>
                <w:szCs w:val="13"/>
                <w:color w:val="auto"/>
              </w:rPr>
            </w:pPr>
          </w:p>
        </w:tc>
        <w:tc>
          <w:tcPr>
            <w:tcW w:w="2680" w:type="dxa"/>
            <w:vAlign w:val="bottom"/>
            <w:gridSpan w:val="50"/>
          </w:tcPr>
          <w:p>
            <w:pPr>
              <w:spacing w:after="0" w:line="156" w:lineRule="exact"/>
              <w:rPr>
                <w:sz w:val="20"/>
                <w:szCs w:val="20"/>
                <w:color w:val="auto"/>
              </w:rPr>
            </w:pPr>
            <w:r>
              <w:rPr>
                <w:rFonts w:ascii="Times New Roman" w:cs="Times New Roman" w:eastAsia="Times New Roman" w:hAnsi="Times New Roman"/>
                <w:sz w:val="18"/>
                <w:szCs w:val="18"/>
                <w:color w:val="0000FF"/>
              </w:rPr>
              <w:t>Common Enterprise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0000FF"/>
              <w:bottom w:val="single" w:sz="8" w:color="0000FF"/>
            </w:tcBorders>
            <w:gridSpan w:val="17"/>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220" w:type="dxa"/>
            <w:vAlign w:val="bottom"/>
            <w:gridSpan w:val="44"/>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3.17</w:t>
            </w: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Not an Affected Financial Institution</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tcBorders>
              <w:top w:val="single" w:sz="8" w:color="0000FF"/>
              <w:bottom w:val="single" w:sz="8" w:color="0000FF"/>
            </w:tcBorders>
            <w:gridSpan w:val="49"/>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0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ARTICLE IV</w:t>
            </w:r>
          </w:p>
        </w:tc>
        <w:tc>
          <w:tcPr>
            <w:tcW w:w="48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Borders>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8"/>
              </w:rPr>
              <w:t>CONDITIONS</w:t>
            </w:r>
          </w:p>
        </w:tc>
        <w:tc>
          <w:tcPr>
            <w:tcW w:w="1580" w:type="dxa"/>
            <w:vAlign w:val="bottom"/>
            <w:gridSpan w:val="4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gridSpan w:val="5"/>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4.01</w:t>
            </w:r>
          </w:p>
        </w:tc>
        <w:tc>
          <w:tcPr>
            <w:tcW w:w="56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5600" w:type="dxa"/>
            <w:vAlign w:val="bottom"/>
            <w:gridSpan w:val="5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Initial Loans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60</w:t>
            </w:r>
          </w:p>
        </w:tc>
        <w:tc>
          <w:tcPr>
            <w:tcW w:w="2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84"/>
              </w:rPr>
              <w:t>SECTION</w:t>
            </w:r>
          </w:p>
        </w:tc>
        <w:tc>
          <w:tcPr>
            <w:tcW w:w="48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Conditions to</w:t>
            </w:r>
          </w:p>
        </w:tc>
        <w:tc>
          <w:tcPr>
            <w:tcW w:w="5600" w:type="dxa"/>
            <w:vAlign w:val="bottom"/>
            <w:gridSpan w:val="54"/>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Borders>
              <w:top w:val="single" w:sz="8" w:color="0000FF"/>
              <w:bottom w:val="single" w:sz="8" w:color="0000FF"/>
            </w:tcBorders>
            <w:gridSpan w:val="33"/>
          </w:tcPr>
          <w:p>
            <w:pPr>
              <w:spacing w:after="0" w:line="20" w:lineRule="exact"/>
              <w:rPr>
                <w:sz w:val="1"/>
                <w:szCs w:val="1"/>
                <w:color w:val="auto"/>
              </w:rPr>
            </w:pPr>
          </w:p>
        </w:tc>
        <w:tc>
          <w:tcPr>
            <w:tcW w:w="4720" w:type="dxa"/>
            <w:vAlign w:val="bottom"/>
            <w:gridSpan w:val="29"/>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4.02</w:t>
            </w:r>
          </w:p>
        </w:tc>
        <w:tc>
          <w:tcPr>
            <w:tcW w:w="560" w:type="dxa"/>
            <w:vAlign w:val="bottom"/>
          </w:tcPr>
          <w:p>
            <w:pPr>
              <w:spacing w:after="0"/>
              <w:rPr>
                <w:sz w:val="13"/>
                <w:szCs w:val="13"/>
                <w:color w:val="auto"/>
              </w:rPr>
            </w:pPr>
          </w:p>
        </w:tc>
        <w:tc>
          <w:tcPr>
            <w:tcW w:w="1920" w:type="dxa"/>
            <w:vAlign w:val="bottom"/>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Each Credit Event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360" w:type="dxa"/>
            <w:vAlign w:val="bottom"/>
            <w:gridSpan w:val="4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COVENANTS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8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ARTICLE V</w:t>
            </w:r>
          </w:p>
        </w:tc>
        <w:tc>
          <w:tcPr>
            <w:tcW w:w="560" w:type="dxa"/>
            <w:vAlign w:val="bottom"/>
          </w:tcPr>
          <w:p>
            <w:pPr>
              <w:spacing w:after="0"/>
              <w:rPr>
                <w:sz w:val="13"/>
                <w:szCs w:val="13"/>
                <w:color w:val="auto"/>
              </w:rPr>
            </w:pPr>
          </w:p>
        </w:tc>
        <w:tc>
          <w:tcPr>
            <w:tcW w:w="132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AFFIRMATIVE</w:t>
            </w:r>
          </w:p>
        </w:tc>
        <w:tc>
          <w:tcPr>
            <w:tcW w:w="5360" w:type="dxa"/>
            <w:vAlign w:val="bottom"/>
            <w:gridSpan w:val="49"/>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Borders>
              <w:right w:val="single" w:sz="8" w:color="0000FF"/>
            </w:tcBorders>
            <w:gridSpan w:val="54"/>
            <w:shd w:val="clear" w:color="auto" w:fill="0000FF"/>
          </w:tcPr>
          <w:p>
            <w:pPr>
              <w:spacing w:after="0" w:line="20" w:lineRule="exact"/>
              <w:rPr>
                <w:sz w:val="1"/>
                <w:szCs w:val="1"/>
                <w:color w:val="auto"/>
              </w:rPr>
            </w:pPr>
          </w:p>
        </w:tc>
        <w:tc>
          <w:tcPr>
            <w:tcW w:w="68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560" w:type="dxa"/>
            <w:vAlign w:val="bottom"/>
            <w:gridSpan w:val="7"/>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5.01</w:t>
            </w:r>
          </w:p>
        </w:tc>
        <w:tc>
          <w:tcPr>
            <w:tcW w:w="56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3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Information</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61</w:t>
            </w:r>
          </w:p>
        </w:tc>
        <w:tc>
          <w:tcPr>
            <w:tcW w:w="2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0000FF"/>
                <w:w w:val="73"/>
              </w:rPr>
              <w:t>SECTION</w:t>
            </w:r>
          </w:p>
        </w:tc>
        <w:tc>
          <w:tcPr>
            <w:tcW w:w="560" w:type="dxa"/>
            <w:vAlign w:val="bottom"/>
            <w:gridSpan w:val="7"/>
            <w:vMerge w:val="continue"/>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gridSpan w:val="44"/>
          </w:tcPr>
          <w:p>
            <w:pPr>
              <w:spacing w:after="0" w:line="156" w:lineRule="exact"/>
              <w:rPr>
                <w:sz w:val="20"/>
                <w:szCs w:val="20"/>
                <w:color w:val="auto"/>
              </w:rPr>
            </w:pPr>
            <w:r>
              <w:rPr>
                <w:rFonts w:ascii="Times New Roman" w:cs="Times New Roman" w:eastAsia="Times New Roman" w:hAnsi="Times New Roman"/>
                <w:sz w:val="18"/>
                <w:szCs w:val="18"/>
                <w:color w:val="0000FF"/>
              </w:rPr>
              <w:t>Financial Statements and Other</w:t>
            </w:r>
          </w:p>
        </w:tc>
        <w:tc>
          <w:tcPr>
            <w:tcW w:w="4340" w:type="dxa"/>
            <w:vAlign w:val="bottom"/>
            <w:gridSpan w:val="18"/>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60" w:type="dxa"/>
            <w:vAlign w:val="bottom"/>
            <w:tcBorders>
              <w:top w:val="single" w:sz="8" w:color="0000FF"/>
              <w:bottom w:val="single" w:sz="8" w:color="0000FF"/>
            </w:tcBorders>
            <w:gridSpan w:val="56"/>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5.02</w:t>
            </w:r>
          </w:p>
        </w:tc>
        <w:tc>
          <w:tcPr>
            <w:tcW w:w="560" w:type="dxa"/>
            <w:vAlign w:val="bottom"/>
          </w:tcPr>
          <w:p>
            <w:pPr>
              <w:spacing w:after="0"/>
              <w:rPr>
                <w:sz w:val="13"/>
                <w:szCs w:val="13"/>
                <w:color w:val="auto"/>
              </w:rPr>
            </w:pPr>
          </w:p>
        </w:tc>
        <w:tc>
          <w:tcPr>
            <w:tcW w:w="3160" w:type="dxa"/>
            <w:vAlign w:val="bottom"/>
            <w:gridSpan w:val="56"/>
          </w:tcPr>
          <w:p>
            <w:pPr>
              <w:spacing w:after="0" w:line="156" w:lineRule="exact"/>
              <w:rPr>
                <w:sz w:val="20"/>
                <w:szCs w:val="20"/>
                <w:color w:val="auto"/>
              </w:rPr>
            </w:pPr>
            <w:r>
              <w:rPr>
                <w:rFonts w:ascii="Times New Roman" w:cs="Times New Roman" w:eastAsia="Times New Roman" w:hAnsi="Times New Roman"/>
                <w:sz w:val="18"/>
                <w:szCs w:val="18"/>
                <w:color w:val="0000FF"/>
              </w:rPr>
              <w:t>Notices of Material Events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Borders>
              <w:top w:val="single" w:sz="8" w:color="0000FF"/>
              <w:bottom w:val="single" w:sz="8" w:color="0000FF"/>
            </w:tcBorders>
            <w:gridSpan w:val="31"/>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740" w:type="dxa"/>
            <w:vAlign w:val="bottom"/>
            <w:gridSpan w:val="30"/>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5.03</w:t>
            </w: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Existence; Conduct of Business</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tcBorders>
              <w:top w:val="single" w:sz="8" w:color="0000FF"/>
              <w:bottom w:val="single" w:sz="8" w:color="0000FF"/>
            </w:tcBorders>
            <w:gridSpan w:val="43"/>
          </w:tcPr>
          <w:p>
            <w:pPr>
              <w:spacing w:after="0" w:line="20" w:lineRule="exact"/>
              <w:rPr>
                <w:sz w:val="1"/>
                <w:szCs w:val="1"/>
                <w:color w:val="auto"/>
              </w:rPr>
            </w:pPr>
          </w:p>
        </w:tc>
        <w:tc>
          <w:tcPr>
            <w:tcW w:w="4380" w:type="dxa"/>
            <w:vAlign w:val="bottom"/>
            <w:gridSpan w:val="19"/>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5.04</w:t>
            </w:r>
          </w:p>
        </w:tc>
        <w:tc>
          <w:tcPr>
            <w:tcW w:w="560" w:type="dxa"/>
            <w:vAlign w:val="bottom"/>
          </w:tcPr>
          <w:p>
            <w:pPr>
              <w:spacing w:after="0"/>
              <w:rPr>
                <w:sz w:val="13"/>
                <w:szCs w:val="13"/>
                <w:color w:val="auto"/>
              </w:rPr>
            </w:pPr>
          </w:p>
        </w:tc>
        <w:tc>
          <w:tcPr>
            <w:tcW w:w="1300" w:type="dxa"/>
            <w:vAlign w:val="bottom"/>
            <w:tcBorders>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8"/>
              </w:rPr>
              <w:t>Payment of Taxes</w:t>
            </w:r>
          </w:p>
        </w:tc>
        <w:tc>
          <w:tcPr>
            <w:tcW w:w="98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400" w:type="dxa"/>
            <w:vAlign w:val="bottom"/>
            <w:gridSpan w:val="51"/>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Properties; Insurance; Casualty and Condemnation</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5.05</w:t>
            </w:r>
          </w:p>
        </w:tc>
        <w:tc>
          <w:tcPr>
            <w:tcW w:w="560" w:type="dxa"/>
            <w:vAlign w:val="bottom"/>
          </w:tcPr>
          <w:p>
            <w:pPr>
              <w:spacing w:after="0"/>
              <w:rPr>
                <w:sz w:val="13"/>
                <w:szCs w:val="13"/>
                <w:color w:val="auto"/>
              </w:rPr>
            </w:pPr>
          </w:p>
        </w:tc>
        <w:tc>
          <w:tcPr>
            <w:tcW w:w="1280" w:type="dxa"/>
            <w:vAlign w:val="bottom"/>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Maintenance of</w:t>
            </w:r>
          </w:p>
        </w:tc>
        <w:tc>
          <w:tcPr>
            <w:tcW w:w="5400" w:type="dxa"/>
            <w:vAlign w:val="bottom"/>
            <w:gridSpan w:val="51"/>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60" w:type="dxa"/>
            <w:vAlign w:val="bottom"/>
            <w:tcBorders>
              <w:top w:val="single" w:sz="8" w:color="0000FF"/>
              <w:bottom w:val="single" w:sz="8" w:color="0000FF"/>
            </w:tcBorders>
            <w:gridSpan w:val="6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5.06</w:t>
            </w:r>
          </w:p>
        </w:tc>
        <w:tc>
          <w:tcPr>
            <w:tcW w:w="560" w:type="dxa"/>
            <w:vAlign w:val="bottom"/>
          </w:tcPr>
          <w:p>
            <w:pPr>
              <w:spacing w:after="0"/>
              <w:rPr>
                <w:sz w:val="13"/>
                <w:szCs w:val="13"/>
                <w:color w:val="auto"/>
              </w:rPr>
            </w:pPr>
          </w:p>
        </w:tc>
        <w:tc>
          <w:tcPr>
            <w:tcW w:w="4860" w:type="dxa"/>
            <w:vAlign w:val="bottom"/>
            <w:gridSpan w:val="61"/>
          </w:tcPr>
          <w:p>
            <w:pPr>
              <w:spacing w:after="0" w:line="156" w:lineRule="exact"/>
              <w:rPr>
                <w:sz w:val="20"/>
                <w:szCs w:val="20"/>
                <w:color w:val="auto"/>
              </w:rPr>
            </w:pPr>
            <w:r>
              <w:rPr>
                <w:rFonts w:ascii="Times New Roman" w:cs="Times New Roman" w:eastAsia="Times New Roman" w:hAnsi="Times New Roman"/>
                <w:sz w:val="18"/>
                <w:szCs w:val="18"/>
                <w:color w:val="0000FF"/>
              </w:rPr>
              <w:t>Books and Records; Inspection Rights</w:t>
            </w: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Borders>
              <w:top w:val="single" w:sz="8" w:color="0000FF"/>
              <w:bottom w:val="single" w:sz="8" w:color="0000FF"/>
            </w:tcBorders>
            <w:gridSpan w:val="52"/>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5.07</w:t>
            </w:r>
          </w:p>
        </w:tc>
        <w:tc>
          <w:tcPr>
            <w:tcW w:w="560" w:type="dxa"/>
            <w:vAlign w:val="bottom"/>
          </w:tcPr>
          <w:p>
            <w:pPr>
              <w:spacing w:after="0"/>
              <w:rPr>
                <w:sz w:val="13"/>
                <w:szCs w:val="13"/>
                <w:color w:val="auto"/>
              </w:rPr>
            </w:pPr>
          </w:p>
        </w:tc>
        <w:tc>
          <w:tcPr>
            <w:tcW w:w="2740" w:type="dxa"/>
            <w:vAlign w:val="bottom"/>
            <w:gridSpan w:val="51"/>
          </w:tcPr>
          <w:p>
            <w:pPr>
              <w:spacing w:after="0" w:line="156" w:lineRule="exact"/>
              <w:rPr>
                <w:sz w:val="20"/>
                <w:szCs w:val="20"/>
                <w:color w:val="auto"/>
              </w:rPr>
            </w:pPr>
            <w:r>
              <w:rPr>
                <w:rFonts w:ascii="Times New Roman" w:cs="Times New Roman" w:eastAsia="Times New Roman" w:hAnsi="Times New Roman"/>
                <w:sz w:val="18"/>
                <w:szCs w:val="18"/>
                <w:color w:val="0000FF"/>
              </w:rPr>
              <w:t>Compliance with Laws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Borders>
              <w:top w:val="single" w:sz="8" w:color="0000FF"/>
              <w:bottom w:val="single" w:sz="8" w:color="0000FF"/>
            </w:tcBorders>
            <w:gridSpan w:val="26"/>
          </w:tcPr>
          <w:p>
            <w:pPr>
              <w:spacing w:after="0" w:line="20" w:lineRule="exact"/>
              <w:rPr>
                <w:sz w:val="1"/>
                <w:szCs w:val="1"/>
                <w:color w:val="auto"/>
              </w:rPr>
            </w:pPr>
          </w:p>
        </w:tc>
        <w:tc>
          <w:tcPr>
            <w:tcW w:w="5000" w:type="dxa"/>
            <w:vAlign w:val="bottom"/>
            <w:gridSpan w:val="36"/>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5.08</w:t>
            </w:r>
          </w:p>
        </w:tc>
        <w:tc>
          <w:tcPr>
            <w:tcW w:w="560" w:type="dxa"/>
            <w:vAlign w:val="bottom"/>
          </w:tcPr>
          <w:p>
            <w:pPr>
              <w:spacing w:after="0"/>
              <w:rPr>
                <w:sz w:val="13"/>
                <w:szCs w:val="13"/>
                <w:color w:val="auto"/>
              </w:rPr>
            </w:pPr>
          </w:p>
        </w:tc>
        <w:tc>
          <w:tcPr>
            <w:tcW w:w="168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Use of Proceeds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0000FF"/>
              <w:bottom w:val="single" w:sz="8" w:color="0000FF"/>
            </w:tcBorders>
            <w:gridSpan w:val="10"/>
          </w:tcPr>
          <w:p>
            <w:pPr>
              <w:spacing w:after="0" w:line="20" w:lineRule="exact"/>
              <w:rPr>
                <w:sz w:val="1"/>
                <w:szCs w:val="1"/>
                <w:color w:val="auto"/>
              </w:rPr>
            </w:pPr>
          </w:p>
        </w:tc>
        <w:tc>
          <w:tcPr>
            <w:tcW w:w="5520" w:type="dxa"/>
            <w:vAlign w:val="bottom"/>
            <w:gridSpan w:val="5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5.09</w:t>
            </w: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Additional Collateral; Further Assurances</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Borders>
              <w:top w:val="single" w:sz="8" w:color="0000FF"/>
              <w:bottom w:val="single" w:sz="8" w:color="0000FF"/>
            </w:tcBorders>
            <w:gridSpan w:val="55"/>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5.10</w:t>
            </w:r>
          </w:p>
        </w:tc>
        <w:tc>
          <w:tcPr>
            <w:tcW w:w="560" w:type="dxa"/>
            <w:vAlign w:val="bottom"/>
          </w:tcPr>
          <w:p>
            <w:pPr>
              <w:spacing w:after="0"/>
              <w:rPr>
                <w:sz w:val="13"/>
                <w:szCs w:val="13"/>
                <w:color w:val="auto"/>
              </w:rPr>
            </w:pPr>
          </w:p>
        </w:tc>
        <w:tc>
          <w:tcPr>
            <w:tcW w:w="3000" w:type="dxa"/>
            <w:vAlign w:val="bottom"/>
            <w:gridSpan w:val="54"/>
          </w:tcPr>
          <w:p>
            <w:pPr>
              <w:spacing w:after="0" w:line="156" w:lineRule="exact"/>
              <w:rPr>
                <w:sz w:val="20"/>
                <w:szCs w:val="20"/>
                <w:color w:val="auto"/>
              </w:rPr>
            </w:pPr>
            <w:r>
              <w:rPr>
                <w:rFonts w:ascii="Times New Roman" w:cs="Times New Roman" w:eastAsia="Times New Roman" w:hAnsi="Times New Roman"/>
                <w:sz w:val="18"/>
                <w:szCs w:val="18"/>
                <w:color w:val="0000FF"/>
              </w:rPr>
              <w:t>Anti-Corruption Laws and Sanctions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tcBorders>
              <w:top w:val="single" w:sz="8" w:color="0000FF"/>
              <w:bottom w:val="single" w:sz="8" w:color="0000FF"/>
            </w:tcBorders>
            <w:gridSpan w:val="48"/>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8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ARTICLE VI</w:t>
            </w:r>
          </w:p>
        </w:tc>
        <w:tc>
          <w:tcPr>
            <w:tcW w:w="560" w:type="dxa"/>
            <w:vAlign w:val="bottom"/>
          </w:tcPr>
          <w:p>
            <w:pPr>
              <w:spacing w:after="0"/>
              <w:rPr>
                <w:sz w:val="13"/>
                <w:szCs w:val="13"/>
                <w:color w:val="auto"/>
              </w:rPr>
            </w:pPr>
          </w:p>
        </w:tc>
        <w:tc>
          <w:tcPr>
            <w:tcW w:w="2680" w:type="dxa"/>
            <w:vAlign w:val="bottom"/>
            <w:gridSpan w:val="50"/>
          </w:tcPr>
          <w:p>
            <w:pPr>
              <w:spacing w:after="0" w:line="156" w:lineRule="exact"/>
              <w:rPr>
                <w:sz w:val="20"/>
                <w:szCs w:val="20"/>
                <w:color w:val="auto"/>
              </w:rPr>
            </w:pPr>
            <w:r>
              <w:rPr>
                <w:rFonts w:ascii="Times New Roman" w:cs="Times New Roman" w:eastAsia="Times New Roman" w:hAnsi="Times New Roman"/>
                <w:sz w:val="18"/>
                <w:szCs w:val="18"/>
                <w:color w:val="0000FF"/>
              </w:rPr>
              <w:t>NEGATIVE COVENANTS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gridSpan w:val="5"/>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6.01</w:t>
            </w:r>
          </w:p>
        </w:tc>
        <w:tc>
          <w:tcPr>
            <w:tcW w:w="56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66</w:t>
            </w:r>
          </w:p>
        </w:tc>
        <w:tc>
          <w:tcPr>
            <w:tcW w:w="180" w:type="dxa"/>
            <w:vAlign w:val="bottom"/>
            <w:tcBorders>
              <w:top w:val="single" w:sz="8" w:color="0000FF"/>
              <w:bottom w:val="single" w:sz="8" w:color="0000FF"/>
            </w:tcBorders>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84"/>
              </w:rPr>
              <w:t>SECTION</w:t>
            </w:r>
          </w:p>
        </w:tc>
        <w:tc>
          <w:tcPr>
            <w:tcW w:w="48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2040" w:type="dxa"/>
            <w:vAlign w:val="bottom"/>
            <w:gridSpan w:val="36"/>
          </w:tcPr>
          <w:p>
            <w:pPr>
              <w:spacing w:after="0" w:line="156" w:lineRule="exact"/>
              <w:rPr>
                <w:sz w:val="20"/>
                <w:szCs w:val="20"/>
                <w:color w:val="auto"/>
              </w:rPr>
            </w:pPr>
            <w:r>
              <w:rPr>
                <w:rFonts w:ascii="Times New Roman" w:cs="Times New Roman" w:eastAsia="Times New Roman" w:hAnsi="Times New Roman"/>
                <w:sz w:val="18"/>
                <w:szCs w:val="18"/>
                <w:color w:val="0000FF"/>
              </w:rPr>
              <w:t>Indebtedness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68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6.02</w:t>
            </w: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Liens</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0000FF"/>
                <w:w w:val="77"/>
              </w:rPr>
              <w:t>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6.03</w:t>
            </w: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Fundamental Changes</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5080" w:type="dxa"/>
            <w:vAlign w:val="bottom"/>
            <w:gridSpan w:val="40"/>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Advances, Guarantees and Acquisitions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6.04</w:t>
            </w:r>
          </w:p>
        </w:tc>
        <w:tc>
          <w:tcPr>
            <w:tcW w:w="560" w:type="dxa"/>
            <w:vAlign w:val="bottom"/>
          </w:tcPr>
          <w:p>
            <w:pPr>
              <w:spacing w:after="0"/>
              <w:rPr>
                <w:sz w:val="13"/>
                <w:szCs w:val="13"/>
                <w:color w:val="auto"/>
              </w:rPr>
            </w:pPr>
          </w:p>
        </w:tc>
        <w:tc>
          <w:tcPr>
            <w:tcW w:w="160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Investments, Loans,</w:t>
            </w:r>
          </w:p>
        </w:tc>
        <w:tc>
          <w:tcPr>
            <w:tcW w:w="5080" w:type="dxa"/>
            <w:vAlign w:val="bottom"/>
            <w:gridSpan w:val="40"/>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gridSpan w:val="4"/>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6.05</w:t>
            </w:r>
          </w:p>
        </w:tc>
        <w:tc>
          <w:tcPr>
            <w:tcW w:w="560" w:type="dxa"/>
            <w:vAlign w:val="bottom"/>
          </w:tcPr>
          <w:p>
            <w:pPr>
              <w:spacing w:after="0"/>
              <w:rPr>
                <w:sz w:val="13"/>
                <w:szCs w:val="13"/>
                <w:color w:val="auto"/>
              </w:rPr>
            </w:pPr>
          </w:p>
        </w:tc>
        <w:tc>
          <w:tcPr>
            <w:tcW w:w="4360" w:type="dxa"/>
            <w:vAlign w:val="bottom"/>
            <w:gridSpan w:val="60"/>
          </w:tcPr>
          <w:p>
            <w:pPr>
              <w:spacing w:after="0" w:line="156" w:lineRule="exact"/>
              <w:rPr>
                <w:sz w:val="20"/>
                <w:szCs w:val="20"/>
                <w:color w:val="auto"/>
              </w:rPr>
            </w:pPr>
            <w:r>
              <w:rPr>
                <w:rFonts w:ascii="Times New Roman" w:cs="Times New Roman" w:eastAsia="Times New Roman" w:hAnsi="Times New Roman"/>
                <w:sz w:val="18"/>
                <w:szCs w:val="18"/>
                <w:color w:val="0000FF"/>
              </w:rPr>
              <w:t>Asset Dispositions; Sale and Leaseback Transactions</w:t>
            </w: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gridSpan w:val="4"/>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6.06</w:t>
            </w:r>
          </w:p>
        </w:tc>
        <w:tc>
          <w:tcPr>
            <w:tcW w:w="560" w:type="dxa"/>
            <w:vAlign w:val="bottom"/>
          </w:tcPr>
          <w:p>
            <w:pPr>
              <w:spacing w:after="0"/>
              <w:rPr>
                <w:sz w:val="13"/>
                <w:szCs w:val="13"/>
                <w:color w:val="auto"/>
              </w:rPr>
            </w:pPr>
          </w:p>
        </w:tc>
        <w:tc>
          <w:tcPr>
            <w:tcW w:w="3820" w:type="dxa"/>
            <w:vAlign w:val="bottom"/>
            <w:gridSpan w:val="59"/>
          </w:tcPr>
          <w:p>
            <w:pPr>
              <w:spacing w:after="0" w:line="156" w:lineRule="exact"/>
              <w:rPr>
                <w:sz w:val="20"/>
                <w:szCs w:val="20"/>
                <w:color w:val="auto"/>
              </w:rPr>
            </w:pPr>
            <w:r>
              <w:rPr>
                <w:rFonts w:ascii="Times New Roman" w:cs="Times New Roman" w:eastAsia="Times New Roman" w:hAnsi="Times New Roman"/>
                <w:sz w:val="18"/>
                <w:szCs w:val="18"/>
                <w:color w:val="0000FF"/>
              </w:rPr>
              <w:t>Swap Agreements</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6.07</w:t>
            </w:r>
          </w:p>
        </w:tc>
        <w:tc>
          <w:tcPr>
            <w:tcW w:w="560" w:type="dxa"/>
            <w:vAlign w:val="bottom"/>
          </w:tcPr>
          <w:p>
            <w:pPr>
              <w:spacing w:after="0"/>
              <w:rPr>
                <w:sz w:val="13"/>
                <w:szCs w:val="13"/>
                <w:color w:val="auto"/>
              </w:rPr>
            </w:pPr>
          </w:p>
        </w:tc>
        <w:tc>
          <w:tcPr>
            <w:tcW w:w="1480" w:type="dxa"/>
            <w:vAlign w:val="bottom"/>
            <w:tcBorders>
              <w:bottom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w w:val="86"/>
              </w:rPr>
              <w:t>Restricted Payments</w:t>
            </w:r>
          </w:p>
        </w:tc>
        <w:tc>
          <w:tcPr>
            <w:tcW w:w="5200" w:type="dxa"/>
            <w:vAlign w:val="bottom"/>
            <w:gridSpan w:val="43"/>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gridSpan w:val="7"/>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5220" w:type="dxa"/>
            <w:vAlign w:val="bottom"/>
            <w:gridSpan w:val="4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Affiliates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6.08</w:t>
            </w:r>
          </w:p>
        </w:tc>
        <w:tc>
          <w:tcPr>
            <w:tcW w:w="560" w:type="dxa"/>
            <w:vAlign w:val="bottom"/>
          </w:tcPr>
          <w:p>
            <w:pPr>
              <w:spacing w:after="0"/>
              <w:rPr>
                <w:sz w:val="13"/>
                <w:szCs w:val="13"/>
                <w:color w:val="auto"/>
              </w:rPr>
            </w:pPr>
          </w:p>
        </w:tc>
        <w:tc>
          <w:tcPr>
            <w:tcW w:w="14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Transactions with</w:t>
            </w:r>
          </w:p>
        </w:tc>
        <w:tc>
          <w:tcPr>
            <w:tcW w:w="5220" w:type="dxa"/>
            <w:vAlign w:val="bottom"/>
            <w:gridSpan w:val="44"/>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7"/>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6.09</w:t>
            </w:r>
          </w:p>
        </w:tc>
        <w:tc>
          <w:tcPr>
            <w:tcW w:w="560" w:type="dxa"/>
            <w:vAlign w:val="bottom"/>
          </w:tcPr>
          <w:p>
            <w:pPr>
              <w:spacing w:after="0"/>
              <w:rPr>
                <w:sz w:val="13"/>
                <w:szCs w:val="13"/>
                <w:color w:val="auto"/>
              </w:rPr>
            </w:pPr>
          </w:p>
        </w:tc>
        <w:tc>
          <w:tcPr>
            <w:tcW w:w="2000" w:type="dxa"/>
            <w:vAlign w:val="bottom"/>
            <w:gridSpan w:val="34"/>
          </w:tcPr>
          <w:p>
            <w:pPr>
              <w:spacing w:after="0" w:line="156" w:lineRule="exact"/>
              <w:rPr>
                <w:sz w:val="20"/>
                <w:szCs w:val="20"/>
                <w:color w:val="auto"/>
              </w:rPr>
            </w:pPr>
            <w:r>
              <w:rPr>
                <w:rFonts w:ascii="Times New Roman" w:cs="Times New Roman" w:eastAsia="Times New Roman" w:hAnsi="Times New Roman"/>
                <w:sz w:val="18"/>
                <w:szCs w:val="18"/>
                <w:color w:val="0000FF"/>
              </w:rPr>
              <w:t>Restrictive Agreements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7"/>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960" w:type="dxa"/>
            <w:vAlign w:val="bottom"/>
            <w:gridSpan w:val="34"/>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0000FF"/>
              </w:rPr>
              <w:t>Documents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6.10</w:t>
            </w:r>
          </w:p>
        </w:tc>
        <w:tc>
          <w:tcPr>
            <w:tcW w:w="560" w:type="dxa"/>
            <w:vAlign w:val="bottom"/>
          </w:tcPr>
          <w:p>
            <w:pPr>
              <w:spacing w:after="0"/>
              <w:rPr>
                <w:sz w:val="13"/>
                <w:szCs w:val="13"/>
                <w:color w:val="auto"/>
              </w:rPr>
            </w:pPr>
          </w:p>
        </w:tc>
        <w:tc>
          <w:tcPr>
            <w:tcW w:w="1700" w:type="dxa"/>
            <w:vAlign w:val="bottom"/>
            <w:gridSpan w:val="27"/>
          </w:tcPr>
          <w:p>
            <w:pPr>
              <w:spacing w:after="0" w:line="156" w:lineRule="exact"/>
              <w:rPr>
                <w:sz w:val="20"/>
                <w:szCs w:val="20"/>
                <w:color w:val="auto"/>
              </w:rPr>
            </w:pPr>
            <w:r>
              <w:rPr>
                <w:rFonts w:ascii="Times New Roman" w:cs="Times New Roman" w:eastAsia="Times New Roman" w:hAnsi="Times New Roman"/>
                <w:sz w:val="18"/>
                <w:szCs w:val="18"/>
                <w:color w:val="0000FF"/>
                <w:w w:val="96"/>
              </w:rPr>
              <w:t>Amendment of Material</w:t>
            </w:r>
          </w:p>
        </w:tc>
        <w:tc>
          <w:tcPr>
            <w:tcW w:w="20" w:type="dxa"/>
            <w:vAlign w:val="bottom"/>
            <w:vMerge w:val="continue"/>
          </w:tcPr>
          <w:p>
            <w:pPr>
              <w:spacing w:after="0"/>
              <w:rPr>
                <w:sz w:val="13"/>
                <w:szCs w:val="13"/>
                <w:color w:val="auto"/>
              </w:rPr>
            </w:pPr>
          </w:p>
        </w:tc>
        <w:tc>
          <w:tcPr>
            <w:tcW w:w="4960" w:type="dxa"/>
            <w:vAlign w:val="bottom"/>
            <w:gridSpan w:val="34"/>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7"/>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6.11</w:t>
            </w:r>
          </w:p>
        </w:tc>
        <w:tc>
          <w:tcPr>
            <w:tcW w:w="560" w:type="dxa"/>
            <w:vAlign w:val="bottom"/>
          </w:tcPr>
          <w:p>
            <w:pPr>
              <w:spacing w:after="0"/>
              <w:rPr>
                <w:sz w:val="13"/>
                <w:szCs w:val="13"/>
                <w:color w:val="auto"/>
              </w:rPr>
            </w:pPr>
          </w:p>
        </w:tc>
        <w:tc>
          <w:tcPr>
            <w:tcW w:w="1480" w:type="dxa"/>
            <w:vAlign w:val="bottom"/>
            <w:tcBorders>
              <w:bottom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w w:val="98"/>
              </w:rPr>
              <w:t>Financial Covenants</w:t>
            </w:r>
          </w:p>
        </w:tc>
        <w:tc>
          <w:tcPr>
            <w:tcW w:w="1120" w:type="dxa"/>
            <w:vAlign w:val="bottom"/>
            <w:gridSpan w:val="2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gridSpan w:val="7"/>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6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ARTICLE VII</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EVENTS OF DEFAULT</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7"/>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gridSpan w:val="16"/>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0000FF"/>
                <w:w w:val="98"/>
              </w:rPr>
              <w:t>AGENT</w:t>
            </w:r>
          </w:p>
        </w:tc>
        <w:tc>
          <w:tcPr>
            <w:tcW w:w="4100" w:type="dxa"/>
            <w:vAlign w:val="bottom"/>
            <w:gridSpan w:val="16"/>
            <w:vMerge w:val="restart"/>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77</w:t>
            </w:r>
          </w:p>
        </w:tc>
        <w:tc>
          <w:tcPr>
            <w:tcW w:w="180" w:type="dxa"/>
            <w:vAlign w:val="bottom"/>
            <w:tcBorders>
              <w:top w:val="single" w:sz="8" w:color="0000FF"/>
              <w:bottom w:val="single" w:sz="8" w:color="0000FF"/>
            </w:tcBorders>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4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1"/>
              </w:rPr>
              <w:t>ARTICLE VIII</w:t>
            </w: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Borders>
              <w:bottom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w w:val="90"/>
              </w:rPr>
              <w:t>THE ADMINISTRATIVE</w:t>
            </w:r>
          </w:p>
        </w:tc>
        <w:tc>
          <w:tcPr>
            <w:tcW w:w="20" w:type="dxa"/>
            <w:vAlign w:val="bottom"/>
            <w:tcBorders>
              <w:bottom w:val="single" w:sz="8" w:color="0000FF"/>
            </w:tcBorders>
          </w:tcPr>
          <w:p>
            <w:pPr>
              <w:spacing w:after="0"/>
              <w:rPr>
                <w:sz w:val="13"/>
                <w:szCs w:val="13"/>
                <w:color w:val="auto"/>
              </w:rPr>
            </w:pPr>
          </w:p>
        </w:tc>
        <w:tc>
          <w:tcPr>
            <w:tcW w:w="780" w:type="dxa"/>
            <w:vAlign w:val="bottom"/>
            <w:tcBorders>
              <w:bottom w:val="single" w:sz="8" w:color="0000FF"/>
            </w:tcBorders>
            <w:gridSpan w:val="16"/>
            <w:vMerge w:val="continue"/>
          </w:tcPr>
          <w:p>
            <w:pPr>
              <w:spacing w:after="0"/>
              <w:rPr>
                <w:sz w:val="13"/>
                <w:szCs w:val="13"/>
                <w:color w:val="auto"/>
              </w:rPr>
            </w:pPr>
          </w:p>
        </w:tc>
        <w:tc>
          <w:tcPr>
            <w:tcW w:w="4100" w:type="dxa"/>
            <w:vAlign w:val="bottom"/>
            <w:gridSpan w:val="16"/>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8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8.01</w:t>
            </w: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gridSpan w:val="7"/>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gridSpan w:val="9"/>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77</w:t>
            </w: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76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7"/>
              </w:rPr>
              <w:t>SECTION</w:t>
            </w:r>
          </w:p>
        </w:tc>
        <w:tc>
          <w:tcPr>
            <w:tcW w:w="380" w:type="dxa"/>
            <w:vAlign w:val="bottom"/>
            <w:tcBorders>
              <w:bottom w:val="single" w:sz="8" w:color="0000FF"/>
            </w:tcBorders>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Borders>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Appointment</w:t>
            </w:r>
          </w:p>
        </w:tc>
        <w:tc>
          <w:tcPr>
            <w:tcW w:w="1600" w:type="dxa"/>
            <w:vAlign w:val="bottom"/>
            <w:gridSpan w:val="3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5740" w:type="dxa"/>
            <w:vAlign w:val="bottom"/>
            <w:gridSpan w:val="57"/>
            <w:vMerge w:val="restart"/>
          </w:tcPr>
          <w:p>
            <w:pPr>
              <w:jc w:val="center"/>
              <w:ind w:right="5340"/>
              <w:spacing w:after="0" w:line="196" w:lineRule="exact"/>
              <w:rPr>
                <w:sz w:val="20"/>
                <w:szCs w:val="20"/>
                <w:color w:val="auto"/>
              </w:rPr>
            </w:pPr>
            <w:r>
              <w:rPr>
                <w:rFonts w:ascii="Times New Roman" w:cs="Times New Roman" w:eastAsia="Times New Roman" w:hAnsi="Times New Roman"/>
                <w:sz w:val="18"/>
                <w:szCs w:val="18"/>
                <w:color w:val="0000FF"/>
                <w:w w:val="78"/>
              </w:rPr>
              <w:t>Lender</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8.02</w:t>
            </w:r>
          </w:p>
        </w:tc>
        <w:tc>
          <w:tcPr>
            <w:tcW w:w="560" w:type="dxa"/>
            <w:vAlign w:val="bottom"/>
          </w:tcPr>
          <w:p>
            <w:pPr>
              <w:spacing w:after="0"/>
              <w:rPr>
                <w:sz w:val="13"/>
                <w:szCs w:val="13"/>
                <w:color w:val="auto"/>
              </w:rPr>
            </w:pPr>
          </w:p>
        </w:tc>
        <w:tc>
          <w:tcPr>
            <w:tcW w:w="9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Rights as a</w:t>
            </w:r>
          </w:p>
        </w:tc>
        <w:tc>
          <w:tcPr>
            <w:tcW w:w="5740" w:type="dxa"/>
            <w:vAlign w:val="bottom"/>
            <w:gridSpan w:val="57"/>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340" w:type="dxa"/>
            <w:vAlign w:val="bottom"/>
            <w:tcBorders>
              <w:top w:val="single" w:sz="8" w:color="0000FF"/>
              <w:bottom w:val="single" w:sz="8" w:color="0000FF"/>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8.03</w:t>
            </w: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Duties and Obligations</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400" w:type="dxa"/>
            <w:vAlign w:val="bottom"/>
            <w:tcBorders>
              <w:top w:val="single" w:sz="8" w:color="0000FF"/>
              <w:bottom w:val="single" w:sz="8" w:color="0000FF"/>
            </w:tcBorders>
            <w:gridSpan w:val="8"/>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8.04</w:t>
            </w:r>
          </w:p>
        </w:tc>
        <w:tc>
          <w:tcPr>
            <w:tcW w:w="560" w:type="dxa"/>
            <w:vAlign w:val="bottom"/>
          </w:tcPr>
          <w:p>
            <w:pPr>
              <w:spacing w:after="0"/>
              <w:rPr>
                <w:sz w:val="13"/>
                <w:szCs w:val="13"/>
                <w:color w:val="auto"/>
              </w:rPr>
            </w:pPr>
          </w:p>
        </w:tc>
        <w:tc>
          <w:tcPr>
            <w:tcW w:w="1660" w:type="dxa"/>
            <w:vAlign w:val="bottom"/>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Reliance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60" w:type="dxa"/>
            <w:vAlign w:val="bottom"/>
            <w:gridSpan w:val="5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through Sub-Agents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8.05</w:t>
            </w:r>
          </w:p>
        </w:tc>
        <w:tc>
          <w:tcPr>
            <w:tcW w:w="560" w:type="dxa"/>
            <w:vAlign w:val="bottom"/>
          </w:tcPr>
          <w:p>
            <w:pPr>
              <w:spacing w:after="0"/>
              <w:rPr>
                <w:sz w:val="13"/>
                <w:szCs w:val="13"/>
                <w:color w:val="auto"/>
              </w:rPr>
            </w:pPr>
          </w:p>
        </w:tc>
        <w:tc>
          <w:tcPr>
            <w:tcW w:w="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Actions</w:t>
            </w:r>
          </w:p>
        </w:tc>
        <w:tc>
          <w:tcPr>
            <w:tcW w:w="6060" w:type="dxa"/>
            <w:vAlign w:val="bottom"/>
            <w:gridSpan w:val="59"/>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400" w:type="dxa"/>
            <w:vAlign w:val="bottom"/>
            <w:tcBorders>
              <w:top w:val="single" w:sz="8" w:color="0000FF"/>
              <w:bottom w:val="single" w:sz="8" w:color="0000FF"/>
            </w:tcBorders>
            <w:gridSpan w:val="8"/>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9"/>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79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8.06</w:t>
            </w:r>
          </w:p>
        </w:tc>
        <w:tc>
          <w:tcPr>
            <w:tcW w:w="560" w:type="dxa"/>
            <w:vAlign w:val="bottom"/>
          </w:tcPr>
          <w:p>
            <w:pPr>
              <w:spacing w:after="0"/>
              <w:rPr>
                <w:sz w:val="13"/>
                <w:szCs w:val="13"/>
                <w:color w:val="auto"/>
              </w:rPr>
            </w:pPr>
          </w:p>
        </w:tc>
        <w:tc>
          <w:tcPr>
            <w:tcW w:w="2080" w:type="dxa"/>
            <w:vAlign w:val="bottom"/>
            <w:gridSpan w:val="38"/>
          </w:tcPr>
          <w:p>
            <w:pPr>
              <w:spacing w:after="0" w:line="156" w:lineRule="exact"/>
              <w:rPr>
                <w:sz w:val="20"/>
                <w:szCs w:val="20"/>
                <w:color w:val="auto"/>
              </w:rPr>
            </w:pPr>
            <w:r>
              <w:rPr>
                <w:rFonts w:ascii="Times New Roman" w:cs="Times New Roman" w:eastAsia="Times New Roman" w:hAnsi="Times New Roman"/>
                <w:sz w:val="18"/>
                <w:szCs w:val="18"/>
                <w:color w:val="0000FF"/>
              </w:rPr>
              <w:t>Resignation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8.07</w:t>
            </w:r>
          </w:p>
        </w:tc>
        <w:tc>
          <w:tcPr>
            <w:tcW w:w="560" w:type="dxa"/>
            <w:vAlign w:val="bottom"/>
          </w:tcPr>
          <w:p>
            <w:pPr>
              <w:spacing w:after="0"/>
              <w:rPr>
                <w:sz w:val="13"/>
                <w:szCs w:val="13"/>
                <w:color w:val="auto"/>
              </w:rPr>
            </w:pPr>
          </w:p>
        </w:tc>
        <w:tc>
          <w:tcPr>
            <w:tcW w:w="1000" w:type="dxa"/>
            <w:vAlign w:val="bottom"/>
            <w:tcBorders>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83"/>
              </w:rPr>
              <w:t>Non-Reliance</w:t>
            </w:r>
          </w:p>
        </w:tc>
        <w:tc>
          <w:tcPr>
            <w:tcW w:w="5680" w:type="dxa"/>
            <w:vAlign w:val="bottom"/>
            <w:gridSpan w:val="55"/>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460" w:type="dxa"/>
            <w:vAlign w:val="bottom"/>
            <w:tcBorders>
              <w:bottom w:val="single" w:sz="8" w:color="0000FF"/>
            </w:tcBorders>
            <w:gridSpan w:val="5"/>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8.08</w:t>
            </w:r>
          </w:p>
        </w:tc>
        <w:tc>
          <w:tcPr>
            <w:tcW w:w="560" w:type="dxa"/>
            <w:vAlign w:val="bottom"/>
          </w:tcPr>
          <w:p>
            <w:pPr>
              <w:spacing w:after="0"/>
              <w:rPr>
                <w:sz w:val="13"/>
                <w:szCs w:val="13"/>
                <w:color w:val="auto"/>
              </w:rPr>
            </w:pPr>
          </w:p>
        </w:tc>
        <w:tc>
          <w:tcPr>
            <w:tcW w:w="6680" w:type="dxa"/>
            <w:vAlign w:val="bottom"/>
            <w:tcBorders>
              <w:bottom w:val="single" w:sz="8" w:color="0000FF"/>
            </w:tcBorders>
            <w:gridSpan w:val="62"/>
          </w:tcPr>
          <w:p>
            <w:pPr>
              <w:spacing w:after="0" w:line="156" w:lineRule="exact"/>
              <w:rPr>
                <w:sz w:val="20"/>
                <w:szCs w:val="20"/>
                <w:color w:val="auto"/>
              </w:rPr>
            </w:pPr>
            <w:r>
              <w:rPr>
                <w:rFonts w:ascii="Times New Roman" w:cs="Times New Roman" w:eastAsia="Times New Roman" w:hAnsi="Times New Roman"/>
                <w:sz w:val="18"/>
                <w:szCs w:val="18"/>
                <w:color w:val="0000FF"/>
                <w:w w:val="99"/>
              </w:rPr>
              <w:t>Not Partners or Co-Venturers; Administrative Agent as Representative of the Secured Parties</w:t>
            </w: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860" w:type="dxa"/>
            <w:vAlign w:val="bottom"/>
            <w:tcBorders>
              <w:bottom w:val="single" w:sz="8" w:color="0000FF"/>
            </w:tcBorders>
            <w:gridSpan w:val="1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gridSpan w:val="1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gridSpan w:val="11"/>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gridSpan w:val="4"/>
          </w:tcPr>
          <w:p>
            <w:pPr>
              <w:spacing w:after="0" w:line="20" w:lineRule="exact"/>
              <w:rPr>
                <w:sz w:val="1"/>
                <w:szCs w:val="1"/>
                <w:color w:val="auto"/>
              </w:rPr>
            </w:pPr>
          </w:p>
        </w:tc>
        <w:tc>
          <w:tcPr>
            <w:tcW w:w="3260" w:type="dxa"/>
            <w:vAlign w:val="bottom"/>
            <w:tcBorders>
              <w:bottom w:val="single" w:sz="8" w:color="0000FF"/>
            </w:tcBorders>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8.09</w:t>
            </w:r>
          </w:p>
        </w:tc>
        <w:tc>
          <w:tcPr>
            <w:tcW w:w="560" w:type="dxa"/>
            <w:vAlign w:val="bottom"/>
          </w:tcPr>
          <w:p>
            <w:pPr>
              <w:spacing w:after="0"/>
              <w:rPr>
                <w:sz w:val="13"/>
                <w:szCs w:val="13"/>
                <w:color w:val="auto"/>
              </w:rPr>
            </w:pPr>
          </w:p>
        </w:tc>
        <w:tc>
          <w:tcPr>
            <w:tcW w:w="6680" w:type="dxa"/>
            <w:vAlign w:val="bottom"/>
            <w:gridSpan w:val="62"/>
          </w:tcPr>
          <w:p>
            <w:pPr>
              <w:spacing w:after="0" w:line="156" w:lineRule="exact"/>
              <w:rPr>
                <w:sz w:val="20"/>
                <w:szCs w:val="20"/>
                <w:color w:val="auto"/>
              </w:rPr>
            </w:pPr>
            <w:r>
              <w:rPr>
                <w:rFonts w:ascii="Times New Roman" w:cs="Times New Roman" w:eastAsia="Times New Roman" w:hAnsi="Times New Roman"/>
                <w:sz w:val="18"/>
                <w:szCs w:val="18"/>
                <w:color w:val="0000FF"/>
              </w:rPr>
              <w:t>Lenders Not Subject to ERISA</w:t>
            </w: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60" w:type="dxa"/>
            <w:vAlign w:val="bottom"/>
            <w:tcBorders>
              <w:top w:val="single" w:sz="8" w:color="0000FF"/>
              <w:bottom w:val="single" w:sz="8" w:color="0000FF"/>
            </w:tcBorders>
            <w:gridSpan w:val="1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gridSpan w:val="1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8.10</w:t>
            </w:r>
          </w:p>
        </w:tc>
        <w:tc>
          <w:tcPr>
            <w:tcW w:w="560" w:type="dxa"/>
            <w:vAlign w:val="bottom"/>
          </w:tcPr>
          <w:p>
            <w:pPr>
              <w:spacing w:after="0"/>
              <w:rPr>
                <w:sz w:val="13"/>
                <w:szCs w:val="13"/>
                <w:color w:val="auto"/>
              </w:rPr>
            </w:pPr>
          </w:p>
        </w:tc>
        <w:tc>
          <w:tcPr>
            <w:tcW w:w="2220" w:type="dxa"/>
            <w:vAlign w:val="bottom"/>
            <w:gridSpan w:val="40"/>
          </w:tcPr>
          <w:p>
            <w:pPr>
              <w:spacing w:after="0" w:line="156" w:lineRule="exact"/>
              <w:rPr>
                <w:sz w:val="20"/>
                <w:szCs w:val="20"/>
                <w:color w:val="auto"/>
              </w:rPr>
            </w:pPr>
            <w:r>
              <w:rPr>
                <w:rFonts w:ascii="Times New Roman" w:cs="Times New Roman" w:eastAsia="Times New Roman" w:hAnsi="Times New Roman"/>
                <w:sz w:val="18"/>
                <w:szCs w:val="18"/>
                <w:color w:val="0000FF"/>
              </w:rPr>
              <w:t>Erroneous Payment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860" w:type="dxa"/>
            <w:vAlign w:val="bottom"/>
            <w:tcBorders>
              <w:top w:val="single" w:sz="8" w:color="0000FF"/>
              <w:bottom w:val="single" w:sz="8" w:color="0000FF"/>
            </w:tcBorders>
            <w:gridSpan w:val="1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260" w:type="dxa"/>
            <w:vAlign w:val="bottom"/>
            <w:gridSpan w:val="46"/>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0000FF"/>
              </w:rPr>
              <w:t>and Documentation Agents</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8.11</w:t>
            </w:r>
          </w:p>
        </w:tc>
        <w:tc>
          <w:tcPr>
            <w:tcW w:w="560" w:type="dxa"/>
            <w:vAlign w:val="bottom"/>
          </w:tcPr>
          <w:p>
            <w:pPr>
              <w:spacing w:after="0"/>
              <w:rPr>
                <w:sz w:val="13"/>
                <w:szCs w:val="13"/>
                <w:color w:val="auto"/>
              </w:rPr>
            </w:pPr>
          </w:p>
        </w:tc>
        <w:tc>
          <w:tcPr>
            <w:tcW w:w="142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8"/>
              </w:rPr>
              <w:t>Syndication Agents</w:t>
            </w:r>
          </w:p>
        </w:tc>
        <w:tc>
          <w:tcPr>
            <w:tcW w:w="5260" w:type="dxa"/>
            <w:vAlign w:val="bottom"/>
            <w:gridSpan w:val="46"/>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960" w:type="dxa"/>
            <w:vAlign w:val="bottom"/>
            <w:tcBorders>
              <w:top w:val="single" w:sz="8" w:color="0000FF"/>
              <w:bottom w:val="single" w:sz="8" w:color="0000FF"/>
            </w:tcBorders>
            <w:gridSpan w:val="18"/>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40" w:type="dxa"/>
            <w:vAlign w:val="bottom"/>
            <w:tcBorders>
              <w:top w:val="single" w:sz="8" w:color="0000FF"/>
              <w:bottom w:val="single" w:sz="8" w:color="0000FF"/>
            </w:tcBorders>
            <w:gridSpan w:val="2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ARTICLE IX</w:t>
            </w:r>
          </w:p>
        </w:tc>
        <w:tc>
          <w:tcPr>
            <w:tcW w:w="4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Borders>
              <w:bottom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w w:val="99"/>
              </w:rPr>
              <w:t>MISCELLANEOUS</w:t>
            </w:r>
          </w:p>
        </w:tc>
        <w:tc>
          <w:tcPr>
            <w:tcW w:w="1900" w:type="dxa"/>
            <w:vAlign w:val="bottom"/>
            <w:gridSpan w:val="36"/>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gridSpan w:val="5"/>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9.01</w:t>
            </w:r>
          </w:p>
        </w:tc>
        <w:tc>
          <w:tcPr>
            <w:tcW w:w="560" w:type="dxa"/>
            <w:vAlign w:val="bottom"/>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960" w:type="dxa"/>
            <w:vAlign w:val="bottom"/>
            <w:tcBorders>
              <w:bottom w:val="single" w:sz="8" w:color="0000FF"/>
            </w:tcBorders>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84</w:t>
            </w:r>
          </w:p>
        </w:tc>
        <w:tc>
          <w:tcPr>
            <w:tcW w:w="2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84"/>
              </w:rPr>
              <w:t>SECTION</w:t>
            </w:r>
          </w:p>
        </w:tc>
        <w:tc>
          <w:tcPr>
            <w:tcW w:w="48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Notices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2"/>
          </w:tcPr>
          <w:p>
            <w:pPr>
              <w:spacing w:after="0" w:line="20" w:lineRule="exact"/>
              <w:rPr>
                <w:sz w:val="1"/>
                <w:szCs w:val="1"/>
                <w:color w:val="auto"/>
              </w:rPr>
            </w:pPr>
          </w:p>
        </w:tc>
        <w:tc>
          <w:tcPr>
            <w:tcW w:w="1100" w:type="dxa"/>
            <w:vAlign w:val="bottom"/>
            <w:gridSpan w:val="22"/>
            <w:vMerge w:val="restart"/>
          </w:tcPr>
          <w:p>
            <w:pPr>
              <w:jc w:val="center"/>
              <w:ind w:left="50"/>
              <w:spacing w:after="0" w:line="196" w:lineRule="exact"/>
              <w:rPr>
                <w:sz w:val="20"/>
                <w:szCs w:val="20"/>
                <w:color w:val="auto"/>
              </w:rPr>
            </w:pPr>
            <w:r>
              <w:rPr>
                <w:rFonts w:ascii="Times New Roman" w:cs="Times New Roman" w:eastAsia="Times New Roman" w:hAnsi="Times New Roman"/>
                <w:sz w:val="18"/>
                <w:szCs w:val="18"/>
                <w:color w:val="0000FF"/>
                <w:w w:val="99"/>
              </w:rPr>
              <w:t>Amendments</w:t>
            </w:r>
          </w:p>
        </w:tc>
        <w:tc>
          <w:tcPr>
            <w:tcW w:w="5040" w:type="dxa"/>
            <w:vAlign w:val="bottom"/>
            <w:gridSpan w:val="38"/>
            <w:vMerge w:val="restart"/>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9.02</w:t>
            </w:r>
          </w:p>
        </w:tc>
        <w:tc>
          <w:tcPr>
            <w:tcW w:w="560" w:type="dxa"/>
            <w:vAlign w:val="bottom"/>
          </w:tcPr>
          <w:p>
            <w:pPr>
              <w:spacing w:after="0"/>
              <w:rPr>
                <w:sz w:val="13"/>
                <w:szCs w:val="13"/>
                <w:color w:val="auto"/>
              </w:rPr>
            </w:pPr>
          </w:p>
        </w:tc>
        <w:tc>
          <w:tcPr>
            <w:tcW w:w="54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79"/>
              </w:rPr>
              <w:t>Waivers;</w:t>
            </w:r>
          </w:p>
        </w:tc>
        <w:tc>
          <w:tcPr>
            <w:tcW w:w="1100" w:type="dxa"/>
            <w:vAlign w:val="bottom"/>
            <w:tcBorders>
              <w:bottom w:val="single" w:sz="8" w:color="0000FF"/>
            </w:tcBorders>
            <w:gridSpan w:val="22"/>
            <w:vMerge w:val="continue"/>
          </w:tcPr>
          <w:p>
            <w:pPr>
              <w:spacing w:after="0"/>
              <w:rPr>
                <w:sz w:val="13"/>
                <w:szCs w:val="13"/>
                <w:color w:val="auto"/>
              </w:rPr>
            </w:pPr>
          </w:p>
        </w:tc>
        <w:tc>
          <w:tcPr>
            <w:tcW w:w="5040" w:type="dxa"/>
            <w:vAlign w:val="bottom"/>
            <w:gridSpan w:val="38"/>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Borders>
              <w:bottom w:val="single" w:sz="8" w:color="0000FF"/>
            </w:tcBorders>
            <w:gridSpan w:val="23"/>
          </w:tcPr>
          <w:p>
            <w:pPr>
              <w:spacing w:after="0" w:line="20" w:lineRule="exact"/>
              <w:rPr>
                <w:sz w:val="1"/>
                <w:szCs w:val="1"/>
                <w:color w:val="auto"/>
              </w:rPr>
            </w:pPr>
          </w:p>
        </w:tc>
        <w:tc>
          <w:tcPr>
            <w:tcW w:w="5060" w:type="dxa"/>
            <w:vAlign w:val="bottom"/>
            <w:gridSpan w:val="3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Damage Waiver</w:t>
            </w: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9.03</w:t>
            </w:r>
          </w:p>
        </w:tc>
        <w:tc>
          <w:tcPr>
            <w:tcW w:w="560" w:type="dxa"/>
            <w:vAlign w:val="bottom"/>
          </w:tcPr>
          <w:p>
            <w:pPr>
              <w:spacing w:after="0"/>
              <w:rPr>
                <w:sz w:val="13"/>
                <w:szCs w:val="13"/>
                <w:color w:val="auto"/>
              </w:rPr>
            </w:pPr>
          </w:p>
        </w:tc>
        <w:tc>
          <w:tcPr>
            <w:tcW w:w="1620" w:type="dxa"/>
            <w:vAlign w:val="bottom"/>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Expenses; Indemnity;</w:t>
            </w:r>
          </w:p>
        </w:tc>
        <w:tc>
          <w:tcPr>
            <w:tcW w:w="5060" w:type="dxa"/>
            <w:vAlign w:val="bottom"/>
            <w:gridSpan w:val="39"/>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Borders>
              <w:top w:val="single" w:sz="8" w:color="0000FF"/>
              <w:bottom w:val="single" w:sz="8" w:color="0000FF"/>
            </w:tcBorders>
            <w:gridSpan w:val="27"/>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40" w:type="dxa"/>
            <w:vAlign w:val="bottom"/>
            <w:tcBorders>
              <w:top w:val="single" w:sz="8" w:color="0000FF"/>
              <w:bottom w:val="single" w:sz="8" w:color="0000FF"/>
            </w:tcBorders>
            <w:gridSpan w:val="2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23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89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9.04</w:t>
            </w:r>
          </w:p>
        </w:tc>
        <w:tc>
          <w:tcPr>
            <w:tcW w:w="560" w:type="dxa"/>
            <w:vAlign w:val="bottom"/>
          </w:tcPr>
          <w:p>
            <w:pPr>
              <w:spacing w:after="0"/>
              <w:rPr>
                <w:sz w:val="13"/>
                <w:szCs w:val="13"/>
                <w:color w:val="auto"/>
              </w:rPr>
            </w:pPr>
          </w:p>
        </w:tc>
        <w:tc>
          <w:tcPr>
            <w:tcW w:w="2760" w:type="dxa"/>
            <w:vAlign w:val="bottom"/>
            <w:gridSpan w:val="52"/>
          </w:tcPr>
          <w:p>
            <w:pPr>
              <w:spacing w:after="0" w:line="156" w:lineRule="exact"/>
              <w:rPr>
                <w:sz w:val="20"/>
                <w:szCs w:val="20"/>
                <w:color w:val="auto"/>
              </w:rPr>
            </w:pPr>
            <w:r>
              <w:rPr>
                <w:rFonts w:ascii="Times New Roman" w:cs="Times New Roman" w:eastAsia="Times New Roman" w:hAnsi="Times New Roman"/>
                <w:sz w:val="18"/>
                <w:szCs w:val="18"/>
                <w:color w:val="0000FF"/>
              </w:rPr>
              <w:t>Successors and Assigns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w w:val="77"/>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Borders>
              <w:top w:val="single" w:sz="8" w:color="0000FF"/>
              <w:bottom w:val="single" w:sz="8" w:color="0000FF"/>
            </w:tcBorders>
            <w:gridSpan w:val="28"/>
          </w:tcPr>
          <w:p>
            <w:pPr>
              <w:spacing w:after="0" w:line="20" w:lineRule="exact"/>
              <w:rPr>
                <w:sz w:val="1"/>
                <w:szCs w:val="1"/>
                <w:color w:val="auto"/>
              </w:rPr>
            </w:pPr>
          </w:p>
        </w:tc>
        <w:tc>
          <w:tcPr>
            <w:tcW w:w="7300" w:type="dxa"/>
            <w:vAlign w:val="bottom"/>
            <w:gridSpan w:val="35"/>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29"/>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9.05</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Survival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92</w:t>
            </w:r>
            <w:r>
              <w:rPr>
                <w:rFonts w:ascii="Times New Roman" w:cs="Times New Roman" w:eastAsia="Times New Roman" w:hAnsi="Times New Roman"/>
                <w:sz w:val="18"/>
                <w:szCs w:val="18"/>
                <w:u w:val="single" w:color="auto"/>
                <w:color w:val="0000FF"/>
                <w:strike w:val="1"/>
              </w:rPr>
              <w:t>98</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9.06</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Counterparts; Integration; Effectiveness; Electronic Execution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93</w:t>
            </w:r>
            <w:r>
              <w:rPr>
                <w:rFonts w:ascii="Times New Roman" w:cs="Times New Roman" w:eastAsia="Times New Roman" w:hAnsi="Times New Roman"/>
                <w:sz w:val="18"/>
                <w:szCs w:val="18"/>
                <w:u w:val="single" w:color="auto"/>
                <w:color w:val="0000FF"/>
                <w:strike w:val="1"/>
              </w:rPr>
              <w:t>99</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9.07</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Severability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93</w:t>
            </w:r>
            <w:r>
              <w:rPr>
                <w:rFonts w:ascii="Times New Roman" w:cs="Times New Roman" w:eastAsia="Times New Roman" w:hAnsi="Times New Roman"/>
                <w:sz w:val="18"/>
                <w:szCs w:val="18"/>
                <w:u w:val="single" w:color="auto"/>
                <w:color w:val="0000FF"/>
                <w:strike w:val="1"/>
              </w:rPr>
              <w:t>99</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9.08</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Right of Setoff</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93</w:t>
            </w:r>
            <w:r>
              <w:rPr>
                <w:rFonts w:ascii="Times New Roman" w:cs="Times New Roman" w:eastAsia="Times New Roman" w:hAnsi="Times New Roman"/>
                <w:sz w:val="18"/>
                <w:szCs w:val="18"/>
                <w:u w:val="single" w:color="auto"/>
                <w:color w:val="0000FF"/>
                <w:strike w:val="1"/>
              </w:rPr>
              <w:t>99</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9.09</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Governing Law; Jurisdiction; Consent to Service of Process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93</w:t>
            </w:r>
            <w:r>
              <w:rPr>
                <w:rFonts w:ascii="Times New Roman" w:cs="Times New Roman" w:eastAsia="Times New Roman" w:hAnsi="Times New Roman"/>
                <w:sz w:val="18"/>
                <w:szCs w:val="18"/>
                <w:u w:val="single" w:color="auto"/>
                <w:color w:val="0000FF"/>
                <w:strike w:val="1"/>
              </w:rPr>
              <w:t>100</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9.10</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WAIVER OF JURY TRIAL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94</w:t>
            </w:r>
            <w:r>
              <w:rPr>
                <w:rFonts w:ascii="Times New Roman" w:cs="Times New Roman" w:eastAsia="Times New Roman" w:hAnsi="Times New Roman"/>
                <w:sz w:val="18"/>
                <w:szCs w:val="18"/>
                <w:u w:val="single" w:color="auto"/>
                <w:color w:val="0000FF"/>
                <w:strike w:val="1"/>
              </w:rPr>
              <w:t>100</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9.11</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Headings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94</w:t>
            </w:r>
            <w:r>
              <w:rPr>
                <w:rFonts w:ascii="Times New Roman" w:cs="Times New Roman" w:eastAsia="Times New Roman" w:hAnsi="Times New Roman"/>
                <w:sz w:val="18"/>
                <w:szCs w:val="18"/>
                <w:u w:val="single" w:color="auto"/>
                <w:color w:val="0000FF"/>
                <w:strike w:val="1"/>
              </w:rPr>
              <w:t>100</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9.12</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Confidentiality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94</w:t>
            </w:r>
            <w:r>
              <w:rPr>
                <w:rFonts w:ascii="Times New Roman" w:cs="Times New Roman" w:eastAsia="Times New Roman" w:hAnsi="Times New Roman"/>
                <w:sz w:val="18"/>
                <w:szCs w:val="18"/>
                <w:u w:val="single" w:color="auto"/>
                <w:color w:val="0000FF"/>
                <w:strike w:val="1"/>
              </w:rPr>
              <w:t>101</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9.13</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Several Obligations; Nonreliance; Violation of Law</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96</w:t>
            </w:r>
            <w:r>
              <w:rPr>
                <w:rFonts w:ascii="Times New Roman" w:cs="Times New Roman" w:eastAsia="Times New Roman" w:hAnsi="Times New Roman"/>
                <w:sz w:val="18"/>
                <w:szCs w:val="18"/>
                <w:u w:val="single" w:color="auto"/>
                <w:color w:val="0000FF"/>
                <w:strike w:val="1"/>
              </w:rPr>
              <w:t>102</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9.14</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USA PATRIOT Act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96</w:t>
            </w:r>
            <w:r>
              <w:rPr>
                <w:rFonts w:ascii="Times New Roman" w:cs="Times New Roman" w:eastAsia="Times New Roman" w:hAnsi="Times New Roman"/>
                <w:sz w:val="18"/>
                <w:szCs w:val="18"/>
                <w:u w:val="single" w:color="auto"/>
                <w:color w:val="0000FF"/>
                <w:strike w:val="1"/>
              </w:rPr>
              <w:t>102</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9.15</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Disclosure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96</w:t>
            </w:r>
            <w:r>
              <w:rPr>
                <w:rFonts w:ascii="Times New Roman" w:cs="Times New Roman" w:eastAsia="Times New Roman" w:hAnsi="Times New Roman"/>
                <w:sz w:val="18"/>
                <w:szCs w:val="18"/>
                <w:u w:val="single" w:color="auto"/>
                <w:color w:val="0000FF"/>
                <w:strike w:val="1"/>
              </w:rPr>
              <w:t>102</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9.16</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Appointment for Perfection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96</w:t>
            </w:r>
            <w:r>
              <w:rPr>
                <w:rFonts w:ascii="Times New Roman" w:cs="Times New Roman" w:eastAsia="Times New Roman" w:hAnsi="Times New Roman"/>
                <w:sz w:val="18"/>
                <w:szCs w:val="18"/>
                <w:u w:val="single" w:color="auto"/>
                <w:color w:val="0000FF"/>
                <w:strike w:val="1"/>
              </w:rPr>
              <w:t>102</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9.17</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Interest Rate Limitation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96</w:t>
            </w:r>
            <w:r>
              <w:rPr>
                <w:rFonts w:ascii="Times New Roman" w:cs="Times New Roman" w:eastAsia="Times New Roman" w:hAnsi="Times New Roman"/>
                <w:sz w:val="18"/>
                <w:szCs w:val="18"/>
                <w:u w:val="single" w:color="auto"/>
                <w:color w:val="0000FF"/>
                <w:strike w:val="1"/>
              </w:rPr>
              <w:t>102</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9.18</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No Advisory or Fiduciary Responsibility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96</w:t>
            </w:r>
            <w:r>
              <w:rPr>
                <w:rFonts w:ascii="Times New Roman" w:cs="Times New Roman" w:eastAsia="Times New Roman" w:hAnsi="Times New Roman"/>
                <w:sz w:val="18"/>
                <w:szCs w:val="18"/>
                <w:u w:val="single" w:color="auto"/>
                <w:color w:val="0000FF"/>
                <w:strike w:val="1"/>
              </w:rPr>
              <w:t>102</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9.19</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Acknowledgement and Consent to Bail-In of Affected Financial Institutions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r>
              <w:rPr>
                <w:rFonts w:ascii="Times New Roman" w:cs="Times New Roman" w:eastAsia="Times New Roman" w:hAnsi="Times New Roman"/>
                <w:sz w:val="18"/>
                <w:szCs w:val="18"/>
                <w:u w:val="single" w:color="auto"/>
                <w:color w:val="0000FF"/>
                <w:strike w:val="1"/>
              </w:rPr>
              <w:t>103</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9.20</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Acknowledgment Regarding any Supported QFCs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r>
              <w:rPr>
                <w:rFonts w:ascii="Times New Roman" w:cs="Times New Roman" w:eastAsia="Times New Roman" w:hAnsi="Times New Roman"/>
                <w:sz w:val="18"/>
                <w:szCs w:val="18"/>
                <w:u w:val="single" w:color="auto"/>
                <w:color w:val="0000FF"/>
                <w:strike w:val="1"/>
              </w:rPr>
              <w:t>103</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ARTICLE X</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LOAN GUARANTY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r>
              <w:rPr>
                <w:rFonts w:ascii="Times New Roman" w:cs="Times New Roman" w:eastAsia="Times New Roman" w:hAnsi="Times New Roman"/>
                <w:sz w:val="18"/>
                <w:szCs w:val="18"/>
                <w:u w:val="single" w:color="auto"/>
                <w:color w:val="0000FF"/>
                <w:strike w:val="1"/>
              </w:rPr>
              <w:t>104</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10.01</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Guaranty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r>
              <w:rPr>
                <w:rFonts w:ascii="Times New Roman" w:cs="Times New Roman" w:eastAsia="Times New Roman" w:hAnsi="Times New Roman"/>
                <w:sz w:val="18"/>
                <w:szCs w:val="18"/>
                <w:u w:val="single" w:color="auto"/>
                <w:color w:val="0000FF"/>
                <w:strike w:val="1"/>
              </w:rPr>
              <w:t>104</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10.02</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Guaranty of Payment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r>
              <w:rPr>
                <w:rFonts w:ascii="Times New Roman" w:cs="Times New Roman" w:eastAsia="Times New Roman" w:hAnsi="Times New Roman"/>
                <w:sz w:val="18"/>
                <w:szCs w:val="18"/>
                <w:u w:val="single" w:color="auto"/>
                <w:color w:val="0000FF"/>
                <w:strike w:val="1"/>
              </w:rPr>
              <w:t>104</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10.03</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No Discharge or Diminishment of Loan Guaranty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r>
              <w:rPr>
                <w:rFonts w:ascii="Times New Roman" w:cs="Times New Roman" w:eastAsia="Times New Roman" w:hAnsi="Times New Roman"/>
                <w:sz w:val="18"/>
                <w:szCs w:val="18"/>
                <w:u w:val="single" w:color="auto"/>
                <w:color w:val="0000FF"/>
                <w:strike w:val="1"/>
              </w:rPr>
              <w:t>105</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10.04</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Defenses Waived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99</w:t>
            </w:r>
            <w:r>
              <w:rPr>
                <w:rFonts w:ascii="Times New Roman" w:cs="Times New Roman" w:eastAsia="Times New Roman" w:hAnsi="Times New Roman"/>
                <w:sz w:val="18"/>
                <w:szCs w:val="18"/>
                <w:u w:val="single" w:color="auto"/>
                <w:color w:val="0000FF"/>
                <w:strike w:val="1"/>
              </w:rPr>
              <w:t>105</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10.05</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Rights of Subrogation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6</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10.06</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Reinstatement; Stay of Acceleration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6</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10.07</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6</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10.08</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6</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10.09</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Taxes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6</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10.10</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Maximum Liability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7</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10.11</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Contribution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7</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10.12</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Liability Cumulative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8</w:t>
            </w:r>
          </w:p>
        </w:tc>
      </w:tr>
      <w:tr>
        <w:trPr>
          <w:trHeight w:val="216"/>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10.13</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Keepwell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8</w:t>
            </w:r>
          </w:p>
        </w:tc>
      </w:tr>
      <w:tr>
        <w:trPr>
          <w:trHeight w:val="234"/>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u w:val="single" w:color="auto"/>
                <w:color w:val="0000FF"/>
              </w:rPr>
              <w:t>SECTION 10.14</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u w:val="single" w:color="auto"/>
                <w:color w:val="0000FF"/>
              </w:rPr>
              <w:t>Amendment and Restatement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8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453"/>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38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414"/>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Subordination Terms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and Subsidiaries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34"/>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Restrictive Agreements</w:t>
            </w:r>
          </w:p>
        </w:tc>
      </w:tr>
      <w:tr>
        <w:trPr>
          <w:trHeight w:val="391"/>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8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434"/>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860" w:type="dxa"/>
            <w:vAlign w:val="bottom"/>
            <w:gridSpan w:val="2"/>
          </w:tcPr>
          <w:p>
            <w:pPr>
              <w:spacing w:after="0"/>
              <w:rPr>
                <w:sz w:val="24"/>
                <w:szCs w:val="2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Joinder Agreement</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 - 1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 - 2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Participants that are not Partnerships for U.S. Federal Income Tax Purposes)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 - 3</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 - 4</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Tax Certificate (For Foreign Lenders that are Partnerships for U.S. Federal Income Tax Purposes)</w:t>
            </w: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34"/>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 of Continuation/Conversion</w:t>
            </w:r>
          </w:p>
        </w:tc>
      </w:tr>
      <w:tr>
        <w:trPr>
          <w:trHeight w:val="648"/>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891" w:right="339" w:bottom="1440" w:gutter="0" w:footer="0" w:header="0"/>
        </w:sectPr>
      </w:pPr>
    </w:p>
    <w:bookmarkStart w:id="26" w:name="page27"/>
    <w:bookmarkEnd w:id="2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THIS AMENDED AND RESTATED CREDIT AGREEMENT, dated as of April 18, 2022 (as it may be </w:t>
      </w:r>
      <w:r>
        <w:rPr>
          <w:rFonts w:ascii="Times New Roman" w:cs="Times New Roman" w:eastAsia="Times New Roman" w:hAnsi="Times New Roman"/>
          <w:sz w:val="18"/>
          <w:szCs w:val="18"/>
          <w:u w:val="single" w:color="auto"/>
          <w:color w:val="0000FF"/>
        </w:rPr>
        <w:t>further</w:t>
      </w:r>
      <w:r>
        <w:rPr>
          <w:rFonts w:ascii="Times New Roman" w:cs="Times New Roman" w:eastAsia="Times New Roman" w:hAnsi="Times New Roman"/>
          <w:sz w:val="18"/>
          <w:szCs w:val="18"/>
          <w:color w:val="auto"/>
        </w:rPr>
        <w:t xml:space="preserve"> amended, restated, amended and restated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EXLSERVICE HOLDINGS, INC., as the Borrower, the other Loan Parties party hereto from time to time, the Lenders party hereto from time to time, the Issuing Banks party hereto from time to time, and CITIBANK, N.A., as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the Borrower, the Loan Parties, the lenders party thereto and Citibank N.A., as administrative agent, are parties to the Credit Agreement, dated as of November 1, 2017 (as amended by the First Amendment to Credit Agreement, dated as of July 2, 2018, by that Second Amendment to Credit Agreement, dated as of October 1, 2018, and by the Third Amendment to Credit Agreement, dated as of April 16, 2021, and as further amended, restated, amended and restated, supplemented or otherwise modified prior to giving effect to this Agreement on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u w:val="single" w:color="auto"/>
          <w:color w:val="000000"/>
        </w:rPr>
        <w:t>Original Credit Agreement</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the Borrower and the other Loan Parties have requested that the Lenders as of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agree to amend and restate the Original Credit Agreement in its entirety, and the Lenders and the Issuing banks have indicated their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willingness to provide Commitments and Letters of Credit, as applicable, and amend and restate the Original Credit Agreement in its entirety, in each case, on the terms and subject to the conditions set forth herein and in the Amendment and Restatement Agreement, dated as of April 18, 2022 (the “</w:t>
      </w:r>
      <w:r>
        <w:rPr>
          <w:rFonts w:ascii="Times New Roman" w:cs="Times New Roman" w:eastAsia="Times New Roman" w:hAnsi="Times New Roman"/>
          <w:sz w:val="18"/>
          <w:szCs w:val="18"/>
          <w:u w:val="single" w:color="auto"/>
          <w:color w:val="000000"/>
        </w:rPr>
        <w:t>Amendment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and Restatement</w:t>
      </w:r>
      <w:r>
        <w:rPr>
          <w:rFonts w:ascii="Times New Roman" w:cs="Times New Roman" w:eastAsia="Times New Roman" w:hAnsi="Times New Roman"/>
          <w:sz w:val="18"/>
          <w:szCs w:val="18"/>
          <w:color w:val="000000"/>
        </w:rPr>
        <w:t>”), by and among the Borrower, the other Loan Parties, the Lenders and the Administrative Agent.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agree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Credit Agreement shall be amended and restated in its entirety to read as set forth herein: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applicable Loan Party is the surviving entity.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“Additional Incremental Term Lender” has the meaning assigned to such term in Section 2.23(b)(ii).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u w:val="single" w:color="auto"/>
          <w:color w:val="0000FF"/>
        </w:rPr>
        <w:t>“Additional Revolving Lender” has the meaning assigned to such term in Section 2.23(a)(ii).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firstLine="8"/>
        <w:spacing w:after="0" w:line="260"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Adjusted Term SOFR as so determined shall ever be less than the Floor, then Adjusted Term SOFR shall be deemed to be the Floor.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Citibank, N.A., in its capacity as administrative agent for the Lenders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means, at any time,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of all the Lenders at such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½ of 1% and (c) Adjusted Term SOFR for one month tenor in effect on such day plus 1%.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If the Alternate Base Rate is being used as an alternate 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 then the Alternate Base Rate shall be the greater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ind w:firstLine="8"/>
        <w:spacing w:after="0" w:line="260" w:lineRule="auto"/>
        <w:tabs>
          <w:tab w:leader="none" w:pos="261" w:val="left"/>
        </w:tabs>
        <w:numPr>
          <w:ilvl w:val="0"/>
          <w:numId w:val="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In the event that that the Alternate Base Rate is less than zero, it shall be deemed to be zero for purposes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has the meaning assigned to such term in the preliminary statements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and Restatement Effective Date</w:t>
      </w:r>
      <w:r>
        <w:rPr>
          <w:rFonts w:ascii="Times New Roman" w:cs="Times New Roman" w:eastAsia="Times New Roman" w:hAnsi="Times New Roman"/>
          <w:sz w:val="18"/>
          <w:szCs w:val="18"/>
          <w:color w:val="auto"/>
        </w:rPr>
        <w:t>” means the date on which the conditions to effectiveness of the Amendment and Restatement were first satisfied or waived in accordance with the Amendment and Restatement. The Amendment and Restatement Effective Date occurred on April 18, 2022.</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 including, but not limited to, the Foreign Corrupt Practices Act of 1977, as amended, and the rules thereunder, and the UK Bribery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(a) with respect to Loans and LC Exposure, a percentage equal to a fraction the numerator of which is such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and the denominator of which is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of all Lenders (if the Commitments have terminated or expired, the Applicable Percentages shall be determined based upon such Lender’s share of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Credit Exposure at that time);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in the case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when a Defaulting Lender shall exist, any such Defaulting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 shall be disregarded in the calculation, and (b) with respect to the Aggregate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Credit Exposure, a percentage based upon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its share of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Credit Exposure and the unused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Commitments;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case of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xml:space="preserve"> when a Defaulting Lender shall exist, any such Defaulting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Commitment shall be disregarded in the calculation.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w:t>
      </w:r>
    </w:p>
    <w:p>
      <w:pPr>
        <w:spacing w:after="0" w:line="225" w:lineRule="exact"/>
        <w:rPr>
          <w:sz w:val="20"/>
          <w:szCs w:val="20"/>
          <w:color w:val="auto"/>
        </w:rPr>
      </w:pPr>
    </w:p>
    <w:p>
      <w:pPr>
        <w:jc w:val="both"/>
        <w:ind w:firstLine="1304"/>
        <w:spacing w:after="0" w:line="258" w:lineRule="auto"/>
        <w:tabs>
          <w:tab w:leader="none" w:pos="1511" w:val="left"/>
        </w:tabs>
        <w:numPr>
          <w:ilvl w:val="0"/>
          <w:numId w:val="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with respect to any ABR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 or Term SOFR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 or with respect to the commitment fees payable hereunder, as the case may be, the applicable rate per annum set forth below under the caption “ABR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Spread”, “Adjusted Term SOFR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Spread” or “Unused Fee”</w:t>
      </w:r>
      <w:r>
        <w:rPr>
          <w:rFonts w:ascii="Times New Roman" w:cs="Times New Roman" w:eastAsia="Times New Roman" w:hAnsi="Times New Roman"/>
          <w:sz w:val="18"/>
          <w:szCs w:val="18"/>
          <w:color w:val="FF0000"/>
          <w:strike w:val="1"/>
        </w:rPr>
        <w:t>, as the case may be, based upon the Borrower’s Total Net Leverage Ratio as of the most recent determination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that until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delivery to the Administrative Agent, pursuant to </w:t>
      </w:r>
      <w:r>
        <w:rPr>
          <w:rFonts w:ascii="Times New Roman" w:cs="Times New Roman" w:eastAsia="Times New Roman" w:hAnsi="Times New Roman"/>
          <w:sz w:val="18"/>
          <w:szCs w:val="18"/>
          <w:u w:val="single" w:color="auto"/>
          <w:color w:val="FF0000"/>
          <w:strike w:val="1"/>
        </w:rPr>
        <w:t>Section 5.01</w:t>
      </w:r>
      <w:r>
        <w:rPr>
          <w:rFonts w:ascii="Times New Roman" w:cs="Times New Roman" w:eastAsia="Times New Roman" w:hAnsi="Times New Roman"/>
          <w:sz w:val="18"/>
          <w:szCs w:val="18"/>
          <w:color w:val="FF0000"/>
          <w:strike w:val="1"/>
        </w:rPr>
        <w:t xml:space="preserve">, of the Borrower’s consolidated financial information for the Borrower’s first fiscal quarter ending after the Amendment and Restatement Effective Date, the “Applicable Rate” shall be the applicable rate per annum set forth below in Category II: </w:t>
      </w:r>
      <w:r>
        <w:rPr>
          <w:rFonts w:ascii="Times New Roman" w:cs="Times New Roman" w:eastAsia="Times New Roman" w:hAnsi="Times New Roman"/>
          <w:sz w:val="18"/>
          <w:szCs w:val="18"/>
          <w:u w:val="single" w:color="auto"/>
          <w:color w:val="0000FF"/>
          <w:strike w:val="1"/>
        </w:rPr>
        <w:t>:</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580" w:type="dxa"/>
            <w:vAlign w:val="bottom"/>
            <w:tcBorders>
              <w:top w:val="single" w:sz="8" w:color="auto"/>
              <w:left w:val="single" w:sz="8" w:color="auto"/>
            </w:tcBorders>
            <w:shd w:val="clear" w:color="auto" w:fill="D9D9D9"/>
          </w:tcPr>
          <w:p>
            <w:pPr>
              <w:spacing w:after="0"/>
              <w:rPr>
                <w:sz w:val="24"/>
                <w:szCs w:val="24"/>
                <w:color w:val="auto"/>
              </w:rPr>
            </w:pPr>
          </w:p>
        </w:tc>
        <w:tc>
          <w:tcPr>
            <w:tcW w:w="660" w:type="dxa"/>
            <w:vAlign w:val="bottom"/>
            <w:tcBorders>
              <w:top w:val="single" w:sz="8" w:color="auto"/>
            </w:tcBorders>
            <w:shd w:val="clear" w:color="auto" w:fill="D9D9D9"/>
          </w:tcPr>
          <w:p>
            <w:pPr>
              <w:spacing w:after="0"/>
              <w:rPr>
                <w:sz w:val="24"/>
                <w:szCs w:val="24"/>
                <w:color w:val="auto"/>
              </w:rPr>
            </w:pPr>
          </w:p>
        </w:tc>
        <w:tc>
          <w:tcPr>
            <w:tcW w:w="580" w:type="dxa"/>
            <w:vAlign w:val="bottom"/>
            <w:tcBorders>
              <w:top w:val="single" w:sz="8" w:color="auto"/>
              <w:right w:val="single" w:sz="8" w:color="auto"/>
            </w:tcBorders>
            <w:shd w:val="clear" w:color="auto" w:fill="D9D9D9"/>
          </w:tcPr>
          <w:p>
            <w:pPr>
              <w:spacing w:after="0"/>
              <w:rPr>
                <w:sz w:val="24"/>
                <w:szCs w:val="24"/>
                <w:color w:val="auto"/>
              </w:rPr>
            </w:pPr>
          </w:p>
        </w:tc>
        <w:tc>
          <w:tcPr>
            <w:tcW w:w="420" w:type="dxa"/>
            <w:vAlign w:val="bottom"/>
            <w:tcBorders>
              <w:top w:val="single" w:sz="8" w:color="auto"/>
            </w:tcBorders>
            <w:shd w:val="clear" w:color="auto" w:fill="D9D9D9"/>
          </w:tcPr>
          <w:p>
            <w:pPr>
              <w:spacing w:after="0"/>
              <w:rPr>
                <w:sz w:val="24"/>
                <w:szCs w:val="24"/>
                <w:color w:val="auto"/>
              </w:rPr>
            </w:pPr>
          </w:p>
        </w:tc>
        <w:tc>
          <w:tcPr>
            <w:tcW w:w="1400" w:type="dxa"/>
            <w:vAlign w:val="bottom"/>
            <w:tcBorders>
              <w:top w:val="single" w:sz="8" w:color="auto"/>
            </w:tcBorders>
            <w:gridSpan w:val="3"/>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Total Net Leverage</w:t>
            </w:r>
          </w:p>
        </w:tc>
        <w:tc>
          <w:tcPr>
            <w:tcW w:w="440" w:type="dxa"/>
            <w:vAlign w:val="bottom"/>
            <w:tcBorders>
              <w:top w:val="single" w:sz="8" w:color="auto"/>
              <w:right w:val="single" w:sz="8" w:color="auto"/>
            </w:tcBorders>
            <w:vMerge w:val="restart"/>
            <w:shd w:val="clear" w:color="auto" w:fill="D9D9D9"/>
          </w:tcPr>
          <w:p>
            <w:pPr>
              <w:spacing w:after="0"/>
              <w:rPr>
                <w:sz w:val="24"/>
                <w:szCs w:val="24"/>
                <w:color w:val="auto"/>
              </w:rPr>
            </w:pPr>
          </w:p>
        </w:tc>
        <w:tc>
          <w:tcPr>
            <w:tcW w:w="500" w:type="dxa"/>
            <w:vAlign w:val="bottom"/>
            <w:tcBorders>
              <w:top w:val="single" w:sz="8" w:color="auto"/>
            </w:tcBorders>
            <w:shd w:val="clear" w:color="auto" w:fill="D9D9D9"/>
          </w:tcPr>
          <w:p>
            <w:pPr>
              <w:spacing w:after="0"/>
              <w:rPr>
                <w:sz w:val="24"/>
                <w:szCs w:val="24"/>
                <w:color w:val="auto"/>
              </w:rPr>
            </w:pPr>
          </w:p>
        </w:tc>
        <w:tc>
          <w:tcPr>
            <w:tcW w:w="1740" w:type="dxa"/>
            <w:vAlign w:val="bottom"/>
            <w:tcBorders>
              <w:top w:val="single" w:sz="8" w:color="auto"/>
              <w:right w:val="single" w:sz="8" w:color="auto"/>
            </w:tcBorders>
            <w:gridSpan w:val="4"/>
            <w:shd w:val="clear" w:color="auto" w:fill="D9D9D9"/>
          </w:tcPr>
          <w:p>
            <w:pPr>
              <w:jc w:val="center"/>
              <w:ind w:right="580"/>
              <w:spacing w:after="0"/>
              <w:rPr>
                <w:sz w:val="20"/>
                <w:szCs w:val="20"/>
                <w:color w:val="auto"/>
              </w:rPr>
            </w:pPr>
            <w:r>
              <w:rPr>
                <w:rFonts w:ascii="Times New Roman" w:cs="Times New Roman" w:eastAsia="Times New Roman" w:hAnsi="Times New Roman"/>
                <w:sz w:val="18"/>
                <w:szCs w:val="18"/>
                <w:color w:val="auto"/>
                <w:w w:val="99"/>
              </w:rPr>
              <w:t xml:space="preserve">ABR </w:t>
            </w:r>
            <w:r>
              <w:rPr>
                <w:rFonts w:ascii="Times New Roman" w:cs="Times New Roman" w:eastAsia="Times New Roman" w:hAnsi="Times New Roman"/>
                <w:sz w:val="18"/>
                <w:szCs w:val="18"/>
                <w:color w:val="0000FF"/>
                <w:w w:val="99"/>
              </w:rPr>
              <w:t>Revolving</w:t>
            </w:r>
          </w:p>
        </w:tc>
        <w:tc>
          <w:tcPr>
            <w:tcW w:w="660" w:type="dxa"/>
            <w:vAlign w:val="bottom"/>
            <w:tcBorders>
              <w:top w:val="single" w:sz="8" w:color="auto"/>
            </w:tcBorders>
            <w:shd w:val="clear" w:color="auto" w:fill="D9D9D9"/>
          </w:tcPr>
          <w:p>
            <w:pPr>
              <w:spacing w:after="0"/>
              <w:rPr>
                <w:sz w:val="24"/>
                <w:szCs w:val="24"/>
                <w:color w:val="auto"/>
              </w:rPr>
            </w:pPr>
          </w:p>
        </w:tc>
        <w:tc>
          <w:tcPr>
            <w:tcW w:w="2260" w:type="dxa"/>
            <w:vAlign w:val="bottom"/>
            <w:tcBorders>
              <w:top w:val="single" w:sz="8" w:color="auto"/>
              <w:right w:val="single" w:sz="8" w:color="auto"/>
            </w:tcBorders>
            <w:gridSpan w:val="5"/>
            <w:shd w:val="clear" w:color="auto" w:fill="D9D9D9"/>
          </w:tcPr>
          <w:p>
            <w:pPr>
              <w:jc w:val="center"/>
              <w:ind w:right="700"/>
              <w:spacing w:after="0"/>
              <w:rPr>
                <w:sz w:val="20"/>
                <w:szCs w:val="20"/>
                <w:color w:val="auto"/>
              </w:rPr>
            </w:pPr>
            <w:r>
              <w:rPr>
                <w:rFonts w:ascii="Times New Roman" w:cs="Times New Roman" w:eastAsia="Times New Roman" w:hAnsi="Times New Roman"/>
                <w:sz w:val="18"/>
                <w:szCs w:val="18"/>
                <w:color w:val="auto"/>
                <w:w w:val="98"/>
              </w:rPr>
              <w:t>Adjusted Term SOFR</w:t>
            </w:r>
          </w:p>
        </w:tc>
        <w:tc>
          <w:tcPr>
            <w:tcW w:w="560" w:type="dxa"/>
            <w:vAlign w:val="bottom"/>
            <w:tcBorders>
              <w:top w:val="single" w:sz="8" w:color="auto"/>
            </w:tcBorders>
            <w:shd w:val="clear" w:color="auto" w:fill="D9D9D9"/>
          </w:tcPr>
          <w:p>
            <w:pPr>
              <w:spacing w:after="0"/>
              <w:rPr>
                <w:sz w:val="24"/>
                <w:szCs w:val="24"/>
                <w:color w:val="auto"/>
              </w:rPr>
            </w:pPr>
          </w:p>
        </w:tc>
        <w:tc>
          <w:tcPr>
            <w:tcW w:w="860" w:type="dxa"/>
            <w:vAlign w:val="bottom"/>
            <w:tcBorders>
              <w:top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Unused Fee</w:t>
            </w:r>
          </w:p>
        </w:tc>
        <w:tc>
          <w:tcPr>
            <w:tcW w:w="580" w:type="dxa"/>
            <w:vAlign w:val="bottom"/>
            <w:tcBorders>
              <w:top w:val="single" w:sz="8" w:color="auto"/>
              <w:right w:val="single" w:sz="8" w:color="auto"/>
            </w:tcBorders>
            <w:vMerge w:val="restart"/>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D9D9D9"/>
              <w:left w:val="single" w:sz="8" w:color="auto"/>
            </w:tcBorders>
            <w:shd w:val="clear" w:color="auto" w:fill="D9D9D9"/>
          </w:tcPr>
          <w:p>
            <w:pPr>
              <w:spacing w:after="0" w:line="20" w:lineRule="exact"/>
              <w:rPr>
                <w:sz w:val="1"/>
                <w:szCs w:val="1"/>
                <w:color w:val="auto"/>
              </w:rPr>
            </w:pPr>
          </w:p>
        </w:tc>
        <w:tc>
          <w:tcPr>
            <w:tcW w:w="660" w:type="dxa"/>
            <w:vAlign w:val="bottom"/>
            <w:tcBorders>
              <w:top w:val="single" w:sz="8" w:color="D9D9D9"/>
            </w:tcBorders>
            <w:shd w:val="clear" w:color="auto" w:fill="D9D9D9"/>
          </w:tcPr>
          <w:p>
            <w:pPr>
              <w:spacing w:after="0" w:line="20" w:lineRule="exact"/>
              <w:rPr>
                <w:sz w:val="1"/>
                <w:szCs w:val="1"/>
                <w:color w:val="auto"/>
              </w:rPr>
            </w:pPr>
          </w:p>
        </w:tc>
        <w:tc>
          <w:tcPr>
            <w:tcW w:w="58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20" w:type="dxa"/>
            <w:vAlign w:val="bottom"/>
            <w:tcBorders>
              <w:top w:val="single" w:sz="8" w:color="D9D9D9"/>
            </w:tcBorders>
            <w:shd w:val="clear" w:color="auto" w:fill="D9D9D9"/>
          </w:tcPr>
          <w:p>
            <w:pPr>
              <w:spacing w:after="0" w:line="20" w:lineRule="exact"/>
              <w:rPr>
                <w:sz w:val="1"/>
                <w:szCs w:val="1"/>
                <w:color w:val="auto"/>
              </w:rPr>
            </w:pPr>
          </w:p>
        </w:tc>
        <w:tc>
          <w:tcPr>
            <w:tcW w:w="1400" w:type="dxa"/>
            <w:vAlign w:val="bottom"/>
            <w:tcBorders>
              <w:top w:val="single" w:sz="8" w:color="auto"/>
            </w:tcBorders>
            <w:gridSpan w:val="3"/>
            <w:vMerge w:val="continue"/>
            <w:shd w:val="clear" w:color="auto" w:fill="D9D9D9"/>
          </w:tcPr>
          <w:p>
            <w:pPr>
              <w:spacing w:after="0" w:line="20" w:lineRule="exact"/>
              <w:rPr>
                <w:sz w:val="1"/>
                <w:szCs w:val="1"/>
                <w:color w:val="auto"/>
              </w:rPr>
            </w:pPr>
          </w:p>
        </w:tc>
        <w:tc>
          <w:tcPr>
            <w:tcW w:w="440" w:type="dxa"/>
            <w:vAlign w:val="bottom"/>
            <w:tcBorders>
              <w:top w:val="single" w:sz="8" w:color="auto"/>
              <w:right w:val="single" w:sz="8" w:color="auto"/>
            </w:tcBorders>
            <w:vMerge w:val="continue"/>
            <w:shd w:val="clear" w:color="auto" w:fill="D9D9D9"/>
          </w:tcPr>
          <w:p>
            <w:pPr>
              <w:spacing w:after="0" w:line="20" w:lineRule="exact"/>
              <w:rPr>
                <w:sz w:val="1"/>
                <w:szCs w:val="1"/>
                <w:color w:val="auto"/>
              </w:rPr>
            </w:pPr>
          </w:p>
        </w:tc>
        <w:tc>
          <w:tcPr>
            <w:tcW w:w="500" w:type="dxa"/>
            <w:vAlign w:val="bottom"/>
            <w:tcBorders>
              <w:top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auto"/>
              <w:right w:val="single" w:sz="8" w:color="0000FF"/>
            </w:tcBorders>
            <w:shd w:val="clear" w:color="auto" w:fill="D9D9D9"/>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0000FF"/>
              <w:right w:val="single" w:sz="8" w:color="D9D9D9"/>
            </w:tcBorders>
            <w:shd w:val="clear" w:color="auto" w:fill="0000FF"/>
          </w:tcPr>
          <w:p>
            <w:pPr>
              <w:spacing w:after="0" w:line="20" w:lineRule="exact"/>
              <w:rPr>
                <w:sz w:val="1"/>
                <w:szCs w:val="1"/>
                <w:color w:val="auto"/>
              </w:rPr>
            </w:pPr>
          </w:p>
        </w:tc>
        <w:tc>
          <w:tcPr>
            <w:tcW w:w="52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66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auto"/>
            </w:tcBorders>
            <w:shd w:val="clear" w:color="auto" w:fill="D9D9D9"/>
          </w:tcPr>
          <w:p>
            <w:pPr>
              <w:spacing w:after="0" w:line="20" w:lineRule="exact"/>
              <w:rPr>
                <w:sz w:val="1"/>
                <w:szCs w:val="1"/>
                <w:color w:val="auto"/>
              </w:rPr>
            </w:pPr>
          </w:p>
        </w:tc>
        <w:tc>
          <w:tcPr>
            <w:tcW w:w="800" w:type="dxa"/>
            <w:vAlign w:val="bottom"/>
            <w:tcBorders>
              <w:top w:val="single" w:sz="8" w:color="auto"/>
              <w:right w:val="single" w:sz="8" w:color="D9D9D9"/>
            </w:tcBorders>
            <w:shd w:val="clear" w:color="auto" w:fill="D9D9D9"/>
          </w:tcPr>
          <w:p>
            <w:pPr>
              <w:spacing w:after="0" w:line="20" w:lineRule="exact"/>
              <w:rPr>
                <w:sz w:val="1"/>
                <w:szCs w:val="1"/>
                <w:color w:val="auto"/>
              </w:rPr>
            </w:pPr>
          </w:p>
        </w:tc>
        <w:tc>
          <w:tcPr>
            <w:tcW w:w="500" w:type="dxa"/>
            <w:vAlign w:val="bottom"/>
            <w:tcBorders>
              <w:top w:val="single" w:sz="8" w:color="auto"/>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D9D9D9"/>
          </w:tcPr>
          <w:p>
            <w:pPr>
              <w:spacing w:after="0" w:line="20" w:lineRule="exact"/>
              <w:rPr>
                <w:sz w:val="1"/>
                <w:szCs w:val="1"/>
                <w:color w:val="auto"/>
              </w:rPr>
            </w:pPr>
          </w:p>
        </w:tc>
        <w:tc>
          <w:tcPr>
            <w:tcW w:w="70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560" w:type="dxa"/>
            <w:vAlign w:val="bottom"/>
            <w:tcBorders>
              <w:top w:val="single" w:sz="8" w:color="D9D9D9"/>
            </w:tcBorders>
            <w:vMerge w:val="restart"/>
            <w:shd w:val="clear" w:color="auto" w:fill="D9D9D9"/>
          </w:tcPr>
          <w:p>
            <w:pPr>
              <w:spacing w:after="0" w:line="20" w:lineRule="exact"/>
              <w:rPr>
                <w:sz w:val="1"/>
                <w:szCs w:val="1"/>
                <w:color w:val="auto"/>
              </w:rPr>
            </w:pPr>
          </w:p>
        </w:tc>
        <w:tc>
          <w:tcPr>
            <w:tcW w:w="860" w:type="dxa"/>
            <w:vAlign w:val="bottom"/>
            <w:tcBorders>
              <w:top w:val="single" w:sz="8" w:color="auto"/>
            </w:tcBorders>
            <w:vMerge w:val="continue"/>
            <w:shd w:val="clear" w:color="auto" w:fill="D9D9D9"/>
          </w:tcPr>
          <w:p>
            <w:pPr>
              <w:spacing w:after="0" w:line="20" w:lineRule="exact"/>
              <w:rPr>
                <w:sz w:val="1"/>
                <w:szCs w:val="1"/>
                <w:color w:val="auto"/>
              </w:rPr>
            </w:pPr>
          </w:p>
        </w:tc>
        <w:tc>
          <w:tcPr>
            <w:tcW w:w="580" w:type="dxa"/>
            <w:vAlign w:val="bottom"/>
            <w:tcBorders>
              <w:top w:val="single" w:sz="8" w:color="auto"/>
              <w:right w:val="single" w:sz="8" w:color="auto"/>
            </w:tcBorders>
            <w:vMerge w:val="continue"/>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80" w:type="dxa"/>
            <w:vAlign w:val="bottom"/>
            <w:tcBorders>
              <w:left w:val="single" w:sz="8" w:color="auto"/>
              <w:bottom w:val="single" w:sz="8" w:color="D9D9D9"/>
            </w:tcBorders>
            <w:vMerge w:val="restart"/>
            <w:shd w:val="clear" w:color="auto" w:fill="D9D9D9"/>
          </w:tcPr>
          <w:p>
            <w:pPr>
              <w:spacing w:after="0"/>
              <w:rPr>
                <w:sz w:val="4"/>
                <w:szCs w:val="4"/>
                <w:color w:val="auto"/>
              </w:rPr>
            </w:pPr>
          </w:p>
        </w:tc>
        <w:tc>
          <w:tcPr>
            <w:tcW w:w="1240" w:type="dxa"/>
            <w:vAlign w:val="bottom"/>
            <w:tcBorders>
              <w:bottom w:val="single" w:sz="8" w:color="D9D9D9"/>
              <w:right w:val="single" w:sz="8" w:color="auto"/>
            </w:tcBorders>
            <w:gridSpan w:val="2"/>
            <w:vMerge w:val="restart"/>
            <w:shd w:val="clear" w:color="auto" w:fill="D9D9D9"/>
          </w:tcPr>
          <w:p>
            <w:pPr>
              <w:jc w:val="center"/>
              <w:ind w:right="580"/>
              <w:spacing w:after="0" w:line="156" w:lineRule="exact"/>
              <w:rPr>
                <w:sz w:val="20"/>
                <w:szCs w:val="20"/>
                <w:color w:val="auto"/>
              </w:rPr>
            </w:pPr>
            <w:r>
              <w:rPr>
                <w:rFonts w:ascii="Times New Roman" w:cs="Times New Roman" w:eastAsia="Times New Roman" w:hAnsi="Times New Roman"/>
                <w:sz w:val="18"/>
                <w:szCs w:val="18"/>
                <w:color w:val="auto"/>
                <w:w w:val="99"/>
              </w:rPr>
              <w:t>Category</w:t>
            </w:r>
          </w:p>
        </w:tc>
        <w:tc>
          <w:tcPr>
            <w:tcW w:w="420" w:type="dxa"/>
            <w:vAlign w:val="bottom"/>
            <w:tcBorders>
              <w:bottom w:val="single" w:sz="8" w:color="D9D9D9"/>
            </w:tcBorders>
            <w:shd w:val="clear" w:color="auto" w:fill="D9D9D9"/>
          </w:tcPr>
          <w:p>
            <w:pPr>
              <w:spacing w:after="0"/>
              <w:rPr>
                <w:sz w:val="4"/>
                <w:szCs w:val="4"/>
                <w:color w:val="auto"/>
              </w:rPr>
            </w:pPr>
          </w:p>
        </w:tc>
        <w:tc>
          <w:tcPr>
            <w:tcW w:w="1400" w:type="dxa"/>
            <w:vAlign w:val="bottom"/>
            <w:tcBorders>
              <w:bottom w:val="single" w:sz="8" w:color="auto"/>
            </w:tcBorders>
            <w:gridSpan w:val="3"/>
            <w:vMerge w:val="continue"/>
            <w:shd w:val="clear" w:color="auto" w:fill="D9D9D9"/>
          </w:tcPr>
          <w:p>
            <w:pPr>
              <w:spacing w:after="0"/>
              <w:rPr>
                <w:sz w:val="4"/>
                <w:szCs w:val="4"/>
                <w:color w:val="auto"/>
              </w:rPr>
            </w:pPr>
          </w:p>
        </w:tc>
        <w:tc>
          <w:tcPr>
            <w:tcW w:w="440" w:type="dxa"/>
            <w:vAlign w:val="bottom"/>
            <w:tcBorders>
              <w:bottom w:val="single" w:sz="8" w:color="D9D9D9"/>
              <w:right w:val="single" w:sz="8" w:color="auto"/>
            </w:tcBorders>
            <w:vMerge w:val="continue"/>
            <w:shd w:val="clear" w:color="auto" w:fill="D9D9D9"/>
          </w:tcPr>
          <w:p>
            <w:pPr>
              <w:spacing w:after="0"/>
              <w:rPr>
                <w:sz w:val="4"/>
                <w:szCs w:val="4"/>
                <w:color w:val="auto"/>
              </w:rPr>
            </w:pPr>
          </w:p>
        </w:tc>
        <w:tc>
          <w:tcPr>
            <w:tcW w:w="500" w:type="dxa"/>
            <w:vAlign w:val="bottom"/>
            <w:tcBorders>
              <w:bottom w:val="single" w:sz="8" w:color="D9D9D9"/>
            </w:tcBorders>
            <w:shd w:val="clear" w:color="auto" w:fill="D9D9D9"/>
          </w:tcPr>
          <w:p>
            <w:pPr>
              <w:spacing w:after="0"/>
              <w:rPr>
                <w:sz w:val="4"/>
                <w:szCs w:val="4"/>
                <w:color w:val="auto"/>
              </w:rPr>
            </w:pPr>
          </w:p>
        </w:tc>
        <w:tc>
          <w:tcPr>
            <w:tcW w:w="1740" w:type="dxa"/>
            <w:vAlign w:val="bottom"/>
            <w:tcBorders>
              <w:bottom w:val="single" w:sz="8" w:color="D9D9D9"/>
              <w:right w:val="single" w:sz="8" w:color="auto"/>
            </w:tcBorders>
            <w:gridSpan w:val="4"/>
            <w:vMerge w:val="restart"/>
            <w:shd w:val="clear" w:color="auto" w:fill="D9D9D9"/>
          </w:tcPr>
          <w:p>
            <w:pPr>
              <w:jc w:val="center"/>
              <w:ind w:right="520"/>
              <w:spacing w:after="0" w:line="156" w:lineRule="exact"/>
              <w:rPr>
                <w:sz w:val="20"/>
                <w:szCs w:val="20"/>
                <w:color w:val="auto"/>
              </w:rPr>
            </w:pPr>
            <w:r>
              <w:rPr>
                <w:rFonts w:ascii="Times New Roman" w:cs="Times New Roman" w:eastAsia="Times New Roman" w:hAnsi="Times New Roman"/>
                <w:sz w:val="18"/>
                <w:szCs w:val="18"/>
                <w:color w:val="auto"/>
                <w:w w:val="99"/>
              </w:rPr>
              <w:t>Spread</w:t>
            </w:r>
          </w:p>
        </w:tc>
        <w:tc>
          <w:tcPr>
            <w:tcW w:w="660" w:type="dxa"/>
            <w:vAlign w:val="bottom"/>
            <w:tcBorders>
              <w:bottom w:val="single" w:sz="8" w:color="D9D9D9"/>
            </w:tcBorders>
            <w:shd w:val="clear" w:color="auto" w:fill="D9D9D9"/>
          </w:tcPr>
          <w:p>
            <w:pPr>
              <w:spacing w:after="0"/>
              <w:rPr>
                <w:sz w:val="4"/>
                <w:szCs w:val="4"/>
                <w:color w:val="auto"/>
              </w:rPr>
            </w:pPr>
          </w:p>
        </w:tc>
        <w:tc>
          <w:tcPr>
            <w:tcW w:w="140" w:type="dxa"/>
            <w:vAlign w:val="bottom"/>
            <w:tcBorders>
              <w:bottom w:val="single" w:sz="8" w:color="D9D9D9"/>
            </w:tcBorders>
            <w:shd w:val="clear" w:color="auto" w:fill="D9D9D9"/>
          </w:tcPr>
          <w:p>
            <w:pPr>
              <w:spacing w:after="0"/>
              <w:rPr>
                <w:sz w:val="4"/>
                <w:szCs w:val="4"/>
                <w:color w:val="auto"/>
              </w:rPr>
            </w:pPr>
          </w:p>
        </w:tc>
        <w:tc>
          <w:tcPr>
            <w:tcW w:w="2120" w:type="dxa"/>
            <w:vAlign w:val="bottom"/>
            <w:tcBorders>
              <w:bottom w:val="single" w:sz="8" w:color="D9D9D9"/>
              <w:right w:val="single" w:sz="8" w:color="auto"/>
            </w:tcBorders>
            <w:gridSpan w:val="4"/>
            <w:vMerge w:val="restart"/>
            <w:shd w:val="clear" w:color="auto" w:fill="D9D9D9"/>
          </w:tcPr>
          <w:p>
            <w:pPr>
              <w:jc w:val="center"/>
              <w:ind w:right="820"/>
              <w:spacing w:after="0" w:line="156" w:lineRule="exact"/>
              <w:rPr>
                <w:sz w:val="20"/>
                <w:szCs w:val="20"/>
                <w:color w:val="auto"/>
              </w:rPr>
            </w:pPr>
            <w:r>
              <w:rPr>
                <w:rFonts w:ascii="Times New Roman" w:cs="Times New Roman" w:eastAsia="Times New Roman" w:hAnsi="Times New Roman"/>
                <w:sz w:val="18"/>
                <w:szCs w:val="18"/>
                <w:color w:val="0000FF"/>
              </w:rPr>
              <w:t xml:space="preserve">Revolving </w:t>
            </w:r>
            <w:r>
              <w:rPr>
                <w:rFonts w:ascii="Times New Roman" w:cs="Times New Roman" w:eastAsia="Times New Roman" w:hAnsi="Times New Roman"/>
                <w:sz w:val="18"/>
                <w:szCs w:val="18"/>
                <w:color w:val="000000"/>
              </w:rPr>
              <w:t>Spread</w:t>
            </w:r>
          </w:p>
        </w:tc>
        <w:tc>
          <w:tcPr>
            <w:tcW w:w="560" w:type="dxa"/>
            <w:vAlign w:val="bottom"/>
            <w:tcBorders>
              <w:bottom w:val="single" w:sz="8" w:color="D9D9D9"/>
            </w:tcBorders>
            <w:vMerge w:val="continue"/>
            <w:shd w:val="clear" w:color="auto" w:fill="D9D9D9"/>
          </w:tcPr>
          <w:p>
            <w:pPr>
              <w:spacing w:after="0"/>
              <w:rPr>
                <w:sz w:val="4"/>
                <w:szCs w:val="4"/>
                <w:color w:val="auto"/>
              </w:rPr>
            </w:pPr>
          </w:p>
        </w:tc>
        <w:tc>
          <w:tcPr>
            <w:tcW w:w="860" w:type="dxa"/>
            <w:vAlign w:val="bottom"/>
            <w:tcBorders>
              <w:bottom w:val="single" w:sz="8" w:color="auto"/>
            </w:tcBorders>
            <w:vMerge w:val="continue"/>
            <w:shd w:val="clear" w:color="auto" w:fill="D9D9D9"/>
          </w:tcPr>
          <w:p>
            <w:pPr>
              <w:spacing w:after="0"/>
              <w:rPr>
                <w:sz w:val="4"/>
                <w:szCs w:val="4"/>
                <w:color w:val="auto"/>
              </w:rPr>
            </w:pPr>
          </w:p>
        </w:tc>
        <w:tc>
          <w:tcPr>
            <w:tcW w:w="580" w:type="dxa"/>
            <w:vAlign w:val="bottom"/>
            <w:tcBorders>
              <w:bottom w:val="single" w:sz="8" w:color="D9D9D9"/>
              <w:right w:val="single" w:sz="8" w:color="auto"/>
            </w:tcBorders>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vMerge w:val="continue"/>
            <w:shd w:val="clear" w:color="auto" w:fill="D9D9D9"/>
          </w:tcPr>
          <w:p>
            <w:pPr>
              <w:spacing w:after="0"/>
              <w:rPr>
                <w:sz w:val="9"/>
                <w:szCs w:val="9"/>
                <w:color w:val="auto"/>
              </w:rPr>
            </w:pPr>
          </w:p>
        </w:tc>
        <w:tc>
          <w:tcPr>
            <w:tcW w:w="1240" w:type="dxa"/>
            <w:vAlign w:val="bottom"/>
            <w:tcBorders>
              <w:right w:val="single" w:sz="8" w:color="auto"/>
            </w:tcBorders>
            <w:gridSpan w:val="2"/>
            <w:vMerge w:val="continue"/>
            <w:shd w:val="clear" w:color="auto" w:fill="D9D9D9"/>
          </w:tcPr>
          <w:p>
            <w:pPr>
              <w:spacing w:after="0"/>
              <w:rPr>
                <w:sz w:val="9"/>
                <w:szCs w:val="9"/>
                <w:color w:val="auto"/>
              </w:rPr>
            </w:pPr>
          </w:p>
        </w:tc>
        <w:tc>
          <w:tcPr>
            <w:tcW w:w="420" w:type="dxa"/>
            <w:vAlign w:val="bottom"/>
            <w:shd w:val="clear" w:color="auto" w:fill="D9D9D9"/>
          </w:tcPr>
          <w:p>
            <w:pPr>
              <w:spacing w:after="0"/>
              <w:rPr>
                <w:sz w:val="9"/>
                <w:szCs w:val="9"/>
                <w:color w:val="auto"/>
              </w:rPr>
            </w:pPr>
          </w:p>
        </w:tc>
        <w:tc>
          <w:tcPr>
            <w:tcW w:w="500" w:type="dxa"/>
            <w:vAlign w:val="bottom"/>
            <w:shd w:val="clear" w:color="auto" w:fill="D9D9D9"/>
          </w:tcPr>
          <w:p>
            <w:pPr>
              <w:spacing w:after="0"/>
              <w:rPr>
                <w:sz w:val="9"/>
                <w:szCs w:val="9"/>
                <w:color w:val="auto"/>
              </w:rPr>
            </w:pPr>
          </w:p>
        </w:tc>
        <w:tc>
          <w:tcPr>
            <w:tcW w:w="1340" w:type="dxa"/>
            <w:vAlign w:val="bottom"/>
            <w:tcBorders>
              <w:right w:val="single" w:sz="8" w:color="auto"/>
            </w:tcBorders>
            <w:gridSpan w:val="3"/>
            <w:vMerge w:val="restart"/>
            <w:shd w:val="clear" w:color="auto" w:fill="D9D9D9"/>
          </w:tcPr>
          <w:p>
            <w:pPr>
              <w:jc w:val="center"/>
              <w:ind w:right="940"/>
              <w:spacing w:after="0" w:line="196" w:lineRule="exact"/>
              <w:rPr>
                <w:sz w:val="20"/>
                <w:szCs w:val="20"/>
                <w:color w:val="auto"/>
              </w:rPr>
            </w:pPr>
            <w:r>
              <w:rPr>
                <w:rFonts w:ascii="Times New Roman" w:cs="Times New Roman" w:eastAsia="Times New Roman" w:hAnsi="Times New Roman"/>
                <w:sz w:val="18"/>
                <w:szCs w:val="18"/>
                <w:color w:val="auto"/>
              </w:rPr>
              <w:t>Ratio</w:t>
            </w:r>
          </w:p>
        </w:tc>
        <w:tc>
          <w:tcPr>
            <w:tcW w:w="500" w:type="dxa"/>
            <w:vAlign w:val="bottom"/>
            <w:shd w:val="clear" w:color="auto" w:fill="D9D9D9"/>
          </w:tcPr>
          <w:p>
            <w:pPr>
              <w:spacing w:after="0"/>
              <w:rPr>
                <w:sz w:val="9"/>
                <w:szCs w:val="9"/>
                <w:color w:val="auto"/>
              </w:rPr>
            </w:pPr>
          </w:p>
        </w:tc>
        <w:tc>
          <w:tcPr>
            <w:tcW w:w="1740" w:type="dxa"/>
            <w:vAlign w:val="bottom"/>
            <w:tcBorders>
              <w:right w:val="single" w:sz="8" w:color="auto"/>
            </w:tcBorders>
            <w:gridSpan w:val="4"/>
            <w:vMerge w:val="continue"/>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2120" w:type="dxa"/>
            <w:vAlign w:val="bottom"/>
            <w:tcBorders>
              <w:right w:val="single" w:sz="8" w:color="auto"/>
            </w:tcBorders>
            <w:gridSpan w:val="4"/>
            <w:vMerge w:val="continue"/>
            <w:shd w:val="clear" w:color="auto" w:fill="D9D9D9"/>
          </w:tcPr>
          <w:p>
            <w:pPr>
              <w:spacing w:after="0"/>
              <w:rPr>
                <w:sz w:val="9"/>
                <w:szCs w:val="9"/>
                <w:color w:val="auto"/>
              </w:rPr>
            </w:pPr>
          </w:p>
        </w:tc>
        <w:tc>
          <w:tcPr>
            <w:tcW w:w="2000" w:type="dxa"/>
            <w:vAlign w:val="bottom"/>
            <w:tcBorders>
              <w:right w:val="single" w:sz="8" w:color="auto"/>
            </w:tcBorders>
            <w:gridSpan w:val="3"/>
            <w:vMerge w:val="restart"/>
            <w:shd w:val="clear" w:color="auto" w:fill="D9D9D9"/>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(Per Annum)</w:t>
            </w:r>
          </w:p>
        </w:tc>
        <w:tc>
          <w:tcPr>
            <w:tcW w:w="0" w:type="dxa"/>
            <w:vAlign w:val="bottom"/>
          </w:tcPr>
          <w:p>
            <w:pPr>
              <w:spacing w:after="0"/>
              <w:rPr>
                <w:sz w:val="1"/>
                <w:szCs w:val="1"/>
                <w:color w:val="auto"/>
              </w:rPr>
            </w:pPr>
          </w:p>
        </w:tc>
      </w:tr>
      <w:tr>
        <w:trPr>
          <w:trHeight w:val="20"/>
        </w:trPr>
        <w:tc>
          <w:tcPr>
            <w:tcW w:w="580" w:type="dxa"/>
            <w:vAlign w:val="bottom"/>
            <w:tcBorders>
              <w:top w:val="single" w:sz="8" w:color="D9D9D9"/>
              <w:left w:val="single" w:sz="8" w:color="auto"/>
            </w:tcBorders>
            <w:shd w:val="clear" w:color="auto" w:fill="D9D9D9"/>
          </w:tcPr>
          <w:p>
            <w:pPr>
              <w:spacing w:after="0" w:line="20" w:lineRule="exact"/>
              <w:rPr>
                <w:sz w:val="1"/>
                <w:szCs w:val="1"/>
                <w:color w:val="auto"/>
              </w:rPr>
            </w:pPr>
          </w:p>
        </w:tc>
        <w:tc>
          <w:tcPr>
            <w:tcW w:w="660" w:type="dxa"/>
            <w:vAlign w:val="bottom"/>
            <w:tcBorders>
              <w:top w:val="single" w:sz="8" w:color="auto"/>
            </w:tcBorders>
            <w:shd w:val="clear" w:color="auto" w:fill="D9D9D9"/>
          </w:tcPr>
          <w:p>
            <w:pPr>
              <w:spacing w:after="0" w:line="20" w:lineRule="exact"/>
              <w:rPr>
                <w:sz w:val="1"/>
                <w:szCs w:val="1"/>
                <w:color w:val="auto"/>
              </w:rPr>
            </w:pPr>
          </w:p>
        </w:tc>
        <w:tc>
          <w:tcPr>
            <w:tcW w:w="58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20" w:type="dxa"/>
            <w:vAlign w:val="bottom"/>
            <w:tcBorders>
              <w:top w:val="single" w:sz="8" w:color="D9D9D9"/>
            </w:tcBorders>
            <w:shd w:val="clear" w:color="auto" w:fill="D9D9D9"/>
          </w:tcPr>
          <w:p>
            <w:pPr>
              <w:spacing w:after="0" w:line="20" w:lineRule="exact"/>
              <w:rPr>
                <w:sz w:val="1"/>
                <w:szCs w:val="1"/>
                <w:color w:val="auto"/>
              </w:rPr>
            </w:pPr>
          </w:p>
        </w:tc>
        <w:tc>
          <w:tcPr>
            <w:tcW w:w="500" w:type="dxa"/>
            <w:vAlign w:val="bottom"/>
            <w:tcBorders>
              <w:top w:val="single" w:sz="8" w:color="D9D9D9"/>
            </w:tcBorders>
            <w:shd w:val="clear" w:color="auto" w:fill="D9D9D9"/>
          </w:tcPr>
          <w:p>
            <w:pPr>
              <w:spacing w:after="0" w:line="20" w:lineRule="exact"/>
              <w:rPr>
                <w:sz w:val="1"/>
                <w:szCs w:val="1"/>
                <w:color w:val="auto"/>
              </w:rPr>
            </w:pPr>
          </w:p>
        </w:tc>
        <w:tc>
          <w:tcPr>
            <w:tcW w:w="1340" w:type="dxa"/>
            <w:vAlign w:val="bottom"/>
            <w:tcBorders>
              <w:top w:val="single" w:sz="8" w:color="D9D9D9"/>
              <w:right w:val="single" w:sz="8" w:color="auto"/>
            </w:tcBorders>
            <w:gridSpan w:val="3"/>
            <w:vMerge w:val="continue"/>
            <w:shd w:val="clear" w:color="auto" w:fill="D9D9D9"/>
          </w:tcPr>
          <w:p>
            <w:pPr>
              <w:spacing w:after="0" w:line="20" w:lineRule="exact"/>
              <w:rPr>
                <w:sz w:val="1"/>
                <w:szCs w:val="1"/>
                <w:color w:val="auto"/>
              </w:rPr>
            </w:pPr>
          </w:p>
        </w:tc>
        <w:tc>
          <w:tcPr>
            <w:tcW w:w="500" w:type="dxa"/>
            <w:vAlign w:val="bottom"/>
            <w:tcBorders>
              <w:top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440" w:type="dxa"/>
            <w:vAlign w:val="bottom"/>
            <w:tcBorders>
              <w:top w:val="single" w:sz="8" w:color="auto"/>
            </w:tcBorders>
            <w:shd w:val="clear" w:color="auto" w:fill="D9D9D9"/>
          </w:tcPr>
          <w:p>
            <w:pPr>
              <w:spacing w:after="0" w:line="20" w:lineRule="exact"/>
              <w:rPr>
                <w:sz w:val="1"/>
                <w:szCs w:val="1"/>
                <w:color w:val="auto"/>
              </w:rPr>
            </w:pPr>
          </w:p>
        </w:tc>
        <w:tc>
          <w:tcPr>
            <w:tcW w:w="36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52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66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800" w:type="dxa"/>
            <w:vAlign w:val="bottom"/>
            <w:tcBorders>
              <w:top w:val="single" w:sz="8" w:color="0000FF"/>
              <w:right w:val="single" w:sz="8" w:color="D9D9D9"/>
            </w:tcBorders>
            <w:shd w:val="clear" w:color="auto" w:fill="0000FF"/>
          </w:tcPr>
          <w:p>
            <w:pPr>
              <w:spacing w:after="0" w:line="20" w:lineRule="exact"/>
              <w:rPr>
                <w:sz w:val="1"/>
                <w:szCs w:val="1"/>
                <w:color w:val="auto"/>
              </w:rPr>
            </w:pPr>
          </w:p>
        </w:tc>
        <w:tc>
          <w:tcPr>
            <w:tcW w:w="500" w:type="dxa"/>
            <w:vAlign w:val="bottom"/>
            <w:tcBorders>
              <w:top w:val="single" w:sz="8" w:color="auto"/>
            </w:tcBorders>
            <w:shd w:val="clear" w:color="auto" w:fill="D9D9D9"/>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70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2000" w:type="dxa"/>
            <w:vAlign w:val="bottom"/>
            <w:tcBorders>
              <w:top w:val="single" w:sz="8" w:color="D9D9D9"/>
              <w:right w:val="single" w:sz="8" w:color="auto"/>
            </w:tcBorders>
            <w:gridSpan w:val="3"/>
            <w:vMerge w:val="continue"/>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80" w:type="dxa"/>
            <w:vAlign w:val="bottom"/>
            <w:tcBorders>
              <w:left w:val="single" w:sz="8" w:color="auto"/>
            </w:tcBorders>
            <w:shd w:val="clear" w:color="auto" w:fill="D9D9D9"/>
          </w:tcPr>
          <w:p>
            <w:pPr>
              <w:spacing w:after="0"/>
              <w:rPr>
                <w:sz w:val="4"/>
                <w:szCs w:val="4"/>
                <w:color w:val="auto"/>
              </w:rPr>
            </w:pPr>
          </w:p>
        </w:tc>
        <w:tc>
          <w:tcPr>
            <w:tcW w:w="660" w:type="dxa"/>
            <w:vAlign w:val="bottom"/>
            <w:shd w:val="clear" w:color="auto" w:fill="D9D9D9"/>
          </w:tcPr>
          <w:p>
            <w:pPr>
              <w:spacing w:after="0"/>
              <w:rPr>
                <w:sz w:val="4"/>
                <w:szCs w:val="4"/>
                <w:color w:val="auto"/>
              </w:rPr>
            </w:pPr>
          </w:p>
        </w:tc>
        <w:tc>
          <w:tcPr>
            <w:tcW w:w="580" w:type="dxa"/>
            <w:vAlign w:val="bottom"/>
            <w:tcBorders>
              <w:right w:val="single" w:sz="8" w:color="auto"/>
            </w:tcBorders>
            <w:shd w:val="clear" w:color="auto" w:fill="D9D9D9"/>
          </w:tcPr>
          <w:p>
            <w:pPr>
              <w:spacing w:after="0"/>
              <w:rPr>
                <w:sz w:val="4"/>
                <w:szCs w:val="4"/>
                <w:color w:val="auto"/>
              </w:rPr>
            </w:pPr>
          </w:p>
        </w:tc>
        <w:tc>
          <w:tcPr>
            <w:tcW w:w="420" w:type="dxa"/>
            <w:vAlign w:val="bottom"/>
            <w:shd w:val="clear" w:color="auto" w:fill="D9D9D9"/>
          </w:tcPr>
          <w:p>
            <w:pPr>
              <w:spacing w:after="0"/>
              <w:rPr>
                <w:sz w:val="4"/>
                <w:szCs w:val="4"/>
                <w:color w:val="auto"/>
              </w:rPr>
            </w:pPr>
          </w:p>
        </w:tc>
        <w:tc>
          <w:tcPr>
            <w:tcW w:w="500" w:type="dxa"/>
            <w:vAlign w:val="bottom"/>
            <w:shd w:val="clear" w:color="auto" w:fill="D9D9D9"/>
          </w:tcPr>
          <w:p>
            <w:pPr>
              <w:spacing w:after="0"/>
              <w:rPr>
                <w:sz w:val="4"/>
                <w:szCs w:val="4"/>
                <w:color w:val="auto"/>
              </w:rPr>
            </w:pPr>
          </w:p>
        </w:tc>
        <w:tc>
          <w:tcPr>
            <w:tcW w:w="1340" w:type="dxa"/>
            <w:vAlign w:val="bottom"/>
            <w:tcBorders>
              <w:right w:val="single" w:sz="8" w:color="auto"/>
            </w:tcBorders>
            <w:gridSpan w:val="3"/>
            <w:vMerge w:val="continue"/>
            <w:shd w:val="clear" w:color="auto" w:fill="D9D9D9"/>
          </w:tcPr>
          <w:p>
            <w:pPr>
              <w:spacing w:after="0"/>
              <w:rPr>
                <w:sz w:val="4"/>
                <w:szCs w:val="4"/>
                <w:color w:val="auto"/>
              </w:rPr>
            </w:pPr>
          </w:p>
        </w:tc>
        <w:tc>
          <w:tcPr>
            <w:tcW w:w="500" w:type="dxa"/>
            <w:vAlign w:val="bottom"/>
            <w:shd w:val="clear" w:color="auto" w:fill="D9D9D9"/>
          </w:tcPr>
          <w:p>
            <w:pPr>
              <w:spacing w:after="0"/>
              <w:rPr>
                <w:sz w:val="4"/>
                <w:szCs w:val="4"/>
                <w:color w:val="auto"/>
              </w:rPr>
            </w:pPr>
          </w:p>
        </w:tc>
        <w:tc>
          <w:tcPr>
            <w:tcW w:w="1740" w:type="dxa"/>
            <w:vAlign w:val="bottom"/>
            <w:tcBorders>
              <w:right w:val="single" w:sz="8" w:color="auto"/>
            </w:tcBorders>
            <w:gridSpan w:val="4"/>
            <w:vMerge w:val="restart"/>
            <w:shd w:val="clear" w:color="auto" w:fill="D9D9D9"/>
          </w:tcPr>
          <w:p>
            <w:pPr>
              <w:jc w:val="center"/>
              <w:ind w:right="520"/>
              <w:spacing w:after="0"/>
              <w:rPr>
                <w:sz w:val="20"/>
                <w:szCs w:val="20"/>
                <w:color w:val="auto"/>
              </w:rPr>
            </w:pPr>
            <w:r>
              <w:rPr>
                <w:rFonts w:ascii="Times New Roman" w:cs="Times New Roman" w:eastAsia="Times New Roman" w:hAnsi="Times New Roman"/>
                <w:sz w:val="18"/>
                <w:szCs w:val="18"/>
                <w:color w:val="auto"/>
                <w:w w:val="99"/>
              </w:rPr>
              <w:t>(Per Annum)</w:t>
            </w:r>
          </w:p>
        </w:tc>
        <w:tc>
          <w:tcPr>
            <w:tcW w:w="66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2120" w:type="dxa"/>
            <w:vAlign w:val="bottom"/>
            <w:tcBorders>
              <w:right w:val="single" w:sz="8" w:color="auto"/>
            </w:tcBorders>
            <w:gridSpan w:val="4"/>
            <w:vMerge w:val="restart"/>
            <w:shd w:val="clear" w:color="auto" w:fill="D9D9D9"/>
          </w:tcPr>
          <w:p>
            <w:pPr>
              <w:jc w:val="center"/>
              <w:ind w:right="820"/>
              <w:spacing w:after="0"/>
              <w:rPr>
                <w:sz w:val="20"/>
                <w:szCs w:val="20"/>
                <w:color w:val="auto"/>
              </w:rPr>
            </w:pPr>
            <w:r>
              <w:rPr>
                <w:rFonts w:ascii="Times New Roman" w:cs="Times New Roman" w:eastAsia="Times New Roman" w:hAnsi="Times New Roman"/>
                <w:sz w:val="18"/>
                <w:szCs w:val="18"/>
                <w:color w:val="auto"/>
                <w:w w:val="99"/>
              </w:rPr>
              <w:t>(Per Annum)</w:t>
            </w:r>
          </w:p>
        </w:tc>
        <w:tc>
          <w:tcPr>
            <w:tcW w:w="2000" w:type="dxa"/>
            <w:vAlign w:val="bottom"/>
            <w:tcBorders>
              <w:right w:val="single" w:sz="8" w:color="auto"/>
            </w:tcBorders>
            <w:gridSpan w:val="3"/>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D9D9D9"/>
              <w:left w:val="single" w:sz="8" w:color="auto"/>
              <w:bottom w:val="single" w:sz="8" w:color="D9D9D9"/>
            </w:tcBorders>
            <w:shd w:val="clear" w:color="auto" w:fill="D9D9D9"/>
          </w:tcPr>
          <w:p>
            <w:pPr>
              <w:spacing w:after="0"/>
              <w:rPr>
                <w:sz w:val="18"/>
                <w:szCs w:val="18"/>
                <w:color w:val="auto"/>
              </w:rPr>
            </w:pPr>
          </w:p>
        </w:tc>
        <w:tc>
          <w:tcPr>
            <w:tcW w:w="660" w:type="dxa"/>
            <w:vAlign w:val="bottom"/>
            <w:tcBorders>
              <w:top w:val="single" w:sz="8" w:color="D9D9D9"/>
              <w:bottom w:val="single" w:sz="8" w:color="D9D9D9"/>
            </w:tcBorders>
            <w:shd w:val="clear" w:color="auto" w:fill="D9D9D9"/>
          </w:tcPr>
          <w:p>
            <w:pPr>
              <w:spacing w:after="0"/>
              <w:rPr>
                <w:sz w:val="18"/>
                <w:szCs w:val="18"/>
                <w:color w:val="auto"/>
              </w:rPr>
            </w:pPr>
          </w:p>
        </w:tc>
        <w:tc>
          <w:tcPr>
            <w:tcW w:w="580" w:type="dxa"/>
            <w:vAlign w:val="bottom"/>
            <w:tcBorders>
              <w:top w:val="single" w:sz="8" w:color="D9D9D9"/>
              <w:bottom w:val="single" w:sz="8" w:color="D9D9D9"/>
              <w:right w:val="single" w:sz="8" w:color="auto"/>
            </w:tcBorders>
            <w:shd w:val="clear" w:color="auto" w:fill="D9D9D9"/>
          </w:tcPr>
          <w:p>
            <w:pPr>
              <w:spacing w:after="0"/>
              <w:rPr>
                <w:sz w:val="18"/>
                <w:szCs w:val="18"/>
                <w:color w:val="auto"/>
              </w:rPr>
            </w:pPr>
          </w:p>
        </w:tc>
        <w:tc>
          <w:tcPr>
            <w:tcW w:w="420" w:type="dxa"/>
            <w:vAlign w:val="bottom"/>
            <w:tcBorders>
              <w:top w:val="single" w:sz="8" w:color="D9D9D9"/>
              <w:bottom w:val="single" w:sz="8" w:color="D9D9D9"/>
            </w:tcBorders>
            <w:shd w:val="clear" w:color="auto" w:fill="D9D9D9"/>
          </w:tcPr>
          <w:p>
            <w:pPr>
              <w:spacing w:after="0"/>
              <w:rPr>
                <w:sz w:val="18"/>
                <w:szCs w:val="18"/>
                <w:color w:val="auto"/>
              </w:rPr>
            </w:pPr>
          </w:p>
        </w:tc>
        <w:tc>
          <w:tcPr>
            <w:tcW w:w="500" w:type="dxa"/>
            <w:vAlign w:val="bottom"/>
            <w:tcBorders>
              <w:top w:val="single" w:sz="8" w:color="D9D9D9"/>
              <w:bottom w:val="single" w:sz="8" w:color="D9D9D9"/>
            </w:tcBorders>
            <w:shd w:val="clear" w:color="auto" w:fill="D9D9D9"/>
          </w:tcPr>
          <w:p>
            <w:pPr>
              <w:spacing w:after="0"/>
              <w:rPr>
                <w:sz w:val="18"/>
                <w:szCs w:val="18"/>
                <w:color w:val="auto"/>
              </w:rPr>
            </w:pPr>
          </w:p>
        </w:tc>
        <w:tc>
          <w:tcPr>
            <w:tcW w:w="400" w:type="dxa"/>
            <w:vAlign w:val="bottom"/>
            <w:tcBorders>
              <w:top w:val="single" w:sz="8" w:color="auto"/>
              <w:bottom w:val="single" w:sz="8" w:color="D9D9D9"/>
            </w:tcBorders>
            <w:shd w:val="clear" w:color="auto" w:fill="D9D9D9"/>
          </w:tcPr>
          <w:p>
            <w:pPr>
              <w:spacing w:after="0"/>
              <w:rPr>
                <w:sz w:val="18"/>
                <w:szCs w:val="18"/>
                <w:color w:val="auto"/>
              </w:rPr>
            </w:pPr>
          </w:p>
        </w:tc>
        <w:tc>
          <w:tcPr>
            <w:tcW w:w="500" w:type="dxa"/>
            <w:vAlign w:val="bottom"/>
            <w:tcBorders>
              <w:top w:val="single" w:sz="8" w:color="D9D9D9"/>
              <w:bottom w:val="single" w:sz="8" w:color="D9D9D9"/>
            </w:tcBorders>
            <w:shd w:val="clear" w:color="auto" w:fill="D9D9D9"/>
          </w:tcPr>
          <w:p>
            <w:pPr>
              <w:spacing w:after="0"/>
              <w:rPr>
                <w:sz w:val="18"/>
                <w:szCs w:val="18"/>
                <w:color w:val="auto"/>
              </w:rPr>
            </w:pPr>
          </w:p>
        </w:tc>
        <w:tc>
          <w:tcPr>
            <w:tcW w:w="440" w:type="dxa"/>
            <w:vAlign w:val="bottom"/>
            <w:tcBorders>
              <w:top w:val="single" w:sz="8" w:color="D9D9D9"/>
              <w:bottom w:val="single" w:sz="8" w:color="D9D9D9"/>
              <w:right w:val="single" w:sz="8" w:color="auto"/>
            </w:tcBorders>
            <w:shd w:val="clear" w:color="auto" w:fill="D9D9D9"/>
          </w:tcPr>
          <w:p>
            <w:pPr>
              <w:spacing w:after="0"/>
              <w:rPr>
                <w:sz w:val="18"/>
                <w:szCs w:val="18"/>
                <w:color w:val="auto"/>
              </w:rPr>
            </w:pPr>
          </w:p>
        </w:tc>
        <w:tc>
          <w:tcPr>
            <w:tcW w:w="500" w:type="dxa"/>
            <w:vAlign w:val="bottom"/>
            <w:tcBorders>
              <w:top w:val="single" w:sz="8" w:color="D9D9D9"/>
              <w:bottom w:val="single" w:sz="8" w:color="D9D9D9"/>
            </w:tcBorders>
            <w:shd w:val="clear" w:color="auto" w:fill="D9D9D9"/>
          </w:tcPr>
          <w:p>
            <w:pPr>
              <w:spacing w:after="0"/>
              <w:rPr>
                <w:sz w:val="18"/>
                <w:szCs w:val="18"/>
                <w:color w:val="auto"/>
              </w:rPr>
            </w:pPr>
          </w:p>
        </w:tc>
        <w:tc>
          <w:tcPr>
            <w:tcW w:w="1740" w:type="dxa"/>
            <w:vAlign w:val="bottom"/>
            <w:tcBorders>
              <w:top w:val="single" w:sz="8" w:color="D9D9D9"/>
              <w:bottom w:val="single" w:sz="8" w:color="D9D9D9"/>
              <w:right w:val="single" w:sz="8" w:color="auto"/>
            </w:tcBorders>
            <w:gridSpan w:val="4"/>
            <w:vMerge w:val="continue"/>
            <w:shd w:val="clear" w:color="auto" w:fill="D9D9D9"/>
          </w:tcPr>
          <w:p>
            <w:pPr>
              <w:spacing w:after="0"/>
              <w:rPr>
                <w:sz w:val="18"/>
                <w:szCs w:val="18"/>
                <w:color w:val="auto"/>
              </w:rPr>
            </w:pPr>
          </w:p>
        </w:tc>
        <w:tc>
          <w:tcPr>
            <w:tcW w:w="660" w:type="dxa"/>
            <w:vAlign w:val="bottom"/>
            <w:tcBorders>
              <w:top w:val="single" w:sz="8" w:color="D9D9D9"/>
              <w:bottom w:val="single" w:sz="8" w:color="D9D9D9"/>
            </w:tcBorders>
            <w:shd w:val="clear" w:color="auto" w:fill="D9D9D9"/>
          </w:tcPr>
          <w:p>
            <w:pPr>
              <w:spacing w:after="0"/>
              <w:rPr>
                <w:sz w:val="18"/>
                <w:szCs w:val="18"/>
                <w:color w:val="auto"/>
              </w:rPr>
            </w:pPr>
          </w:p>
        </w:tc>
        <w:tc>
          <w:tcPr>
            <w:tcW w:w="140" w:type="dxa"/>
            <w:vAlign w:val="bottom"/>
            <w:tcBorders>
              <w:top w:val="single" w:sz="8" w:color="D9D9D9"/>
              <w:bottom w:val="single" w:sz="8" w:color="D9D9D9"/>
            </w:tcBorders>
            <w:shd w:val="clear" w:color="auto" w:fill="D9D9D9"/>
          </w:tcPr>
          <w:p>
            <w:pPr>
              <w:spacing w:after="0"/>
              <w:rPr>
                <w:sz w:val="18"/>
                <w:szCs w:val="18"/>
                <w:color w:val="auto"/>
              </w:rPr>
            </w:pPr>
          </w:p>
        </w:tc>
        <w:tc>
          <w:tcPr>
            <w:tcW w:w="2120" w:type="dxa"/>
            <w:vAlign w:val="bottom"/>
            <w:tcBorders>
              <w:top w:val="single" w:sz="8" w:color="D9D9D9"/>
              <w:bottom w:val="single" w:sz="8" w:color="D9D9D9"/>
              <w:right w:val="single" w:sz="8" w:color="auto"/>
            </w:tcBorders>
            <w:gridSpan w:val="4"/>
            <w:vMerge w:val="continue"/>
            <w:shd w:val="clear" w:color="auto" w:fill="D9D9D9"/>
          </w:tcPr>
          <w:p>
            <w:pPr>
              <w:spacing w:after="0"/>
              <w:rPr>
                <w:sz w:val="18"/>
                <w:szCs w:val="18"/>
                <w:color w:val="auto"/>
              </w:rPr>
            </w:pPr>
          </w:p>
        </w:tc>
        <w:tc>
          <w:tcPr>
            <w:tcW w:w="560" w:type="dxa"/>
            <w:vAlign w:val="bottom"/>
            <w:tcBorders>
              <w:top w:val="single" w:sz="8" w:color="D9D9D9"/>
              <w:bottom w:val="single" w:sz="8" w:color="D9D9D9"/>
            </w:tcBorders>
            <w:shd w:val="clear" w:color="auto" w:fill="D9D9D9"/>
          </w:tcPr>
          <w:p>
            <w:pPr>
              <w:spacing w:after="0"/>
              <w:rPr>
                <w:sz w:val="18"/>
                <w:szCs w:val="18"/>
                <w:color w:val="auto"/>
              </w:rPr>
            </w:pPr>
          </w:p>
        </w:tc>
        <w:tc>
          <w:tcPr>
            <w:tcW w:w="860" w:type="dxa"/>
            <w:vAlign w:val="bottom"/>
            <w:tcBorders>
              <w:top w:val="single" w:sz="8" w:color="D9D9D9"/>
              <w:bottom w:val="single" w:sz="8" w:color="D9D9D9"/>
            </w:tcBorders>
            <w:shd w:val="clear" w:color="auto" w:fill="D9D9D9"/>
          </w:tcPr>
          <w:p>
            <w:pPr>
              <w:spacing w:after="0"/>
              <w:rPr>
                <w:sz w:val="18"/>
                <w:szCs w:val="18"/>
                <w:color w:val="auto"/>
              </w:rPr>
            </w:pPr>
          </w:p>
        </w:tc>
        <w:tc>
          <w:tcPr>
            <w:tcW w:w="580" w:type="dxa"/>
            <w:vAlign w:val="bottom"/>
            <w:tcBorders>
              <w:top w:val="single" w:sz="8" w:color="D9D9D9"/>
              <w:bottom w:val="single" w:sz="8" w:color="D9D9D9"/>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8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I</w:t>
            </w:r>
          </w:p>
        </w:tc>
        <w:tc>
          <w:tcPr>
            <w:tcW w:w="420" w:type="dxa"/>
            <w:vAlign w:val="bottom"/>
            <w:tcBorders>
              <w:top w:val="single" w:sz="8" w:color="auto"/>
            </w:tcBorders>
          </w:tcPr>
          <w:p>
            <w:pPr>
              <w:spacing w:after="0"/>
              <w:rPr>
                <w:sz w:val="24"/>
                <w:szCs w:val="24"/>
                <w:color w:val="auto"/>
              </w:rPr>
            </w:pPr>
          </w:p>
        </w:tc>
        <w:tc>
          <w:tcPr>
            <w:tcW w:w="1840" w:type="dxa"/>
            <w:vAlign w:val="bottom"/>
            <w:tcBorders>
              <w:top w:val="single" w:sz="8" w:color="auto"/>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 0.75x</w:t>
            </w:r>
          </w:p>
        </w:tc>
        <w:tc>
          <w:tcPr>
            <w:tcW w:w="50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0.0 bps</w:t>
            </w: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8"/>
              </w:rPr>
              <w:t>87.5 bps</w:t>
            </w:r>
          </w:p>
        </w:tc>
        <w:tc>
          <w:tcPr>
            <w:tcW w:w="560" w:type="dxa"/>
            <w:vAlign w:val="bottom"/>
            <w:tcBorders>
              <w:top w:val="single" w:sz="8" w:color="auto"/>
            </w:tcBorders>
          </w:tcPr>
          <w:p>
            <w:pPr>
              <w:spacing w:after="0"/>
              <w:rPr>
                <w:sz w:val="24"/>
                <w:szCs w:val="24"/>
                <w:color w:val="auto"/>
              </w:rPr>
            </w:pPr>
          </w:p>
        </w:tc>
        <w:tc>
          <w:tcPr>
            <w:tcW w:w="1440" w:type="dxa"/>
            <w:vAlign w:val="bottom"/>
            <w:tcBorders>
              <w:top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12.5 bps</w:t>
            </w: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580" w:type="dxa"/>
            <w:vAlign w:val="bottom"/>
            <w:tcBorders>
              <w:left w:val="single" w:sz="8" w:color="auto"/>
            </w:tcBorders>
          </w:tcPr>
          <w:p>
            <w:pPr>
              <w:spacing w:after="0"/>
              <w:rPr>
                <w:sz w:val="23"/>
                <w:szCs w:val="23"/>
                <w:color w:val="auto"/>
              </w:rPr>
            </w:pPr>
          </w:p>
        </w:tc>
        <w:tc>
          <w:tcPr>
            <w:tcW w:w="1240" w:type="dxa"/>
            <w:vAlign w:val="bottom"/>
            <w:tcBorders>
              <w:right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8"/>
                <w:szCs w:val="18"/>
                <w:color w:val="auto"/>
                <w:w w:val="99"/>
              </w:rPr>
              <w:t>II</w:t>
            </w:r>
          </w:p>
        </w:tc>
        <w:tc>
          <w:tcPr>
            <w:tcW w:w="420" w:type="dxa"/>
            <w:vAlign w:val="bottom"/>
          </w:tcPr>
          <w:p>
            <w:pPr>
              <w:spacing w:after="0"/>
              <w:rPr>
                <w:sz w:val="23"/>
                <w:szCs w:val="23"/>
                <w:color w:val="auto"/>
              </w:rPr>
            </w:pPr>
          </w:p>
        </w:tc>
        <w:tc>
          <w:tcPr>
            <w:tcW w:w="1840" w:type="dxa"/>
            <w:vAlign w:val="bottom"/>
            <w:tcBorders>
              <w:right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&gt; 0.75x but</w:t>
            </w:r>
          </w:p>
        </w:tc>
        <w:tc>
          <w:tcPr>
            <w:tcW w:w="500" w:type="dxa"/>
            <w:vAlign w:val="bottom"/>
          </w:tcPr>
          <w:p>
            <w:pPr>
              <w:spacing w:after="0"/>
              <w:rPr>
                <w:sz w:val="23"/>
                <w:szCs w:val="23"/>
                <w:color w:val="auto"/>
              </w:rPr>
            </w:pPr>
          </w:p>
        </w:tc>
        <w:tc>
          <w:tcPr>
            <w:tcW w:w="1740" w:type="dxa"/>
            <w:vAlign w:val="bottom"/>
            <w:tcBorders>
              <w:right w:val="single" w:sz="8" w:color="auto"/>
            </w:tcBorders>
            <w:gridSpan w:val="4"/>
            <w:vMerge w:val="restart"/>
          </w:tcPr>
          <w:p>
            <w:pPr>
              <w:jc w:val="center"/>
              <w:ind w:right="540"/>
              <w:spacing w:after="0"/>
              <w:rPr>
                <w:sz w:val="20"/>
                <w:szCs w:val="20"/>
                <w:color w:val="auto"/>
              </w:rPr>
            </w:pPr>
            <w:r>
              <w:rPr>
                <w:rFonts w:ascii="Times New Roman" w:cs="Times New Roman" w:eastAsia="Times New Roman" w:hAnsi="Times New Roman"/>
                <w:sz w:val="18"/>
                <w:szCs w:val="18"/>
                <w:color w:val="auto"/>
                <w:w w:val="99"/>
              </w:rPr>
              <w:t>0.0 bps</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tcBorders>
              <w:right w:val="single" w:sz="8" w:color="auto"/>
            </w:tcBorders>
            <w:gridSpan w:val="4"/>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w w:val="99"/>
              </w:rPr>
              <w:t>100.0 bps</w:t>
            </w:r>
          </w:p>
        </w:tc>
        <w:tc>
          <w:tcPr>
            <w:tcW w:w="560" w:type="dxa"/>
            <w:vAlign w:val="bottom"/>
          </w:tcPr>
          <w:p>
            <w:pPr>
              <w:spacing w:after="0"/>
              <w:rPr>
                <w:sz w:val="23"/>
                <w:szCs w:val="23"/>
                <w:color w:val="auto"/>
              </w:rPr>
            </w:pPr>
          </w:p>
        </w:tc>
        <w:tc>
          <w:tcPr>
            <w:tcW w:w="14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12.5 bps</w:t>
            </w:r>
          </w:p>
        </w:tc>
        <w:tc>
          <w:tcPr>
            <w:tcW w:w="0" w:type="dxa"/>
            <w:vAlign w:val="bottom"/>
          </w:tcPr>
          <w:p>
            <w:pPr>
              <w:spacing w:after="0"/>
              <w:rPr>
                <w:sz w:val="1"/>
                <w:szCs w:val="1"/>
                <w:color w:val="auto"/>
              </w:rPr>
            </w:pPr>
          </w:p>
        </w:tc>
      </w:tr>
      <w:tr>
        <w:trPr>
          <w:trHeight w:val="126"/>
        </w:trPr>
        <w:tc>
          <w:tcPr>
            <w:tcW w:w="5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Borders>
              <w:right w:val="single" w:sz="8" w:color="auto"/>
            </w:tcBorders>
            <w:gridSpan w:val="4"/>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 1.25x</w:t>
            </w:r>
          </w:p>
        </w:tc>
        <w:tc>
          <w:tcPr>
            <w:tcW w:w="500" w:type="dxa"/>
            <w:vAlign w:val="bottom"/>
          </w:tcPr>
          <w:p>
            <w:pPr>
              <w:spacing w:after="0"/>
              <w:rPr>
                <w:sz w:val="10"/>
                <w:szCs w:val="10"/>
                <w:color w:val="auto"/>
              </w:rPr>
            </w:pPr>
          </w:p>
        </w:tc>
        <w:tc>
          <w:tcPr>
            <w:tcW w:w="1740" w:type="dxa"/>
            <w:vAlign w:val="bottom"/>
            <w:tcBorders>
              <w:right w:val="single" w:sz="8" w:color="auto"/>
            </w:tcBorders>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Borders>
              <w:right w:val="single" w:sz="8" w:color="auto"/>
            </w:tcBorders>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40" w:type="dxa"/>
            <w:vAlign w:val="bottom"/>
            <w:tcBorders>
              <w:right w:val="single" w:sz="8" w:color="auto"/>
            </w:tcBorders>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580" w:type="dxa"/>
            <w:vAlign w:val="bottom"/>
            <w:tcBorders>
              <w:left w:val="single" w:sz="8" w:color="auto"/>
            </w:tcBorders>
          </w:tcPr>
          <w:p>
            <w:pPr>
              <w:spacing w:after="0"/>
              <w:rPr>
                <w:sz w:val="23"/>
                <w:szCs w:val="23"/>
                <w:color w:val="auto"/>
              </w:rPr>
            </w:pPr>
          </w:p>
        </w:tc>
        <w:tc>
          <w:tcPr>
            <w:tcW w:w="12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w w:val="99"/>
              </w:rPr>
              <w:t>III</w:t>
            </w:r>
          </w:p>
        </w:tc>
        <w:tc>
          <w:tcPr>
            <w:tcW w:w="420" w:type="dxa"/>
            <w:vAlign w:val="bottom"/>
          </w:tcPr>
          <w:p>
            <w:pPr>
              <w:spacing w:after="0"/>
              <w:rPr>
                <w:sz w:val="23"/>
                <w:szCs w:val="23"/>
                <w:color w:val="auto"/>
              </w:rPr>
            </w:pPr>
          </w:p>
        </w:tc>
        <w:tc>
          <w:tcPr>
            <w:tcW w:w="1840" w:type="dxa"/>
            <w:vAlign w:val="bottom"/>
            <w:tcBorders>
              <w:right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&gt; 1.25x but</w:t>
            </w:r>
          </w:p>
        </w:tc>
        <w:tc>
          <w:tcPr>
            <w:tcW w:w="500" w:type="dxa"/>
            <w:vAlign w:val="bottom"/>
          </w:tcPr>
          <w:p>
            <w:pPr>
              <w:spacing w:after="0"/>
              <w:rPr>
                <w:sz w:val="23"/>
                <w:szCs w:val="23"/>
                <w:color w:val="auto"/>
              </w:rPr>
            </w:pPr>
          </w:p>
        </w:tc>
        <w:tc>
          <w:tcPr>
            <w:tcW w:w="1740" w:type="dxa"/>
            <w:vAlign w:val="bottom"/>
            <w:tcBorders>
              <w:right w:val="single" w:sz="8" w:color="auto"/>
            </w:tcBorders>
            <w:gridSpan w:val="4"/>
            <w:vMerge w:val="restart"/>
          </w:tcPr>
          <w:p>
            <w:pPr>
              <w:jc w:val="center"/>
              <w:ind w:right="520"/>
              <w:spacing w:after="0"/>
              <w:rPr>
                <w:sz w:val="20"/>
                <w:szCs w:val="20"/>
                <w:color w:val="auto"/>
              </w:rPr>
            </w:pPr>
            <w:r>
              <w:rPr>
                <w:rFonts w:ascii="Times New Roman" w:cs="Times New Roman" w:eastAsia="Times New Roman" w:hAnsi="Times New Roman"/>
                <w:sz w:val="18"/>
                <w:szCs w:val="18"/>
                <w:color w:val="auto"/>
              </w:rPr>
              <w:t>12.5 bps</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tcBorders>
              <w:right w:val="single" w:sz="8" w:color="auto"/>
            </w:tcBorders>
            <w:gridSpan w:val="4"/>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w w:val="99"/>
              </w:rPr>
              <w:t>112.5 bps</w:t>
            </w:r>
          </w:p>
        </w:tc>
        <w:tc>
          <w:tcPr>
            <w:tcW w:w="560" w:type="dxa"/>
            <w:vAlign w:val="bottom"/>
          </w:tcPr>
          <w:p>
            <w:pPr>
              <w:spacing w:after="0"/>
              <w:rPr>
                <w:sz w:val="23"/>
                <w:szCs w:val="23"/>
                <w:color w:val="auto"/>
              </w:rPr>
            </w:pPr>
          </w:p>
        </w:tc>
        <w:tc>
          <w:tcPr>
            <w:tcW w:w="14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15.0 bps</w:t>
            </w:r>
          </w:p>
        </w:tc>
        <w:tc>
          <w:tcPr>
            <w:tcW w:w="0" w:type="dxa"/>
            <w:vAlign w:val="bottom"/>
          </w:tcPr>
          <w:p>
            <w:pPr>
              <w:spacing w:after="0"/>
              <w:rPr>
                <w:sz w:val="1"/>
                <w:szCs w:val="1"/>
                <w:color w:val="auto"/>
              </w:rPr>
            </w:pPr>
          </w:p>
        </w:tc>
      </w:tr>
      <w:tr>
        <w:trPr>
          <w:trHeight w:val="126"/>
        </w:trPr>
        <w:tc>
          <w:tcPr>
            <w:tcW w:w="5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Borders>
              <w:right w:val="single" w:sz="8" w:color="auto"/>
            </w:tcBorders>
            <w:gridSpan w:val="4"/>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 2.00x</w:t>
            </w:r>
          </w:p>
        </w:tc>
        <w:tc>
          <w:tcPr>
            <w:tcW w:w="500" w:type="dxa"/>
            <w:vAlign w:val="bottom"/>
          </w:tcPr>
          <w:p>
            <w:pPr>
              <w:spacing w:after="0"/>
              <w:rPr>
                <w:sz w:val="10"/>
                <w:szCs w:val="10"/>
                <w:color w:val="auto"/>
              </w:rPr>
            </w:pPr>
          </w:p>
        </w:tc>
        <w:tc>
          <w:tcPr>
            <w:tcW w:w="1740" w:type="dxa"/>
            <w:vAlign w:val="bottom"/>
            <w:tcBorders>
              <w:right w:val="single" w:sz="8" w:color="auto"/>
            </w:tcBorders>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Borders>
              <w:right w:val="single" w:sz="8" w:color="auto"/>
            </w:tcBorders>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40" w:type="dxa"/>
            <w:vAlign w:val="bottom"/>
            <w:tcBorders>
              <w:right w:val="single" w:sz="8" w:color="auto"/>
            </w:tcBorders>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580" w:type="dxa"/>
            <w:vAlign w:val="bottom"/>
            <w:tcBorders>
              <w:left w:val="single" w:sz="8" w:color="auto"/>
            </w:tcBorders>
          </w:tcPr>
          <w:p>
            <w:pPr>
              <w:spacing w:after="0"/>
              <w:rPr>
                <w:sz w:val="23"/>
                <w:szCs w:val="23"/>
                <w:color w:val="auto"/>
              </w:rPr>
            </w:pPr>
          </w:p>
        </w:tc>
        <w:tc>
          <w:tcPr>
            <w:tcW w:w="12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w w:val="94"/>
              </w:rPr>
              <w:t>IV</w:t>
            </w:r>
          </w:p>
        </w:tc>
        <w:tc>
          <w:tcPr>
            <w:tcW w:w="420" w:type="dxa"/>
            <w:vAlign w:val="bottom"/>
          </w:tcPr>
          <w:p>
            <w:pPr>
              <w:spacing w:after="0"/>
              <w:rPr>
                <w:sz w:val="23"/>
                <w:szCs w:val="23"/>
                <w:color w:val="auto"/>
              </w:rPr>
            </w:pPr>
          </w:p>
        </w:tc>
        <w:tc>
          <w:tcPr>
            <w:tcW w:w="1840" w:type="dxa"/>
            <w:vAlign w:val="bottom"/>
            <w:tcBorders>
              <w:right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&gt; 2.00x but</w:t>
            </w:r>
          </w:p>
        </w:tc>
        <w:tc>
          <w:tcPr>
            <w:tcW w:w="500" w:type="dxa"/>
            <w:vAlign w:val="bottom"/>
          </w:tcPr>
          <w:p>
            <w:pPr>
              <w:spacing w:after="0"/>
              <w:rPr>
                <w:sz w:val="23"/>
                <w:szCs w:val="23"/>
                <w:color w:val="auto"/>
              </w:rPr>
            </w:pPr>
          </w:p>
        </w:tc>
        <w:tc>
          <w:tcPr>
            <w:tcW w:w="1740" w:type="dxa"/>
            <w:vAlign w:val="bottom"/>
            <w:tcBorders>
              <w:right w:val="single" w:sz="8" w:color="auto"/>
            </w:tcBorders>
            <w:gridSpan w:val="4"/>
            <w:vMerge w:val="restart"/>
          </w:tcPr>
          <w:p>
            <w:pPr>
              <w:jc w:val="center"/>
              <w:ind w:right="520"/>
              <w:spacing w:after="0"/>
              <w:rPr>
                <w:sz w:val="20"/>
                <w:szCs w:val="20"/>
                <w:color w:val="auto"/>
              </w:rPr>
            </w:pPr>
            <w:r>
              <w:rPr>
                <w:rFonts w:ascii="Times New Roman" w:cs="Times New Roman" w:eastAsia="Times New Roman" w:hAnsi="Times New Roman"/>
                <w:sz w:val="18"/>
                <w:szCs w:val="18"/>
                <w:color w:val="auto"/>
              </w:rPr>
              <w:t>37.5 bps</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tcBorders>
              <w:right w:val="single" w:sz="8" w:color="auto"/>
            </w:tcBorders>
            <w:gridSpan w:val="4"/>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w w:val="99"/>
              </w:rPr>
              <w:t>137.5 bps</w:t>
            </w:r>
          </w:p>
        </w:tc>
        <w:tc>
          <w:tcPr>
            <w:tcW w:w="560" w:type="dxa"/>
            <w:vAlign w:val="bottom"/>
          </w:tcPr>
          <w:p>
            <w:pPr>
              <w:spacing w:after="0"/>
              <w:rPr>
                <w:sz w:val="23"/>
                <w:szCs w:val="23"/>
                <w:color w:val="auto"/>
              </w:rPr>
            </w:pPr>
          </w:p>
        </w:tc>
        <w:tc>
          <w:tcPr>
            <w:tcW w:w="14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17.5 bps</w:t>
            </w:r>
          </w:p>
        </w:tc>
        <w:tc>
          <w:tcPr>
            <w:tcW w:w="0" w:type="dxa"/>
            <w:vAlign w:val="bottom"/>
          </w:tcPr>
          <w:p>
            <w:pPr>
              <w:spacing w:after="0"/>
              <w:rPr>
                <w:sz w:val="1"/>
                <w:szCs w:val="1"/>
                <w:color w:val="auto"/>
              </w:rPr>
            </w:pPr>
          </w:p>
        </w:tc>
      </w:tr>
      <w:tr>
        <w:trPr>
          <w:trHeight w:val="126"/>
        </w:trPr>
        <w:tc>
          <w:tcPr>
            <w:tcW w:w="5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Borders>
              <w:right w:val="single" w:sz="8" w:color="auto"/>
            </w:tcBorders>
            <w:gridSpan w:val="4"/>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 2.50x</w:t>
            </w:r>
          </w:p>
        </w:tc>
        <w:tc>
          <w:tcPr>
            <w:tcW w:w="500" w:type="dxa"/>
            <w:vAlign w:val="bottom"/>
          </w:tcPr>
          <w:p>
            <w:pPr>
              <w:spacing w:after="0"/>
              <w:rPr>
                <w:sz w:val="10"/>
                <w:szCs w:val="10"/>
                <w:color w:val="auto"/>
              </w:rPr>
            </w:pPr>
          </w:p>
        </w:tc>
        <w:tc>
          <w:tcPr>
            <w:tcW w:w="1740" w:type="dxa"/>
            <w:vAlign w:val="bottom"/>
            <w:tcBorders>
              <w:right w:val="single" w:sz="8" w:color="auto"/>
            </w:tcBorders>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Borders>
              <w:right w:val="single" w:sz="8" w:color="auto"/>
            </w:tcBorders>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40" w:type="dxa"/>
            <w:vAlign w:val="bottom"/>
            <w:tcBorders>
              <w:right w:val="single" w:sz="8" w:color="auto"/>
            </w:tcBorders>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580" w:type="dxa"/>
            <w:vAlign w:val="bottom"/>
            <w:tcBorders>
              <w:left w:val="single" w:sz="8" w:color="auto"/>
            </w:tcBorders>
          </w:tcPr>
          <w:p>
            <w:pPr>
              <w:spacing w:after="0"/>
              <w:rPr>
                <w:sz w:val="23"/>
                <w:szCs w:val="23"/>
                <w:color w:val="auto"/>
              </w:rPr>
            </w:pPr>
          </w:p>
        </w:tc>
        <w:tc>
          <w:tcPr>
            <w:tcW w:w="12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V</w:t>
            </w:r>
          </w:p>
        </w:tc>
        <w:tc>
          <w:tcPr>
            <w:tcW w:w="420" w:type="dxa"/>
            <w:vAlign w:val="bottom"/>
          </w:tcPr>
          <w:p>
            <w:pPr>
              <w:spacing w:after="0"/>
              <w:rPr>
                <w:sz w:val="23"/>
                <w:szCs w:val="23"/>
                <w:color w:val="auto"/>
              </w:rPr>
            </w:pPr>
          </w:p>
        </w:tc>
        <w:tc>
          <w:tcPr>
            <w:tcW w:w="1840" w:type="dxa"/>
            <w:vAlign w:val="bottom"/>
            <w:tcBorders>
              <w:right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&gt; 2.50x but</w:t>
            </w:r>
          </w:p>
        </w:tc>
        <w:tc>
          <w:tcPr>
            <w:tcW w:w="500" w:type="dxa"/>
            <w:vAlign w:val="bottom"/>
          </w:tcPr>
          <w:p>
            <w:pPr>
              <w:spacing w:after="0"/>
              <w:rPr>
                <w:sz w:val="23"/>
                <w:szCs w:val="23"/>
                <w:color w:val="auto"/>
              </w:rPr>
            </w:pPr>
          </w:p>
        </w:tc>
        <w:tc>
          <w:tcPr>
            <w:tcW w:w="1740" w:type="dxa"/>
            <w:vAlign w:val="bottom"/>
            <w:tcBorders>
              <w:right w:val="single" w:sz="8" w:color="auto"/>
            </w:tcBorders>
            <w:gridSpan w:val="4"/>
            <w:vMerge w:val="restart"/>
          </w:tcPr>
          <w:p>
            <w:pPr>
              <w:jc w:val="center"/>
              <w:ind w:right="520"/>
              <w:spacing w:after="0"/>
              <w:rPr>
                <w:sz w:val="20"/>
                <w:szCs w:val="20"/>
                <w:color w:val="auto"/>
              </w:rPr>
            </w:pPr>
            <w:r>
              <w:rPr>
                <w:rFonts w:ascii="Times New Roman" w:cs="Times New Roman" w:eastAsia="Times New Roman" w:hAnsi="Times New Roman"/>
                <w:sz w:val="18"/>
                <w:szCs w:val="18"/>
                <w:color w:val="auto"/>
              </w:rPr>
              <w:t>62.5 bps</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tcBorders>
              <w:right w:val="single" w:sz="8" w:color="auto"/>
            </w:tcBorders>
            <w:gridSpan w:val="4"/>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w w:val="99"/>
              </w:rPr>
              <w:t>162.5 bps</w:t>
            </w:r>
          </w:p>
        </w:tc>
        <w:tc>
          <w:tcPr>
            <w:tcW w:w="560" w:type="dxa"/>
            <w:vAlign w:val="bottom"/>
          </w:tcPr>
          <w:p>
            <w:pPr>
              <w:spacing w:after="0"/>
              <w:rPr>
                <w:sz w:val="23"/>
                <w:szCs w:val="23"/>
                <w:color w:val="auto"/>
              </w:rPr>
            </w:pPr>
          </w:p>
        </w:tc>
        <w:tc>
          <w:tcPr>
            <w:tcW w:w="144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22.5 bps</w:t>
            </w:r>
          </w:p>
        </w:tc>
        <w:tc>
          <w:tcPr>
            <w:tcW w:w="0" w:type="dxa"/>
            <w:vAlign w:val="bottom"/>
          </w:tcPr>
          <w:p>
            <w:pPr>
              <w:spacing w:after="0"/>
              <w:rPr>
                <w:sz w:val="1"/>
                <w:szCs w:val="1"/>
                <w:color w:val="auto"/>
              </w:rPr>
            </w:pPr>
          </w:p>
        </w:tc>
      </w:tr>
      <w:tr>
        <w:trPr>
          <w:trHeight w:val="126"/>
        </w:trPr>
        <w:tc>
          <w:tcPr>
            <w:tcW w:w="5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Borders>
              <w:right w:val="single" w:sz="8" w:color="auto"/>
            </w:tcBorders>
            <w:gridSpan w:val="4"/>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 3.00x</w:t>
            </w:r>
          </w:p>
        </w:tc>
        <w:tc>
          <w:tcPr>
            <w:tcW w:w="500" w:type="dxa"/>
            <w:vAlign w:val="bottom"/>
          </w:tcPr>
          <w:p>
            <w:pPr>
              <w:spacing w:after="0"/>
              <w:rPr>
                <w:sz w:val="10"/>
                <w:szCs w:val="10"/>
                <w:color w:val="auto"/>
              </w:rPr>
            </w:pPr>
          </w:p>
        </w:tc>
        <w:tc>
          <w:tcPr>
            <w:tcW w:w="1740" w:type="dxa"/>
            <w:vAlign w:val="bottom"/>
            <w:tcBorders>
              <w:right w:val="single" w:sz="8" w:color="auto"/>
            </w:tcBorders>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Borders>
              <w:right w:val="single" w:sz="8" w:color="auto"/>
            </w:tcBorders>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40" w:type="dxa"/>
            <w:vAlign w:val="bottom"/>
            <w:tcBorders>
              <w:right w:val="single" w:sz="8" w:color="auto"/>
            </w:tcBorders>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8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4"/>
              </w:rPr>
              <w:t>VI</w:t>
            </w:r>
          </w:p>
        </w:tc>
        <w:tc>
          <w:tcPr>
            <w:tcW w:w="420" w:type="dxa"/>
            <w:vAlign w:val="bottom"/>
          </w:tcPr>
          <w:p>
            <w:pPr>
              <w:spacing w:after="0"/>
              <w:rPr>
                <w:sz w:val="24"/>
                <w:szCs w:val="24"/>
                <w:color w:val="auto"/>
              </w:rPr>
            </w:pPr>
          </w:p>
        </w:tc>
        <w:tc>
          <w:tcPr>
            <w:tcW w:w="184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&gt; 3.00x</w:t>
            </w:r>
          </w:p>
        </w:tc>
        <w:tc>
          <w:tcPr>
            <w:tcW w:w="500" w:type="dxa"/>
            <w:vAlign w:val="bottom"/>
          </w:tcPr>
          <w:p>
            <w:pPr>
              <w:spacing w:after="0"/>
              <w:rPr>
                <w:sz w:val="24"/>
                <w:szCs w:val="24"/>
                <w:color w:val="auto"/>
              </w:rPr>
            </w:pPr>
          </w:p>
        </w:tc>
        <w:tc>
          <w:tcPr>
            <w:tcW w:w="1740" w:type="dxa"/>
            <w:vAlign w:val="bottom"/>
            <w:tcBorders>
              <w:right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75.0 bps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right w:val="single" w:sz="8" w:color="auto"/>
            </w:tcBorders>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175.0 bps</w:t>
            </w:r>
          </w:p>
        </w:tc>
        <w:tc>
          <w:tcPr>
            <w:tcW w:w="560" w:type="dxa"/>
            <w:vAlign w:val="bottom"/>
          </w:tcPr>
          <w:p>
            <w:pPr>
              <w:spacing w:after="0"/>
              <w:rPr>
                <w:sz w:val="24"/>
                <w:szCs w:val="24"/>
                <w:color w:val="auto"/>
              </w:rPr>
            </w:pPr>
          </w:p>
        </w:tc>
        <w:tc>
          <w:tcPr>
            <w:tcW w:w="14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27.5 bps</w:t>
            </w:r>
          </w:p>
        </w:tc>
        <w:tc>
          <w:tcPr>
            <w:tcW w:w="0" w:type="dxa"/>
            <w:vAlign w:val="bottom"/>
          </w:tcPr>
          <w:p>
            <w:pPr>
              <w:spacing w:after="0"/>
              <w:rPr>
                <w:sz w:val="1"/>
                <w:szCs w:val="1"/>
                <w:color w:val="auto"/>
              </w:rPr>
            </w:pPr>
          </w:p>
        </w:tc>
      </w:tr>
      <w:tr>
        <w:trPr>
          <w:trHeight w:val="81"/>
        </w:trPr>
        <w:tc>
          <w:tcPr>
            <w:tcW w:w="58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66" w:lineRule="auto"/>
        <w:tabs>
          <w:tab w:leader="none" w:pos="1574" w:val="left"/>
        </w:tabs>
        <w:numPr>
          <w:ilvl w:val="0"/>
          <w:numId w:val="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any ABR Term Loan or Term SOFR Term Loan, as the case may be, the applicable rate per annum set forth below under the caption “ABR Term Loan Spread” or “Adjusted Term SOFR Term Loan Spread”, in each case, based upon the Borrower’s Total Net Leverage Ratio as of the most recent determination date: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860" w:type="dxa"/>
            <w:vAlign w:val="bottom"/>
            <w:tcBorders>
              <w:top w:val="single" w:sz="8" w:color="auto"/>
              <w:left w:val="single" w:sz="8" w:color="auto"/>
              <w:bottom w:val="single" w:sz="8" w:color="FFFFFE"/>
            </w:tcBorders>
            <w:shd w:val="clear" w:color="auto" w:fill="FFFFFE"/>
          </w:tcPr>
          <w:p>
            <w:pPr>
              <w:spacing w:after="0"/>
              <w:rPr>
                <w:sz w:val="24"/>
                <w:szCs w:val="24"/>
                <w:color w:val="auto"/>
              </w:rPr>
            </w:pPr>
          </w:p>
        </w:tc>
        <w:tc>
          <w:tcPr>
            <w:tcW w:w="20" w:type="dxa"/>
            <w:vAlign w:val="bottom"/>
            <w:tcBorders>
              <w:top w:val="single" w:sz="8" w:color="auto"/>
              <w:bottom w:val="single" w:sz="8" w:color="FFFFFE"/>
            </w:tcBorders>
            <w:shd w:val="clear" w:color="auto" w:fill="FFFFFE"/>
          </w:tcPr>
          <w:p>
            <w:pPr>
              <w:spacing w:after="0"/>
              <w:rPr>
                <w:sz w:val="24"/>
                <w:szCs w:val="24"/>
                <w:color w:val="auto"/>
              </w:rPr>
            </w:pPr>
          </w:p>
        </w:tc>
        <w:tc>
          <w:tcPr>
            <w:tcW w:w="220" w:type="dxa"/>
            <w:vAlign w:val="bottom"/>
            <w:tcBorders>
              <w:top w:val="single" w:sz="8" w:color="auto"/>
              <w:bottom w:val="single" w:sz="8" w:color="FFFFFE"/>
            </w:tcBorders>
            <w:shd w:val="clear" w:color="auto" w:fill="FFFFFE"/>
          </w:tcPr>
          <w:p>
            <w:pPr>
              <w:spacing w:after="0"/>
              <w:rPr>
                <w:sz w:val="24"/>
                <w:szCs w:val="24"/>
                <w:color w:val="auto"/>
              </w:rPr>
            </w:pPr>
          </w:p>
        </w:tc>
        <w:tc>
          <w:tcPr>
            <w:tcW w:w="20" w:type="dxa"/>
            <w:vAlign w:val="bottom"/>
            <w:tcBorders>
              <w:top w:val="single" w:sz="8" w:color="auto"/>
              <w:bottom w:val="single" w:sz="8" w:color="FFFFFE"/>
            </w:tcBorders>
            <w:shd w:val="clear" w:color="auto" w:fill="FFFFFE"/>
          </w:tcPr>
          <w:p>
            <w:pPr>
              <w:spacing w:after="0"/>
              <w:rPr>
                <w:sz w:val="24"/>
                <w:szCs w:val="24"/>
                <w:color w:val="auto"/>
              </w:rPr>
            </w:pPr>
          </w:p>
        </w:tc>
        <w:tc>
          <w:tcPr>
            <w:tcW w:w="20" w:type="dxa"/>
            <w:vAlign w:val="bottom"/>
            <w:tcBorders>
              <w:top w:val="single" w:sz="8" w:color="auto"/>
              <w:bottom w:val="single" w:sz="8" w:color="FFFFFE"/>
            </w:tcBorders>
            <w:shd w:val="clear" w:color="auto" w:fill="FFFFFE"/>
          </w:tcPr>
          <w:p>
            <w:pPr>
              <w:spacing w:after="0"/>
              <w:rPr>
                <w:sz w:val="24"/>
                <w:szCs w:val="24"/>
                <w:color w:val="auto"/>
              </w:rPr>
            </w:pPr>
          </w:p>
        </w:tc>
        <w:tc>
          <w:tcPr>
            <w:tcW w:w="100" w:type="dxa"/>
            <w:vAlign w:val="bottom"/>
            <w:tcBorders>
              <w:top w:val="single" w:sz="8" w:color="auto"/>
              <w:bottom w:val="single" w:sz="8" w:color="FFFFFE"/>
            </w:tcBorders>
            <w:shd w:val="clear" w:color="auto" w:fill="FFFFFE"/>
          </w:tcPr>
          <w:p>
            <w:pPr>
              <w:spacing w:after="0"/>
              <w:rPr>
                <w:sz w:val="24"/>
                <w:szCs w:val="24"/>
                <w:color w:val="auto"/>
              </w:rPr>
            </w:pPr>
          </w:p>
        </w:tc>
        <w:tc>
          <w:tcPr>
            <w:tcW w:w="20" w:type="dxa"/>
            <w:vAlign w:val="bottom"/>
            <w:tcBorders>
              <w:top w:val="single" w:sz="8" w:color="auto"/>
              <w:bottom w:val="single" w:sz="8" w:color="FFFFFE"/>
            </w:tcBorders>
            <w:shd w:val="clear" w:color="auto" w:fill="FFFFFE"/>
          </w:tcPr>
          <w:p>
            <w:pPr>
              <w:spacing w:after="0"/>
              <w:rPr>
                <w:sz w:val="24"/>
                <w:szCs w:val="24"/>
                <w:color w:val="auto"/>
              </w:rPr>
            </w:pPr>
          </w:p>
        </w:tc>
        <w:tc>
          <w:tcPr>
            <w:tcW w:w="20" w:type="dxa"/>
            <w:vAlign w:val="bottom"/>
            <w:tcBorders>
              <w:top w:val="single" w:sz="8" w:color="auto"/>
              <w:bottom w:val="single" w:sz="8" w:color="FFFFFE"/>
            </w:tcBorders>
            <w:shd w:val="clear" w:color="auto" w:fill="FFFFFE"/>
          </w:tcPr>
          <w:p>
            <w:pPr>
              <w:spacing w:after="0"/>
              <w:rPr>
                <w:sz w:val="24"/>
                <w:szCs w:val="24"/>
                <w:color w:val="auto"/>
              </w:rPr>
            </w:pPr>
          </w:p>
        </w:tc>
        <w:tc>
          <w:tcPr>
            <w:tcW w:w="20" w:type="dxa"/>
            <w:vAlign w:val="bottom"/>
            <w:tcBorders>
              <w:top w:val="single" w:sz="8" w:color="auto"/>
              <w:bottom w:val="single" w:sz="8" w:color="FFFFFE"/>
            </w:tcBorders>
            <w:shd w:val="clear" w:color="auto" w:fill="FFFFFE"/>
          </w:tcPr>
          <w:p>
            <w:pPr>
              <w:spacing w:after="0"/>
              <w:rPr>
                <w:sz w:val="24"/>
                <w:szCs w:val="24"/>
                <w:color w:val="auto"/>
              </w:rPr>
            </w:pPr>
          </w:p>
        </w:tc>
        <w:tc>
          <w:tcPr>
            <w:tcW w:w="220" w:type="dxa"/>
            <w:vAlign w:val="bottom"/>
            <w:tcBorders>
              <w:top w:val="single" w:sz="8" w:color="auto"/>
              <w:bottom w:val="single" w:sz="8" w:color="FFFFFE"/>
            </w:tcBorders>
            <w:shd w:val="clear" w:color="auto" w:fill="FFFFFE"/>
          </w:tcPr>
          <w:p>
            <w:pPr>
              <w:spacing w:after="0"/>
              <w:rPr>
                <w:sz w:val="24"/>
                <w:szCs w:val="24"/>
                <w:color w:val="auto"/>
              </w:rPr>
            </w:pPr>
          </w:p>
        </w:tc>
        <w:tc>
          <w:tcPr>
            <w:tcW w:w="880" w:type="dxa"/>
            <w:vAlign w:val="bottom"/>
            <w:tcBorders>
              <w:top w:val="single" w:sz="8" w:color="auto"/>
              <w:bottom w:val="single" w:sz="8" w:color="FFFFFE"/>
              <w:right w:val="single" w:sz="8" w:color="auto"/>
            </w:tcBorders>
            <w:shd w:val="clear" w:color="auto" w:fill="FFFFFE"/>
          </w:tcPr>
          <w:p>
            <w:pPr>
              <w:spacing w:after="0"/>
              <w:rPr>
                <w:sz w:val="24"/>
                <w:szCs w:val="24"/>
                <w:color w:val="auto"/>
              </w:rPr>
            </w:pPr>
          </w:p>
        </w:tc>
        <w:tc>
          <w:tcPr>
            <w:tcW w:w="580" w:type="dxa"/>
            <w:vAlign w:val="bottom"/>
            <w:tcBorders>
              <w:top w:val="single" w:sz="8" w:color="auto"/>
              <w:bottom w:val="single" w:sz="8" w:color="FFFFFE"/>
            </w:tcBorders>
            <w:shd w:val="clear" w:color="auto" w:fill="FFFFFE"/>
          </w:tcPr>
          <w:p>
            <w:pPr>
              <w:spacing w:after="0"/>
              <w:rPr>
                <w:sz w:val="24"/>
                <w:szCs w:val="24"/>
                <w:color w:val="auto"/>
              </w:rPr>
            </w:pPr>
          </w:p>
        </w:tc>
        <w:tc>
          <w:tcPr>
            <w:tcW w:w="500" w:type="dxa"/>
            <w:vAlign w:val="bottom"/>
            <w:tcBorders>
              <w:top w:val="single" w:sz="8" w:color="auto"/>
              <w:bottom w:val="single" w:sz="8" w:color="FFFFFE"/>
            </w:tcBorders>
            <w:shd w:val="clear" w:color="auto" w:fill="FFFFFE"/>
          </w:tcPr>
          <w:p>
            <w:pPr>
              <w:spacing w:after="0"/>
              <w:rPr>
                <w:sz w:val="24"/>
                <w:szCs w:val="24"/>
                <w:color w:val="auto"/>
              </w:rPr>
            </w:pPr>
          </w:p>
        </w:tc>
        <w:tc>
          <w:tcPr>
            <w:tcW w:w="140" w:type="dxa"/>
            <w:vAlign w:val="bottom"/>
            <w:tcBorders>
              <w:top w:val="single" w:sz="8" w:color="auto"/>
              <w:bottom w:val="single" w:sz="8" w:color="FFFFFE"/>
            </w:tcBorders>
            <w:shd w:val="clear" w:color="auto" w:fill="FFFFFE"/>
          </w:tcPr>
          <w:p>
            <w:pPr>
              <w:spacing w:after="0"/>
              <w:rPr>
                <w:sz w:val="24"/>
                <w:szCs w:val="24"/>
                <w:color w:val="auto"/>
              </w:rPr>
            </w:pPr>
          </w:p>
        </w:tc>
        <w:tc>
          <w:tcPr>
            <w:tcW w:w="540" w:type="dxa"/>
            <w:vAlign w:val="bottom"/>
            <w:tcBorders>
              <w:top w:val="single" w:sz="8" w:color="auto"/>
              <w:bottom w:val="single" w:sz="8" w:color="FFFFFE"/>
            </w:tcBorders>
            <w:shd w:val="clear" w:color="auto" w:fill="FFFFFE"/>
          </w:tcPr>
          <w:p>
            <w:pPr>
              <w:spacing w:after="0"/>
              <w:rPr>
                <w:sz w:val="24"/>
                <w:szCs w:val="24"/>
                <w:color w:val="auto"/>
              </w:rPr>
            </w:pPr>
          </w:p>
        </w:tc>
        <w:tc>
          <w:tcPr>
            <w:tcW w:w="140" w:type="dxa"/>
            <w:vAlign w:val="bottom"/>
            <w:tcBorders>
              <w:top w:val="single" w:sz="8" w:color="auto"/>
              <w:bottom w:val="single" w:sz="8" w:color="FFFFFE"/>
            </w:tcBorders>
            <w:shd w:val="clear" w:color="auto" w:fill="FFFFFE"/>
          </w:tcPr>
          <w:p>
            <w:pPr>
              <w:spacing w:after="0"/>
              <w:rPr>
                <w:sz w:val="24"/>
                <w:szCs w:val="24"/>
                <w:color w:val="auto"/>
              </w:rPr>
            </w:pPr>
          </w:p>
        </w:tc>
        <w:tc>
          <w:tcPr>
            <w:tcW w:w="500" w:type="dxa"/>
            <w:vAlign w:val="bottom"/>
            <w:tcBorders>
              <w:top w:val="single" w:sz="8" w:color="auto"/>
              <w:bottom w:val="single" w:sz="8" w:color="FFFFFE"/>
            </w:tcBorders>
            <w:shd w:val="clear" w:color="auto" w:fill="FFFFFE"/>
          </w:tcPr>
          <w:p>
            <w:pPr>
              <w:spacing w:after="0"/>
              <w:rPr>
                <w:sz w:val="24"/>
                <w:szCs w:val="24"/>
                <w:color w:val="auto"/>
              </w:rPr>
            </w:pPr>
          </w:p>
        </w:tc>
        <w:tc>
          <w:tcPr>
            <w:tcW w:w="620" w:type="dxa"/>
            <w:vAlign w:val="bottom"/>
            <w:tcBorders>
              <w:top w:val="single" w:sz="8" w:color="auto"/>
              <w:bottom w:val="single" w:sz="8" w:color="FFFFFE"/>
              <w:right w:val="single" w:sz="8" w:color="auto"/>
            </w:tcBorders>
            <w:shd w:val="clear" w:color="auto" w:fill="FFFFFE"/>
          </w:tcPr>
          <w:p>
            <w:pPr>
              <w:spacing w:after="0"/>
              <w:rPr>
                <w:sz w:val="24"/>
                <w:szCs w:val="24"/>
                <w:color w:val="auto"/>
              </w:rPr>
            </w:pPr>
          </w:p>
        </w:tc>
        <w:tc>
          <w:tcPr>
            <w:tcW w:w="560" w:type="dxa"/>
            <w:vAlign w:val="bottom"/>
            <w:tcBorders>
              <w:top w:val="single" w:sz="8" w:color="auto"/>
              <w:bottom w:val="single" w:sz="8" w:color="auto"/>
            </w:tcBorders>
            <w:vMerge w:val="restart"/>
            <w:shd w:val="clear" w:color="auto" w:fill="FFFFFE"/>
          </w:tcPr>
          <w:p>
            <w:pPr>
              <w:spacing w:after="0"/>
              <w:rPr>
                <w:sz w:val="24"/>
                <w:szCs w:val="24"/>
                <w:color w:val="auto"/>
              </w:rPr>
            </w:pPr>
          </w:p>
        </w:tc>
        <w:tc>
          <w:tcPr>
            <w:tcW w:w="1760" w:type="dxa"/>
            <w:vAlign w:val="bottom"/>
            <w:tcBorders>
              <w:top w:val="single" w:sz="8" w:color="auto"/>
              <w:bottom w:val="single" w:sz="8" w:color="auto"/>
            </w:tcBorders>
            <w:gridSpan w:val="11"/>
            <w:vMerge w:val="restart"/>
            <w:shd w:val="clear" w:color="auto" w:fill="FFFFFE"/>
          </w:tcPr>
          <w:p>
            <w:pPr>
              <w:jc w:val="center"/>
              <w:spacing w:after="0"/>
              <w:rPr>
                <w:sz w:val="20"/>
                <w:szCs w:val="20"/>
                <w:color w:val="auto"/>
              </w:rPr>
            </w:pPr>
            <w:r>
              <w:rPr>
                <w:rFonts w:ascii="Times New Roman" w:cs="Times New Roman" w:eastAsia="Times New Roman" w:hAnsi="Times New Roman"/>
                <w:sz w:val="18"/>
                <w:szCs w:val="18"/>
                <w:color w:val="0000FF"/>
                <w:w w:val="99"/>
              </w:rPr>
              <w:t>ABR Term Loan Spread</w:t>
            </w:r>
          </w:p>
        </w:tc>
        <w:tc>
          <w:tcPr>
            <w:tcW w:w="600" w:type="dxa"/>
            <w:vAlign w:val="bottom"/>
            <w:tcBorders>
              <w:top w:val="single" w:sz="8" w:color="auto"/>
              <w:bottom w:val="single" w:sz="8" w:color="auto"/>
              <w:right w:val="single" w:sz="8" w:color="auto"/>
            </w:tcBorders>
            <w:vMerge w:val="restart"/>
            <w:shd w:val="clear" w:color="auto" w:fill="FFFFFE"/>
          </w:tcPr>
          <w:p>
            <w:pPr>
              <w:spacing w:after="0"/>
              <w:rPr>
                <w:sz w:val="24"/>
                <w:szCs w:val="24"/>
                <w:color w:val="auto"/>
              </w:rPr>
            </w:pPr>
          </w:p>
        </w:tc>
        <w:tc>
          <w:tcPr>
            <w:tcW w:w="640" w:type="dxa"/>
            <w:vAlign w:val="bottom"/>
            <w:tcBorders>
              <w:top w:val="single" w:sz="8" w:color="auto"/>
              <w:bottom w:val="single" w:sz="8" w:color="FFFFFE"/>
            </w:tcBorders>
            <w:shd w:val="clear" w:color="auto" w:fill="FFFFFE"/>
          </w:tcPr>
          <w:p>
            <w:pPr>
              <w:spacing w:after="0"/>
              <w:rPr>
                <w:sz w:val="24"/>
                <w:szCs w:val="24"/>
                <w:color w:val="auto"/>
              </w:rPr>
            </w:pPr>
          </w:p>
        </w:tc>
        <w:tc>
          <w:tcPr>
            <w:tcW w:w="1580" w:type="dxa"/>
            <w:vAlign w:val="bottom"/>
            <w:tcBorders>
              <w:top w:val="single" w:sz="8" w:color="auto"/>
              <w:bottom w:val="single" w:sz="8" w:color="0000FF"/>
            </w:tcBorders>
            <w:gridSpan w:val="9"/>
            <w:shd w:val="clear" w:color="auto" w:fill="FFFFFE"/>
          </w:tcPr>
          <w:p>
            <w:pPr>
              <w:jc w:val="center"/>
              <w:spacing w:after="0"/>
              <w:rPr>
                <w:sz w:val="20"/>
                <w:szCs w:val="20"/>
                <w:color w:val="auto"/>
              </w:rPr>
            </w:pPr>
            <w:r>
              <w:rPr>
                <w:rFonts w:ascii="Times New Roman" w:cs="Times New Roman" w:eastAsia="Times New Roman" w:hAnsi="Times New Roman"/>
                <w:sz w:val="18"/>
                <w:szCs w:val="18"/>
                <w:color w:val="0000FF"/>
                <w:w w:val="98"/>
              </w:rPr>
              <w:t>Adjusted Term SOFR</w:t>
            </w:r>
          </w:p>
        </w:tc>
        <w:tc>
          <w:tcPr>
            <w:tcW w:w="680" w:type="dxa"/>
            <w:vAlign w:val="bottom"/>
            <w:tcBorders>
              <w:top w:val="single" w:sz="8" w:color="auto"/>
              <w:bottom w:val="single" w:sz="8" w:color="FFFFFE"/>
              <w:right w:val="single" w:sz="8" w:color="auto"/>
            </w:tcBorders>
            <w:shd w:val="clear" w:color="auto" w:fill="FFFFF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60" w:type="dxa"/>
            <w:vAlign w:val="bottom"/>
            <w:tcBorders>
              <w:left w:val="single" w:sz="8" w:color="auto"/>
              <w:bottom w:val="single" w:sz="8" w:color="FFFFFE"/>
            </w:tcBorders>
            <w:shd w:val="clear" w:color="auto" w:fill="FFFFFE"/>
          </w:tcPr>
          <w:p>
            <w:pPr>
              <w:spacing w:after="0"/>
              <w:rPr>
                <w:sz w:val="7"/>
                <w:szCs w:val="7"/>
                <w:color w:val="auto"/>
              </w:rPr>
            </w:pPr>
          </w:p>
        </w:tc>
        <w:tc>
          <w:tcPr>
            <w:tcW w:w="1540" w:type="dxa"/>
            <w:vAlign w:val="bottom"/>
            <w:tcBorders>
              <w:bottom w:val="single" w:sz="8" w:color="FFFFFE"/>
              <w:right w:val="single" w:sz="8" w:color="auto"/>
            </w:tcBorders>
            <w:gridSpan w:val="10"/>
            <w:vMerge w:val="restart"/>
            <w:shd w:val="clear" w:color="auto" w:fill="FFFFFE"/>
          </w:tcPr>
          <w:p>
            <w:pPr>
              <w:jc w:val="center"/>
              <w:ind w:right="880"/>
              <w:spacing w:after="0" w:line="156" w:lineRule="exact"/>
              <w:rPr>
                <w:sz w:val="20"/>
                <w:szCs w:val="20"/>
                <w:color w:val="auto"/>
              </w:rPr>
            </w:pPr>
            <w:r>
              <w:rPr>
                <w:rFonts w:ascii="Times New Roman" w:cs="Times New Roman" w:eastAsia="Times New Roman" w:hAnsi="Times New Roman"/>
                <w:sz w:val="18"/>
                <w:szCs w:val="18"/>
                <w:color w:val="0000FF"/>
                <w:w w:val="99"/>
              </w:rPr>
              <w:t>Category</w:t>
            </w:r>
          </w:p>
        </w:tc>
        <w:tc>
          <w:tcPr>
            <w:tcW w:w="580" w:type="dxa"/>
            <w:vAlign w:val="bottom"/>
            <w:tcBorders>
              <w:bottom w:val="single" w:sz="8" w:color="FFFFFE"/>
            </w:tcBorders>
            <w:shd w:val="clear" w:color="auto" w:fill="FFFFFE"/>
          </w:tcPr>
          <w:p>
            <w:pPr>
              <w:spacing w:after="0"/>
              <w:rPr>
                <w:sz w:val="7"/>
                <w:szCs w:val="7"/>
                <w:color w:val="auto"/>
              </w:rPr>
            </w:pPr>
          </w:p>
        </w:tc>
        <w:tc>
          <w:tcPr>
            <w:tcW w:w="2440" w:type="dxa"/>
            <w:vAlign w:val="bottom"/>
            <w:tcBorders>
              <w:bottom w:val="single" w:sz="8" w:color="FFFFFE"/>
              <w:right w:val="single" w:sz="8" w:color="auto"/>
            </w:tcBorders>
            <w:gridSpan w:val="6"/>
            <w:vMerge w:val="restart"/>
            <w:shd w:val="clear" w:color="auto" w:fill="FFFFFE"/>
          </w:tcPr>
          <w:p>
            <w:pPr>
              <w:jc w:val="center"/>
              <w:ind w:right="620"/>
              <w:spacing w:after="0" w:line="156" w:lineRule="exact"/>
              <w:rPr>
                <w:sz w:val="20"/>
                <w:szCs w:val="20"/>
                <w:color w:val="auto"/>
              </w:rPr>
            </w:pPr>
            <w:r>
              <w:rPr>
                <w:rFonts w:ascii="Times New Roman" w:cs="Times New Roman" w:eastAsia="Times New Roman" w:hAnsi="Times New Roman"/>
                <w:sz w:val="18"/>
                <w:szCs w:val="18"/>
                <w:color w:val="0000FF"/>
                <w:w w:val="99"/>
              </w:rPr>
              <w:t>Total Net Leverage Ratio</w:t>
            </w:r>
          </w:p>
        </w:tc>
        <w:tc>
          <w:tcPr>
            <w:tcW w:w="560" w:type="dxa"/>
            <w:vAlign w:val="bottom"/>
            <w:tcBorders>
              <w:bottom w:val="single" w:sz="8" w:color="FFFFFE"/>
            </w:tcBorders>
            <w:vMerge w:val="continue"/>
            <w:shd w:val="clear" w:color="auto" w:fill="FFFFFE"/>
          </w:tcPr>
          <w:p>
            <w:pPr>
              <w:spacing w:after="0"/>
              <w:rPr>
                <w:sz w:val="7"/>
                <w:szCs w:val="7"/>
                <w:color w:val="auto"/>
              </w:rPr>
            </w:pPr>
          </w:p>
        </w:tc>
        <w:tc>
          <w:tcPr>
            <w:tcW w:w="1760" w:type="dxa"/>
            <w:vAlign w:val="bottom"/>
            <w:tcBorders>
              <w:bottom w:val="single" w:sz="8" w:color="0000FF"/>
            </w:tcBorders>
            <w:gridSpan w:val="11"/>
            <w:vMerge w:val="continue"/>
            <w:shd w:val="clear" w:color="auto" w:fill="FFFFFE"/>
          </w:tcPr>
          <w:p>
            <w:pPr>
              <w:spacing w:after="0"/>
              <w:rPr>
                <w:sz w:val="7"/>
                <w:szCs w:val="7"/>
                <w:color w:val="auto"/>
              </w:rPr>
            </w:pPr>
          </w:p>
        </w:tc>
        <w:tc>
          <w:tcPr>
            <w:tcW w:w="600" w:type="dxa"/>
            <w:vAlign w:val="bottom"/>
            <w:tcBorders>
              <w:bottom w:val="single" w:sz="8" w:color="FFFFFE"/>
              <w:right w:val="single" w:sz="8" w:color="auto"/>
            </w:tcBorders>
            <w:vMerge w:val="continue"/>
            <w:shd w:val="clear" w:color="auto" w:fill="FFFFFE"/>
          </w:tcPr>
          <w:p>
            <w:pPr>
              <w:spacing w:after="0"/>
              <w:rPr>
                <w:sz w:val="7"/>
                <w:szCs w:val="7"/>
                <w:color w:val="auto"/>
              </w:rPr>
            </w:pPr>
          </w:p>
        </w:tc>
        <w:tc>
          <w:tcPr>
            <w:tcW w:w="640" w:type="dxa"/>
            <w:vAlign w:val="bottom"/>
            <w:tcBorders>
              <w:bottom w:val="single" w:sz="8" w:color="FFFFFE"/>
            </w:tcBorders>
            <w:shd w:val="clear" w:color="auto" w:fill="FFFFFE"/>
          </w:tcPr>
          <w:p>
            <w:pPr>
              <w:spacing w:after="0"/>
              <w:rPr>
                <w:sz w:val="7"/>
                <w:szCs w:val="7"/>
                <w:color w:val="auto"/>
              </w:rPr>
            </w:pPr>
          </w:p>
        </w:tc>
        <w:tc>
          <w:tcPr>
            <w:tcW w:w="20" w:type="dxa"/>
            <w:vAlign w:val="bottom"/>
            <w:tcBorders>
              <w:bottom w:val="single" w:sz="8" w:color="FFFFFE"/>
            </w:tcBorders>
            <w:shd w:val="clear" w:color="auto" w:fill="FFFFFE"/>
          </w:tcPr>
          <w:p>
            <w:pPr>
              <w:spacing w:after="0"/>
              <w:rPr>
                <w:sz w:val="7"/>
                <w:szCs w:val="7"/>
                <w:color w:val="auto"/>
              </w:rPr>
            </w:pPr>
          </w:p>
        </w:tc>
        <w:tc>
          <w:tcPr>
            <w:tcW w:w="100" w:type="dxa"/>
            <w:vAlign w:val="bottom"/>
            <w:tcBorders>
              <w:bottom w:val="single" w:sz="8" w:color="FFFFFE"/>
            </w:tcBorders>
            <w:shd w:val="clear" w:color="auto" w:fill="FFFFFE"/>
          </w:tcPr>
          <w:p>
            <w:pPr>
              <w:spacing w:after="0"/>
              <w:rPr>
                <w:sz w:val="7"/>
                <w:szCs w:val="7"/>
                <w:color w:val="auto"/>
              </w:rPr>
            </w:pPr>
          </w:p>
        </w:tc>
        <w:tc>
          <w:tcPr>
            <w:tcW w:w="2140" w:type="dxa"/>
            <w:vAlign w:val="bottom"/>
            <w:tcBorders>
              <w:bottom w:val="single" w:sz="8" w:color="FFFFFE"/>
              <w:right w:val="single" w:sz="8" w:color="auto"/>
            </w:tcBorders>
            <w:gridSpan w:val="8"/>
            <w:vMerge w:val="restart"/>
            <w:shd w:val="clear" w:color="auto" w:fill="FFFFFE"/>
          </w:tcPr>
          <w:p>
            <w:pPr>
              <w:jc w:val="center"/>
              <w:ind w:right="800"/>
              <w:spacing w:after="0" w:line="156" w:lineRule="exact"/>
              <w:rPr>
                <w:sz w:val="20"/>
                <w:szCs w:val="20"/>
                <w:color w:val="auto"/>
              </w:rPr>
            </w:pPr>
            <w:r>
              <w:rPr>
                <w:rFonts w:ascii="Times New Roman" w:cs="Times New Roman" w:eastAsia="Times New Roman" w:hAnsi="Times New Roman"/>
                <w:sz w:val="18"/>
                <w:szCs w:val="18"/>
                <w:color w:val="0000FF"/>
                <w:w w:val="99"/>
              </w:rPr>
              <w:t>Term Loan Spread</w:t>
            </w:r>
          </w:p>
        </w:tc>
        <w:tc>
          <w:tcPr>
            <w:tcW w:w="0" w:type="dxa"/>
            <w:vAlign w:val="bottom"/>
          </w:tcPr>
          <w:p>
            <w:pPr>
              <w:spacing w:after="0"/>
              <w:rPr>
                <w:sz w:val="1"/>
                <w:szCs w:val="1"/>
                <w:color w:val="auto"/>
              </w:rPr>
            </w:pPr>
          </w:p>
        </w:tc>
      </w:tr>
      <w:tr>
        <w:trPr>
          <w:trHeight w:val="88"/>
        </w:trPr>
        <w:tc>
          <w:tcPr>
            <w:tcW w:w="860" w:type="dxa"/>
            <w:vAlign w:val="bottom"/>
            <w:tcBorders>
              <w:left w:val="single" w:sz="8" w:color="auto"/>
            </w:tcBorders>
            <w:shd w:val="clear" w:color="auto" w:fill="FFFFFE"/>
          </w:tcPr>
          <w:p>
            <w:pPr>
              <w:spacing w:after="0"/>
              <w:rPr>
                <w:sz w:val="7"/>
                <w:szCs w:val="7"/>
                <w:color w:val="auto"/>
              </w:rPr>
            </w:pPr>
          </w:p>
        </w:tc>
        <w:tc>
          <w:tcPr>
            <w:tcW w:w="1540" w:type="dxa"/>
            <w:vAlign w:val="bottom"/>
            <w:tcBorders>
              <w:right w:val="single" w:sz="8" w:color="auto"/>
            </w:tcBorders>
            <w:gridSpan w:val="10"/>
            <w:vMerge w:val="continue"/>
            <w:shd w:val="clear" w:color="auto" w:fill="FFFFFE"/>
          </w:tcPr>
          <w:p>
            <w:pPr>
              <w:spacing w:after="0"/>
              <w:rPr>
                <w:sz w:val="7"/>
                <w:szCs w:val="7"/>
                <w:color w:val="auto"/>
              </w:rPr>
            </w:pPr>
          </w:p>
        </w:tc>
        <w:tc>
          <w:tcPr>
            <w:tcW w:w="580" w:type="dxa"/>
            <w:vAlign w:val="bottom"/>
            <w:shd w:val="clear" w:color="auto" w:fill="FFFFFE"/>
          </w:tcPr>
          <w:p>
            <w:pPr>
              <w:spacing w:after="0"/>
              <w:rPr>
                <w:sz w:val="7"/>
                <w:szCs w:val="7"/>
                <w:color w:val="auto"/>
              </w:rPr>
            </w:pPr>
          </w:p>
        </w:tc>
        <w:tc>
          <w:tcPr>
            <w:tcW w:w="2440" w:type="dxa"/>
            <w:vAlign w:val="bottom"/>
            <w:tcBorders>
              <w:right w:val="single" w:sz="8" w:color="auto"/>
            </w:tcBorders>
            <w:gridSpan w:val="6"/>
            <w:vMerge w:val="continue"/>
            <w:shd w:val="clear" w:color="auto" w:fill="FFFFFE"/>
          </w:tcPr>
          <w:p>
            <w:pPr>
              <w:spacing w:after="0"/>
              <w:rPr>
                <w:sz w:val="7"/>
                <w:szCs w:val="7"/>
                <w:color w:val="auto"/>
              </w:rPr>
            </w:pPr>
          </w:p>
        </w:tc>
        <w:tc>
          <w:tcPr>
            <w:tcW w:w="560" w:type="dxa"/>
            <w:vAlign w:val="bottom"/>
            <w:shd w:val="clear" w:color="auto" w:fill="FFFFFE"/>
          </w:tcPr>
          <w:p>
            <w:pPr>
              <w:spacing w:after="0"/>
              <w:rPr>
                <w:sz w:val="7"/>
                <w:szCs w:val="7"/>
                <w:color w:val="auto"/>
              </w:rPr>
            </w:pPr>
          </w:p>
        </w:tc>
        <w:tc>
          <w:tcPr>
            <w:tcW w:w="400" w:type="dxa"/>
            <w:vAlign w:val="bottom"/>
            <w:shd w:val="clear" w:color="auto" w:fill="FFFFFE"/>
          </w:tcPr>
          <w:p>
            <w:pPr>
              <w:spacing w:after="0"/>
              <w:rPr>
                <w:sz w:val="7"/>
                <w:szCs w:val="7"/>
                <w:color w:val="auto"/>
              </w:rPr>
            </w:pPr>
          </w:p>
        </w:tc>
        <w:tc>
          <w:tcPr>
            <w:tcW w:w="1960" w:type="dxa"/>
            <w:vAlign w:val="bottom"/>
            <w:tcBorders>
              <w:right w:val="single" w:sz="8" w:color="auto"/>
            </w:tcBorders>
            <w:gridSpan w:val="11"/>
            <w:vMerge w:val="restart"/>
            <w:shd w:val="clear" w:color="auto" w:fill="FFFFFE"/>
          </w:tcPr>
          <w:p>
            <w:pPr>
              <w:jc w:val="center"/>
              <w:ind w:right="1000"/>
              <w:spacing w:after="0" w:line="156" w:lineRule="exact"/>
              <w:rPr>
                <w:sz w:val="20"/>
                <w:szCs w:val="20"/>
                <w:color w:val="auto"/>
              </w:rPr>
            </w:pPr>
            <w:r>
              <w:rPr>
                <w:rFonts w:ascii="Times New Roman" w:cs="Times New Roman" w:eastAsia="Times New Roman" w:hAnsi="Times New Roman"/>
                <w:sz w:val="18"/>
                <w:szCs w:val="18"/>
                <w:color w:val="0000FF"/>
              </w:rPr>
              <w:t>(Per Annum)</w:t>
            </w:r>
          </w:p>
        </w:tc>
        <w:tc>
          <w:tcPr>
            <w:tcW w:w="640" w:type="dxa"/>
            <w:vAlign w:val="bottom"/>
            <w:shd w:val="clear" w:color="auto" w:fill="FFFFFE"/>
          </w:tcPr>
          <w:p>
            <w:pPr>
              <w:spacing w:after="0"/>
              <w:rPr>
                <w:sz w:val="7"/>
                <w:szCs w:val="7"/>
                <w:color w:val="auto"/>
              </w:rPr>
            </w:pPr>
          </w:p>
        </w:tc>
        <w:tc>
          <w:tcPr>
            <w:tcW w:w="20" w:type="dxa"/>
            <w:vAlign w:val="bottom"/>
            <w:shd w:val="clear" w:color="auto" w:fill="FFFFFE"/>
          </w:tcPr>
          <w:p>
            <w:pPr>
              <w:spacing w:after="0"/>
              <w:rPr>
                <w:sz w:val="7"/>
                <w:szCs w:val="7"/>
                <w:color w:val="auto"/>
              </w:rPr>
            </w:pPr>
          </w:p>
        </w:tc>
        <w:tc>
          <w:tcPr>
            <w:tcW w:w="100" w:type="dxa"/>
            <w:vAlign w:val="bottom"/>
            <w:shd w:val="clear" w:color="auto" w:fill="FFFFFE"/>
          </w:tcPr>
          <w:p>
            <w:pPr>
              <w:spacing w:after="0"/>
              <w:rPr>
                <w:sz w:val="7"/>
                <w:szCs w:val="7"/>
                <w:color w:val="auto"/>
              </w:rPr>
            </w:pPr>
          </w:p>
        </w:tc>
        <w:tc>
          <w:tcPr>
            <w:tcW w:w="2140" w:type="dxa"/>
            <w:vAlign w:val="bottom"/>
            <w:tcBorders>
              <w:right w:val="single" w:sz="8" w:color="auto"/>
            </w:tcBorders>
            <w:gridSpan w:val="8"/>
            <w:vMerge w:val="continue"/>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10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20" w:type="dxa"/>
            <w:vAlign w:val="bottom"/>
            <w:tcBorders>
              <w:top w:val="single" w:sz="8" w:color="0000FF"/>
            </w:tcBorders>
            <w:shd w:val="clear" w:color="auto" w:fill="FFFFFE"/>
          </w:tcPr>
          <w:p>
            <w:pPr>
              <w:spacing w:after="0"/>
              <w:rPr>
                <w:sz w:val="7"/>
                <w:szCs w:val="7"/>
                <w:color w:val="auto"/>
              </w:rPr>
            </w:pPr>
          </w:p>
        </w:tc>
        <w:tc>
          <w:tcPr>
            <w:tcW w:w="880" w:type="dxa"/>
            <w:vAlign w:val="bottom"/>
            <w:tcBorders>
              <w:top w:val="single" w:sz="8" w:color="FFFFFE"/>
              <w:right w:val="single" w:sz="8" w:color="auto"/>
            </w:tcBorders>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0000FF"/>
            </w:tcBorders>
            <w:shd w:val="clear" w:color="auto" w:fill="FFFFFE"/>
          </w:tcPr>
          <w:p>
            <w:pPr>
              <w:spacing w:after="0"/>
              <w:rPr>
                <w:sz w:val="7"/>
                <w:szCs w:val="7"/>
                <w:color w:val="auto"/>
              </w:rPr>
            </w:pPr>
          </w:p>
        </w:tc>
        <w:tc>
          <w:tcPr>
            <w:tcW w:w="140" w:type="dxa"/>
            <w:vAlign w:val="bottom"/>
            <w:tcBorders>
              <w:top w:val="single" w:sz="8" w:color="0000FF"/>
            </w:tcBorders>
            <w:shd w:val="clear" w:color="auto" w:fill="FFFFFE"/>
          </w:tcPr>
          <w:p>
            <w:pPr>
              <w:spacing w:after="0"/>
              <w:rPr>
                <w:sz w:val="7"/>
                <w:szCs w:val="7"/>
                <w:color w:val="auto"/>
              </w:rPr>
            </w:pPr>
          </w:p>
        </w:tc>
        <w:tc>
          <w:tcPr>
            <w:tcW w:w="540" w:type="dxa"/>
            <w:vAlign w:val="bottom"/>
            <w:tcBorders>
              <w:top w:val="single" w:sz="8" w:color="0000FF"/>
            </w:tcBorders>
            <w:shd w:val="clear" w:color="auto" w:fill="FFFFFE"/>
          </w:tcPr>
          <w:p>
            <w:pPr>
              <w:spacing w:after="0"/>
              <w:rPr>
                <w:sz w:val="7"/>
                <w:szCs w:val="7"/>
                <w:color w:val="auto"/>
              </w:rPr>
            </w:pPr>
          </w:p>
        </w:tc>
        <w:tc>
          <w:tcPr>
            <w:tcW w:w="140" w:type="dxa"/>
            <w:vAlign w:val="bottom"/>
            <w:tcBorders>
              <w:top w:val="single" w:sz="8" w:color="0000FF"/>
            </w:tcBorders>
            <w:shd w:val="clear" w:color="auto" w:fill="FFFFFE"/>
          </w:tcPr>
          <w:p>
            <w:pPr>
              <w:spacing w:after="0"/>
              <w:rPr>
                <w:sz w:val="7"/>
                <w:szCs w:val="7"/>
                <w:color w:val="auto"/>
              </w:rPr>
            </w:pPr>
          </w:p>
        </w:tc>
        <w:tc>
          <w:tcPr>
            <w:tcW w:w="500" w:type="dxa"/>
            <w:vAlign w:val="bottom"/>
            <w:tcBorders>
              <w:top w:val="single" w:sz="8" w:color="0000FF"/>
            </w:tcBorders>
            <w:shd w:val="clear" w:color="auto" w:fill="FFFFFE"/>
          </w:tcPr>
          <w:p>
            <w:pPr>
              <w:spacing w:after="0"/>
              <w:rPr>
                <w:sz w:val="7"/>
                <w:szCs w:val="7"/>
                <w:color w:val="auto"/>
              </w:rPr>
            </w:pPr>
          </w:p>
        </w:tc>
        <w:tc>
          <w:tcPr>
            <w:tcW w:w="620" w:type="dxa"/>
            <w:vAlign w:val="bottom"/>
            <w:tcBorders>
              <w:top w:val="single" w:sz="8" w:color="FFFFFE"/>
              <w:right w:val="single" w:sz="8" w:color="auto"/>
            </w:tcBorders>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1960" w:type="dxa"/>
            <w:vAlign w:val="bottom"/>
            <w:tcBorders>
              <w:top w:val="single" w:sz="8" w:color="FFFFFE"/>
              <w:right w:val="single" w:sz="8" w:color="auto"/>
            </w:tcBorders>
            <w:gridSpan w:val="11"/>
            <w:vMerge w:val="continue"/>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0000FF"/>
            </w:tcBorders>
            <w:shd w:val="clear" w:color="auto" w:fill="FFFFFE"/>
          </w:tcPr>
          <w:p>
            <w:pPr>
              <w:spacing w:after="0"/>
              <w:rPr>
                <w:sz w:val="7"/>
                <w:szCs w:val="7"/>
                <w:color w:val="auto"/>
              </w:rPr>
            </w:pPr>
          </w:p>
        </w:tc>
        <w:tc>
          <w:tcPr>
            <w:tcW w:w="1140" w:type="dxa"/>
            <w:vAlign w:val="bottom"/>
            <w:tcBorders>
              <w:top w:val="single" w:sz="8" w:color="0000FF"/>
            </w:tcBorders>
            <w:gridSpan w:val="5"/>
            <w:vMerge w:val="restart"/>
            <w:shd w:val="clear" w:color="auto" w:fill="FFFFFE"/>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0000FF"/>
                <w:w w:val="99"/>
              </w:rPr>
              <w:t>(Per Annum)</w:t>
            </w:r>
          </w:p>
        </w:tc>
        <w:tc>
          <w:tcPr>
            <w:tcW w:w="800" w:type="dxa"/>
            <w:vAlign w:val="bottom"/>
            <w:tcBorders>
              <w:top w:val="single" w:sz="8" w:color="FFFFFE"/>
              <w:right w:val="single" w:sz="8" w:color="auto"/>
            </w:tcBorders>
            <w:gridSpan w:val="2"/>
            <w:vMerge w:val="restart"/>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880" w:type="dxa"/>
            <w:vAlign w:val="bottom"/>
            <w:tcBorders>
              <w:top w:val="single" w:sz="8" w:color="FFFFFE"/>
              <w:right w:val="single" w:sz="8" w:color="auto"/>
            </w:tcBorders>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FFFFFE"/>
            </w:tcBorders>
            <w:shd w:val="clear" w:color="auto" w:fill="FFFFFE"/>
          </w:tcPr>
          <w:p>
            <w:pPr>
              <w:spacing w:after="0"/>
              <w:rPr>
                <w:sz w:val="7"/>
                <w:szCs w:val="7"/>
                <w:color w:val="auto"/>
              </w:rPr>
            </w:pPr>
          </w:p>
        </w:tc>
        <w:tc>
          <w:tcPr>
            <w:tcW w:w="54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620" w:type="dxa"/>
            <w:vAlign w:val="bottom"/>
            <w:tcBorders>
              <w:top w:val="single" w:sz="8" w:color="FFFFFE"/>
              <w:right w:val="single" w:sz="8" w:color="auto"/>
            </w:tcBorders>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10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40" w:type="dxa"/>
            <w:vAlign w:val="bottom"/>
            <w:tcBorders>
              <w:top w:val="single" w:sz="8" w:color="0000FF"/>
            </w:tcBorders>
            <w:shd w:val="clear" w:color="auto" w:fill="FFFFFE"/>
          </w:tcPr>
          <w:p>
            <w:pPr>
              <w:spacing w:after="0"/>
              <w:rPr>
                <w:sz w:val="7"/>
                <w:szCs w:val="7"/>
                <w:color w:val="auto"/>
              </w:rPr>
            </w:pPr>
          </w:p>
        </w:tc>
        <w:tc>
          <w:tcPr>
            <w:tcW w:w="600" w:type="dxa"/>
            <w:vAlign w:val="bottom"/>
            <w:tcBorders>
              <w:top w:val="single" w:sz="8" w:color="0000FF"/>
            </w:tcBorders>
            <w:shd w:val="clear" w:color="auto" w:fill="FFFFFE"/>
          </w:tcPr>
          <w:p>
            <w:pPr>
              <w:spacing w:after="0"/>
              <w:rPr>
                <w:sz w:val="7"/>
                <w:szCs w:val="7"/>
                <w:color w:val="auto"/>
              </w:rPr>
            </w:pPr>
          </w:p>
        </w:tc>
        <w:tc>
          <w:tcPr>
            <w:tcW w:w="40" w:type="dxa"/>
            <w:vAlign w:val="bottom"/>
            <w:tcBorders>
              <w:top w:val="single" w:sz="8" w:color="0000FF"/>
            </w:tcBorders>
            <w:shd w:val="clear" w:color="auto" w:fill="FFFFFE"/>
          </w:tcPr>
          <w:p>
            <w:pPr>
              <w:spacing w:after="0"/>
              <w:rPr>
                <w:sz w:val="7"/>
                <w:szCs w:val="7"/>
                <w:color w:val="auto"/>
              </w:rPr>
            </w:pPr>
          </w:p>
        </w:tc>
        <w:tc>
          <w:tcPr>
            <w:tcW w:w="1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38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FFFFFE"/>
              <w:right w:val="single" w:sz="8" w:color="auto"/>
            </w:tcBorders>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140" w:type="dxa"/>
            <w:vAlign w:val="bottom"/>
            <w:tcBorders>
              <w:top w:val="single" w:sz="8" w:color="0000FF"/>
            </w:tcBorders>
            <w:gridSpan w:val="5"/>
            <w:vMerge w:val="continue"/>
            <w:shd w:val="clear" w:color="auto" w:fill="FFFFFE"/>
          </w:tcPr>
          <w:p>
            <w:pPr>
              <w:spacing w:after="0"/>
              <w:rPr>
                <w:sz w:val="7"/>
                <w:szCs w:val="7"/>
                <w:color w:val="auto"/>
              </w:rPr>
            </w:pPr>
          </w:p>
        </w:tc>
        <w:tc>
          <w:tcPr>
            <w:tcW w:w="800" w:type="dxa"/>
            <w:vAlign w:val="bottom"/>
            <w:tcBorders>
              <w:top w:val="single" w:sz="8" w:color="FFFFFE"/>
              <w:right w:val="single" w:sz="8" w:color="auto"/>
            </w:tcBorders>
            <w:gridSpan w:val="2"/>
            <w:vMerge w:val="continue"/>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0000FF"/>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680" w:type="dxa"/>
            <w:vAlign w:val="bottom"/>
            <w:tcBorders>
              <w:top w:val="single" w:sz="8" w:color="0000FF"/>
              <w:bottom w:val="single" w:sz="8" w:color="auto"/>
            </w:tcBorders>
            <w:shd w:val="clear" w:color="auto" w:fill="FFFFFE"/>
          </w:tcPr>
          <w:p>
            <w:pPr>
              <w:spacing w:after="0"/>
              <w:rPr>
                <w:sz w:val="5"/>
                <w:szCs w:val="5"/>
                <w:color w:val="auto"/>
              </w:rPr>
            </w:pPr>
          </w:p>
        </w:tc>
        <w:tc>
          <w:tcPr>
            <w:tcW w:w="120" w:type="dxa"/>
            <w:vAlign w:val="bottom"/>
            <w:tcBorders>
              <w:top w:val="single" w:sz="8" w:color="0000FF"/>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left w:val="single" w:sz="8" w:color="auto"/>
            </w:tcBorders>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22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260" w:type="dxa"/>
            <w:vAlign w:val="bottom"/>
            <w:tcBorders>
              <w:right w:val="single" w:sz="8" w:color="auto"/>
            </w:tcBorders>
            <w:gridSpan w:val="6"/>
            <w:shd w:val="clear" w:color="auto" w:fill="FFFFFE"/>
          </w:tcPr>
          <w:p>
            <w:pPr>
              <w:jc w:val="center"/>
              <w:ind w:right="1160"/>
              <w:spacing w:after="0"/>
              <w:rPr>
                <w:sz w:val="20"/>
                <w:szCs w:val="20"/>
                <w:color w:val="auto"/>
              </w:rPr>
            </w:pPr>
            <w:r>
              <w:rPr>
                <w:rFonts w:ascii="Times New Roman" w:cs="Times New Roman" w:eastAsia="Times New Roman" w:hAnsi="Times New Roman"/>
                <w:sz w:val="18"/>
                <w:szCs w:val="18"/>
                <w:u w:val="single" w:color="auto"/>
                <w:color w:val="0000FF"/>
                <w:w w:val="99"/>
              </w:rPr>
              <w:t>I</w:t>
            </w:r>
          </w:p>
        </w:tc>
        <w:tc>
          <w:tcPr>
            <w:tcW w:w="580" w:type="dxa"/>
            <w:vAlign w:val="bottom"/>
            <w:shd w:val="clear" w:color="auto" w:fill="FFFFFE"/>
          </w:tcPr>
          <w:p>
            <w:pPr>
              <w:spacing w:after="0"/>
              <w:rPr>
                <w:sz w:val="24"/>
                <w:szCs w:val="24"/>
                <w:color w:val="auto"/>
              </w:rPr>
            </w:pPr>
          </w:p>
        </w:tc>
        <w:tc>
          <w:tcPr>
            <w:tcW w:w="500" w:type="dxa"/>
            <w:vAlign w:val="bottom"/>
            <w:shd w:val="clear" w:color="auto" w:fill="FFFFFE"/>
          </w:tcPr>
          <w:p>
            <w:pPr>
              <w:spacing w:after="0"/>
              <w:rPr>
                <w:sz w:val="24"/>
                <w:szCs w:val="24"/>
                <w:color w:val="auto"/>
              </w:rPr>
            </w:pPr>
          </w:p>
        </w:tc>
        <w:tc>
          <w:tcPr>
            <w:tcW w:w="140" w:type="dxa"/>
            <w:vAlign w:val="bottom"/>
            <w:shd w:val="clear" w:color="auto" w:fill="FFFFFE"/>
          </w:tcPr>
          <w:p>
            <w:pPr>
              <w:spacing w:after="0"/>
              <w:rPr>
                <w:sz w:val="24"/>
                <w:szCs w:val="24"/>
                <w:color w:val="auto"/>
              </w:rPr>
            </w:pPr>
          </w:p>
        </w:tc>
        <w:tc>
          <w:tcPr>
            <w:tcW w:w="1800" w:type="dxa"/>
            <w:vAlign w:val="bottom"/>
            <w:tcBorders>
              <w:right w:val="single" w:sz="8" w:color="auto"/>
            </w:tcBorders>
            <w:gridSpan w:val="4"/>
            <w:shd w:val="clear" w:color="auto" w:fill="FFFFFE"/>
          </w:tcPr>
          <w:p>
            <w:pPr>
              <w:jc w:val="center"/>
              <w:ind w:right="1260"/>
              <w:spacing w:after="0"/>
              <w:rPr>
                <w:sz w:val="20"/>
                <w:szCs w:val="20"/>
                <w:color w:val="auto"/>
              </w:rPr>
            </w:pPr>
            <w:r>
              <w:rPr>
                <w:rFonts w:ascii="Times New Roman" w:cs="Times New Roman" w:eastAsia="Times New Roman" w:hAnsi="Times New Roman"/>
                <w:sz w:val="18"/>
                <w:szCs w:val="18"/>
                <w:color w:val="0000FF"/>
                <w:w w:val="98"/>
              </w:rPr>
              <w:t>≤ 0.75x</w:t>
            </w:r>
          </w:p>
        </w:tc>
        <w:tc>
          <w:tcPr>
            <w:tcW w:w="560" w:type="dxa"/>
            <w:vAlign w:val="bottom"/>
            <w:shd w:val="clear" w:color="auto" w:fill="FFFFFE"/>
          </w:tcPr>
          <w:p>
            <w:pPr>
              <w:spacing w:after="0"/>
              <w:rPr>
                <w:sz w:val="24"/>
                <w:szCs w:val="24"/>
                <w:color w:val="auto"/>
              </w:rPr>
            </w:pPr>
          </w:p>
        </w:tc>
        <w:tc>
          <w:tcPr>
            <w:tcW w:w="4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8"/>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8"/>
              </w:rPr>
              <w:t>12.5 bps</w:t>
            </w:r>
          </w:p>
        </w:tc>
        <w:tc>
          <w:tcPr>
            <w:tcW w:w="64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0" w:type="dxa"/>
            <w:vAlign w:val="bottom"/>
            <w:shd w:val="clear" w:color="auto" w:fill="FFFFFE"/>
          </w:tcPr>
          <w:p>
            <w:pPr>
              <w:spacing w:after="0"/>
              <w:rPr>
                <w:sz w:val="24"/>
                <w:szCs w:val="24"/>
                <w:color w:val="auto"/>
              </w:rPr>
            </w:pPr>
          </w:p>
        </w:tc>
        <w:tc>
          <w:tcPr>
            <w:tcW w:w="1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6"/>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112.5 bps</w:t>
            </w: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0000FF"/>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0000FF"/>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680" w:type="dxa"/>
            <w:vAlign w:val="bottom"/>
            <w:tcBorders>
              <w:top w:val="single" w:sz="8" w:color="0000FF"/>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left w:val="single" w:sz="8" w:color="auto"/>
            </w:tcBorders>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22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260" w:type="dxa"/>
            <w:vAlign w:val="bottom"/>
            <w:tcBorders>
              <w:right w:val="single" w:sz="8" w:color="auto"/>
            </w:tcBorders>
            <w:gridSpan w:val="6"/>
            <w:vMerge w:val="restart"/>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9"/>
              </w:rPr>
              <w:t>II</w:t>
            </w:r>
          </w:p>
        </w:tc>
        <w:tc>
          <w:tcPr>
            <w:tcW w:w="580" w:type="dxa"/>
            <w:vAlign w:val="bottom"/>
            <w:shd w:val="clear" w:color="auto" w:fill="FFFFFE"/>
          </w:tcPr>
          <w:p>
            <w:pPr>
              <w:spacing w:after="0"/>
              <w:rPr>
                <w:sz w:val="24"/>
                <w:szCs w:val="24"/>
                <w:color w:val="auto"/>
              </w:rPr>
            </w:pPr>
          </w:p>
        </w:tc>
        <w:tc>
          <w:tcPr>
            <w:tcW w:w="2440" w:type="dxa"/>
            <w:vAlign w:val="bottom"/>
            <w:tcBorders>
              <w:right w:val="single" w:sz="8" w:color="auto"/>
            </w:tcBorders>
            <w:gridSpan w:val="6"/>
            <w:shd w:val="clear" w:color="auto" w:fill="FFFFFE"/>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&gt; 0.75x but</w:t>
            </w:r>
          </w:p>
        </w:tc>
        <w:tc>
          <w:tcPr>
            <w:tcW w:w="560" w:type="dxa"/>
            <w:vAlign w:val="bottom"/>
            <w:shd w:val="clear" w:color="auto" w:fill="FFFFFE"/>
          </w:tcPr>
          <w:p>
            <w:pPr>
              <w:spacing w:after="0"/>
              <w:rPr>
                <w:sz w:val="24"/>
                <w:szCs w:val="24"/>
                <w:color w:val="auto"/>
              </w:rPr>
            </w:pPr>
          </w:p>
        </w:tc>
        <w:tc>
          <w:tcPr>
            <w:tcW w:w="4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8"/>
            <w:vMerge w:val="restart"/>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8"/>
              </w:rPr>
              <w:t>25.0 bps</w:t>
            </w:r>
          </w:p>
        </w:tc>
        <w:tc>
          <w:tcPr>
            <w:tcW w:w="64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0" w:type="dxa"/>
            <w:vAlign w:val="bottom"/>
            <w:shd w:val="clear" w:color="auto" w:fill="FFFFFE"/>
          </w:tcPr>
          <w:p>
            <w:pPr>
              <w:spacing w:after="0"/>
              <w:rPr>
                <w:sz w:val="24"/>
                <w:szCs w:val="24"/>
                <w:color w:val="auto"/>
              </w:rPr>
            </w:pPr>
          </w:p>
        </w:tc>
        <w:tc>
          <w:tcPr>
            <w:tcW w:w="1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6"/>
            <w:vMerge w:val="restart"/>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125.0 bps</w:t>
            </w: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260" w:type="dxa"/>
            <w:vAlign w:val="bottom"/>
            <w:tcBorders>
              <w:top w:val="single" w:sz="8" w:color="FFFFFE"/>
              <w:right w:val="single" w:sz="8" w:color="auto"/>
            </w:tcBorders>
            <w:gridSpan w:val="6"/>
            <w:vMerge w:val="continue"/>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gridSpan w:val="2"/>
            <w:vMerge w:val="restart"/>
            <w:shd w:val="clear" w:color="auto" w:fill="FFFFFE"/>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8"/>
              </w:rPr>
              <w:t>≤ 1.25x</w:t>
            </w:r>
          </w:p>
        </w:tc>
        <w:tc>
          <w:tcPr>
            <w:tcW w:w="1120" w:type="dxa"/>
            <w:vAlign w:val="bottom"/>
            <w:tcBorders>
              <w:top w:val="single" w:sz="8" w:color="FFFFFE"/>
              <w:right w:val="single" w:sz="8" w:color="auto"/>
            </w:tcBorders>
            <w:gridSpan w:val="2"/>
            <w:vMerge w:val="restart"/>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8"/>
            <w:vMerge w:val="continue"/>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6"/>
            <w:vMerge w:val="continue"/>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880" w:type="dxa"/>
            <w:vAlign w:val="bottom"/>
            <w:tcBorders>
              <w:top w:val="single" w:sz="8" w:color="FFFFFE"/>
              <w:right w:val="single" w:sz="8" w:color="auto"/>
            </w:tcBorders>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0000FF"/>
            </w:tcBorders>
            <w:gridSpan w:val="2"/>
            <w:vMerge w:val="continue"/>
            <w:shd w:val="clear" w:color="auto" w:fill="FFFFFE"/>
          </w:tcPr>
          <w:p>
            <w:pPr>
              <w:spacing w:after="0"/>
              <w:rPr>
                <w:sz w:val="7"/>
                <w:szCs w:val="7"/>
                <w:color w:val="auto"/>
              </w:rPr>
            </w:pPr>
          </w:p>
        </w:tc>
        <w:tc>
          <w:tcPr>
            <w:tcW w:w="1120" w:type="dxa"/>
            <w:vAlign w:val="bottom"/>
            <w:tcBorders>
              <w:top w:val="single" w:sz="8" w:color="FFFFFE"/>
              <w:right w:val="single" w:sz="8" w:color="auto"/>
            </w:tcBorders>
            <w:gridSpan w:val="2"/>
            <w:vMerge w:val="continue"/>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0000FF"/>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38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FFFFFE"/>
              <w:right w:val="single" w:sz="8" w:color="auto"/>
            </w:tcBorders>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FFFFFE"/>
              <w:right w:val="single" w:sz="8" w:color="auto"/>
            </w:tcBorders>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0000FF"/>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left w:val="single" w:sz="8" w:color="auto"/>
            </w:tcBorders>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220" w:type="dxa"/>
            <w:vAlign w:val="bottom"/>
            <w:shd w:val="clear" w:color="auto" w:fill="FFFFFE"/>
          </w:tcPr>
          <w:p>
            <w:pPr>
              <w:spacing w:after="0"/>
              <w:rPr>
                <w:sz w:val="24"/>
                <w:szCs w:val="24"/>
                <w:color w:val="auto"/>
              </w:rPr>
            </w:pPr>
          </w:p>
        </w:tc>
        <w:tc>
          <w:tcPr>
            <w:tcW w:w="1300" w:type="dxa"/>
            <w:vAlign w:val="bottom"/>
            <w:tcBorders>
              <w:right w:val="single" w:sz="8" w:color="auto"/>
            </w:tcBorders>
            <w:gridSpan w:val="8"/>
            <w:vMerge w:val="restart"/>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III</w:t>
            </w:r>
          </w:p>
        </w:tc>
        <w:tc>
          <w:tcPr>
            <w:tcW w:w="580" w:type="dxa"/>
            <w:vAlign w:val="bottom"/>
            <w:shd w:val="clear" w:color="auto" w:fill="FFFFFE"/>
          </w:tcPr>
          <w:p>
            <w:pPr>
              <w:spacing w:after="0"/>
              <w:rPr>
                <w:sz w:val="24"/>
                <w:szCs w:val="24"/>
                <w:color w:val="auto"/>
              </w:rPr>
            </w:pPr>
          </w:p>
        </w:tc>
        <w:tc>
          <w:tcPr>
            <w:tcW w:w="2440" w:type="dxa"/>
            <w:vAlign w:val="bottom"/>
            <w:tcBorders>
              <w:right w:val="single" w:sz="8" w:color="auto"/>
            </w:tcBorders>
            <w:gridSpan w:val="6"/>
            <w:shd w:val="clear" w:color="auto" w:fill="FFFFFE"/>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&gt; 1.25x but</w:t>
            </w:r>
          </w:p>
        </w:tc>
        <w:tc>
          <w:tcPr>
            <w:tcW w:w="560" w:type="dxa"/>
            <w:vAlign w:val="bottom"/>
            <w:shd w:val="clear" w:color="auto" w:fill="FFFFFE"/>
          </w:tcPr>
          <w:p>
            <w:pPr>
              <w:spacing w:after="0"/>
              <w:rPr>
                <w:sz w:val="24"/>
                <w:szCs w:val="24"/>
                <w:color w:val="auto"/>
              </w:rPr>
            </w:pPr>
          </w:p>
        </w:tc>
        <w:tc>
          <w:tcPr>
            <w:tcW w:w="4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8"/>
            <w:vMerge w:val="restart"/>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8"/>
              </w:rPr>
              <w:t>37.5 bps</w:t>
            </w:r>
          </w:p>
        </w:tc>
        <w:tc>
          <w:tcPr>
            <w:tcW w:w="64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0" w:type="dxa"/>
            <w:vAlign w:val="bottom"/>
            <w:shd w:val="clear" w:color="auto" w:fill="FFFFFE"/>
          </w:tcPr>
          <w:p>
            <w:pPr>
              <w:spacing w:after="0"/>
              <w:rPr>
                <w:sz w:val="24"/>
                <w:szCs w:val="24"/>
                <w:color w:val="auto"/>
              </w:rPr>
            </w:pPr>
          </w:p>
        </w:tc>
        <w:tc>
          <w:tcPr>
            <w:tcW w:w="1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6"/>
            <w:vMerge w:val="restart"/>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137.5 bps</w:t>
            </w: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1300" w:type="dxa"/>
            <w:vAlign w:val="bottom"/>
            <w:tcBorders>
              <w:top w:val="single" w:sz="8" w:color="FFFFFE"/>
              <w:right w:val="single" w:sz="8" w:color="auto"/>
            </w:tcBorders>
            <w:gridSpan w:val="8"/>
            <w:vMerge w:val="continue"/>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gridSpan w:val="2"/>
            <w:vMerge w:val="restart"/>
            <w:shd w:val="clear" w:color="auto" w:fill="FFFFFE"/>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8"/>
              </w:rPr>
              <w:t>≤ 2.00x</w:t>
            </w:r>
          </w:p>
        </w:tc>
        <w:tc>
          <w:tcPr>
            <w:tcW w:w="1120" w:type="dxa"/>
            <w:vAlign w:val="bottom"/>
            <w:tcBorders>
              <w:top w:val="single" w:sz="8" w:color="FFFFFE"/>
              <w:right w:val="single" w:sz="8" w:color="auto"/>
            </w:tcBorders>
            <w:gridSpan w:val="2"/>
            <w:vMerge w:val="restart"/>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8"/>
            <w:vMerge w:val="continue"/>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6"/>
            <w:vMerge w:val="continue"/>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10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880" w:type="dxa"/>
            <w:vAlign w:val="bottom"/>
            <w:tcBorders>
              <w:top w:val="single" w:sz="8" w:color="FFFFFE"/>
              <w:right w:val="single" w:sz="8" w:color="auto"/>
            </w:tcBorders>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0000FF"/>
            </w:tcBorders>
            <w:gridSpan w:val="2"/>
            <w:vMerge w:val="continue"/>
            <w:shd w:val="clear" w:color="auto" w:fill="FFFFFE"/>
          </w:tcPr>
          <w:p>
            <w:pPr>
              <w:spacing w:after="0"/>
              <w:rPr>
                <w:sz w:val="7"/>
                <w:szCs w:val="7"/>
                <w:color w:val="auto"/>
              </w:rPr>
            </w:pPr>
          </w:p>
        </w:tc>
        <w:tc>
          <w:tcPr>
            <w:tcW w:w="1120" w:type="dxa"/>
            <w:vAlign w:val="bottom"/>
            <w:tcBorders>
              <w:top w:val="single" w:sz="8" w:color="FFFFFE"/>
              <w:right w:val="single" w:sz="8" w:color="auto"/>
            </w:tcBorders>
            <w:gridSpan w:val="2"/>
            <w:vMerge w:val="continue"/>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0000FF"/>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38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FFFFFE"/>
              <w:right w:val="single" w:sz="8" w:color="auto"/>
            </w:tcBorders>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FFFFFE"/>
              <w:right w:val="single" w:sz="8" w:color="auto"/>
            </w:tcBorders>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0000FF"/>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left w:val="single" w:sz="8" w:color="auto"/>
            </w:tcBorders>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520" w:type="dxa"/>
            <w:vAlign w:val="bottom"/>
            <w:tcBorders>
              <w:right w:val="single" w:sz="8" w:color="auto"/>
            </w:tcBorders>
            <w:gridSpan w:val="9"/>
            <w:vMerge w:val="restart"/>
            <w:shd w:val="clear" w:color="auto" w:fill="FFFFFE"/>
          </w:tcPr>
          <w:p>
            <w:pPr>
              <w:jc w:val="center"/>
              <w:ind w:right="880"/>
              <w:spacing w:after="0"/>
              <w:rPr>
                <w:sz w:val="20"/>
                <w:szCs w:val="20"/>
                <w:color w:val="auto"/>
              </w:rPr>
            </w:pPr>
            <w:r>
              <w:rPr>
                <w:rFonts w:ascii="Times New Roman" w:cs="Times New Roman" w:eastAsia="Times New Roman" w:hAnsi="Times New Roman"/>
                <w:sz w:val="18"/>
                <w:szCs w:val="18"/>
                <w:color w:val="0000FF"/>
              </w:rPr>
              <w:t>IV</w:t>
            </w:r>
          </w:p>
        </w:tc>
        <w:tc>
          <w:tcPr>
            <w:tcW w:w="580" w:type="dxa"/>
            <w:vAlign w:val="bottom"/>
            <w:shd w:val="clear" w:color="auto" w:fill="FFFFFE"/>
          </w:tcPr>
          <w:p>
            <w:pPr>
              <w:spacing w:after="0"/>
              <w:rPr>
                <w:sz w:val="24"/>
                <w:szCs w:val="24"/>
                <w:color w:val="auto"/>
              </w:rPr>
            </w:pPr>
          </w:p>
        </w:tc>
        <w:tc>
          <w:tcPr>
            <w:tcW w:w="2440" w:type="dxa"/>
            <w:vAlign w:val="bottom"/>
            <w:tcBorders>
              <w:right w:val="single" w:sz="8" w:color="auto"/>
            </w:tcBorders>
            <w:gridSpan w:val="6"/>
            <w:shd w:val="clear" w:color="auto" w:fill="FFFFFE"/>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&gt; 2.00x but</w:t>
            </w:r>
          </w:p>
        </w:tc>
        <w:tc>
          <w:tcPr>
            <w:tcW w:w="560" w:type="dxa"/>
            <w:vAlign w:val="bottom"/>
            <w:shd w:val="clear" w:color="auto" w:fill="FFFFFE"/>
          </w:tcPr>
          <w:p>
            <w:pPr>
              <w:spacing w:after="0"/>
              <w:rPr>
                <w:sz w:val="24"/>
                <w:szCs w:val="24"/>
                <w:color w:val="auto"/>
              </w:rPr>
            </w:pPr>
          </w:p>
        </w:tc>
        <w:tc>
          <w:tcPr>
            <w:tcW w:w="4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8"/>
            <w:vMerge w:val="restart"/>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8"/>
              </w:rPr>
              <w:t>62.5 bps</w:t>
            </w:r>
          </w:p>
        </w:tc>
        <w:tc>
          <w:tcPr>
            <w:tcW w:w="64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0" w:type="dxa"/>
            <w:vAlign w:val="bottom"/>
            <w:shd w:val="clear" w:color="auto" w:fill="FFFFFE"/>
          </w:tcPr>
          <w:p>
            <w:pPr>
              <w:spacing w:after="0"/>
              <w:rPr>
                <w:sz w:val="24"/>
                <w:szCs w:val="24"/>
                <w:color w:val="auto"/>
              </w:rPr>
            </w:pPr>
          </w:p>
        </w:tc>
        <w:tc>
          <w:tcPr>
            <w:tcW w:w="1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6"/>
            <w:vMerge w:val="restart"/>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162.5 bps</w:t>
            </w: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520" w:type="dxa"/>
            <w:vAlign w:val="bottom"/>
            <w:tcBorders>
              <w:top w:val="single" w:sz="8" w:color="FFFFFE"/>
              <w:right w:val="single" w:sz="8" w:color="auto"/>
            </w:tcBorders>
            <w:gridSpan w:val="9"/>
            <w:vMerge w:val="continue"/>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gridSpan w:val="2"/>
            <w:vMerge w:val="restart"/>
            <w:shd w:val="clear" w:color="auto" w:fill="FFFFFE"/>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8"/>
              </w:rPr>
              <w:t>≤ 2.50x</w:t>
            </w:r>
          </w:p>
        </w:tc>
        <w:tc>
          <w:tcPr>
            <w:tcW w:w="1120" w:type="dxa"/>
            <w:vAlign w:val="bottom"/>
            <w:tcBorders>
              <w:top w:val="single" w:sz="8" w:color="FFFFFE"/>
              <w:right w:val="single" w:sz="8" w:color="auto"/>
            </w:tcBorders>
            <w:gridSpan w:val="2"/>
            <w:vMerge w:val="restart"/>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8"/>
            <w:vMerge w:val="continue"/>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6"/>
            <w:vMerge w:val="continue"/>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10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880" w:type="dxa"/>
            <w:vAlign w:val="bottom"/>
            <w:tcBorders>
              <w:top w:val="single" w:sz="8" w:color="FFFFFE"/>
              <w:right w:val="single" w:sz="8" w:color="auto"/>
            </w:tcBorders>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0000FF"/>
            </w:tcBorders>
            <w:gridSpan w:val="2"/>
            <w:vMerge w:val="continue"/>
            <w:shd w:val="clear" w:color="auto" w:fill="FFFFFE"/>
          </w:tcPr>
          <w:p>
            <w:pPr>
              <w:spacing w:after="0"/>
              <w:rPr>
                <w:sz w:val="7"/>
                <w:szCs w:val="7"/>
                <w:color w:val="auto"/>
              </w:rPr>
            </w:pPr>
          </w:p>
        </w:tc>
        <w:tc>
          <w:tcPr>
            <w:tcW w:w="1120" w:type="dxa"/>
            <w:vAlign w:val="bottom"/>
            <w:tcBorders>
              <w:top w:val="single" w:sz="8" w:color="FFFFFE"/>
              <w:right w:val="single" w:sz="8" w:color="auto"/>
            </w:tcBorders>
            <w:gridSpan w:val="2"/>
            <w:vMerge w:val="continue"/>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0000FF"/>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38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FFFFFE"/>
              <w:right w:val="single" w:sz="8" w:color="auto"/>
            </w:tcBorders>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FFFFFE"/>
              <w:right w:val="single" w:sz="8" w:color="auto"/>
            </w:tcBorders>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0000FF"/>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left w:val="single" w:sz="8" w:color="auto"/>
            </w:tcBorders>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22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280" w:type="dxa"/>
            <w:vAlign w:val="bottom"/>
            <w:tcBorders>
              <w:right w:val="single" w:sz="8" w:color="auto"/>
            </w:tcBorders>
            <w:gridSpan w:val="7"/>
            <w:vMerge w:val="restart"/>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1"/>
              </w:rPr>
              <w:t>V</w:t>
            </w:r>
          </w:p>
        </w:tc>
        <w:tc>
          <w:tcPr>
            <w:tcW w:w="580" w:type="dxa"/>
            <w:vAlign w:val="bottom"/>
            <w:shd w:val="clear" w:color="auto" w:fill="FFFFFE"/>
          </w:tcPr>
          <w:p>
            <w:pPr>
              <w:spacing w:after="0"/>
              <w:rPr>
                <w:sz w:val="24"/>
                <w:szCs w:val="24"/>
                <w:color w:val="auto"/>
              </w:rPr>
            </w:pPr>
          </w:p>
        </w:tc>
        <w:tc>
          <w:tcPr>
            <w:tcW w:w="2440" w:type="dxa"/>
            <w:vAlign w:val="bottom"/>
            <w:tcBorders>
              <w:right w:val="single" w:sz="8" w:color="auto"/>
            </w:tcBorders>
            <w:gridSpan w:val="6"/>
            <w:shd w:val="clear" w:color="auto" w:fill="FFFFFE"/>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&gt; 2.50x but</w:t>
            </w:r>
          </w:p>
        </w:tc>
        <w:tc>
          <w:tcPr>
            <w:tcW w:w="560" w:type="dxa"/>
            <w:vAlign w:val="bottom"/>
            <w:shd w:val="clear" w:color="auto" w:fill="FFFFFE"/>
          </w:tcPr>
          <w:p>
            <w:pPr>
              <w:spacing w:after="0"/>
              <w:rPr>
                <w:sz w:val="24"/>
                <w:szCs w:val="24"/>
                <w:color w:val="auto"/>
              </w:rPr>
            </w:pPr>
          </w:p>
        </w:tc>
        <w:tc>
          <w:tcPr>
            <w:tcW w:w="4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8"/>
            <w:vMerge w:val="restart"/>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8"/>
              </w:rPr>
              <w:t>87.5 bps</w:t>
            </w:r>
          </w:p>
        </w:tc>
        <w:tc>
          <w:tcPr>
            <w:tcW w:w="64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0" w:type="dxa"/>
            <w:vAlign w:val="bottom"/>
            <w:shd w:val="clear" w:color="auto" w:fill="FFFFFE"/>
          </w:tcPr>
          <w:p>
            <w:pPr>
              <w:spacing w:after="0"/>
              <w:rPr>
                <w:sz w:val="24"/>
                <w:szCs w:val="24"/>
                <w:color w:val="auto"/>
              </w:rPr>
            </w:pPr>
          </w:p>
        </w:tc>
        <w:tc>
          <w:tcPr>
            <w:tcW w:w="1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6"/>
            <w:vMerge w:val="restart"/>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187.5 bps</w:t>
            </w: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280" w:type="dxa"/>
            <w:vAlign w:val="bottom"/>
            <w:tcBorders>
              <w:top w:val="single" w:sz="8" w:color="FFFFFE"/>
              <w:right w:val="single" w:sz="8" w:color="auto"/>
            </w:tcBorders>
            <w:gridSpan w:val="7"/>
            <w:vMerge w:val="continue"/>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gridSpan w:val="2"/>
            <w:vMerge w:val="restart"/>
            <w:shd w:val="clear" w:color="auto" w:fill="FFFFFE"/>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8"/>
              </w:rPr>
              <w:t>≤ 3.00x</w:t>
            </w:r>
          </w:p>
        </w:tc>
        <w:tc>
          <w:tcPr>
            <w:tcW w:w="1120" w:type="dxa"/>
            <w:vAlign w:val="bottom"/>
            <w:tcBorders>
              <w:top w:val="single" w:sz="8" w:color="FFFFFE"/>
              <w:right w:val="single" w:sz="8" w:color="auto"/>
            </w:tcBorders>
            <w:gridSpan w:val="2"/>
            <w:vMerge w:val="restart"/>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8"/>
            <w:vMerge w:val="continue"/>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1820" w:type="dxa"/>
            <w:vAlign w:val="bottom"/>
            <w:tcBorders>
              <w:top w:val="single" w:sz="8" w:color="FFFFFE"/>
              <w:right w:val="single" w:sz="8" w:color="auto"/>
            </w:tcBorders>
            <w:gridSpan w:val="6"/>
            <w:vMerge w:val="continue"/>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FFFFFE"/>
              <w:left w:val="single" w:sz="8" w:color="auto"/>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10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220" w:type="dxa"/>
            <w:vAlign w:val="bottom"/>
            <w:tcBorders>
              <w:top w:val="single" w:sz="8" w:color="FFFFFE"/>
            </w:tcBorders>
            <w:shd w:val="clear" w:color="auto" w:fill="FFFFFE"/>
          </w:tcPr>
          <w:p>
            <w:pPr>
              <w:spacing w:after="0"/>
              <w:rPr>
                <w:sz w:val="7"/>
                <w:szCs w:val="7"/>
                <w:color w:val="auto"/>
              </w:rPr>
            </w:pPr>
          </w:p>
        </w:tc>
        <w:tc>
          <w:tcPr>
            <w:tcW w:w="880" w:type="dxa"/>
            <w:vAlign w:val="bottom"/>
            <w:tcBorders>
              <w:top w:val="single" w:sz="8" w:color="FFFFFE"/>
              <w:right w:val="single" w:sz="8" w:color="auto"/>
            </w:tcBorders>
            <w:shd w:val="clear" w:color="auto" w:fill="FFFFFE"/>
          </w:tcPr>
          <w:p>
            <w:pPr>
              <w:spacing w:after="0"/>
              <w:rPr>
                <w:sz w:val="7"/>
                <w:szCs w:val="7"/>
                <w:color w:val="auto"/>
              </w:rPr>
            </w:pPr>
          </w:p>
        </w:tc>
        <w:tc>
          <w:tcPr>
            <w:tcW w:w="580" w:type="dxa"/>
            <w:vAlign w:val="bottom"/>
            <w:tcBorders>
              <w:top w:val="single" w:sz="8" w:color="FFFFFE"/>
            </w:tcBorders>
            <w:shd w:val="clear" w:color="auto" w:fill="FFFFFE"/>
          </w:tcPr>
          <w:p>
            <w:pPr>
              <w:spacing w:after="0"/>
              <w:rPr>
                <w:sz w:val="7"/>
                <w:szCs w:val="7"/>
                <w:color w:val="auto"/>
              </w:rPr>
            </w:pPr>
          </w:p>
        </w:tc>
        <w:tc>
          <w:tcPr>
            <w:tcW w:w="500" w:type="dxa"/>
            <w:vAlign w:val="bottom"/>
            <w:tcBorders>
              <w:top w:val="single" w:sz="8" w:color="FFFFFE"/>
            </w:tcBorders>
            <w:shd w:val="clear" w:color="auto" w:fill="FFFFFE"/>
          </w:tcPr>
          <w:p>
            <w:pPr>
              <w:spacing w:after="0"/>
              <w:rPr>
                <w:sz w:val="7"/>
                <w:szCs w:val="7"/>
                <w:color w:val="auto"/>
              </w:rPr>
            </w:pPr>
          </w:p>
        </w:tc>
        <w:tc>
          <w:tcPr>
            <w:tcW w:w="14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0000FF"/>
            </w:tcBorders>
            <w:gridSpan w:val="2"/>
            <w:vMerge w:val="continue"/>
            <w:shd w:val="clear" w:color="auto" w:fill="FFFFFE"/>
          </w:tcPr>
          <w:p>
            <w:pPr>
              <w:spacing w:after="0"/>
              <w:rPr>
                <w:sz w:val="7"/>
                <w:szCs w:val="7"/>
                <w:color w:val="auto"/>
              </w:rPr>
            </w:pPr>
          </w:p>
        </w:tc>
        <w:tc>
          <w:tcPr>
            <w:tcW w:w="1120" w:type="dxa"/>
            <w:vAlign w:val="bottom"/>
            <w:tcBorders>
              <w:top w:val="single" w:sz="8" w:color="FFFFFE"/>
              <w:right w:val="single" w:sz="8" w:color="auto"/>
            </w:tcBorders>
            <w:gridSpan w:val="2"/>
            <w:vMerge w:val="continue"/>
            <w:shd w:val="clear" w:color="auto" w:fill="FFFFFE"/>
          </w:tcPr>
          <w:p>
            <w:pPr>
              <w:spacing w:after="0"/>
              <w:rPr>
                <w:sz w:val="7"/>
                <w:szCs w:val="7"/>
                <w:color w:val="auto"/>
              </w:rPr>
            </w:pPr>
          </w:p>
        </w:tc>
        <w:tc>
          <w:tcPr>
            <w:tcW w:w="560" w:type="dxa"/>
            <w:vAlign w:val="bottom"/>
            <w:tcBorders>
              <w:top w:val="single" w:sz="8" w:color="FFFFFE"/>
            </w:tcBorders>
            <w:shd w:val="clear" w:color="auto" w:fill="FFFFFE"/>
          </w:tcPr>
          <w:p>
            <w:pPr>
              <w:spacing w:after="0"/>
              <w:rPr>
                <w:sz w:val="7"/>
                <w:szCs w:val="7"/>
                <w:color w:val="auto"/>
              </w:rPr>
            </w:pPr>
          </w:p>
        </w:tc>
        <w:tc>
          <w:tcPr>
            <w:tcW w:w="4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0000FF"/>
            </w:tcBorders>
            <w:shd w:val="clear" w:color="auto" w:fill="FFFFFE"/>
          </w:tcPr>
          <w:p>
            <w:pPr>
              <w:spacing w:after="0"/>
              <w:rPr>
                <w:sz w:val="7"/>
                <w:szCs w:val="7"/>
                <w:color w:val="auto"/>
              </w:rPr>
            </w:pPr>
          </w:p>
        </w:tc>
        <w:tc>
          <w:tcPr>
            <w:tcW w:w="4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38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600" w:type="dxa"/>
            <w:vAlign w:val="bottom"/>
            <w:tcBorders>
              <w:top w:val="single" w:sz="8" w:color="FFFFFE"/>
              <w:right w:val="single" w:sz="8" w:color="auto"/>
            </w:tcBorders>
            <w:shd w:val="clear" w:color="auto" w:fill="FFFFFE"/>
          </w:tcPr>
          <w:p>
            <w:pPr>
              <w:spacing w:after="0"/>
              <w:rPr>
                <w:sz w:val="7"/>
                <w:szCs w:val="7"/>
                <w:color w:val="auto"/>
              </w:rPr>
            </w:pPr>
          </w:p>
        </w:tc>
        <w:tc>
          <w:tcPr>
            <w:tcW w:w="64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FFFFFE"/>
            </w:tcBorders>
            <w:shd w:val="clear" w:color="auto" w:fill="FFFFFE"/>
          </w:tcPr>
          <w:p>
            <w:pPr>
              <w:spacing w:after="0"/>
              <w:rPr>
                <w:sz w:val="7"/>
                <w:szCs w:val="7"/>
                <w:color w:val="auto"/>
              </w:rPr>
            </w:pPr>
          </w:p>
        </w:tc>
        <w:tc>
          <w:tcPr>
            <w:tcW w:w="10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 w:type="dxa"/>
            <w:vAlign w:val="bottom"/>
            <w:tcBorders>
              <w:top w:val="single" w:sz="8" w:color="0000FF"/>
            </w:tcBorders>
            <w:shd w:val="clear" w:color="auto" w:fill="FFFFFE"/>
          </w:tcPr>
          <w:p>
            <w:pPr>
              <w:spacing w:after="0"/>
              <w:rPr>
                <w:sz w:val="7"/>
                <w:szCs w:val="7"/>
                <w:color w:val="auto"/>
              </w:rPr>
            </w:pPr>
          </w:p>
        </w:tc>
        <w:tc>
          <w:tcPr>
            <w:tcW w:w="680" w:type="dxa"/>
            <w:vAlign w:val="bottom"/>
            <w:tcBorders>
              <w:top w:val="single" w:sz="8" w:color="0000FF"/>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200" w:type="dxa"/>
            <w:vAlign w:val="bottom"/>
            <w:tcBorders>
              <w:top w:val="single" w:sz="8" w:color="FFFFFE"/>
            </w:tcBorders>
            <w:shd w:val="clear" w:color="auto" w:fill="FFFFFE"/>
          </w:tcPr>
          <w:p>
            <w:pPr>
              <w:spacing w:after="0"/>
              <w:rPr>
                <w:sz w:val="7"/>
                <w:szCs w:val="7"/>
                <w:color w:val="auto"/>
              </w:rPr>
            </w:pPr>
          </w:p>
        </w:tc>
        <w:tc>
          <w:tcPr>
            <w:tcW w:w="120" w:type="dxa"/>
            <w:vAlign w:val="bottom"/>
            <w:tcBorders>
              <w:top w:val="single" w:sz="8" w:color="FFFFFE"/>
            </w:tcBorders>
            <w:shd w:val="clear" w:color="auto" w:fill="FFFFFE"/>
          </w:tcPr>
          <w:p>
            <w:pPr>
              <w:spacing w:after="0"/>
              <w:rPr>
                <w:sz w:val="7"/>
                <w:szCs w:val="7"/>
                <w:color w:val="auto"/>
              </w:rPr>
            </w:pPr>
          </w:p>
        </w:tc>
        <w:tc>
          <w:tcPr>
            <w:tcW w:w="680" w:type="dxa"/>
            <w:vAlign w:val="bottom"/>
            <w:tcBorders>
              <w:top w:val="single" w:sz="8" w:color="FFFFFE"/>
              <w:right w:val="single" w:sz="8" w:color="auto"/>
            </w:tcBorders>
            <w:shd w:val="clear" w:color="auto" w:fill="FFFFF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0000FF"/>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tcBorders>
            <w:shd w:val="clear" w:color="auto" w:fill="FFFFFE"/>
          </w:tcPr>
          <w:p>
            <w:pPr>
              <w:spacing w:after="0"/>
              <w:rPr>
                <w:sz w:val="5"/>
                <w:szCs w:val="5"/>
                <w:color w:val="auto"/>
              </w:rPr>
            </w:pPr>
          </w:p>
        </w:tc>
        <w:tc>
          <w:tcPr>
            <w:tcW w:w="4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60" w:type="dxa"/>
            <w:vAlign w:val="bottom"/>
            <w:tcBorders>
              <w:left w:val="single" w:sz="8" w:color="auto"/>
            </w:tcBorders>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520" w:type="dxa"/>
            <w:vAlign w:val="bottom"/>
            <w:tcBorders>
              <w:right w:val="single" w:sz="8" w:color="auto"/>
            </w:tcBorders>
            <w:gridSpan w:val="9"/>
            <w:shd w:val="clear" w:color="auto" w:fill="FFFFFE"/>
          </w:tcPr>
          <w:p>
            <w:pPr>
              <w:jc w:val="center"/>
              <w:ind w:right="880"/>
              <w:spacing w:after="0"/>
              <w:rPr>
                <w:sz w:val="20"/>
                <w:szCs w:val="20"/>
                <w:color w:val="auto"/>
              </w:rPr>
            </w:pPr>
            <w:r>
              <w:rPr>
                <w:rFonts w:ascii="Times New Roman" w:cs="Times New Roman" w:eastAsia="Times New Roman" w:hAnsi="Times New Roman"/>
                <w:sz w:val="18"/>
                <w:szCs w:val="18"/>
                <w:color w:val="0000FF"/>
              </w:rPr>
              <w:t>VI</w:t>
            </w:r>
          </w:p>
        </w:tc>
        <w:tc>
          <w:tcPr>
            <w:tcW w:w="580" w:type="dxa"/>
            <w:vAlign w:val="bottom"/>
            <w:shd w:val="clear" w:color="auto" w:fill="FFFFFE"/>
          </w:tcPr>
          <w:p>
            <w:pPr>
              <w:spacing w:after="0"/>
              <w:rPr>
                <w:sz w:val="24"/>
                <w:szCs w:val="24"/>
                <w:color w:val="auto"/>
              </w:rPr>
            </w:pPr>
          </w:p>
        </w:tc>
        <w:tc>
          <w:tcPr>
            <w:tcW w:w="500" w:type="dxa"/>
            <w:vAlign w:val="bottom"/>
            <w:shd w:val="clear" w:color="auto" w:fill="FFFFFE"/>
          </w:tcPr>
          <w:p>
            <w:pPr>
              <w:spacing w:after="0"/>
              <w:rPr>
                <w:sz w:val="24"/>
                <w:szCs w:val="24"/>
                <w:color w:val="auto"/>
              </w:rPr>
            </w:pPr>
          </w:p>
        </w:tc>
        <w:tc>
          <w:tcPr>
            <w:tcW w:w="140" w:type="dxa"/>
            <w:vAlign w:val="bottom"/>
            <w:shd w:val="clear" w:color="auto" w:fill="FFFFFE"/>
          </w:tcPr>
          <w:p>
            <w:pPr>
              <w:spacing w:after="0"/>
              <w:rPr>
                <w:sz w:val="24"/>
                <w:szCs w:val="24"/>
                <w:color w:val="auto"/>
              </w:rPr>
            </w:pPr>
          </w:p>
        </w:tc>
        <w:tc>
          <w:tcPr>
            <w:tcW w:w="1800" w:type="dxa"/>
            <w:vAlign w:val="bottom"/>
            <w:tcBorders>
              <w:right w:val="single" w:sz="8" w:color="auto"/>
            </w:tcBorders>
            <w:gridSpan w:val="4"/>
            <w:shd w:val="clear" w:color="auto" w:fill="FFFFFE"/>
          </w:tcPr>
          <w:p>
            <w:pPr>
              <w:jc w:val="center"/>
              <w:ind w:right="1260"/>
              <w:spacing w:after="0"/>
              <w:rPr>
                <w:sz w:val="20"/>
                <w:szCs w:val="20"/>
                <w:color w:val="auto"/>
              </w:rPr>
            </w:pPr>
            <w:r>
              <w:rPr>
                <w:rFonts w:ascii="Times New Roman" w:cs="Times New Roman" w:eastAsia="Times New Roman" w:hAnsi="Times New Roman"/>
                <w:sz w:val="18"/>
                <w:szCs w:val="18"/>
                <w:color w:val="0000FF"/>
                <w:w w:val="97"/>
              </w:rPr>
              <w:t>&gt; 3.00x</w:t>
            </w:r>
          </w:p>
        </w:tc>
        <w:tc>
          <w:tcPr>
            <w:tcW w:w="560" w:type="dxa"/>
            <w:vAlign w:val="bottom"/>
            <w:shd w:val="clear" w:color="auto" w:fill="FFFFFE"/>
          </w:tcPr>
          <w:p>
            <w:pPr>
              <w:spacing w:after="0"/>
              <w:rPr>
                <w:sz w:val="24"/>
                <w:szCs w:val="24"/>
                <w:color w:val="auto"/>
              </w:rPr>
            </w:pPr>
          </w:p>
        </w:tc>
        <w:tc>
          <w:tcPr>
            <w:tcW w:w="40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1840" w:type="dxa"/>
            <w:vAlign w:val="bottom"/>
            <w:tcBorders>
              <w:right w:val="single" w:sz="8" w:color="auto"/>
            </w:tcBorders>
            <w:gridSpan w:val="9"/>
            <w:shd w:val="clear" w:color="auto" w:fill="FFFFFE"/>
          </w:tcPr>
          <w:p>
            <w:pPr>
              <w:jc w:val="center"/>
              <w:ind w:right="1140"/>
              <w:spacing w:after="0"/>
              <w:rPr>
                <w:sz w:val="20"/>
                <w:szCs w:val="20"/>
                <w:color w:val="auto"/>
              </w:rPr>
            </w:pPr>
            <w:r>
              <w:rPr>
                <w:rFonts w:ascii="Times New Roman" w:cs="Times New Roman" w:eastAsia="Times New Roman" w:hAnsi="Times New Roman"/>
                <w:sz w:val="18"/>
                <w:szCs w:val="18"/>
                <w:color w:val="0000FF"/>
                <w:w w:val="99"/>
              </w:rPr>
              <w:t>100.0 bps</w:t>
            </w:r>
          </w:p>
        </w:tc>
        <w:tc>
          <w:tcPr>
            <w:tcW w:w="640" w:type="dxa"/>
            <w:vAlign w:val="bottom"/>
            <w:shd w:val="clear" w:color="auto" w:fill="FFFFFE"/>
          </w:tcPr>
          <w:p>
            <w:pPr>
              <w:spacing w:after="0"/>
              <w:rPr>
                <w:sz w:val="24"/>
                <w:szCs w:val="24"/>
                <w:color w:val="auto"/>
              </w:rPr>
            </w:pPr>
          </w:p>
        </w:tc>
        <w:tc>
          <w:tcPr>
            <w:tcW w:w="20" w:type="dxa"/>
            <w:vAlign w:val="bottom"/>
            <w:shd w:val="clear" w:color="auto" w:fill="FFFFFE"/>
          </w:tcPr>
          <w:p>
            <w:pPr>
              <w:spacing w:after="0"/>
              <w:rPr>
                <w:sz w:val="24"/>
                <w:szCs w:val="24"/>
                <w:color w:val="auto"/>
              </w:rPr>
            </w:pPr>
          </w:p>
        </w:tc>
        <w:tc>
          <w:tcPr>
            <w:tcW w:w="100" w:type="dxa"/>
            <w:vAlign w:val="bottom"/>
            <w:shd w:val="clear" w:color="auto" w:fill="FFFFFE"/>
          </w:tcPr>
          <w:p>
            <w:pPr>
              <w:spacing w:after="0"/>
              <w:rPr>
                <w:sz w:val="24"/>
                <w:szCs w:val="24"/>
                <w:color w:val="auto"/>
              </w:rPr>
            </w:pPr>
          </w:p>
        </w:tc>
        <w:tc>
          <w:tcPr>
            <w:tcW w:w="200" w:type="dxa"/>
            <w:vAlign w:val="bottom"/>
            <w:shd w:val="clear" w:color="auto" w:fill="FFFFFE"/>
          </w:tcPr>
          <w:p>
            <w:pPr>
              <w:spacing w:after="0"/>
              <w:rPr>
                <w:sz w:val="24"/>
                <w:szCs w:val="24"/>
                <w:color w:val="auto"/>
              </w:rPr>
            </w:pPr>
          </w:p>
        </w:tc>
        <w:tc>
          <w:tcPr>
            <w:tcW w:w="120" w:type="dxa"/>
            <w:vAlign w:val="bottom"/>
            <w:shd w:val="clear" w:color="auto" w:fill="FFFFFE"/>
          </w:tcPr>
          <w:p>
            <w:pPr>
              <w:spacing w:after="0"/>
              <w:rPr>
                <w:sz w:val="24"/>
                <w:szCs w:val="24"/>
                <w:color w:val="auto"/>
              </w:rPr>
            </w:pPr>
          </w:p>
        </w:tc>
        <w:tc>
          <w:tcPr>
            <w:tcW w:w="1820" w:type="dxa"/>
            <w:vAlign w:val="bottom"/>
            <w:tcBorders>
              <w:right w:val="single" w:sz="8" w:color="auto"/>
            </w:tcBorders>
            <w:gridSpan w:val="6"/>
            <w:shd w:val="clear" w:color="auto" w:fill="FFFFFE"/>
          </w:tcPr>
          <w:p>
            <w:pPr>
              <w:jc w:val="center"/>
              <w:ind w:right="1120"/>
              <w:spacing w:after="0"/>
              <w:rPr>
                <w:sz w:val="20"/>
                <w:szCs w:val="20"/>
                <w:color w:val="auto"/>
              </w:rPr>
            </w:pPr>
            <w:r>
              <w:rPr>
                <w:rFonts w:ascii="Times New Roman" w:cs="Times New Roman" w:eastAsia="Times New Roman" w:hAnsi="Times New Roman"/>
                <w:sz w:val="18"/>
                <w:szCs w:val="18"/>
                <w:color w:val="0000FF"/>
                <w:w w:val="99"/>
              </w:rPr>
              <w:t>200.0 bps</w:t>
            </w:r>
          </w:p>
        </w:tc>
        <w:tc>
          <w:tcPr>
            <w:tcW w:w="0" w:type="dxa"/>
            <w:vAlign w:val="bottom"/>
          </w:tcPr>
          <w:p>
            <w:pPr>
              <w:spacing w:after="0"/>
              <w:rPr>
                <w:sz w:val="1"/>
                <w:szCs w:val="1"/>
                <w:color w:val="auto"/>
              </w:rPr>
            </w:pPr>
          </w:p>
        </w:tc>
      </w:tr>
      <w:tr>
        <w:trPr>
          <w:trHeight w:val="61"/>
        </w:trPr>
        <w:tc>
          <w:tcPr>
            <w:tcW w:w="860" w:type="dxa"/>
            <w:vAlign w:val="bottom"/>
            <w:tcBorders>
              <w:top w:val="single" w:sz="8" w:color="FFFFFE"/>
              <w:left w:val="single" w:sz="8" w:color="auto"/>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100" w:type="dxa"/>
            <w:vAlign w:val="bottom"/>
            <w:tcBorders>
              <w:top w:val="single" w:sz="8" w:color="0000FF"/>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220" w:type="dxa"/>
            <w:vAlign w:val="bottom"/>
            <w:tcBorders>
              <w:top w:val="single" w:sz="8" w:color="FFFFFE"/>
              <w:bottom w:val="single" w:sz="8" w:color="auto"/>
            </w:tcBorders>
            <w:shd w:val="clear" w:color="auto" w:fill="FFFFFE"/>
          </w:tcPr>
          <w:p>
            <w:pPr>
              <w:spacing w:after="0"/>
              <w:rPr>
                <w:sz w:val="5"/>
                <w:szCs w:val="5"/>
                <w:color w:val="auto"/>
              </w:rPr>
            </w:pPr>
          </w:p>
        </w:tc>
        <w:tc>
          <w:tcPr>
            <w:tcW w:w="8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8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40" w:type="dxa"/>
            <w:vAlign w:val="bottom"/>
            <w:tcBorders>
              <w:top w:val="single" w:sz="8" w:color="0000FF"/>
              <w:bottom w:val="single" w:sz="8" w:color="auto"/>
            </w:tcBorders>
            <w:shd w:val="clear" w:color="auto" w:fill="FFFFFE"/>
          </w:tcPr>
          <w:p>
            <w:pPr>
              <w:spacing w:after="0"/>
              <w:rPr>
                <w:sz w:val="5"/>
                <w:szCs w:val="5"/>
                <w:color w:val="auto"/>
              </w:rPr>
            </w:pPr>
          </w:p>
        </w:tc>
        <w:tc>
          <w:tcPr>
            <w:tcW w:w="140" w:type="dxa"/>
            <w:vAlign w:val="bottom"/>
            <w:tcBorders>
              <w:top w:val="single" w:sz="8" w:color="FFFFFE"/>
              <w:bottom w:val="single" w:sz="8" w:color="auto"/>
            </w:tcBorders>
            <w:shd w:val="clear" w:color="auto" w:fill="FFFFFE"/>
          </w:tcPr>
          <w:p>
            <w:pPr>
              <w:spacing w:after="0"/>
              <w:rPr>
                <w:sz w:val="5"/>
                <w:szCs w:val="5"/>
                <w:color w:val="auto"/>
              </w:rPr>
            </w:pPr>
          </w:p>
        </w:tc>
        <w:tc>
          <w:tcPr>
            <w:tcW w:w="500" w:type="dxa"/>
            <w:vAlign w:val="bottom"/>
            <w:tcBorders>
              <w:top w:val="single" w:sz="8" w:color="FFFFFE"/>
              <w:bottom w:val="single" w:sz="8" w:color="auto"/>
            </w:tcBorders>
            <w:shd w:val="clear" w:color="auto" w:fill="FFFFFE"/>
          </w:tcPr>
          <w:p>
            <w:pPr>
              <w:spacing w:after="0"/>
              <w:rPr>
                <w:sz w:val="5"/>
                <w:szCs w:val="5"/>
                <w:color w:val="auto"/>
              </w:rPr>
            </w:pPr>
          </w:p>
        </w:tc>
        <w:tc>
          <w:tcPr>
            <w:tcW w:w="62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560" w:type="dxa"/>
            <w:vAlign w:val="bottom"/>
            <w:tcBorders>
              <w:top w:val="single" w:sz="8" w:color="FFFFFE"/>
              <w:bottom w:val="single" w:sz="8" w:color="auto"/>
            </w:tcBorders>
            <w:shd w:val="clear" w:color="auto" w:fill="FFFFFE"/>
          </w:tcPr>
          <w:p>
            <w:pPr>
              <w:spacing w:after="0"/>
              <w:rPr>
                <w:sz w:val="5"/>
                <w:szCs w:val="5"/>
                <w:color w:val="auto"/>
              </w:rPr>
            </w:pPr>
          </w:p>
        </w:tc>
        <w:tc>
          <w:tcPr>
            <w:tcW w:w="4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40" w:type="dxa"/>
            <w:vAlign w:val="bottom"/>
            <w:tcBorders>
              <w:top w:val="single" w:sz="8" w:color="0000FF"/>
              <w:bottom w:val="single" w:sz="8" w:color="auto"/>
            </w:tcBorders>
            <w:shd w:val="clear" w:color="auto" w:fill="FFFFFE"/>
          </w:tcPr>
          <w:p>
            <w:pPr>
              <w:spacing w:after="0"/>
              <w:rPr>
                <w:sz w:val="5"/>
                <w:szCs w:val="5"/>
                <w:color w:val="auto"/>
              </w:rPr>
            </w:pPr>
          </w:p>
        </w:tc>
        <w:tc>
          <w:tcPr>
            <w:tcW w:w="600" w:type="dxa"/>
            <w:vAlign w:val="bottom"/>
            <w:tcBorders>
              <w:top w:val="single" w:sz="8" w:color="0000FF"/>
              <w:bottom w:val="single" w:sz="8" w:color="auto"/>
            </w:tcBorders>
            <w:shd w:val="clear" w:color="auto" w:fill="FFFFFE"/>
          </w:tcPr>
          <w:p>
            <w:pPr>
              <w:spacing w:after="0"/>
              <w:rPr>
                <w:sz w:val="5"/>
                <w:szCs w:val="5"/>
                <w:color w:val="auto"/>
              </w:rPr>
            </w:pPr>
          </w:p>
        </w:tc>
        <w:tc>
          <w:tcPr>
            <w:tcW w:w="40" w:type="dxa"/>
            <w:vAlign w:val="bottom"/>
            <w:tcBorders>
              <w:top w:val="single" w:sz="8" w:color="0000FF"/>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38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60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64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FFFFFE"/>
              <w:bottom w:val="single" w:sz="8" w:color="auto"/>
            </w:tcBorders>
            <w:shd w:val="clear" w:color="auto" w:fill="FFFFFE"/>
          </w:tcPr>
          <w:p>
            <w:pPr>
              <w:spacing w:after="0"/>
              <w:rPr>
                <w:sz w:val="5"/>
                <w:szCs w:val="5"/>
                <w:color w:val="auto"/>
              </w:rPr>
            </w:pPr>
          </w:p>
        </w:tc>
        <w:tc>
          <w:tcPr>
            <w:tcW w:w="10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 w:type="dxa"/>
            <w:vAlign w:val="bottom"/>
            <w:tcBorders>
              <w:top w:val="single" w:sz="8" w:color="0000FF"/>
              <w:bottom w:val="single" w:sz="8" w:color="auto"/>
            </w:tcBorders>
            <w:shd w:val="clear" w:color="auto" w:fill="FFFFFE"/>
          </w:tcPr>
          <w:p>
            <w:pPr>
              <w:spacing w:after="0"/>
              <w:rPr>
                <w:sz w:val="5"/>
                <w:szCs w:val="5"/>
                <w:color w:val="auto"/>
              </w:rPr>
            </w:pPr>
          </w:p>
        </w:tc>
        <w:tc>
          <w:tcPr>
            <w:tcW w:w="680" w:type="dxa"/>
            <w:vAlign w:val="bottom"/>
            <w:tcBorders>
              <w:top w:val="single" w:sz="8" w:color="0000FF"/>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200" w:type="dxa"/>
            <w:vAlign w:val="bottom"/>
            <w:tcBorders>
              <w:top w:val="single" w:sz="8" w:color="FFFFFE"/>
              <w:bottom w:val="single" w:sz="8" w:color="auto"/>
            </w:tcBorders>
            <w:shd w:val="clear" w:color="auto" w:fill="FFFFFE"/>
          </w:tcPr>
          <w:p>
            <w:pPr>
              <w:spacing w:after="0"/>
              <w:rPr>
                <w:sz w:val="5"/>
                <w:szCs w:val="5"/>
                <w:color w:val="auto"/>
              </w:rPr>
            </w:pPr>
          </w:p>
        </w:tc>
        <w:tc>
          <w:tcPr>
            <w:tcW w:w="120" w:type="dxa"/>
            <w:vAlign w:val="bottom"/>
            <w:tcBorders>
              <w:top w:val="single" w:sz="8" w:color="FFFFFE"/>
              <w:bottom w:val="single" w:sz="8" w:color="auto"/>
            </w:tcBorders>
            <w:shd w:val="clear" w:color="auto" w:fill="FFFFFE"/>
          </w:tcPr>
          <w:p>
            <w:pPr>
              <w:spacing w:after="0"/>
              <w:rPr>
                <w:sz w:val="5"/>
                <w:szCs w:val="5"/>
                <w:color w:val="auto"/>
              </w:rPr>
            </w:pPr>
          </w:p>
        </w:tc>
        <w:tc>
          <w:tcPr>
            <w:tcW w:w="680" w:type="dxa"/>
            <w:vAlign w:val="bottom"/>
            <w:tcBorders>
              <w:top w:val="single" w:sz="8" w:color="FFFFFE"/>
              <w:bottom w:val="single" w:sz="8" w:color="auto"/>
              <w:right w:val="single" w:sz="8" w:color="auto"/>
            </w:tcBorders>
            <w:shd w:val="clear" w:color="auto" w:fill="FFFFFE"/>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0000FF"/>
        </w:rPr>
        <w:t>provided, that until the delivery to the Administrative Agent, pursuant to Section 5.01, of the Borrower’s consolidated financial information for the Borrower’s first fiscal quarter ending after the First Amendment Effective Date, the “Applicable Rate”, in each case of clauses (i) and (ii), shall be the applicable rate per annum set forth above in Category II.</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the foregoing, (a) the Applicable Rate shall be determined as of the end of each fiscal quarter of the Borrower based upon the Borrower’s annual or quarterly consolidated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(b) each change in the Applicable Rate resulting from a change in the Total Net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Net Leverage Ratio shall be deemed to be in Category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auto"/>
        </w:rPr>
        <w:t xml:space="preserve"> at the option of the Administrative Agent or at the request of the Required Lenders if the Borrower fails to deliver the annual or quarterly consolidated financial statements required to be delivered by it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during the period from the expiration of the time for delivery thereof until such consolidated financial statements are delivered.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xml:space="preserve">” means, at any time, the aggregate Commitments of all Lenders then in effect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at such time.</w:t>
      </w:r>
    </w:p>
    <w:p>
      <w:pPr>
        <w:spacing w:after="0" w:line="16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Availability Period</w:t>
      </w:r>
      <w:r>
        <w:rPr>
          <w:rFonts w:ascii="Times New Roman" w:cs="Times New Roman" w:eastAsia="Times New Roman" w:hAnsi="Times New Roman"/>
          <w:sz w:val="18"/>
          <w:szCs w:val="18"/>
          <w:color w:val="FF0000"/>
          <w:strike w:val="1"/>
        </w:rPr>
        <w:t>” means the period from and including the Amendment and Restatement Effective Date to but excluding the earlier of the Maturity Date and the date of termination of the Commitments.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with respect to any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them-removed from the definition of “Interest Period” pursuant to Section 2.25(d).</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or any Subsidiary by any Lender or any of its Affiliates: (a) credit cards for commercial customers (including, without limitation, “commercial credit cards” and purchasing cards), (b) stored value cards, (c) treasury management services (including, without limitation, controlled disbursement, automated clearinghouse transactions, return items, overdrafts and interstate depository network services) and (d) documentary services, and foreign currency exchange services.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Adjusted Term SOFR or the then-current Benchmark;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Adjusted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any then-current Benchmark:</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in the case of clause (c) of the definition of “Benchmark Transition Event,” the first date on which such Benchmark (or published component used in eh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(c) and even in any Available Tenor of such Benchmark (or such component thereof) continues to be provided on such date.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any then-current Benchmark:</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with jurisdiction over the administrator for such Benchmark (or such component) ,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2.25 and (b) ending at the time that a Benchmark Replacement has replaced the then-current Benchmark for all purposes hereunder and under any Loan Document in accordance with Section 2.25.</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with respect to any U.S. Federal withholding Tax, the beneficial owner, for U.S. Federal income tax purposes, to whom such Tax relates.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means an “affiliate” (as such term is defined under, and interpreted in accordance with 12 U.S.C. 1841(k))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Billing Statement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ExlService Holdings, Inc., a Delaware corporation.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SOFR Loans, as to which a single Interest Period is in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used in connection with a Term SOFR Loan,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also exclude any day which is not a U.S. Government Securities Business Day.</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for any purchase or other acquisition of any asset which would be classified as a fixed or capital asset on a consolidated balance sheet of the Borrower and its Subsidiaries prepared in accordance with GAAP. Notwithstanding the foregoing, Capital Expenditures shall not include, without duplication: (a) the consideration for any Permitted Acquisition, or any increase in fixed or capital assets on such consolidated balance sheet attributable to Permitted Acquisitions, (b) capital expenditures to the extent financed with the proceeds of any casualty insurance claim or condemnation proceeding or any asset sale permitted hereunder, (c) capital expenditures to the extent financed with Indebtedness (other than the Loans and Letters of Credit) permitted hereunder, (d) capital expenditures to the extent financed with the proceeds of the issuance of Equity Interests by the Borrower or any of its Subsidiaries permitted hereunder so long as, and to the extent that, prior to such issuance the Borrower or such Subsidiary expressly designates in a written statement to the Administrative Agent that the proceeds thereof will be used for capital expenditures, and (e) any such expenditures to the extent the Borrower has received reimbursement in cash from a third party other than the Borrower or one or more of its Subsidiaries (such as, for example, a landlord or a seller of assets pursuant to a Permitted Acquisition) and for which none of the Borrower or any of its Subsidiaries has provided or is required to provide any specific consideration to such third party or other person for such reimbursements.</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solely with respect to any change in GAAP after the Effective Date with respect to the accounting for leases as either operating leases or capital leases, any lease that at the time it is entered into is not (or would not be) a capital lease under GAAP as then in effect shall not be treated as a capital lease notwithstanding any such later change in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investments in commercial paper maturing within one (1) year from the date of acquisition thereof and having, at such date of acquisition, the highest credit rating obtainable from S&amp;P or from Moody’s;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investments in certificates of deposit, bankers’ acceptances and time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$500 million, or (ii) the State Bank of India (U.S. Branch) so long as the aggregate amount of such investments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does not at any time exceed $30 million;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fully collateralized repurchase agreements with a term of not more than 30 days for securities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entered into with a financial institution satisfying the criteria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money market funds that (i) comply with the criteria set forth in Securities and Exchange Commission Rule 2a-7 under the Investment Company Act of 1940, (ii) are rated AAA by S&amp;P and Aaa by Moody’s and (iii) have portfolio assets of at least $5 billion;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investments made by foreign Subsidiaries of the Borrower consistent with the Borrower’s investment guidelines as approved from time to time by the Borrower’s board of directors.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“Cash Management Services” means (a) treasury management services (including controlled disbursements, zero balance arrangements, cash sweeps, automated clearinghouse transactions, return items, overdrafts, temporary advances, interest and fees and interstate depository network services) provided to the Borrower or any of its Subsidiaries and (b) commercial credit card and purchasing card services provided to the Borrower or any of its Subsidiaries.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“Cash Management Services Agreement” means any agreement with respect to the provision of Cash Management Services to the Borrower or any of its Subsidiaries.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means (a) the acquisition of ownership, directly or indirectly, beneficially or of record, by any Person or group (within the meaning of the Securities Exchange Act of 1934 and the rules of the Securities and Exchange Commission thereunder as in effect on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000000"/>
        </w:rPr>
        <w:t>) of Equity Interests representing more than 40% of the aggregate ordinary voting power represented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the issued and outstanding Equity Interests of the Borrower, or (b) the occupation of a majority of the seats (other than vacant seats) on the board of directors of the Borrower by Persons who were neither (i) nominated or approved by the board of directors of the Borrower nor (ii) appointed by directors so nominated.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any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w:t>
      </w:r>
      <w:r>
        <w:rPr>
          <w:rFonts w:ascii="Times New Roman" w:cs="Times New Roman" w:eastAsia="Times New Roman" w:hAnsi="Times New Roman"/>
          <w:sz w:val="18"/>
          <w:szCs w:val="18"/>
          <w:color w:val="auto"/>
        </w:rPr>
        <w:t>” means Citibank, N.A., a national banking association, in its individual capacity, and its successors.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“Class” when used in reference to (a) any Loan or Borrowing, refers to whether such Loan, or the Loans comprising such Borrowing, are Revolving Loans or Term Loans, (b) any Commitment, refers to whether such Commitment is a Revolving Commitment or a Term Loan Commitment, and (c) any Lender, refers to whether such Lender has a Loan or Commitment of a particular class.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“Collateral” in the Security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documents granting a Lien upon the Collateral as security for payment of the Secured Obligations.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w:t>
      </w:r>
      <w:r>
        <w:rPr>
          <w:rFonts w:ascii="Times New Roman" w:cs="Times New Roman" w:eastAsia="Times New Roman" w:hAnsi="Times New Roman"/>
          <w:sz w:val="18"/>
          <w:szCs w:val="18"/>
          <w:color w:val="auto"/>
        </w:rPr>
        <w:t xml:space="preserve"> with respect to each </w:t>
      </w:r>
      <w:r>
        <w:rPr>
          <w:rFonts w:ascii="Times New Roman" w:cs="Times New Roman" w:eastAsia="Times New Roman" w:hAnsi="Times New Roman"/>
          <w:sz w:val="18"/>
          <w:szCs w:val="18"/>
          <w:color w:val="FF0000"/>
          <w:strike w:val="1"/>
        </w:rPr>
        <w:t>Lender, the commitment, if any, of such Lender to make Loans and to acquire participations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 Letters of Credit hereunder, expressed as an amount representing the maximum possible aggregate amount of such Lender’s Credit Exposure hereunder</w:t>
      </w:r>
      <w:r>
        <w:rPr>
          <w:rFonts w:ascii="Times New Roman" w:cs="Times New Roman" w:eastAsia="Times New Roman" w:hAnsi="Times New Roman"/>
          <w:sz w:val="18"/>
          <w:szCs w:val="18"/>
          <w:u w:val="single" w:color="auto"/>
          <w:color w:val="0000FF"/>
          <w:strike w:val="1"/>
        </w:rPr>
        <w:t>(a) each Revolving Lender, such Lender’s Revolving Commitment and (b) each Term Lender, such Lender’s Term Loan Commitment, in each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case</w:t>
      </w:r>
      <w:r>
        <w:rPr>
          <w:rFonts w:ascii="Times New Roman" w:cs="Times New Roman" w:eastAsia="Times New Roman" w:hAnsi="Times New Roman"/>
          <w:sz w:val="18"/>
          <w:szCs w:val="18"/>
          <w:color w:val="000000"/>
          <w:strike w:val="1"/>
        </w:rPr>
        <w:t>, as such commitment may be reduced or increased from time to time pursuant to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strike w:val="1"/>
        </w:rPr>
        <w:t>i</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00"/>
          <w:strike w:val="1"/>
        </w:rPr>
        <w:t>Section 2.09</w:t>
      </w:r>
      <w:r>
        <w:rPr>
          <w:rFonts w:ascii="Times New Roman" w:cs="Times New Roman" w:eastAsia="Times New Roman" w:hAnsi="Times New Roman"/>
          <w:sz w:val="18"/>
          <w:szCs w:val="18"/>
          <w:u w:val="single" w:color="auto"/>
          <w:color w:val="0000FF"/>
          <w:strike w:val="1"/>
        </w:rPr>
        <w:t>, 2.22</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or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00"/>
          <w:strike w:val="1"/>
        </w:rPr>
        <w:t>2.23</w:t>
      </w:r>
      <w:r>
        <w:rPr>
          <w:rFonts w:ascii="Times New Roman" w:cs="Times New Roman" w:eastAsia="Times New Roman" w:hAnsi="Times New Roman"/>
          <w:sz w:val="18"/>
          <w:szCs w:val="18"/>
          <w:u w:val="single" w:color="auto"/>
          <w:color w:val="0000FF"/>
          <w:strike w:val="1"/>
        </w:rPr>
        <w:t>, as applicable,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strike w:val="1"/>
        </w:rPr>
        <w:t>ii</w:t>
      </w:r>
      <w:r>
        <w:rPr>
          <w:rFonts w:ascii="Times New Roman" w:cs="Times New Roman" w:eastAsia="Times New Roman" w:hAnsi="Times New Roman"/>
          <w:sz w:val="18"/>
          <w:szCs w:val="18"/>
          <w:color w:val="000000"/>
          <w:strike w:val="1"/>
        </w:rPr>
        <w:t>) assignments by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or to such Lender pursuant to </w:t>
      </w:r>
      <w:r>
        <w:rPr>
          <w:rFonts w:ascii="Times New Roman" w:cs="Times New Roman" w:eastAsia="Times New Roman" w:hAnsi="Times New Roman"/>
          <w:sz w:val="18"/>
          <w:szCs w:val="18"/>
          <w:u w:val="single" w:color="auto"/>
          <w:color w:val="000000"/>
          <w:strike w:val="1"/>
        </w:rPr>
        <w:t>Section 9.04</w:t>
      </w:r>
      <w:r>
        <w:rPr>
          <w:rFonts w:ascii="Times New Roman" w:cs="Times New Roman" w:eastAsia="Times New Roman" w:hAnsi="Times New Roman"/>
          <w:sz w:val="18"/>
          <w:szCs w:val="18"/>
          <w:color w:val="000000"/>
          <w:strike w:val="1"/>
        </w:rPr>
        <w:t xml:space="preserve">. The amount of each Lender’s Commitment is set forth on the </w:t>
      </w:r>
      <w:r>
        <w:rPr>
          <w:rFonts w:ascii="Times New Roman" w:cs="Times New Roman" w:eastAsia="Times New Roman" w:hAnsi="Times New Roman"/>
          <w:sz w:val="18"/>
          <w:szCs w:val="18"/>
          <w:u w:val="single" w:color="auto"/>
          <w:color w:val="000000"/>
          <w:strike w:val="1"/>
        </w:rPr>
        <w:t>Commitment Schedule</w:t>
      </w:r>
      <w:r>
        <w:rPr>
          <w:rFonts w:ascii="Times New Roman" w:cs="Times New Roman" w:eastAsia="Times New Roman" w:hAnsi="Times New Roman"/>
          <w:sz w:val="18"/>
          <w:szCs w:val="18"/>
          <w:color w:val="000000"/>
          <w:strike w:val="1"/>
        </w:rPr>
        <w:t xml:space="preserve">, or in the Assignment and Assumption pursuant to which such Lender shall have assumed its Commitment, as applicable. The aggregate amount of the Lenders’ Commitments as of the Amendment and Restatement Effective Date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strike w:val="1"/>
        </w:rPr>
        <w:t>was</w:t>
      </w:r>
      <w:r>
        <w:rPr>
          <w:rFonts w:ascii="Times New Roman" w:cs="Times New Roman" w:eastAsia="Times New Roman" w:hAnsi="Times New Roman"/>
          <w:sz w:val="18"/>
          <w:szCs w:val="18"/>
          <w:color w:val="000000"/>
          <w:strike w:val="1"/>
        </w:rPr>
        <w:t xml:space="preserve"> $400 million. </w:t>
      </w:r>
      <w:r>
        <w:rPr>
          <w:rFonts w:ascii="Times New Roman" w:cs="Times New Roman" w:eastAsia="Times New Roman" w:hAnsi="Times New Roman"/>
          <w:sz w:val="18"/>
          <w:szCs w:val="18"/>
          <w:u w:val="single" w:color="auto"/>
          <w:color w:val="0000FF"/>
          <w:strike w:val="1"/>
        </w:rPr>
        <w:t>The aggregate amount of the Lenders’ Commitments as of the First Amendment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Effective Date is $600 million.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Adjusted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“Interest Payment Date”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 technical, administrative or operational matters) that the Administrative Agent, following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following consultation with the Borrower, decides is reasonably necessary in connection with the administration of this Agreement and the other Loan Documents).</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Credit Exposure</w:t>
      </w:r>
      <w:r>
        <w:rPr>
          <w:rFonts w:ascii="Times New Roman" w:cs="Times New Roman" w:eastAsia="Times New Roman" w:hAnsi="Times New Roman"/>
          <w:sz w:val="18"/>
          <w:szCs w:val="18"/>
          <w:color w:val="FF0000"/>
          <w:strike w:val="1"/>
        </w:rPr>
        <w:t>” means, with respect to any Lender at any time, the sum of the outstanding principal amount of such Lender’s Loans and its LC Exposure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or any Lender.</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such term in, and shall be interpreted in accordance with, 12 C.F.R. §§ 252.81, 47.2 or 382.1, as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w:t>
      </w:r>
    </w:p>
    <w:p>
      <w:pPr>
        <w:spacing w:after="0" w:line="27" w:lineRule="exact"/>
        <w:rPr>
          <w:sz w:val="20"/>
          <w:szCs w:val="20"/>
          <w:color w:val="auto"/>
        </w:rPr>
      </w:pPr>
    </w:p>
    <w:p>
      <w:pPr>
        <w:jc w:val="both"/>
        <w:ind w:firstLine="8"/>
        <w:spacing w:after="0" w:line="251" w:lineRule="auto"/>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 any portion of its Loans, (ii) fund any portion of its participations in Letters of Credit or (iii) pay over to any Credit Party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 JPMorgan Chase Bank, N.A. and Bank of America, N.A. in their capacities as documentation agents.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for any period, the sum of:</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Net Income for such period; </w:t>
      </w:r>
      <w:r>
        <w:rPr>
          <w:rFonts w:ascii="Times New Roman" w:cs="Times New Roman" w:eastAsia="Times New Roman" w:hAnsi="Times New Roman"/>
          <w:sz w:val="18"/>
          <w:szCs w:val="18"/>
          <w:i w:val="1"/>
          <w:iCs w:val="1"/>
          <w:u w:val="single" w:color="auto"/>
          <w:color w:val="auto"/>
        </w:rPr>
        <w:t>plus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without duplication and to the extent deducted in determining Net Income for such period, the sum 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Interest Expense for such period;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federal, state, local and foreign income tax expense for such period;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all amounts attributable to depreciation and amortization expense for such period;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amortization of intangibles (including, but not limited to, goodwill) for such period;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any extraordinary non-cash charges, expenses or losses for such period;</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(vi)       non-cash compensation expenses, including as a result of any grant of equity or options to employees, officers, directors or contractors;</w:t>
      </w:r>
    </w:p>
    <w:p>
      <w:pPr>
        <w:spacing w:after="0" w:line="162" w:lineRule="exact"/>
        <w:rPr>
          <w:sz w:val="20"/>
          <w:szCs w:val="20"/>
          <w:color w:val="auto"/>
        </w:rPr>
      </w:pPr>
    </w:p>
    <w:p>
      <w:pPr>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(x) costs and expenses incurred on or prior to the Effective Date with respect to the Transactions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(y) fees, costs and expenses incurred on or prior to the Amendment and Restatement Effective Date with respect to the Amendment and Restatement </w:t>
      </w:r>
      <w:r>
        <w:rPr>
          <w:rFonts w:ascii="Times New Roman" w:cs="Times New Roman" w:eastAsia="Times New Roman" w:hAnsi="Times New Roman"/>
          <w:sz w:val="18"/>
          <w:szCs w:val="18"/>
          <w:u w:val="single" w:color="auto"/>
          <w:color w:val="0000FF"/>
        </w:rPr>
        <w:t>and</w:t>
      </w:r>
    </w:p>
    <w:p>
      <w:pPr>
        <w:ind w:left="5300" w:right="920" w:hanging="3996"/>
        <w:spacing w:after="0" w:line="761" w:lineRule="auto"/>
        <w:tabs>
          <w:tab w:leader="none" w:pos="1555"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fees, costs and expenses incurred on or prior to the First Amendment Effective Date with respect to the First Amendment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(viii)     expenses, charges and losses incurred in such period and which are reimbursed in cash during such period by Persons (other than the Borrower and its Subsidiaries) so long as such payments were not added in determining Net Income for such period;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(ix)        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non-cash purchase accounting adjustments made during such period;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       all proceeds of business interruption insurance received during such period;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      unrealized losses on financial derivatives recognized in such period in accordance with SFAS No. 133;</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(xiii)      any write-off or amortization made in such period of deferred financing costs or any write-down of assets or asset value carried on the balance sheet of the Borrower or any of its Subsidiaries;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any one-time restructuring charges incurred during such period (determined in accordance with GAAP);</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(xv)      the amount of any expected “run-rate” cost savings and synergies (collectively, “</w:t>
      </w:r>
      <w:r>
        <w:rPr>
          <w:rFonts w:ascii="Times New Roman" w:cs="Times New Roman" w:eastAsia="Times New Roman" w:hAnsi="Times New Roman"/>
          <w:sz w:val="18"/>
          <w:szCs w:val="18"/>
          <w:u w:val="single" w:color="auto"/>
          <w:color w:val="auto"/>
        </w:rPr>
        <w:t>Expected Cost Savings</w:t>
      </w:r>
      <w:r>
        <w:rPr>
          <w:rFonts w:ascii="Times New Roman" w:cs="Times New Roman" w:eastAsia="Times New Roman" w:hAnsi="Times New Roman"/>
          <w:sz w:val="18"/>
          <w:szCs w:val="18"/>
          <w:color w:val="auto"/>
        </w:rPr>
        <w:t xml:space="preserve">”) (net of actual amounts realized) that are reasonably identifiable and factually supportable (in the good faith determination of the Borrower) related to any acquisition, disposition, restructuring or cost savings initiative;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Expected Cost Savings are expected by the Borrower in good faith to be realized within 12 months of the consummation of the event giving rise thereto and (B) the aggregate amount of Expected Cost Savings shall not exceed 10% of EBITDA for the relevant period (calculated prior to giving effect to such add-back); and</w:t>
      </w:r>
    </w:p>
    <w:p>
      <w:pPr>
        <w:spacing w:after="0" w:line="187"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(xvi)      any other non-cash charges (but excluding any non-cash charge in respect of an item that was included in Net Income in a prior period); </w:t>
      </w:r>
      <w:r>
        <w:rPr>
          <w:rFonts w:ascii="Times New Roman" w:cs="Times New Roman" w:eastAsia="Times New Roman" w:hAnsi="Times New Roman"/>
          <w:sz w:val="18"/>
          <w:szCs w:val="18"/>
          <w:i w:val="1"/>
          <w:iCs w:val="1"/>
          <w:u w:val="single" w:color="auto"/>
          <w:color w:val="auto"/>
        </w:rPr>
        <w:t>minus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without duplication and to the extent included in Net Income, (i) any cash payments made during such period in respect of non-cash charges described in </w:t>
      </w:r>
      <w:r>
        <w:rPr>
          <w:rFonts w:ascii="Times New Roman" w:cs="Times New Roman" w:eastAsia="Times New Roman" w:hAnsi="Times New Roman"/>
          <w:sz w:val="18"/>
          <w:szCs w:val="18"/>
          <w:u w:val="single" w:color="auto"/>
          <w:color w:val="auto"/>
        </w:rPr>
        <w:t>clause (a)(xvi)</w:t>
      </w:r>
      <w:r>
        <w:rPr>
          <w:rFonts w:ascii="Times New Roman" w:cs="Times New Roman" w:eastAsia="Times New Roman" w:hAnsi="Times New Roman"/>
          <w:sz w:val="18"/>
          <w:szCs w:val="18"/>
          <w:color w:val="auto"/>
        </w:rPr>
        <w:t xml:space="preserve"> taken in a prior period and (ii) any extraordinary gains and any non-cash items of income for such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calculated for the Borrower and its Subsidiaries on a consolidated basis in accordance with GAAP. For the purposes of calculating EBITDA for any period of four consecutive fiscal quarters (each, a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(i) if at any time during such Reference Period the Borrower or any Subsidiary shall have made any sale, transfer, or disposition of property, EBITDA for such Reference Period shall be reduced by an amount equal to the EBITDA (if positive) attributable to the property that is the subject of such sale, transfer, or disposition, as applicable, for such Reference Period or increased by an amount equal to the EBITDA (if negative) attributable thereto for such Reference Period, and (ii) if during such Reference Period the Borrower or any of its Subsidiaries shall have made a Permitted Acquisition for which the EBITDA attributable to the acquired Person or assets in connection therewith for the most recently ended four consecutive fiscal quarter period is greater than $5 million, EBITDA for such Reference Period shall be calculated after giving effect thereto on a pro forma basis as if such Permitted Acquisition occurred on the first day of such Reference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and is subject to the supervision of an EEA Resolution Authority,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of an EEA Resolution Authority with its parent.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November 21, 2017.</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ClearPar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20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employee health and safety matters.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assigned to it in Section 8.10(a).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assigned to it in Section 8.10(d).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a resident of,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 Loan, Note, Letter of Credit or Commitment (other than pursuant to an assignment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an amount that was due and payable, but not yet paid to (A) such Lender’s assignor immediately before such Lender acquired the applicable interest in a Loan or Commitment or</w:t>
      </w:r>
    </w:p>
    <w:p>
      <w:pPr>
        <w:spacing w:after="0" w:line="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U.S. Federal withholding Taxes imposed under FATCA.</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each letter of credit issued under the Original Credit Agreement and existing on the Amendment and Restatement Effective Date.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means outstanding “Loans” under and as defined in the Original Credit Agreement as in effect immediately prior to the Amendment and Restatement Effective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Obligations</w:t>
      </w:r>
      <w:r>
        <w:rPr>
          <w:rFonts w:ascii="Times New Roman" w:cs="Times New Roman" w:eastAsia="Times New Roman" w:hAnsi="Times New Roman"/>
          <w:sz w:val="18"/>
          <w:szCs w:val="18"/>
          <w:color w:val="auto"/>
        </w:rPr>
        <w:t>” has the meaning assigned to such term in Section 10.14.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Expected Cost Savings</w:t>
      </w:r>
      <w:r>
        <w:rPr>
          <w:rFonts w:ascii="Times New Roman" w:cs="Times New Roman" w:eastAsia="Times New Roman" w:hAnsi="Times New Roman"/>
          <w:sz w:val="18"/>
          <w:szCs w:val="18"/>
          <w:color w:val="auto"/>
        </w:rPr>
        <w:t>” has the meaning assigned to such term in the definition of “EBITDA”.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w:t>
      </w:r>
      <w:r>
        <w:rPr>
          <w:rFonts w:ascii="Times New Roman" w:cs="Times New Roman" w:eastAsia="Times New Roman" w:hAnsi="Times New Roman"/>
          <w:sz w:val="18"/>
          <w:szCs w:val="18"/>
          <w:color w:val="auto"/>
        </w:rPr>
        <w:t xml:space="preserve">” means the Commitments, the maturity of which shall have been extended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means any Loans made pursuant to the Extended Commitments.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Extension</w:t>
      </w:r>
      <w:r>
        <w:rPr>
          <w:rFonts w:ascii="Times New Roman" w:cs="Times New Roman" w:eastAsia="Times New Roman" w:hAnsi="Times New Roman"/>
          <w:sz w:val="18"/>
          <w:szCs w:val="18"/>
          <w:u w:val="single" w:color="auto"/>
          <w:color w:val="0000FF"/>
        </w:rPr>
        <w:t>Extended Revolving Commitments</w:t>
      </w:r>
      <w:r>
        <w:rPr>
          <w:rFonts w:ascii="Times New Roman" w:cs="Times New Roman" w:eastAsia="Times New Roman" w:hAnsi="Times New Roman"/>
          <w:sz w:val="18"/>
          <w:szCs w:val="18"/>
          <w:color w:val="auto"/>
        </w:rPr>
        <w:t xml:space="preserve">” has the meaning assigned to such term in Section </w:t>
      </w:r>
      <w:r>
        <w:rPr>
          <w:rFonts w:ascii="Times New Roman" w:cs="Times New Roman" w:eastAsia="Times New Roman" w:hAnsi="Times New Roman"/>
          <w:sz w:val="18"/>
          <w:szCs w:val="18"/>
          <w:u w:val="single" w:color="auto"/>
          <w:color w:val="auto"/>
        </w:rPr>
        <w:t>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“Extended Term Loans” has the meaning assigned to such term in Section 2.22(b).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“Extension” has the meaning assigned to such term in Section 2.22(b).</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Issuing Bank implementing an Extension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 with respect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xml:space="preserve">” means that certain First Amendment to Credit Agreement, dated as of </w:t>
      </w:r>
      <w:r>
        <w:rPr>
          <w:rFonts w:ascii="Times New Roman" w:cs="Times New Roman" w:eastAsia="Times New Roman" w:hAnsi="Times New Roman"/>
          <w:sz w:val="18"/>
          <w:szCs w:val="18"/>
          <w:color w:val="FF0000"/>
          <w:strike w:val="1"/>
        </w:rPr>
        <w:t>July 2</w:t>
      </w:r>
      <w:r>
        <w:rPr>
          <w:rFonts w:ascii="Times New Roman" w:cs="Times New Roman" w:eastAsia="Times New Roman" w:hAnsi="Times New Roman"/>
          <w:sz w:val="18"/>
          <w:szCs w:val="18"/>
          <w:u w:val="single" w:color="auto"/>
          <w:color w:val="0000FF"/>
        </w:rPr>
        <w:t>August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2018</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by the Borrower, the Loan Parties party thereto, the Administrative Agent and the Lenders party thereto.</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xml:space="preserve">” means the date on which the conditions to effectiveness of the First Amendment were first satisfied or waived in accordance with the First Amendment. The First Amendment Effective Date occurred on </w:t>
      </w:r>
      <w:r>
        <w:rPr>
          <w:rFonts w:ascii="Times New Roman" w:cs="Times New Roman" w:eastAsia="Times New Roman" w:hAnsi="Times New Roman"/>
          <w:sz w:val="18"/>
          <w:szCs w:val="18"/>
          <w:color w:val="FF0000"/>
          <w:strike w:val="1"/>
        </w:rPr>
        <w:t>July 2</w:t>
      </w:r>
      <w:r>
        <w:rPr>
          <w:rFonts w:ascii="Times New Roman" w:cs="Times New Roman" w:eastAsia="Times New Roman" w:hAnsi="Times New Roman"/>
          <w:sz w:val="18"/>
          <w:szCs w:val="18"/>
          <w:u w:val="single" w:color="auto"/>
          <w:color w:val="0000FF"/>
        </w:rPr>
        <w:t>August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2018</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“United States person” as defined in Section 7701(a)(30) of the Code.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xml:space="preserve">” means, with respect to any Person and without duplication, (i) all Indebtedness of such Person of the types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(other than the portion thereof consisting of contingent or unliquidated earn-outs),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the definition of “Indebtedness”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(ii) all Indebtedness of others of the type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definition secured by (or for which the holder of such Indebtedness has an existing right, contingent or otherwise, to be secured by) a Lien on, or payable out of the proceeds of production from, any property or asset of such Person, whether or not the obligations secured thereby have been assumed by such Person and (iii) all Guarantees of such Person with respect to Indebtedness of others of the type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definition. The Funded Indebtedness of any Person shall include the Funded Indebtedness of any other entity (including any partnership in which such Person is a general partner) to the extent such Person is liable therefor as a result of such Person’s ownership interest in or other relationship with such entity, except to the extent the terms of such Funded Indebtedness provide that such Person is not liable therefor.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of any of the foregoing,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3" w:lineRule="exact"/>
        <w:rPr>
          <w:sz w:val="20"/>
          <w:szCs w:val="20"/>
          <w:color w:val="auto"/>
        </w:rPr>
      </w:pPr>
    </w:p>
    <w:p>
      <w:pPr>
        <w:jc w:val="both"/>
        <w:ind w:firstLine="8"/>
        <w:spacing w:after="0" w:line="253" w:lineRule="auto"/>
        <w:tabs>
          <w:tab w:leader="none" w:pos="2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w:t>
      </w:r>
    </w:p>
    <w:p>
      <w:pPr>
        <w:jc w:val="both"/>
        <w:ind w:firstLine="8"/>
        <w:spacing w:after="0" w:line="253"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“Increasing Revolving Lender” has the meaning assigned to such term in Section 2.23(a)(i).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“Incremental Term Lender” has the meaning assigned to such term in Section 2.23(a)(i).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“Incremental Term Loan Amendment” has the meaning assigned to such term in Section 2.23(b)(iii).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“Incremental Term Loan Commitment Date” has the meaning assigned to such term in Section 2.23(b)(i).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“Incremental Term Loan Commitments” has the meaning assigned to such term in Section 2.23(b)(i).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“Incremental Term Loan Facility” has the meaning assigned to such term in Section 2.23(b).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“Incremental Term Loan Notice” has the meaning assigned to such term in Section 2.23(b)(i).</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obligations under any liquidated earn-out, (k) any other Off-Balance Sheet Liability and (l) any obligations with respect to any Swap Agreements to the extent required to be reflected as a liability on a balance sheet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subsection (a), Other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(c)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 million and a significant part of its activities consist of making or purchasing commercial loans and similar extensions of credit in the ordinary course of its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(d) a Loan Party or a Subsidiary or other Affiliate of a Loan Party.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at any date, the ratio of (a) EBITDA to (b) cash Interest Expense, all calculated for the period of four consecutive fiscal quarters ended on such date (or, if such date is not the last day of a fiscal quarter, ended on the last day of the fiscal quarter most recently ended prior to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first Business Day of each January, April, July and October and the Maturity Date, and (b) with respect to any Term SOFR Loan, the last day of the Interest Period applicable to the Borrowing of which such Loan is a part and, in the case of a Term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SOFR Borrowing, the period commencing on the date of such Borrowing and ending on the numerically corresponding day in the calendar month that is one, three or six months, or, if available to all Lenders, twelve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in the case of a Term SOFR Borrowing only, such next succeeding Business Day would fall in the next calendar month, in which case such Interest Period shall end on the next preceding Business Day, (ii) any Interest Period pertaining to a Term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Banks</w:t>
      </w:r>
      <w:r>
        <w:rPr>
          <w:rFonts w:ascii="Times New Roman" w:cs="Times New Roman" w:eastAsia="Times New Roman" w:hAnsi="Times New Roman"/>
          <w:sz w:val="18"/>
          <w:szCs w:val="18"/>
          <w:color w:val="auto"/>
        </w:rPr>
        <w:t>” means, individually and collectively as the context may require, each Lender, in its capacity as an issuer of Letters of Credit hereunder, and its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has the meaning assigned to such term in the definition of “LC Sublimit”.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w:t>
      </w:r>
    </w:p>
    <w:p>
      <w:pPr>
        <w:spacing w:after="0" w:line="27" w:lineRule="exact"/>
        <w:rPr>
          <w:sz w:val="20"/>
          <w:szCs w:val="20"/>
          <w:color w:val="auto"/>
        </w:rPr>
      </w:pPr>
    </w:p>
    <w:p>
      <w:pPr>
        <w:jc w:val="both"/>
        <w:ind w:firstLine="8"/>
        <w:spacing w:after="0" w:line="252"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LC Disbursements relating to Letters of Credit that have not yet been reimbursed by or on behalf of the Borrower at such time. The LC Exposure of any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at any time shall be its Applicable Percentage of the total LC Exposure at such time. </w:t>
      </w:r>
      <w:r>
        <w:rPr>
          <w:rFonts w:ascii="Times New Roman" w:cs="Times New Roman" w:eastAsia="Times New Roman" w:hAnsi="Times New Roman"/>
          <w:sz w:val="18"/>
          <w:szCs w:val="18"/>
          <w:u w:val="single" w:color="auto"/>
          <w:color w:val="0000FF"/>
        </w:rPr>
        <w:t>For all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this Agreement, if on any date of determination, any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xml:space="preserve">” means an aggregate amount equal to $20,000,000, subject to increase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as to any Issuing Bank, such Issuing Bank’s commitment to provide a portion of the LC Sublimit shall not exceed such Issuing Bank’s Applicable Percentage (such amount as to any issuing Bank, its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xml:space="preserve">” means Citibank, N.A., PNC </w:t>
      </w:r>
      <w:r>
        <w:rPr>
          <w:rFonts w:ascii="Times New Roman" w:cs="Times New Roman" w:eastAsia="Times New Roman" w:hAnsi="Times New Roman"/>
          <w:sz w:val="18"/>
          <w:szCs w:val="18"/>
          <w:color w:val="FF0000"/>
          <w:strike w:val="1"/>
        </w:rPr>
        <w:t>Bank, National Association</w:t>
      </w:r>
      <w:r>
        <w:rPr>
          <w:rFonts w:ascii="Times New Roman" w:cs="Times New Roman" w:eastAsia="Times New Roman" w:hAnsi="Times New Roman"/>
          <w:sz w:val="18"/>
          <w:szCs w:val="18"/>
          <w:u w:val="single" w:color="auto"/>
          <w:color w:val="0000FF"/>
        </w:rPr>
        <w:t>Capital Markets LLC</w:t>
      </w:r>
      <w:r>
        <w:rPr>
          <w:rFonts w:ascii="Times New Roman" w:cs="Times New Roman" w:eastAsia="Times New Roman" w:hAnsi="Times New Roman"/>
          <w:sz w:val="18"/>
          <w:szCs w:val="18"/>
          <w:color w:val="auto"/>
        </w:rPr>
        <w:t>, TD Bank, N.A. and HSBC Bank USA, National Association in their capacities as joint lead arrangers.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Bookrunners</w:t>
      </w:r>
      <w:r>
        <w:rPr>
          <w:rFonts w:ascii="Times New Roman" w:cs="Times New Roman" w:eastAsia="Times New Roman" w:hAnsi="Times New Roman"/>
          <w:sz w:val="18"/>
          <w:szCs w:val="18"/>
          <w:color w:val="auto"/>
        </w:rPr>
        <w:t xml:space="preserve">” means Citibank, N.A. and PNC </w:t>
      </w:r>
      <w:r>
        <w:rPr>
          <w:rFonts w:ascii="Times New Roman" w:cs="Times New Roman" w:eastAsia="Times New Roman" w:hAnsi="Times New Roman"/>
          <w:sz w:val="18"/>
          <w:szCs w:val="18"/>
          <w:color w:val="FF0000"/>
          <w:strike w:val="1"/>
        </w:rPr>
        <w:t>Bank, National Association</w:t>
      </w:r>
      <w:r>
        <w:rPr>
          <w:rFonts w:ascii="Times New Roman" w:cs="Times New Roman" w:eastAsia="Times New Roman" w:hAnsi="Times New Roman"/>
          <w:sz w:val="18"/>
          <w:szCs w:val="18"/>
          <w:u w:val="single" w:color="auto"/>
          <w:color w:val="0000FF"/>
        </w:rPr>
        <w:t>Capital Markets LLC</w:t>
      </w:r>
      <w:r>
        <w:rPr>
          <w:rFonts w:ascii="Times New Roman" w:cs="Times New Roman" w:eastAsia="Times New Roman" w:hAnsi="Times New Roman"/>
          <w:sz w:val="18"/>
          <w:szCs w:val="18"/>
          <w:color w:val="auto"/>
        </w:rPr>
        <w:t xml:space="preserve"> in their capacities as joint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bookrunners.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“Lender Counterparty” means each Lender, the Administrative Agent and each of their respective Affiliates that is counterparty to a Swap Agreement or provider of Cash Management Services pursuant to a Cash Management Services Agreement, as applicable, including any Person who is an Administrative Agent or a Lender (and any Affiliate thereof) at the time of entry into such Swap Agreement or Cash Management Services Agreement, as applicable, but subsequently ceases to be an Administrative Agent or a Lender (or an Affiliate thereof), as the case may be.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each Existing Letter of Credit and the other letters of credit issued pursuant to this Agreement, and the term “Letter of Credit” means any one of them or each of them singularly, as the context may require.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Notes, any Letter of Credit applications, the Collateral Documents, the Loan Guaranty and all other agreements, instruments, documents and certificates identified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xml:space="preserve">” means (a) each of the Borrower’s wholly-owned Material Domestic Subsidiaries and (b) with respect to Secured Obligations owed by any other Loan Party or other Subsidiary,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any administrative requirements of the Administrative Agent, the Borrower may elect to add domestic Subsidiaries as Loan Guarantors so long as each such added Loan Guarantor complies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of this Agreement as if it were a newly acquired wholly-owned Material Domestic Subsidiary at the time of such designation.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each Loan Guarantor and their respective successors and assigns.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r>
        <w:rPr>
          <w:rFonts w:ascii="Times New Roman" w:cs="Times New Roman" w:eastAsia="Times New Roman" w:hAnsi="Times New Roman"/>
          <w:sz w:val="18"/>
          <w:szCs w:val="18"/>
          <w:u w:val="single" w:color="auto"/>
          <w:color w:val="0000FF"/>
        </w:rPr>
        <w:t>, including Revolving Loans and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 material adverse effect on (a) the business, assets, operations, or financial condition of the Borrower and its Subsidiaries taken as a whole, (b) the ability of any Loan Party to perform any of its material obligations under the Loan Documents to which it is a party, (c) any material portion of the Collateral, or the Administrative Agent’s Liens (on behalf of itself and the Lenders) on any material portion of the Collateral or the priority of such Liens (in each case subject to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or (d) the rights of or benefits available to the Administrative Agent, the Issuing Banks or the Lenders thereunder.</w:t>
      </w:r>
    </w:p>
    <w:p>
      <w:pPr>
        <w:spacing w:after="0" w:line="18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(i) any domestic Subsidiary of the Borrower whose total assets, as of any date of determination, have a book value equal to or greater than $50 million, and (ii) any domestic Subsidiary of the Borrower having a direct Subsidiary that is a Material Domestic Subsidiary or Material Foreign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means any foreign Subsidiary of the Borrower whose total assets, as of any date of determination, have a book value equal to or greater than $30 million.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any Indebtedness (other than the Loans and Letters of Credit), or any obligations under Swap Agreements, of any one or more of the Borrower and its Subsidiaries in an aggregate principal amount exceeding $15 million. For purposes of determining Material Indebtedness, the aggregate principal amount of “obligations” of the Borrower or any Subsidiary in respect of any Swap Agreement at any time shall be the aggregate amount that the Borrower or such Subsidiary would be required to pay if such Swap Agreement were terminated at such time and after giving effect to any rights available under applicable laws or agreements with regard to collateral, netting, setoff or similar rights.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the earliest to occur of (a) April 18, 2027, (b) any earlier date on which the Commitments are reduced to zero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otherwise terminated pursuant to the terms hereof and (c) the date that the Loans, if any, are declared due and payable pursuant to </w:t>
      </w:r>
      <w:r>
        <w:rPr>
          <w:rFonts w:ascii="Times New Roman" w:cs="Times New Roman" w:eastAsia="Times New Roman" w:hAnsi="Times New Roman"/>
          <w:sz w:val="18"/>
          <w:szCs w:val="18"/>
          <w:u w:val="single" w:color="auto"/>
          <w:color w:val="FF0000"/>
          <w:strike w:val="1"/>
        </w:rPr>
        <w:t>Article VII</w:t>
      </w:r>
      <w:r>
        <w:rPr>
          <w:rFonts w:ascii="Times New Roman" w:cs="Times New Roman" w:eastAsia="Times New Roman" w:hAnsi="Times New Roman"/>
          <w:sz w:val="18"/>
          <w:szCs w:val="18"/>
          <w:color w:val="FF0000"/>
          <w:strike w:val="1"/>
        </w:rPr>
        <w:t xml:space="preserve"> hereof;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individual Lenders may elect to extend the Maturity Date applicable to their Loans and Commitments pursuant to the terms and conditions of </w:t>
      </w:r>
      <w:r>
        <w:rPr>
          <w:rFonts w:ascii="Times New Roman" w:cs="Times New Roman" w:eastAsia="Times New Roman" w:hAnsi="Times New Roman"/>
          <w:sz w:val="18"/>
          <w:szCs w:val="18"/>
          <w:u w:val="single" w:color="auto"/>
          <w:color w:val="FF0000"/>
          <w:strike w:val="1"/>
        </w:rPr>
        <w:t>Section 2.22</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strike w:val="1"/>
        </w:rPr>
        <w:t>(a) with respect to any Revolving Commitments, Revolving Loans or Letters of Credit, the Revolving Maturity Date and (b) with respect to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u w:val="single" w:color="auto"/>
          <w:color w:val="0000FF"/>
          <w:strike w:val="1"/>
        </w:rPr>
        <w:t>any Term Loans, the Term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26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0000FF"/>
        </w:rPr>
        <w:t>“Net Cash Proceeds”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or similar event, insurance proceeds and (iii) in the case of a condemnation or similar event, condemnation awards and similar payments, minus (b) the sum of (i) all reasonable fees and out-of-pocket expenses paid to third parties (other than Affiliates) in connection with such event and (ii) the amount of all taxes or tax distributions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there shall be excluded from such net income (to the extent otherwise included therein), without duplication: (a) the income (or deficit) of any Person accrued prior to the date it becomes a Subsidiary or is merged into or consolidated with the Borrower or any of its Subsidiaries, (b) the income (or deficit) of any Person (other than a Subsidiary) in which the Borrower or any of its Subsidiaries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Non-Paying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have the meanings assigned to such terms in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but does constitute an off-balance sheet liability under GAAP.</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has the meaning assigned to such term in the preliminary statements to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“Term SOFR” set forth in this Section 1.01.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in which each of the following conditions is satisfied: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Person or business which is the subject of such Acquisition is in a similar or complimentary line of business as those of the Borrower and its Subsidiaries on the Effective Date;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all governmental, corporate and material third-party approvals and consents necessary in connection with such Acquisition shall have been obtained and be in full force and effect;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if acquiring a Person, unless such Person is contemporaneously merged with and into the Borrower or a Subsidiary of the Borrower, such Person becomes a wholly owned direct or indirect Subsidiary of the Borrower and, simultaneously with such Acquisition, a Loan Party to the extent required by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with such Person’s Equity Interests being pledged as Collateral to the extent required by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such Acquisition shall be consummated in accordance with the terms of the purchase or acquisition agreement executed in connection therewith and with all other material agreements, instruments and documents implementing such Acquisition and in compliance with applicable law and regulatory approvals;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no Default or Event of Default shall have occurred and be continuing or would result therefrom and all representations and warranties contained in this Agreement shall be true and correct in all material respects on the date of the consummation of such Acquisition, except to the extent that any such representation or warranty specifically refers to an earlier date, in which case they shall be true and correct in all material respects as of such earlier date;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after giving effect to such Acquisition (including the incurrence, assumption or acquisition of any Indebtedness in connection therewith) the Total Net Leverage Ratio, calculated on a pro forma basis as if such Acquisition had been consummated at the beginning of such period, shall not exceed 3.00:1.00 (or, if the Borrower has elected an Adjusted Covenant Period with respect to such Acquisition, 3.50:1:00).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Liens imposed by law for taxes that are not yet due or are being contested in compliance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carriers’, warehousemen’s, mechanics’, materialmen’s, repairmen’s and other like Liens imposed by law, arising in the ordinary course of business and securing obligations that are not overdue by more than 60 days or are being contested in compliance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pledges and deposits made in the ordinary course of business in compliance with workers’ compensation, unemployment insurance and other social security laws or regulations;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deposits to secure the performance of bids, trade contracts, leases, statutory obligations, surety and appeal bonds, performance bonds and other obligations of a like nature, in each case in the ordinary course of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judgment liens in respect of judgments that do not constitute an Event of Default under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Liens on any interest or title of a lessor in property leased by the Borrower or any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“Permitted Encumbrances” shall not include any Lien securing Indebtedness.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Citibank, N.A. as its prime rate in effect at its principal offices in New York City. Each change in the Prime Rate shall be effective from and including the date such change is publicly announced as being effective.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 million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Material Acquisition</w:t>
      </w:r>
      <w:r>
        <w:rPr>
          <w:rFonts w:ascii="Times New Roman" w:cs="Times New Roman" w:eastAsia="Times New Roman" w:hAnsi="Times New Roman"/>
          <w:sz w:val="18"/>
          <w:szCs w:val="18"/>
          <w:color w:val="auto"/>
        </w:rPr>
        <w:t>” means any Permitted Acquisition, if the aggregate consideration paid or to be paid in respect of such Permitted Acquisition exceeds $75,000,000 and the Borrower has designated such Permitted Acquisition as a “Qualifying Material Acquisition” by written notice to the Administrative Agent within thirty (30) days following the consummation of a Permitted Acquisition, together with a description of such Permitted Acquisition, which shall include the name of the acquired target or a summary description of the acquired assets and shall confirm that the aggregate purchase price for such Permitted Acquisition exceeds $75,000,000. For the avoidance of doubt, once any Permitted Acquisition has been so designated as a Qualifying Material Acquisition, it may be designated as any other Qualifying Material Acquisition.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has the meaning assigned to such term in the definition of “EBITDA”.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“Reinvestment Assets” has the meaning assigned to such term in Section 2.11(b)(iv)(x)(B).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Person that is an investment fund, any other investment fund that invests in securities and that is managed or advised by the same investment advisor as such Person or by an Affiliate of such investment advisor.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Indemnitee Parties</w:t>
      </w:r>
      <w:r>
        <w:rPr>
          <w:rFonts w:ascii="Times New Roman" w:cs="Times New Roman" w:eastAsia="Times New Roman" w:hAnsi="Times New Roman"/>
          <w:sz w:val="18"/>
          <w:szCs w:val="18"/>
          <w:color w:val="auto"/>
        </w:rPr>
        <w:t>” shall mean with respect to any specified Indemnitee, such Indemnitee’s controlled Affiliates and the respective officers, directors, employees, advisors, agents or other representatives of such Indemnitee or such Indemnitee’s controlled Affiliates acting at the direction of such Indemnitee.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Requested Increase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Requested Increase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“Requested Incremental Term Loan Amount” has the meaning assigned to such term in Section 2.23(b)(i).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“Requested Incremental Term Loan Date” has the meaning assigned to such term in Section 2.23(b)(i).</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(other than Defaulting Lenders) having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w:t>
      </w:r>
      <w:r>
        <w:rPr>
          <w:rFonts w:ascii="Times New Roman" w:cs="Times New Roman" w:eastAsia="Times New Roman" w:hAnsi="Times New Roman"/>
          <w:sz w:val="18"/>
          <w:szCs w:val="18"/>
          <w:u w:val="single" w:color="auto"/>
          <w:color w:val="0000FF"/>
        </w:rPr>
        <w:t>,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principal of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unused Commitments representing more than 50% of the sum of the total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Credit Exposure</w:t>
      </w:r>
      <w:r>
        <w:rPr>
          <w:rFonts w:ascii="Times New Roman" w:cs="Times New Roman" w:eastAsia="Times New Roman" w:hAnsi="Times New Roman"/>
          <w:sz w:val="18"/>
          <w:szCs w:val="18"/>
          <w:u w:val="single" w:color="auto"/>
          <w:color w:val="0000FF"/>
        </w:rPr>
        <w:t>, outstanding principal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unused Commitments at such time.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Availability Period” means the period from and including the Amendment and Restatement Effective Date to but excluding the earlier of the Revolving Maturity Date and the date of termination of the Revolving Commitments.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Borrowing” means any Borrowing made with respect to a Revolving Loan.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0000FF"/>
        </w:rPr>
        <w:t>“Revolving Commitment” means with respect to each Lender, the commitment, if any, of such Lender to make Revolving Loans and to acquire participations in Letters of Credit hereunder, expressed as an amount representing the maximum aggregate permitted amount of such Lender’s Revolving Credit Exposure hereunder. The initial amount of each Lender’s Revolving Commitment is set forth on the Commitment Schedule, or in the Assignment and Assumption pursuant to which such Lender shall have assumed its Revolving Commitment, as applicable. The aggregate amount of the Lenders’ Revolving Commitments as of the First Amendment Effective Date is $500 million.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Commitment Date” has the meaning assigned to such term in Section 2.23(a)(i).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Commitment Increase” has the meaning assigned to such term in Section 2.23(a).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Credit Exposure” means, with respect to any Lender at any time, the sum of the outstanding principal amount of such Lender’s Revolving Loans and its LC Exposure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Extension” has the meaning assigned to such term in Section 2.22(a).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Extension Offer” has the meaning assigned to such term in Section 2.22(a).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Lender” means, as of any date of determination, a Lender with a Revolving Commitment or, if the Revolving Commitments have terminated or expired, a Lender with Revolving Credit Exposure.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“Revolving Loan” means a Loan made pursuant to Section 2.01(a).</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“Revolving Maturity Date” means the earliest to occur of (a) April 18, 2027, (b) any earlier date on which the Revolving Commitments are reduced to zero or otherwise terminated pursuant to the terms hereof and (c) the date that the Revolving Loans, if any, are declared due and payable pursuant to Article VII hereof; provided, that individual Revolving Lenders may elect to extend the Revolving Maturity Date applicable to their Revolving Loans and Revolving Commitments pursuant to the terms and conditions of Section 2.22.</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subject or target of any Sanctions.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or by the United Nations Security Council, the </w:t>
      </w:r>
      <w:r>
        <w:rPr>
          <w:rFonts w:ascii="Times New Roman" w:cs="Times New Roman" w:eastAsia="Times New Roman" w:hAnsi="Times New Roman"/>
          <w:sz w:val="18"/>
          <w:szCs w:val="18"/>
          <w:u w:val="single" w:color="auto"/>
          <w:color w:val="0000FF"/>
        </w:rPr>
        <w:t>Hong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Kong Monetary Authority,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European Union or any EU member state, (b) any Person operating, organized or resident in a Sanctioned Country or (c)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Person majority-owned or controlled by any such Person or Persons described in the foregoing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w:t>
      </w:r>
      <w:r>
        <w:rPr>
          <w:rFonts w:ascii="Times New Roman" w:cs="Times New Roman" w:eastAsia="Times New Roman" w:hAnsi="Times New Roman"/>
          <w:sz w:val="18"/>
          <w:szCs w:val="18"/>
          <w:u w:val="single" w:color="auto"/>
          <w:color w:val="0000FF"/>
        </w:rPr>
        <w:t>Hong Kong Monetary Authority, the</w:t>
      </w:r>
      <w:r>
        <w:rPr>
          <w:rFonts w:ascii="Times New Roman" w:cs="Times New Roman" w:eastAsia="Times New Roman" w:hAnsi="Times New Roman"/>
          <w:sz w:val="18"/>
          <w:szCs w:val="18"/>
          <w:color w:val="auto"/>
        </w:rPr>
        <w:t xml:space="preserve"> European Union or </w:t>
      </w:r>
      <w:r>
        <w:rPr>
          <w:rFonts w:ascii="Times New Roman" w:cs="Times New Roman" w:eastAsia="Times New Roman" w:hAnsi="Times New Roman"/>
          <w:sz w:val="18"/>
          <w:szCs w:val="18"/>
          <w:color w:val="FF0000"/>
          <w:strike w:val="1"/>
        </w:rPr>
        <w:t>Her</w:t>
      </w:r>
      <w:r>
        <w:rPr>
          <w:rFonts w:ascii="Times New Roman" w:cs="Times New Roman" w:eastAsia="Times New Roman" w:hAnsi="Times New Roman"/>
          <w:sz w:val="18"/>
          <w:szCs w:val="18"/>
          <w:u w:val="single" w:color="auto"/>
          <w:color w:val="0000FF"/>
        </w:rPr>
        <w:t>His</w:t>
      </w:r>
      <w:r>
        <w:rPr>
          <w:rFonts w:ascii="Times New Roman" w:cs="Times New Roman" w:eastAsia="Times New Roman" w:hAnsi="Times New Roman"/>
          <w:sz w:val="18"/>
          <w:szCs w:val="18"/>
          <w:color w:val="auto"/>
        </w:rPr>
        <w:t xml:space="preserve"> Majesty’s Treasury of the United Kingdom.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Banking Services Obligations</w:t>
      </w:r>
      <w:r>
        <w:rPr>
          <w:rFonts w:ascii="Times New Roman" w:cs="Times New Roman" w:eastAsia="Times New Roman" w:hAnsi="Times New Roman"/>
          <w:sz w:val="18"/>
          <w:szCs w:val="18"/>
          <w:color w:val="auto"/>
        </w:rPr>
        <w:t>” has the meaning given to such term in the definition of “Secured Obligations.”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w:t>
      </w:r>
      <w:r>
        <w:rPr>
          <w:rFonts w:ascii="Times New Roman" w:cs="Times New Roman" w:eastAsia="Times New Roman" w:hAnsi="Times New Roman"/>
          <w:sz w:val="18"/>
          <w:szCs w:val="18"/>
          <w:u w:val="single" w:color="auto"/>
          <w:color w:val="0000FF"/>
        </w:rPr>
        <w:t>at any time owed or owing to the Secured Parties (or any of them)</w:t>
      </w:r>
      <w:r>
        <w:rPr>
          <w:rFonts w:ascii="Times New Roman" w:cs="Times New Roman" w:eastAsia="Times New Roman" w:hAnsi="Times New Roman"/>
          <w:sz w:val="18"/>
          <w:szCs w:val="18"/>
          <w:color w:val="auto"/>
        </w:rPr>
        <w:t>, together with all</w:t>
      </w:r>
    </w:p>
    <w:p>
      <w:pPr>
        <w:spacing w:after="0" w:line="27" w:lineRule="exact"/>
        <w:rPr>
          <w:sz w:val="20"/>
          <w:szCs w:val="20"/>
          <w:color w:val="auto"/>
        </w:rPr>
      </w:pPr>
    </w:p>
    <w:p>
      <w:pPr>
        <w:jc w:val="both"/>
        <w:ind w:firstLine="8"/>
        <w:spacing w:after="0" w:line="251" w:lineRule="auto"/>
        <w:tabs>
          <w:tab w:leader="none" w:pos="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Banking Services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that no Banking Services Obligations (other than Banking Services Obligations owing to the Administrative Agent) shall constitute “Secured Obligations” unless the Borrower and the applicable Secured Party shall each have provided written notice to the Administrative Agent (</w:t>
      </w:r>
      <w:r>
        <w:rPr>
          <w:rFonts w:ascii="Times New Roman" w:cs="Times New Roman" w:eastAsia="Times New Roman" w:hAnsi="Times New Roman"/>
          <w:sz w:val="18"/>
          <w:szCs w:val="18"/>
          <w:color w:val="FF0000"/>
          <w:strike w:val="1"/>
        </w:rPr>
        <w:t>with a copy of such written notice sent by email to secured.designationnotice@citi.com) (</w:t>
      </w:r>
      <w:r>
        <w:rPr>
          <w:rFonts w:ascii="Times New Roman" w:cs="Times New Roman" w:eastAsia="Times New Roman" w:hAnsi="Times New Roman"/>
          <w:sz w:val="18"/>
          <w:szCs w:val="18"/>
          <w:color w:val="auto"/>
        </w:rPr>
        <w:t>such Banking Services Obligations, “</w:t>
      </w:r>
      <w:r>
        <w:rPr>
          <w:rFonts w:ascii="Times New Roman" w:cs="Times New Roman" w:eastAsia="Times New Roman" w:hAnsi="Times New Roman"/>
          <w:sz w:val="18"/>
          <w:szCs w:val="18"/>
          <w:u w:val="single" w:color="auto"/>
          <w:color w:val="auto"/>
        </w:rPr>
        <w:t>Secured Banking Services Obligations</w:t>
      </w:r>
      <w:r>
        <w:rPr>
          <w:rFonts w:ascii="Times New Roman" w:cs="Times New Roman" w:eastAsia="Times New Roman" w:hAnsi="Times New Roman"/>
          <w:sz w:val="18"/>
          <w:szCs w:val="18"/>
          <w:color w:val="auto"/>
        </w:rPr>
        <w:t xml:space="preserve">”), (ii) Swap Agreement Obligations owing to any </w:t>
      </w:r>
      <w:r>
        <w:rPr>
          <w:rFonts w:ascii="Times New Roman" w:cs="Times New Roman" w:eastAsia="Times New Roman" w:hAnsi="Times New Roman"/>
          <w:sz w:val="18"/>
          <w:szCs w:val="18"/>
          <w:color w:val="FF0000"/>
          <w:strike w:val="1"/>
        </w:rPr>
        <w:t>P</w:t>
      </w:r>
      <w:r>
        <w:rPr>
          <w:rFonts w:ascii="Times New Roman" w:cs="Times New Roman" w:eastAsia="Times New Roman" w:hAnsi="Times New Roman"/>
          <w:sz w:val="18"/>
          <w:szCs w:val="18"/>
          <w:u w:val="single" w:color="auto"/>
          <w:color w:val="0000FF"/>
        </w:rPr>
        <w:t>p</w:t>
      </w:r>
      <w:r>
        <w:rPr>
          <w:rFonts w:ascii="Times New Roman" w:cs="Times New Roman" w:eastAsia="Times New Roman" w:hAnsi="Times New Roman"/>
          <w:sz w:val="18"/>
          <w:szCs w:val="18"/>
          <w:color w:val="auto"/>
        </w:rPr>
        <w:t xml:space="preserve">erson that, at the time of entering into such arrangement with a Loan Party or any Subsidiary, was the Administrative Agent, a Lender or an Affiliate thereof, in each case, with respect to such Swap Agreement Obligations, to the extent designated by the Borrower in a written statement to the Administrative Agent </w:t>
      </w:r>
      <w:r>
        <w:rPr>
          <w:rFonts w:ascii="Times New Roman" w:cs="Times New Roman" w:eastAsia="Times New Roman" w:hAnsi="Times New Roman"/>
          <w:sz w:val="18"/>
          <w:szCs w:val="18"/>
          <w:color w:val="FF0000"/>
          <w:strike w:val="1"/>
        </w:rPr>
        <w:t>(with a copy of such written notice sent by email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 secured.designationnotice@citi.com)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constituting Secured Obligations (such Swap Agreement Obligations, “</w:t>
      </w:r>
      <w:r>
        <w:rPr>
          <w:rFonts w:ascii="Times New Roman" w:cs="Times New Roman" w:eastAsia="Times New Roman" w:hAnsi="Times New Roman"/>
          <w:sz w:val="18"/>
          <w:szCs w:val="18"/>
          <w:u w:val="single" w:color="auto"/>
          <w:color w:val="000000"/>
        </w:rPr>
        <w:t>Secured Swap Agreement Obligations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and (iii) Erroneous Payment Subrogation Rights;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collectively, (a)</w:t>
      </w:r>
      <w:r>
        <w:rPr>
          <w:rFonts w:ascii="Times New Roman" w:cs="Times New Roman" w:eastAsia="Times New Roman" w:hAnsi="Times New Roman"/>
          <w:sz w:val="18"/>
          <w:szCs w:val="18"/>
          <w:color w:val="auto"/>
        </w:rPr>
        <w:t xml:space="preserve"> the Administrative Agent, each Lender, each Issuing Bank and each </w:t>
      </w:r>
      <w:r>
        <w:rPr>
          <w:rFonts w:ascii="Times New Roman" w:cs="Times New Roman" w:eastAsia="Times New Roman" w:hAnsi="Times New Roman"/>
          <w:sz w:val="18"/>
          <w:szCs w:val="18"/>
          <w:color w:val="FF0000"/>
          <w:strike w:val="1"/>
        </w:rPr>
        <w:t>other provider of 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Obligations as permitted pursuant to the definition thereof.</w:t>
      </w:r>
      <w:r>
        <w:rPr>
          <w:rFonts w:ascii="Times New Roman" w:cs="Times New Roman" w:eastAsia="Times New Roman" w:hAnsi="Times New Roman"/>
          <w:sz w:val="18"/>
          <w:szCs w:val="18"/>
          <w:u w:val="single" w:color="auto"/>
          <w:color w:val="0000FF"/>
          <w:strike w:val="1"/>
        </w:rPr>
        <w:t>Indemnitee, (b) each Lender Counterparty (i) on the Effective Date, in the case of a Swap</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Agreement existing on the Effective Date or (ii) at the time of entering into such Swap Agreement, in the case of a Swap Agreement entered into after the Effective Date and (c) the permitted successors, assigns and novatees of each of the foregoing.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Agreement Obligations</w:t>
      </w:r>
      <w:r>
        <w:rPr>
          <w:rFonts w:ascii="Times New Roman" w:cs="Times New Roman" w:eastAsia="Times New Roman" w:hAnsi="Times New Roman"/>
          <w:sz w:val="18"/>
          <w:szCs w:val="18"/>
          <w:color w:val="auto"/>
        </w:rPr>
        <w:t>” has the meaning given to such term in the definition of “Secured Obligations.”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dated as of the Effective Date, among the Borrower, each Domestic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(a) for any calculation with respect to ABR Loans, a percentage per annum equal to 0.10% and (b) for any calculation with respect to Term SOFR Loans, a percentage per annum equal to (i) 0.10% for Term SOFR Loans with an Interest period of one month, (ii) 0.15% for Term SOFR Loans with an Interest Period of three months and (iii) 0.25% for Term SOFR Loans with an Interest Period of six months.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Default</w:t>
      </w:r>
      <w:r>
        <w:rPr>
          <w:rFonts w:ascii="Times New Roman" w:cs="Times New Roman" w:eastAsia="Times New Roman" w:hAnsi="Times New Roman"/>
          <w:sz w:val="18"/>
          <w:szCs w:val="18"/>
          <w:color w:val="auto"/>
        </w:rPr>
        <w:t xml:space="preserve">” means an Event of Default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Article VII.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at all times subordinated to payment of the Obligations in accordance with the terms set forth on Schedule 1.01.</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the parent, or (b) that is, as of such date, otherwise Controlled, by the parent or one or more subsidiaries of the parent or by the parent and one or more subsidiaries of the parent.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Borrower or a Loan Party, as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under (a) any and all Swap Agreements permitted hereunder with a Person that, at the time of entering into such Swap Agreement, is the Administrative Agent, a Lender or an Affiliate of a Lender, and (b) any and all cancellations, buy backs, reversals, terminations or assignments of any such Swap Agreement transaction.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 JPMorgan Chase Bank, N.A. and Bank of America, N.A. in their capacities as syndication agents.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“Term Lender” means any Lender that holds a Term Loan or Term Loan Commitment.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“Term Loan” means a Loan made pursuant to Section 2.01(b).</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“Term Loan Commitment” means, with respect to each Lender, the commitment, if any, of such Lender to make Term Loans. The initial amount of each Lender’s Term Loan Commitment is set forth on the Commitment Schedule, or in the Assignment and Assumption pursuant to which such Lender shall have assumed its Term Loan Commitment, as applicable. The aggregate amount of the Lenders’ Term Loan Commitments as of the First Amendment Effective Date was $100 million.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“Term Loan Extension” has the meaning assigned to such term in Section 2.22(a).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“Term Loan Extension Offer” has the meaning assigned to such term in Section 2.22(b).</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“Term Loan Maturity Date” means the earliest to occur of (a) April 18, 2027 and (b) any earlier date on which the Term Loans are declared due and payable pursuant to Article VII hereof; provided, that individual Revolving Lenders may elect to extend the Term Loan Maturity Date applicable to their Term Loans and Term Loan Commitments pursuant to the terms and conditions of Section 2.22.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means,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for any calculation with respect to a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ABR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Borrowing</w:t>
      </w:r>
      <w:r>
        <w:rPr>
          <w:rFonts w:ascii="Times New Roman" w:cs="Times New Roman" w:eastAsia="Times New Roman" w:hAnsi="Times New Roman"/>
          <w:sz w:val="18"/>
          <w:szCs w:val="18"/>
          <w:color w:val="auto"/>
        </w:rPr>
        <w:t>” means, as to any Borrowing, the Term SOFR Loans compromising such Borrowing.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the Adjusted Term SOFR other than pursuant to clause (c) of the definition of “Alternate Base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Indebtedness</w:t>
      </w:r>
      <w:r>
        <w:rPr>
          <w:rFonts w:ascii="Times New Roman" w:cs="Times New Roman" w:eastAsia="Times New Roman" w:hAnsi="Times New Roman"/>
          <w:sz w:val="18"/>
          <w:szCs w:val="18"/>
          <w:color w:val="auto"/>
        </w:rPr>
        <w:t>” means, at any date, the aggregate principal amount of all Funded Indebtedness of the Borrower and its Subsidiaries at such date, determined on a consolidated basis in accordance with GAAP.</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means, as of any date, the ratio of (a) (x) Total Funded Indebtedness on such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(y) the aggregate amount of Unrestricted Cash and Cash Equivalents of the Borrower and its Subsidiaries on deposit in accounts in the United States, as of such date in an aggregate amount not to exceed $100 million to (b) EBITDA for the period of four consecutive fiscal quarters ended on such date (or, if such date is not the last day of a fiscal quarter, ended on the last day of the fiscal quarter most recently ended prior to such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the borrowing of Loans and other credit extensions, the Refinancing, the use of the proceeds thereof and the issuance of Letters of Credit hereunder.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Pricing Transactions</w:t>
      </w:r>
      <w:r>
        <w:rPr>
          <w:rFonts w:ascii="Times New Roman" w:cs="Times New Roman" w:eastAsia="Times New Roman" w:hAnsi="Times New Roman"/>
          <w:sz w:val="18"/>
          <w:szCs w:val="18"/>
          <w:color w:val="auto"/>
        </w:rPr>
        <w:t>” means transactions between the Borrower and/or the Loan Parties and their respective Subsidiaries and Affiliates, pursuant to which the parties to such transactions periodically invoice and remunerate each other for products and services provided to or exchanged among such parties, all upon such terms and prices (and subject to such mark-ups) as are consistent with the Borrower’s and its Subsidiaries’ and their respective Affiliates’ customary transfer pricing methods.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Adjusted Term SOFR or the Alternate Base Rate.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Bribery Act</w:t>
      </w:r>
      <w:r>
        <w:rPr>
          <w:rFonts w:ascii="Times New Roman" w:cs="Times New Roman" w:eastAsia="Times New Roman" w:hAnsi="Times New Roman"/>
          <w:sz w:val="18"/>
          <w:szCs w:val="18"/>
          <w:color w:val="auto"/>
        </w:rPr>
        <w:t>” means the UK Bribery Act of 2010.</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w:t>
      </w:r>
    </w:p>
    <w:p>
      <w:pPr>
        <w:ind w:firstLine="8"/>
        <w:spacing w:after="0" w:line="260"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(including any guarantee) that is contingent in nature at such time; or (iii) an obligation to provide collateral to secure any of the foregoing types of obligations.</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and Cash Equivalents</w:t>
      </w:r>
      <w:r>
        <w:rPr>
          <w:rFonts w:ascii="Times New Roman" w:cs="Times New Roman" w:eastAsia="Times New Roman" w:hAnsi="Times New Roman"/>
          <w:sz w:val="18"/>
          <w:szCs w:val="18"/>
          <w:color w:val="auto"/>
        </w:rPr>
        <w:t xml:space="preserve">” means, at any date, the cash and Cash Equivalents of the Loan Parties that are (or would be) included on the balance sheet of the Borrower as of such day which are not identified on the balance sheet of the Loan Parties as “restricted” in accordance with GAAP and which are free and clear of all Liens (other than non-consensual liens and liens in favor of the Secured Parties pursuant to the Collateral Documents to secure the Secured Obligations, in each case, permitted under </w:t>
      </w:r>
      <w:r>
        <w:rPr>
          <w:rFonts w:ascii="Times New Roman" w:cs="Times New Roman" w:eastAsia="Times New Roman" w:hAnsi="Times New Roman"/>
          <w:sz w:val="18"/>
          <w:szCs w:val="18"/>
          <w:u w:val="single" w:color="auto"/>
          <w:color w:val="FF0000"/>
          <w:strike w:val="1"/>
        </w:rPr>
        <w:t>Sec</w:t>
      </w:r>
      <w:r>
        <w:rPr>
          <w:rFonts w:ascii="Times New Roman" w:cs="Times New Roman" w:eastAsia="Times New Roman" w:hAnsi="Times New Roman"/>
          <w:sz w:val="29"/>
          <w:szCs w:val="29"/>
          <w:u w:val="single" w:color="auto"/>
          <w:color w:val="FF0000"/>
          <w:strike w:val="1"/>
          <w:vertAlign w:val="superscript"/>
        </w:rPr>
        <w:t>1</w:t>
      </w:r>
      <w:r>
        <w:rPr>
          <w:rFonts w:ascii="Times New Roman" w:cs="Times New Roman" w:eastAsia="Times New Roman" w:hAnsi="Times New Roman"/>
          <w:sz w:val="18"/>
          <w:szCs w:val="18"/>
          <w:u w:val="single" w:color="auto"/>
          <w:color w:val="0000FF"/>
        </w:rPr>
        <w:t>Section 6.02</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w:t>
      </w:r>
      <w:r>
        <w:rPr>
          <w:rFonts w:ascii="Times New Roman" w:cs="Times New Roman" w:eastAsia="Times New Roman" w:hAnsi="Times New Roman"/>
          <w:sz w:val="29"/>
          <w:szCs w:val="29"/>
          <w:u w:val="single" w:color="auto"/>
          <w:color w:val="FF0000"/>
          <w:strike w:val="1"/>
          <w:vertAlign w:val="superscript"/>
        </w:rPr>
        <w:t>2</w:t>
      </w:r>
      <w:r>
        <w:rPr>
          <w:rFonts w:ascii="Times New Roman" w:cs="Times New Roman" w:eastAsia="Times New Roman" w:hAnsi="Times New Roman"/>
          <w:sz w:val="18"/>
          <w:szCs w:val="18"/>
          <w:u w:val="single" w:color="auto"/>
          <w:color w:val="0000FF"/>
        </w:rPr>
        <w:t>Resolution Regimes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w:t>
      </w:r>
      <w:r>
        <w:rPr>
          <w:rFonts w:ascii="Times New Roman" w:cs="Times New Roman" w:eastAsia="Times New Roman" w:hAnsi="Times New Roman"/>
          <w:sz w:val="18"/>
          <w:szCs w:val="18"/>
          <w:color w:val="auto"/>
        </w:rPr>
        <w:t>(B)(3).</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Classification of Loans and Borrowings</w:t>
      </w:r>
      <w:r>
        <w:rPr>
          <w:rFonts w:ascii="Times New Roman" w:cs="Times New Roman" w:eastAsia="Times New Roman" w:hAnsi="Times New Roman"/>
          <w:sz w:val="18"/>
          <w:szCs w:val="18"/>
          <w:color w:val="auto"/>
        </w:rPr>
        <w:t xml:space="preserve">. For purposes of this Agreement, Loans may be classified and referred to by </w:t>
      </w:r>
      <w:r>
        <w:rPr>
          <w:rFonts w:ascii="Times New Roman" w:cs="Times New Roman" w:eastAsia="Times New Roman" w:hAnsi="Times New Roman"/>
          <w:sz w:val="18"/>
          <w:szCs w:val="18"/>
          <w:u w:val="single" w:color="auto"/>
          <w:color w:val="0000FF"/>
        </w:rPr>
        <w:t>Class (</w:t>
      </w:r>
      <w:r>
        <w:rPr>
          <w:rFonts w:ascii="Times New Roman" w:cs="Times New Roman" w:eastAsia="Times New Roman" w:hAnsi="Times New Roman"/>
          <w:sz w:val="18"/>
          <w:szCs w:val="18"/>
          <w:i w:val="1"/>
          <w:iCs w:val="1"/>
          <w:u w:val="single" w:color="auto"/>
          <w:color w:val="0000FF"/>
        </w:rPr>
        <w:t>e.g.</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 “Revolving Loan” or a “Term Loan”) or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Type (</w:t>
      </w:r>
      <w:r>
        <w:rPr>
          <w:rFonts w:ascii="Times New Roman" w:cs="Times New Roman" w:eastAsia="Times New Roman" w:hAnsi="Times New Roman"/>
          <w:sz w:val="18"/>
          <w:szCs w:val="18"/>
          <w:i w:val="1"/>
          <w:iCs w:val="1"/>
          <w:color w:val="000000"/>
        </w:rPr>
        <w:t>e.g</w:t>
      </w:r>
      <w:r>
        <w:rPr>
          <w:rFonts w:ascii="Times New Roman" w:cs="Times New Roman" w:eastAsia="Times New Roman" w:hAnsi="Times New Roman"/>
          <w:sz w:val="18"/>
          <w:szCs w:val="18"/>
          <w:color w:val="000000"/>
        </w:rPr>
        <w:t>., a “Term SOFR Loan”)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by Class and Type (</w:t>
      </w:r>
      <w:r>
        <w:rPr>
          <w:rFonts w:ascii="Times New Roman" w:cs="Times New Roman" w:eastAsia="Times New Roman" w:hAnsi="Times New Roman"/>
          <w:sz w:val="18"/>
          <w:szCs w:val="18"/>
          <w:i w:val="1"/>
          <w:iCs w:val="1"/>
          <w:u w:val="single" w:color="auto"/>
          <w:color w:val="0000FF"/>
        </w:rPr>
        <w:t>e.g.</w:t>
      </w:r>
      <w:r>
        <w:rPr>
          <w:rFonts w:ascii="Times New Roman" w:cs="Times New Roman" w:eastAsia="Times New Roman" w:hAnsi="Times New Roman"/>
          <w:sz w:val="18"/>
          <w:szCs w:val="18"/>
          <w:u w:val="single" w:color="auto"/>
          <w:color w:val="0000FF"/>
        </w:rPr>
        <w:t>, a “Term SOFR Revolving Loan”). Borrowings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also may be classified and referred to by Class (</w:t>
      </w:r>
      <w:r>
        <w:rPr>
          <w:rFonts w:ascii="Times New Roman" w:cs="Times New Roman" w:eastAsia="Times New Roman" w:hAnsi="Times New Roman"/>
          <w:sz w:val="18"/>
          <w:szCs w:val="18"/>
          <w:i w:val="1"/>
          <w:iCs w:val="1"/>
          <w:u w:val="single" w:color="auto"/>
          <w:color w:val="0000FF"/>
        </w:rPr>
        <w:t>e.g.</w:t>
      </w:r>
      <w:r>
        <w:rPr>
          <w:rFonts w:ascii="Times New Roman" w:cs="Times New Roman" w:eastAsia="Times New Roman" w:hAnsi="Times New Roman"/>
          <w:sz w:val="18"/>
          <w:szCs w:val="18"/>
          <w:u w:val="single" w:color="auto"/>
          <w:color w:val="0000FF"/>
        </w:rPr>
        <w:t>, a “Term Loan Borrowing”) or by Type (</w:t>
      </w:r>
      <w:r>
        <w:rPr>
          <w:rFonts w:ascii="Times New Roman" w:cs="Times New Roman" w:eastAsia="Times New Roman" w:hAnsi="Times New Roman"/>
          <w:sz w:val="18"/>
          <w:szCs w:val="18"/>
          <w:i w:val="1"/>
          <w:iCs w:val="1"/>
          <w:u w:val="single" w:color="auto"/>
          <w:color w:val="0000FF"/>
        </w:rPr>
        <w:t>e.g.</w:t>
      </w:r>
      <w:r>
        <w:rPr>
          <w:rFonts w:ascii="Times New Roman" w:cs="Times New Roman" w:eastAsia="Times New Roman" w:hAnsi="Times New Roman"/>
          <w:sz w:val="18"/>
          <w:szCs w:val="18"/>
          <w:u w:val="single" w:color="auto"/>
          <w:color w:val="0000FF"/>
        </w:rPr>
        <w:t>, a “Term SOFR Borrowing”) or by Class and Type (</w:t>
      </w:r>
      <w:r>
        <w:rPr>
          <w:rFonts w:ascii="Times New Roman" w:cs="Times New Roman" w:eastAsia="Times New Roman" w:hAnsi="Times New Roman"/>
          <w:sz w:val="18"/>
          <w:szCs w:val="18"/>
          <w:i w:val="1"/>
          <w:iCs w:val="1"/>
          <w:u w:val="single" w:color="auto"/>
          <w:color w:val="0000FF"/>
        </w:rPr>
        <w:t>e.g.</w:t>
      </w:r>
      <w:r>
        <w:rPr>
          <w:rFonts w:ascii="Times New Roman" w:cs="Times New Roman" w:eastAsia="Times New Roman" w:hAnsi="Times New Roman"/>
          <w:sz w:val="18"/>
          <w:szCs w:val="18"/>
          <w:u w:val="single" w:color="auto"/>
          <w:color w:val="0000FF"/>
        </w:rPr>
        <w:t>, a “Term SOFR Revolving Borrowing”).</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 and restatement,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Status of Obligations</w:t>
      </w:r>
      <w:r>
        <w:rPr>
          <w:rFonts w:ascii="Times New Roman" w:cs="Times New Roman" w:eastAsia="Times New Roman" w:hAnsi="Times New Roman"/>
          <w:sz w:val="18"/>
          <w:szCs w:val="18"/>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w:t>
      </w:r>
    </w:p>
    <w:p>
      <w:pPr>
        <w:spacing w:after="0" w:line="27" w:lineRule="exact"/>
        <w:rPr>
          <w:sz w:val="20"/>
          <w:szCs w:val="20"/>
          <w:color w:val="auto"/>
        </w:rPr>
      </w:pPr>
    </w:p>
    <w:p>
      <w:pPr>
        <w:jc w:val="both"/>
        <w:ind w:firstLine="8"/>
        <w:spacing w:after="0" w:line="251"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the Alternate Base Rate, Adjusted Term SOFR, Term SOFR or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Adjusted Term SOFR, Term SOFR or SOFR or any other Benchmark prior to its discontinuance or unavailability, or (b) the effect, implementation or composition of any Conforming Changes. The Administrative Agent and its affiliates or other related entities may engage in transactions that affect the calculation of Alternate Base Rate, Adjusted Term SOFR, Term SOFR or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Alternate Base Rate, Adjusted Term SOFR, Term SOFR,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Subject to the terms and conditions set forth herein,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 all Existing Loans made to the Borrower shall be deemed to have been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made pursuant hereto and, upon the Amendment and Restatement Effective Date, shall continue as Loans made to the Borrower hereunder in accordance with </w:t>
      </w:r>
      <w:r>
        <w:rPr>
          <w:rFonts w:ascii="Times New Roman" w:cs="Times New Roman" w:eastAsia="Times New Roman" w:hAnsi="Times New Roman"/>
          <w:sz w:val="18"/>
          <w:szCs w:val="18"/>
          <w:u w:val="single" w:color="auto"/>
          <w:color w:val="FF0000"/>
          <w:strike w:val="1"/>
        </w:rPr>
        <w:t>Section 2.02(e)</w:t>
      </w:r>
      <w:r>
        <w:rPr>
          <w:rFonts w:ascii="Times New Roman" w:cs="Times New Roman" w:eastAsia="Times New Roman" w:hAnsi="Times New Roman"/>
          <w:sz w:val="18"/>
          <w:szCs w:val="18"/>
          <w:color w:val="FF0000"/>
          <w:strike w:val="1"/>
        </w:rPr>
        <w:t xml:space="preserve"> and (b) each</w:t>
      </w:r>
      <w:r>
        <w:rPr>
          <w:rFonts w:ascii="Times New Roman" w:cs="Times New Roman" w:eastAsia="Times New Roman" w:hAnsi="Times New Roman"/>
          <w:sz w:val="18"/>
          <w:szCs w:val="18"/>
          <w:u w:val="single" w:color="auto"/>
          <w:color w:val="0000FF"/>
          <w:strike w:val="1"/>
        </w:rPr>
        <w:t>each Revolving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Lender severally agrees to make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Revolving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Loans to the Borrower from time to time during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Revolving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Availability Period in an aggregate principal amount that will not result in such Lender’s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Revolving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Credit Exposure exceeding such Lender’s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Commitment. Within the foregoing limits and subject to the terms and conditions set forth herein, the Borrower may borrow, prepay and reborrow Loans.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Subject to the terms and conditions set forth herein, each Term Lender severally (and not jointly) agrees to make Term Loans only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 the Borrower on the First Amendment Effective Date in an aggregate principal amount not to exceed such Term Lender’s Term Loan Commitment. Amounts paid or prepaid in respect of the Term Loans may not be reborrowed.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Each Loan shall be made as part of a Borrowing consisting of Loans of the same </w:t>
      </w:r>
      <w:r>
        <w:rPr>
          <w:rFonts w:ascii="Times New Roman" w:cs="Times New Roman" w:eastAsia="Times New Roman" w:hAnsi="Times New Roman"/>
          <w:sz w:val="18"/>
          <w:szCs w:val="18"/>
          <w:u w:val="single" w:color="auto"/>
          <w:color w:val="0000FF"/>
        </w:rPr>
        <w:t>Class and</w:t>
      </w:r>
      <w:r>
        <w:rPr>
          <w:rFonts w:ascii="Times New Roman" w:cs="Times New Roman" w:eastAsia="Times New Roman" w:hAnsi="Times New Roman"/>
          <w:sz w:val="18"/>
          <w:szCs w:val="18"/>
          <w:color w:val="auto"/>
        </w:rPr>
        <w:t xml:space="preserve"> Type made by the Lenders ratably in accordance with their respective Commitments </w:t>
      </w:r>
      <w:r>
        <w:rPr>
          <w:rFonts w:ascii="Times New Roman" w:cs="Times New Roman" w:eastAsia="Times New Roman" w:hAnsi="Times New Roman"/>
          <w:sz w:val="18"/>
          <w:szCs w:val="18"/>
          <w:u w:val="single" w:color="auto"/>
          <w:color w:val="0000FF"/>
        </w:rPr>
        <w:t>of the applicable Class</w:t>
      </w:r>
      <w:r>
        <w:rPr>
          <w:rFonts w:ascii="Times New Roman" w:cs="Times New Roman" w:eastAsia="Times New Roman" w:hAnsi="Times New Roman"/>
          <w:sz w:val="18"/>
          <w:szCs w:val="18"/>
          <w:color w:val="auto"/>
        </w:rPr>
        <w:t xml:space="preserve">.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of the Lenders are several and no Lender shall be responsible for any other Lender’s failure to make Loans as required.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Borrowing </w:t>
      </w:r>
      <w:r>
        <w:rPr>
          <w:rFonts w:ascii="Times New Roman" w:cs="Times New Roman" w:eastAsia="Times New Roman" w:hAnsi="Times New Roman"/>
          <w:sz w:val="18"/>
          <w:szCs w:val="18"/>
          <w:u w:val="single" w:color="auto"/>
          <w:color w:val="0000FF"/>
        </w:rPr>
        <w:t>or Term Loan Borrowing, as applicable,</w:t>
      </w:r>
      <w:r>
        <w:rPr>
          <w:rFonts w:ascii="Times New Roman" w:cs="Times New Roman" w:eastAsia="Times New Roman" w:hAnsi="Times New Roman"/>
          <w:sz w:val="18"/>
          <w:szCs w:val="18"/>
          <w:color w:val="auto"/>
        </w:rPr>
        <w:t xml:space="preserve"> shall be comprised entirely of ABR Loans or Term SOFR Loans, in each case, as the Borrower may request in accordance herewith. Each Lender at its option may make any Term SOFR Loan by causing any domestic 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exercise of such option shall not affect the obligation of the Borrower to repay such Loan in accordance with the terms of this Agreement.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SOFR Borrowing, such Borrowing shall be in an aggregate amount that is an integral multiple of $500,000 and not less than $1 million. At the time that each ABR Borrowing is made, such Borrowing shall be in an aggregate amount that is an integral multiple of $100,000 and not less than $1 million;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there shall not at any time be more than a total of eight (8) Term SOFR Borrowings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the Borrower shall not be entitled to request, or to elect to convert or continue, any Borrowing if the Interest Period requested with respect thereto would end after the Maturity Date </w:t>
      </w:r>
      <w:r>
        <w:rPr>
          <w:rFonts w:ascii="Times New Roman" w:cs="Times New Roman" w:eastAsia="Times New Roman" w:hAnsi="Times New Roman"/>
          <w:sz w:val="18"/>
          <w:szCs w:val="18"/>
          <w:u w:val="single" w:color="auto"/>
          <w:color w:val="0000FF"/>
        </w:rPr>
        <w:t>applicable to such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For purposes of facilitating the continuation of Existing Loans hereunder, the parties hereto hereby agree that such Existing Loans shall be subject to a cashless settlement mechanism and other purchases and sales of interests in such Loans among the Lenders whereby the Borrower shall be deemed to have borrowed from all or certain of the Lenders and/or prepaid Loans of all or certain of the Lenders such that, after giving effect thereto, the Loans (including, without limitation, the Types and Interest Periods thereof) shall be held by the Lenders ratably in accordance with their respective Commitments.</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2.03        </w:t>
      </w:r>
      <w:r>
        <w:rPr>
          <w:rFonts w:ascii="Times New Roman" w:cs="Times New Roman" w:eastAsia="Times New Roman" w:hAnsi="Times New Roman"/>
          <w:sz w:val="17"/>
          <w:szCs w:val="17"/>
          <w:u w:val="single" w:color="auto"/>
          <w:color w:val="auto"/>
        </w:rPr>
        <w:t>  Requests for Borrowings</w:t>
      </w:r>
      <w:r>
        <w:rPr>
          <w:rFonts w:ascii="Times New Roman" w:cs="Times New Roman" w:eastAsia="Times New Roman" w:hAnsi="Times New Roman"/>
          <w:sz w:val="17"/>
          <w:szCs w:val="17"/>
          <w:color w:val="auto"/>
        </w:rPr>
        <w:t>. To request a Borrowing, the Borrower shall notify the Administrative Agent of such request either in writing (delivered by hand or fax) in a form approved by the Administrative Agent and signed by the Borrower or by telephone (such request a “</w:t>
      </w:r>
      <w:r>
        <w:rPr>
          <w:rFonts w:ascii="Times New Roman" w:cs="Times New Roman" w:eastAsia="Times New Roman" w:hAnsi="Times New Roman"/>
          <w:sz w:val="17"/>
          <w:szCs w:val="17"/>
          <w:u w:val="single" w:color="auto"/>
          <w:color w:val="auto"/>
        </w:rPr>
        <w:t>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Request</w:t>
      </w:r>
      <w:r>
        <w:rPr>
          <w:rFonts w:ascii="Times New Roman" w:cs="Times New Roman" w:eastAsia="Times New Roman" w:hAnsi="Times New Roman"/>
          <w:sz w:val="17"/>
          <w:szCs w:val="17"/>
          <w:color w:val="auto"/>
        </w:rPr>
        <w:t xml:space="preserve">”) (a) in the case of a Term SOFR Borrowing, not later than 11:00 a.m., New York City time, three Business Days before the date of the proposed Borrowing or (b) in the case of an ABR Borrowing, not later than 1:00 p.m., New York City time, on the date of the proposed Borrowing;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notice of an ABR Borrowing to finance the reimbursement of an LC Disbursement as contemplated by </w:t>
      </w:r>
      <w:r>
        <w:rPr>
          <w:rFonts w:ascii="Times New Roman" w:cs="Times New Roman" w:eastAsia="Times New Roman" w:hAnsi="Times New Roman"/>
          <w:sz w:val="17"/>
          <w:szCs w:val="17"/>
          <w:u w:val="single" w:color="auto"/>
          <w:color w:val="auto"/>
        </w:rPr>
        <w:t>Section 2.06(e)</w:t>
      </w:r>
      <w:r>
        <w:rPr>
          <w:rFonts w:ascii="Times New Roman" w:cs="Times New Roman" w:eastAsia="Times New Roman" w:hAnsi="Times New Roman"/>
          <w:sz w:val="17"/>
          <w:szCs w:val="17"/>
          <w:color w:val="auto"/>
        </w:rPr>
        <w:t xml:space="preserve"> may be given not later than 10:00 a.m., New York City time, on the date of the proposed Borrowing. Each such telephonic Borrowing Request shall be irrevocable and shall be confirmed promptly by hand delivery or fax to the Administrative Agent of a written Borrowing Request in a form approved by the Administrative Agent and signed by the Borrower. Each such telephonic and written Borrowing Request shall specify the following information in compliance with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0000FF"/>
        </w:rPr>
        <w:t>The Class of Borrowing,</w:t>
      </w:r>
      <w:r>
        <w:rPr>
          <w:rFonts w:ascii="Times New Roman" w:cs="Times New Roman" w:eastAsia="Times New Roman" w:hAnsi="Times New Roman"/>
          <w:sz w:val="18"/>
          <w:szCs w:val="18"/>
          <w:color w:val="auto"/>
        </w:rPr>
        <w:t xml:space="preserve"> the aggregate amount of the requested Borrowing and a breakdown of the separate wires comprising such Borrowing;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date of such Borrowing, which shall be a Business Day;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whether such Borrowing is to be an ABR Borrowing or a Term SOFR Borrowing; and</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(iv)       in the case of a Term SOFR, the initial Interest Period to be applicable thereto, which shall be a period contemplated by the definition of the term “Interest Period.”</w:t>
      </w:r>
    </w:p>
    <w:p>
      <w:pPr>
        <w:spacing w:after="0" w:line="16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set forth herein, the Borrower may request the issuance of (and the Issuing Bank shall issue) Letters of Credit, in an amount up to the applicable Issuing Bank’s LC Commitment, denominated in dollars as the applicant thereof for the support of its or its Subsidiaries’ obligations, in a form reasonably acceptable to the applicable Issuing Bank, at any time and from time to time during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Availability Period. In the event of any inconsistency between the terms and conditions of this Agreement and the terms and conditions of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the Borrower will be fully responsible for the reimbursement of LC Disbursements in accordance with the terms hereof, the payment of interest thereon and the payment of fees due under </w:t>
      </w:r>
      <w:r>
        <w:rPr>
          <w:rFonts w:ascii="Times New Roman" w:cs="Times New Roman" w:eastAsia="Times New Roman" w:hAnsi="Times New Roman"/>
          <w:sz w:val="18"/>
          <w:szCs w:val="18"/>
          <w:u w:val="single" w:color="auto"/>
          <w:color w:val="000000"/>
        </w:rPr>
        <w:t>Section 2.12(b)</w:t>
      </w:r>
      <w:r>
        <w:rPr>
          <w:rFonts w:ascii="Times New Roman" w:cs="Times New Roman" w:eastAsia="Times New Roman" w:hAnsi="Times New Roman"/>
          <w:sz w:val="18"/>
          <w:szCs w:val="18"/>
          <w:color w:val="000000"/>
        </w:rPr>
        <w:t xml:space="preserve">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in either such case, in violation of any such Sanctions or</w:t>
      </w:r>
    </w:p>
    <w:p>
      <w:pPr>
        <w:spacing w:after="0" w:line="1" w:lineRule="exact"/>
        <w:rPr>
          <w:sz w:val="20"/>
          <w:szCs w:val="20"/>
          <w:color w:val="auto"/>
        </w:rPr>
      </w:pPr>
    </w:p>
    <w:p>
      <w:pPr>
        <w:jc w:val="both"/>
        <w:ind w:firstLine="8"/>
        <w:spacing w:after="0" w:line="250" w:lineRule="auto"/>
        <w:tabs>
          <w:tab w:leader="none" w:pos="3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Amendment and Restatement Effective Date, or shall impose upon the Issuing Bank any unreimbursed loss, cost or expense which was not applicable on the Amendment and Restatement Effective Date and which the Issuing Bank in good faith deems material to it, or (iii) if the issuance of such Letter of Credit would violate one or more policies of the Issuing Bank applicable to letters of credit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Amendment and Restatement Effective Date for purposes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regardless of the date enacted, adopted, issued or implemented</w:t>
      </w:r>
      <w:r>
        <w:rPr>
          <w:rFonts w:ascii="Times New Roman" w:cs="Times New Roman" w:eastAsia="Times New Roman" w:hAnsi="Times New Roman"/>
          <w:sz w:val="18"/>
          <w:szCs w:val="18"/>
          <w:u w:val="single" w:color="auto"/>
          <w:color w:val="0000FF"/>
        </w:rPr>
        <w:t>; provided, further, that unless otherwise expressly agreed by the Issuing Bank and the Borrower when the Letter of Credit is issued by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Issuing Bank, (i) the rules of the ISP shall be stated therein to apply to each standby Letter of Credit, and (ii) the rules of the UCP shall be stated therein to apply to each commercial Letter of Credit. Notwithstanding the foregoing, no Issuing Bank shall be responsible to the Borrower for, and such Issuing Bank’s rights and remedies against the Borrower shall not be impaired by, any action or inaction of such Issuing Bank required or permitted under any law, order, or practice that is required or permitted to be applied to any Letter of Credit or this Agreement, including the laws or any order of a jurisdiction where such Issuing Bank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applicable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whether such Letter of Credit shall contain automatic extension or renewal provisions, the amount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the LC Sublimit, (ii) the aggregate face amount of all Letters of Credit issued by the applicable Issuing Bank would exceed such Issuing Bank’s LC Commitment and (iii)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shall not exceed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of all Lenders. Subject to this Section 2.06, all Existing Letters of Credit shall continue to be issued pursuant hereto and shall continue to be subject to and governed by the terms of this Agreement, and the ratable share of each Lender’s participation in Existing Letters of Credit shall be calculated ratably in accordance with their Commitments.</w:t>
      </w:r>
    </w:p>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one-time renewal or extension thereof, including, without limitation, any automatic renewal provision, one year after such renewal or extension) and (ii) the date that is five (5) Business Days prior to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Maturity Date.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Letter of Credit shall expire at or prior to the close of business on the date that is five (5) Business Days prior to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Maturity Date if not earlier cancelled.</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 shall reimburse such LC Disbursement by paying to the Administrative Agent an amount equal to such LC Disbursement not later than 12:00 noon,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$500,000,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such payment be financed with an ABR Borrowing in an equivalent amount and,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Borrower of its obligation to reimburse such LC Disbursement.</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fax)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Borrower of its obligation to reimburse such Issuing Bank and the Lenders with respect to any such LC Disbursement.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and such interest shall be payable on the date when such reimbursement is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reimburse such Issuing Bank shall be for the account of such Lender to the extent of such payment.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Replacement of an Issuing Bank</w:t>
      </w:r>
      <w:r>
        <w:rPr>
          <w:rFonts w:ascii="Times New Roman" w:cs="Times New Roman" w:eastAsia="Times New Roman" w:hAnsi="Times New Roman"/>
          <w:sz w:val="18"/>
          <w:szCs w:val="18"/>
          <w:color w:val="auto"/>
        </w:rPr>
        <w:t xml:space="preserve">.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jc w:val="both"/>
        <w:ind w:firstLine="8"/>
        <w:spacing w:after="0" w:line="251" w:lineRule="auto"/>
        <w:tabs>
          <w:tab w:leader="none" w:pos="222" w:val="left"/>
        </w:tabs>
        <w:numPr>
          <w:ilvl w:val="0"/>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  Issuing Bank Reports to the Administrative Agent</w:t>
      </w:r>
      <w:r>
        <w:rPr>
          <w:rFonts w:ascii="Times New Roman" w:cs="Times New Roman" w:eastAsia="Times New Roman" w:hAnsi="Times New Roman"/>
          <w:sz w:val="17"/>
          <w:szCs w:val="17"/>
          <w:color w:val="auto"/>
        </w:rPr>
        <w:t xml:space="preserve">. Unless otherwise agreed by the Administrative Agent, each Issuing Bank shall, in addition to its notification obligations set forth elsewhere in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77"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  LC Exposure Determination</w:t>
      </w:r>
      <w:r>
        <w:rPr>
          <w:rFonts w:ascii="Times New Roman" w:cs="Times New Roman" w:eastAsia="Times New Roman" w:hAnsi="Times New Roman"/>
          <w:sz w:val="17"/>
          <w:szCs w:val="17"/>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in an amount equal to </w:t>
      </w:r>
      <w:r>
        <w:rPr>
          <w:rFonts w:ascii="Times New Roman" w:cs="Times New Roman" w:eastAsia="Times New Roman" w:hAnsi="Times New Roman"/>
          <w:sz w:val="18"/>
          <w:szCs w:val="18"/>
          <w:u w:val="single" w:color="auto"/>
          <w:color w:val="0000FF"/>
        </w:rPr>
        <w:t>(i) in the case of Revolving Loans,</w:t>
      </w:r>
      <w:r>
        <w:rPr>
          <w:rFonts w:ascii="Times New Roman" w:cs="Times New Roman" w:eastAsia="Times New Roman" w:hAnsi="Times New Roman"/>
          <w:sz w:val="18"/>
          <w:szCs w:val="18"/>
          <w:color w:val="auto"/>
        </w:rPr>
        <w:t xml:space="preserve"> such Lender’s Applicable Percentage </w:t>
      </w:r>
      <w:r>
        <w:rPr>
          <w:rFonts w:ascii="Times New Roman" w:cs="Times New Roman" w:eastAsia="Times New Roman" w:hAnsi="Times New Roman"/>
          <w:sz w:val="18"/>
          <w:szCs w:val="18"/>
          <w:u w:val="single" w:color="auto"/>
          <w:color w:val="0000FF"/>
        </w:rPr>
        <w:t>in and (ii) in the case of Term Loans,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Lender’s ratable portion of the Term Loan Commitments</w:t>
      </w:r>
      <w:r>
        <w:rPr>
          <w:rFonts w:ascii="Times New Roman" w:cs="Times New Roman" w:eastAsia="Times New Roman" w:hAnsi="Times New Roman"/>
          <w:sz w:val="18"/>
          <w:szCs w:val="18"/>
          <w:color w:val="000000"/>
        </w:rPr>
        <w:t>. The Administrative Agent will make such Loans available to the Borrower by promptly crediting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amounts so received, in like funds, to an account of the Borrower maintained with the Administrative Agent and designated by the Borrower in the applicable Borrowing Request;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ABR Loans made to finance the reimbursement of an LC Disbursement as provided in </w:t>
      </w:r>
      <w:r>
        <w:rPr>
          <w:rFonts w:ascii="Times New Roman" w:cs="Times New Roman" w:eastAsia="Times New Roman" w:hAnsi="Times New Roman"/>
          <w:sz w:val="18"/>
          <w:szCs w:val="18"/>
          <w:u w:val="single" w:color="auto"/>
          <w:color w:val="000000"/>
        </w:rPr>
        <w:t>Section 2.06(e)</w:t>
      </w:r>
      <w:r>
        <w:rPr>
          <w:rFonts w:ascii="Times New Roman" w:cs="Times New Roman" w:eastAsia="Times New Roman" w:hAnsi="Times New Roman"/>
          <w:sz w:val="18"/>
          <w:szCs w:val="18"/>
          <w:color w:val="000000"/>
        </w:rPr>
        <w:t xml:space="preserve"> shall be remitted by the Administrative Agent to the Issuing Banks.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Each Borrowing initially shall be of the Type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To make an election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the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Each such telephonic Interest Election Request shall be irrevocable and shall be confirmed promptly by hand delivery or fax to the Administrative Agent of a written Interest Election Request in a form approved by the Administrative Agent and signed by the Borrower.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           whether the resulting Borrowing is to be an ABR Borrowing or a Term SOFR Borrowing;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a Term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SOFR Borrowing but does not specify an Interest Period, then the Borrower shall be deemed to have selected an Interest Period of one month’s duration.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Interest Period applicable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Unless previously terminated, all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shall terminate on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Maturity Date. </w:t>
      </w:r>
      <w:r>
        <w:rPr>
          <w:rFonts w:ascii="Times New Roman" w:cs="Times New Roman" w:eastAsia="Times New Roman" w:hAnsi="Times New Roman"/>
          <w:sz w:val="18"/>
          <w:szCs w:val="18"/>
          <w:u w:val="single" w:color="auto"/>
          <w:color w:val="0000FF"/>
        </w:rPr>
        <w:t>Additionally,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unused portion of the Term Loan Commitments following the borrowing of Term Loans on the First Amendment Effective Date shall automatically terminate on the First Amendment Effective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(b)            The Borrower may at any time, without (subject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premium or penalty, terminate the </w:t>
      </w:r>
      <w:r>
        <w:rPr>
          <w:rFonts w:ascii="Times New Roman" w:cs="Times New Roman" w:eastAsia="Times New Roman" w:hAnsi="Times New Roman"/>
          <w:sz w:val="17"/>
          <w:szCs w:val="17"/>
          <w:u w:val="single" w:color="auto"/>
          <w:color w:val="0000FF"/>
        </w:rPr>
        <w:t>Revolving</w:t>
      </w:r>
      <w:r>
        <w:rPr>
          <w:rFonts w:ascii="Times New Roman" w:cs="Times New Roman" w:eastAsia="Times New Roman" w:hAnsi="Times New Roman"/>
          <w:sz w:val="17"/>
          <w:szCs w:val="17"/>
          <w:color w:val="auto"/>
        </w:rPr>
        <w:t xml:space="preserve"> Commitments upon</w:t>
      </w:r>
    </w:p>
    <w:p>
      <w:pPr>
        <w:spacing w:after="0" w:line="39" w:lineRule="exact"/>
        <w:rPr>
          <w:sz w:val="20"/>
          <w:szCs w:val="20"/>
          <w:color w:val="auto"/>
        </w:rPr>
      </w:pPr>
    </w:p>
    <w:p>
      <w:pPr>
        <w:jc w:val="both"/>
        <w:ind w:firstLine="8"/>
        <w:spacing w:after="0" w:line="253" w:lineRule="auto"/>
        <w:tabs>
          <w:tab w:leader="none" w:pos="2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applicable Issuing Bank) in an amount equal to 105% of the LC Exposure as of such date), (iii) the payment in full of the accrued and unpaid fees, and (iv) the payment in full of all reimbursable expenses and other Obligations together with accrued and unpaid interest thereon.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Borrower may from time to time, without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premium or penalty, reduce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shall be in an amount that is an integral multiple of $1 million and not less than $5 million, and (ii) the Borrower shall not reduce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would exceed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of all Lenders.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The Borrower shall notify the Administrative Agent of any election to terminate or reduce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shall be permanent. Each reduction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shall be made ratably among the Lenders in accordance with their respective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 Borrower hereby unconditionally promises to pay to the Administrative Agent for the account of each Lender the then unpaid principal amount of each Loan on the Maturity Date </w:t>
      </w:r>
      <w:r>
        <w:rPr>
          <w:rFonts w:ascii="Times New Roman" w:cs="Times New Roman" w:eastAsia="Times New Roman" w:hAnsi="Times New Roman"/>
          <w:sz w:val="18"/>
          <w:szCs w:val="18"/>
          <w:u w:val="single" w:color="auto"/>
          <w:color w:val="0000FF"/>
        </w:rPr>
        <w:t>applicable to such Loan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Administrative Agent shall maintain accounts in which it shall record (i) the amount of each Loan made hereunder, the </w:t>
      </w:r>
      <w:r>
        <w:rPr>
          <w:rFonts w:ascii="Times New Roman" w:cs="Times New Roman" w:eastAsia="Times New Roman" w:hAnsi="Times New Roman"/>
          <w:sz w:val="18"/>
          <w:szCs w:val="18"/>
          <w:u w:val="single" w:color="auto"/>
          <w:color w:val="0000FF"/>
        </w:rPr>
        <w:t>Class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Type thereof and the Interest Period applicable thereto, (ii) the amount of any principal or interest due and payable or to become due and payable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from the Borrower to each Lender hereunder and (iii) the amount of any sum received by the Administrative Agent hereunder for the account of the Lenders and each Lender’s share thereof.</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 conflict between the entries made in the accounts maintained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the Register, the Register shall govern.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Any Lender may request that Loans made by it be evidenced by a promissory note (each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In such event, the Borrower shall prepare, execute and deliver to such Lender a Note payable to such Lender and its registered assigns and in a form approved by the Administrative Agent. Thereafter, the Loans evidenced by such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Notes in such form payable to such payee and its registered assigns.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0000FF"/>
        </w:rPr>
        <w:t>Optional Prepayments.</w:t>
      </w:r>
      <w:r>
        <w:rPr>
          <w:rFonts w:ascii="Times New Roman" w:cs="Times New Roman" w:eastAsia="Times New Roman" w:hAnsi="Times New Roman"/>
          <w:sz w:val="18"/>
          <w:szCs w:val="18"/>
          <w:color w:val="auto"/>
        </w:rPr>
        <w:t xml:space="preserve"> The Borrower shall have the right at any time and from time to time, without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premium or penalty, to prepay any Borrowing in whole or in part, subject to prior notice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Mandatory Prepayments.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In the event and on such occasion that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exceeds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of all Lenders, the Borrower shall prepay the Loans and/or cash collateralize the LC Exposure in an aggregate amount equal to such excess.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left="4" w:firstLine="1296"/>
        <w:spacing w:after="0" w:line="253" w:lineRule="auto"/>
        <w:rPr>
          <w:sz w:val="20"/>
          <w:szCs w:val="20"/>
          <w:color w:val="auto"/>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Borrower shall repay to the Administrative Agent for the ratable account of the Lenders holding Term Loans,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aggregate principal amount of all Term Loans outstanding commencing with the fiscal quarter ending on December 31, 2024, in consecutive quarterly installments, in each case, in an aggregate amount equal to 5.00% per annum on the original principal amount of the Term Loans (which installments shall, to the extent applicable, be reduced as a result of the application of any voluntary prepayment of the Term Loans); provided, that the remaining principal amount of any Term Loans shall be due and payable on the Term Loan Maturity Date. Notwithstanding anything to the contrary in this Section 2.11, the Administrative Agent may, in consultation with the Borrower, at the time of incurrence thereof, adjust the amortization payment to be made to any Term Lender in conjunction with the incurrence of any Term Loans (solely in order to maintain the </w:t>
      </w:r>
      <w:r>
        <w:rPr>
          <w:rFonts w:ascii="Times New Roman" w:cs="Times New Roman" w:eastAsia="Times New Roman" w:hAnsi="Times New Roman"/>
          <w:sz w:val="18"/>
          <w:szCs w:val="18"/>
          <w:i w:val="1"/>
          <w:iCs w:val="1"/>
          <w:u w:val="single" w:color="auto"/>
          <w:color w:val="0000FF"/>
        </w:rPr>
        <w:t>pro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rata </w:t>
      </w:r>
      <w:r>
        <w:rPr>
          <w:rFonts w:ascii="Times New Roman" w:cs="Times New Roman" w:eastAsia="Times New Roman" w:hAnsi="Times New Roman"/>
          <w:sz w:val="18"/>
          <w:szCs w:val="18"/>
          <w:u w:val="single" w:color="auto"/>
          <w:color w:val="0000FF"/>
        </w:rPr>
        <w:t>allocation of amortization payments between and among Term Loans that otherwise have the same terms and conditions but are incurred on</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u w:val="single" w:color="auto"/>
          <w:color w:val="0000FF"/>
        </w:rPr>
        <w:t>different dates solely to ensure fungibility between the relevant Term Loans); provided, that the Administrative Agent shall provide written notice to the Borrower of any such adjustment prior to the immediately succeeding amortization payment (and prior to giving effect to such adjustment to such amortization payment).</w:t>
      </w:r>
    </w:p>
    <w:p>
      <w:pPr>
        <w:spacing w:after="0" w:line="192"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After the First Amendment Effective Date, within five (5) Business Days after the Borrower or any of its Subsidiaries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receives any cash proceeds from any issuance or incurrence of Indebtedness by the Borrower or any of its Subsidiaries (other than Indebtedness permitted by Section 6.01), an amount equal to 100% of the Net Cash Proceeds of such Indebtedness shall be applied on such date as a mandatory repayment in accordance with Section 2.11(b)(v).</w:t>
      </w:r>
    </w:p>
    <w:p>
      <w:pPr>
        <w:spacing w:after="0" w:line="180" w:lineRule="exact"/>
        <w:rPr>
          <w:sz w:val="20"/>
          <w:szCs w:val="20"/>
          <w:color w:val="auto"/>
        </w:rPr>
      </w:pPr>
    </w:p>
    <w:p>
      <w:pPr>
        <w:jc w:val="both"/>
        <w:ind w:left="4" w:firstLine="1296"/>
        <w:spacing w:after="0" w:line="267" w:lineRule="auto"/>
        <w:rPr>
          <w:sz w:val="20"/>
          <w:szCs w:val="20"/>
          <w:color w:val="auto"/>
        </w:rPr>
      </w:pPr>
      <w:r>
        <w:rPr>
          <w:rFonts w:ascii="Times New Roman" w:cs="Times New Roman" w:eastAsia="Times New Roman" w:hAnsi="Times New Roman"/>
          <w:sz w:val="17"/>
          <w:szCs w:val="17"/>
          <w:u w:val="single" w:color="auto"/>
          <w:color w:val="0000FF"/>
        </w:rPr>
        <w:t>(iv)</w:t>
      </w:r>
      <w:r>
        <w:rPr>
          <w:rFonts w:ascii="Times New Roman" w:cs="Times New Roman" w:eastAsia="Times New Roman" w:hAnsi="Times New Roman"/>
          <w:sz w:val="17"/>
          <w:szCs w:val="17"/>
          <w:color w:val="000000"/>
        </w:rPr>
        <w:t>           </w:t>
      </w:r>
      <w:r>
        <w:rPr>
          <w:rFonts w:ascii="Times New Roman" w:cs="Times New Roman" w:eastAsia="Times New Roman" w:hAnsi="Times New Roman"/>
          <w:sz w:val="17"/>
          <w:szCs w:val="17"/>
          <w:u w:val="single" w:color="auto"/>
          <w:color w:val="0000FF"/>
        </w:rPr>
        <w:t>After the First Amendment Effective Date, within five (5) Business Days after the Borrower or any of its Subsidiaries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receives any cash proceeds from (x) a Disposition which is consummated pursuant to Section 6.05(a)(x), an amount equal to 100% of the Net Cash Proceeds of such Disposition shall be applied on such date as a mandatory repayment in accordance with Section 2.11(b)(v); provided, however, that (A) the foregoing requirement shall not apply to Net Cash Proceeds that do not exceed $5,000,000 in the aggregate in any fiscal year and (B) such Net Cash Proceeds shall not be required to be so applied on such date so long as no Default or Event of Default then exists and such Net Cash Proceeds shall be used to purchase assets useful to the Borrower’s business (the “Reinvestment Assets”) within 180 days following the date of such Disposition and the Borrower certifies to the Administrative Agent that it intends to reinvest the Net Cash Proceeds in such manner promptly following the relevant Disposition; and provided, further, that (1) if the property subject to such Disposition constituted Collateral, the Reinvestment Assets must be assets that shall constitute Collateral and (2) if all or any portion of such Net Cash Proceeds not required to be so applied as provided above in this Section 2.11(b)(iv)(B) are not so reinvested within such 180 day period (or such earlier date, if any, as the Borrower or the relevant Subsidiary determines not to reinvest the Net Cash Proceeds from such Disposition as set forth above), such remaining portion shall be applied on the last day of such period (or such earlier date, as the case may be) as provided above in this Section 2.11(b)(iv)</w:t>
      </w:r>
    </w:p>
    <w:p>
      <w:pPr>
        <w:spacing w:after="0" w:line="1" w:lineRule="exact"/>
        <w:rPr>
          <w:sz w:val="20"/>
          <w:szCs w:val="20"/>
          <w:color w:val="auto"/>
        </w:rPr>
      </w:pPr>
    </w:p>
    <w:p>
      <w:pPr>
        <w:ind w:left="4" w:right="20" w:hanging="4"/>
        <w:spacing w:after="0" w:line="260" w:lineRule="auto"/>
        <w:tabs>
          <w:tab w:leader="none" w:pos="293"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and (y) a Disposition which is not permitted by Section 6.05, an amount equal to 100% of the Net Cash Proceeds of such Disposition shall be applied on such date as a mandatory repayment in accordance with Section 2.11(b)(v).</w:t>
      </w:r>
    </w:p>
    <w:p>
      <w:pPr>
        <w:spacing w:after="0" w:line="18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So long as any term loans are outstanding, each amount required to be applied pursuant to Section 2.11(b)(iii) and</w:t>
      </w:r>
    </w:p>
    <w:p>
      <w:pPr>
        <w:spacing w:after="0" w:line="27" w:lineRule="exact"/>
        <w:rPr>
          <w:sz w:val="20"/>
          <w:szCs w:val="20"/>
          <w:color w:val="auto"/>
        </w:rPr>
      </w:pPr>
    </w:p>
    <w:p>
      <w:pPr>
        <w:ind w:left="4" w:hanging="4"/>
        <w:spacing w:after="0" w:line="260" w:lineRule="auto"/>
        <w:tabs>
          <w:tab w:leader="none" w:pos="319" w:val="left"/>
        </w:tabs>
        <w:numPr>
          <w:ilvl w:val="0"/>
          <w:numId w:val="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above shall be applied to repay the outstanding principal installments of the Term Loans on a pro rata basis. Each such prepayment shall be applied on a </w:t>
      </w:r>
      <w:r>
        <w:rPr>
          <w:rFonts w:ascii="Times New Roman" w:cs="Times New Roman" w:eastAsia="Times New Roman" w:hAnsi="Times New Roman"/>
          <w:sz w:val="18"/>
          <w:szCs w:val="18"/>
          <w:i w:val="1"/>
          <w:iCs w:val="1"/>
          <w:u w:val="single" w:color="auto"/>
          <w:color w:val="0000FF"/>
        </w:rPr>
        <w:t>pro rata</w:t>
      </w:r>
      <w:r>
        <w:rPr>
          <w:rFonts w:ascii="Times New Roman" w:cs="Times New Roman" w:eastAsia="Times New Roman" w:hAnsi="Times New Roman"/>
          <w:sz w:val="18"/>
          <w:szCs w:val="18"/>
          <w:u w:val="single" w:color="auto"/>
          <w:color w:val="0000FF"/>
        </w:rPr>
        <w:t xml:space="preserve"> basis and shall be accompanied by accrued interest to the extent required by Section 2.13.</w:t>
      </w:r>
    </w:p>
    <w:p>
      <w:pPr>
        <w:spacing w:after="0" w:line="397"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1" w:name="page72"/>
    <w:bookmarkEnd w:id="7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Borrower shall notify the Administrative Agent by telephone (confirmed by fax) of any prepayment hereunder (i) in the case of prepayment of a Term SOFR Borrowing, not later than 11:00 a.m., New York City time, three Business Days before the date of prepayment, or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The Borrower agrees to pay to the Administrative Agent for the account of each Lender (other than a Defaulting Lender,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 commitment fee, which shall accrue at the </w:t>
      </w:r>
      <w:r>
        <w:rPr>
          <w:rFonts w:ascii="Times New Roman" w:cs="Times New Roman" w:eastAsia="Times New Roman" w:hAnsi="Times New Roman"/>
          <w:sz w:val="18"/>
          <w:szCs w:val="18"/>
          <w:color w:val="FF0000"/>
          <w:strike w:val="1"/>
        </w:rPr>
        <w:t>Commitment</w:t>
      </w:r>
      <w:r>
        <w:rPr>
          <w:rFonts w:ascii="Times New Roman" w:cs="Times New Roman" w:eastAsia="Times New Roman" w:hAnsi="Times New Roman"/>
          <w:sz w:val="18"/>
          <w:szCs w:val="18"/>
          <w:u w:val="single" w:color="auto"/>
          <w:color w:val="0000FF"/>
        </w:rPr>
        <w:t>Unused</w:t>
      </w:r>
      <w:r>
        <w:rPr>
          <w:rFonts w:ascii="Times New Roman" w:cs="Times New Roman" w:eastAsia="Times New Roman" w:hAnsi="Times New Roman"/>
          <w:sz w:val="18"/>
          <w:szCs w:val="18"/>
          <w:color w:val="auto"/>
        </w:rPr>
        <w:t xml:space="preserve"> Fee </w:t>
      </w:r>
      <w:r>
        <w:rPr>
          <w:rFonts w:ascii="Times New Roman" w:cs="Times New Roman" w:eastAsia="Times New Roman" w:hAnsi="Times New Roman"/>
          <w:sz w:val="18"/>
          <w:szCs w:val="18"/>
          <w:color w:val="FF0000"/>
          <w:strike w:val="1"/>
        </w:rPr>
        <w:t>R</w:t>
      </w:r>
      <w:r>
        <w:rPr>
          <w:rFonts w:ascii="Times New Roman" w:cs="Times New Roman" w:eastAsia="Times New Roman" w:hAnsi="Times New Roman"/>
          <w:sz w:val="18"/>
          <w:szCs w:val="18"/>
          <w:u w:val="single" w:color="auto"/>
          <w:color w:val="0000FF"/>
        </w:rPr>
        <w:t>r</w:t>
      </w:r>
      <w:r>
        <w:rPr>
          <w:rFonts w:ascii="Times New Roman" w:cs="Times New Roman" w:eastAsia="Times New Roman" w:hAnsi="Times New Roman"/>
          <w:sz w:val="18"/>
          <w:szCs w:val="18"/>
          <w:color w:val="auto"/>
        </w:rPr>
        <w:t xml:space="preserve">ate set forth in the definition of Applicable Rate on the average daily amount of the Available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of such Lender during the period from and including the Amendment and Restatement Effective Date to but excluding the date on which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terminate. Accrued commitment fees shall be payable in arrears on the first Business Day of each January, April, July and October and on the date on which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terminate, commencing on the first such date to occur after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auto"/>
        </w:rPr>
        <w:t>. All commitment fees shall be computed on the basis of a year of 360 days and shall be payable for the actual number of days elapsed.</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Borrower agrees to pay (i) to the Administrative Agent for the account of each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(other than a Defaulting Lender,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 participation fee with respect to its participations in Letters of Credit, which shall accrue at the same Applicable Rate used to determine the interest rate applicable to Term SOFR Loans on the average daily amount of such Lender’s LC Exposure (excluding any portion thereof attributable to unreimbursed LC Disbursements) during the period from and including the Amendment and Restatement Effective Date to but excluding the later of the date on which such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terminates and the date on which such Lender ceases to have any LC Exposure, and (ii) to the applicable Issuing Bank a fronting fee, which shall accrue at the rate of 0.125% per annum on the average daily amount of the LC Exposure (excluding any portion thereof attributable to unreimbursed LC Disbursements) during the period from and including the Amendment and Restatement Effective Date to but excluding the later of the date of termination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Amendment and Restatement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terminate and any such fees accruing after the date on which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Borrower agrees to pay to the Administrative Agent, for its own account, and to any Lender, fees payable in the amounts and at the times separately agreed upon between the Borrower and the Administrative Agent or such Lender.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Loans comprising each ABR Borrowing shall bear interest at the Alternate Base Rate plus the Applicable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Loans comprising each Term SOFR Borrowing shall bear interest at Adjusted Term SOFR for the Interest Period in effect for such Borrowing plus the Applicable Rate.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(ii) in the case of any other amount, 2% plus the rate applicable to ABR Loans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Accrued interest on each Loan (for ABR Loans, accrued through the last day of the prior calendar quarter) shall be payable in arrears on each Interest Payment Date for such Loan and</w:t>
      </w:r>
      <w:r>
        <w:rPr>
          <w:rFonts w:ascii="Times New Roman" w:cs="Times New Roman" w:eastAsia="Times New Roman" w:hAnsi="Times New Roman"/>
          <w:sz w:val="18"/>
          <w:szCs w:val="18"/>
          <w:u w:val="single" w:color="auto"/>
          <w:color w:val="0000FF"/>
        </w:rPr>
        <w:t>, in the case of any Revolving Loans,</w:t>
      </w:r>
      <w:r>
        <w:rPr>
          <w:rFonts w:ascii="Times New Roman" w:cs="Times New Roman" w:eastAsia="Times New Roman" w:hAnsi="Times New Roman"/>
          <w:sz w:val="18"/>
          <w:szCs w:val="18"/>
          <w:color w:val="auto"/>
        </w:rPr>
        <w:t xml:space="preserve"> upon termination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payable on demand, (ii) in the event of any repayment or prepayment of any Loan (other than a prepayment of an ABR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 prior to the end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Alternate Base Rate or Adjusted Term SOFR shall be determined by the Administrative Agent, and such determination shall be conclusive absent manifest error.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Adjusted Term SOFR Conforming Changes</w:t>
      </w:r>
      <w:r>
        <w:rPr>
          <w:rFonts w:ascii="Times New Roman" w:cs="Times New Roman" w:eastAsia="Times New Roman" w:hAnsi="Times New Roman"/>
          <w:sz w:val="18"/>
          <w:szCs w:val="18"/>
          <w:color w:val="auto"/>
        </w:rPr>
        <w:t>. In connection with the use or administration of Adjusted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Adjusted Term SOFR.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Alternate Rate of Interest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Administrative Agent determines (which determination shall be conclusive absent manifest error) that adequate and reasonable means do not exist for ascertaining Adjusted Term SOFR, Term SOFR or SOFR, as applicable, for any Interest Period, if applicable, or with respect to any Term SOFR Loans; or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Administrative Agent is advised by the Required Lenders Adjusted Term SOFR, Term SOFR or SOFR, as applicable, for such Interest Period, if applicable, or with respect to any Term SOFR Loan will not adequately and fairly reflect the cost to such Lenders (or Lender) of making or maintaining their Loans (or its Loan) included in such Borrowing (including, in respect of Term SOFR Loans, for such Interest Period);</w:t>
      </w:r>
    </w:p>
    <w:p>
      <w:pPr>
        <w:spacing w:after="0" w:line="176"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electronic communication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Term SOFR Loan shall be ineffective and any such Term SOFR Borrowing shall be repaid or converted on the last day of the then current Interest Period applicable thereto and (ii) if any Borrowing Request requests a Term SOFR Borrowing, such Borrowing shall be made as an ABR Borrowing.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impose on any Lender or any Issuing Bank or the applicable interbank market any other condition, cost or expense affecting this Agreement or Term SOFR Loans made by such Lender or any Letter of Credit or participation therein (except for Taxes which are covered by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xml:space="preserve"> and changes in the rate of tax on the overall net income of such Lender); or</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(iii)           subject any Recipient to any Taxes (other than (A) Indemnified Taxes and (B) Excluded Taxes) on its loans, loan principal, letters of credit, commitments, or other obligations, or its deposits, reserves, other liabilities or capital attributable thereto;</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or maintaining any Term SOFR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 certificate of a Lender or the applicable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any Issuing Bank to demand compensation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color w:val="auto"/>
        </w:rPr>
        <w:t xml:space="preserve">. In the event of (a) the payment of any principal of any Term SOFR Loan other than on the last day of an Interest Period applicable thereto (including as a result of an Event of Default), (b) the conversion of any Term SOFR Loan other than on the last day of an Interest Period applicable thereto, (c) the failure to borrow, convert, continue or prepay any Term SOFR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and is revoked in accordance therewith), or (d) the assignment of any Term SOFR Loan other than on the last day of an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attributable to such event (which shall not include any loss of margin or Applicable Rate). In the case of a Term SOFR Loan, such loss, cost or expense to any Lender shall be deemed to include an amount determined by such Lender to be the excess, if any, of (i) the amount of interest which would have accrued on the principal amount of such Loan had such event not occurred, at Adjusted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applicable market arising from the liquidation or redeployment of funds or from any fees payable. A certificate of any Lender setting forth, in reasonable detail, any amount or amounts that such Lender is entitled to receive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Withholding of Taxes; Gross-Up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Loan Parties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Administrative Agent timely reimburse it for, Other Taxes.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Evidence of Payment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Loan Parties</w:t>
      </w:r>
      <w:r>
        <w:rPr>
          <w:rFonts w:ascii="Times New Roman" w:cs="Times New Roman" w:eastAsia="Times New Roman" w:hAnsi="Times New Roman"/>
          <w:sz w:val="18"/>
          <w:szCs w:val="18"/>
          <w:color w:val="auto"/>
        </w:rPr>
        <w:t xml:space="preserve">. The Loan Parties shall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case the Lender shall indemnify the Borrower and the Administrative Agent from any and all liabilities arising therefrom.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84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the Borrower is a U.S. Person,</w:t>
      </w:r>
    </w:p>
    <w:p>
      <w:pPr>
        <w:spacing w:after="0" w:line="225"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80"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(1)            in the case of a Foreign Lender claiming the benefits of an income tax treaty to which the United States is a party</w:t>
      </w:r>
    </w:p>
    <w:p>
      <w:pPr>
        <w:spacing w:after="0" w:line="39" w:lineRule="exact"/>
        <w:rPr>
          <w:sz w:val="20"/>
          <w:szCs w:val="20"/>
          <w:color w:val="auto"/>
        </w:rPr>
      </w:pPr>
    </w:p>
    <w:p>
      <w:pPr>
        <w:jc w:val="both"/>
        <w:ind w:left="840" w:hanging="8"/>
        <w:spacing w:after="0" w:line="253" w:lineRule="auto"/>
        <w:tabs>
          <w:tab w:leader="none" w:pos="11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840" w:right="20" w:firstLine="648"/>
        <w:spacing w:after="0" w:line="282" w:lineRule="auto"/>
        <w:rPr>
          <w:sz w:val="20"/>
          <w:szCs w:val="20"/>
          <w:color w:val="auto"/>
        </w:rPr>
      </w:pPr>
      <w:r>
        <w:rPr>
          <w:rFonts w:ascii="Times New Roman" w:cs="Times New Roman" w:eastAsia="Times New Roman" w:hAnsi="Times New Roman"/>
          <w:sz w:val="18"/>
          <w:szCs w:val="18"/>
          <w:color w:val="auto"/>
        </w:rPr>
        <w:t>(2)            in the case of a Foreign Lender claiming that its extension of credit will generate U.S. effectively connected income, executed originals of IRS Form W-8ECI;</w:t>
      </w:r>
    </w:p>
    <w:p>
      <w:pPr>
        <w:spacing w:after="0" w:line="162"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(3)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 or W-8BEN-E; or</w:t>
      </w:r>
    </w:p>
    <w:p>
      <w:pPr>
        <w:spacing w:after="0" w:line="3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7" w:name="page78"/>
    <w:bookmarkEnd w:id="77"/>
    <w:p>
      <w:pPr>
        <w:jc w:val="both"/>
        <w:ind w:left="19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originals of IRS Form W-8IMY, accompanied by IRS Form W-8ECI, IRS Form W-8BEN or W-8BEN-E,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7"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8"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“Lender” includes any Issuing Bank and the term “applicable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FATCA.</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Without Duplication</w:t>
      </w:r>
      <w:r>
        <w:rPr>
          <w:rFonts w:ascii="Times New Roman" w:cs="Times New Roman" w:eastAsia="Times New Roman" w:hAnsi="Times New Roman"/>
          <w:sz w:val="18"/>
          <w:szCs w:val="18"/>
          <w:color w:val="auto"/>
        </w:rPr>
        <w:t xml:space="preserve">. For the avoidance of doubt, no Loan Party shall be required to gross-up or indemnify a Recipient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for any Taxes to the extent another Loan Party has already grossed-up or indemnified such Recipient, or pay any Other Taxes to the extent another Loan Party has already paid such Other Taxes to the relevant Governmental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Payments Generally; Allocation of Proceeds;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an Issuing Bank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Any proceeds of Collateral received by the Administrative Agent (i) not constituting </w:t>
      </w:r>
      <w:r>
        <w:rPr>
          <w:rFonts w:ascii="Times New Roman" w:cs="Times New Roman" w:eastAsia="Times New Roman" w:hAnsi="Times New Roman"/>
          <w:sz w:val="18"/>
          <w:szCs w:val="18"/>
          <w:u w:val="single" w:color="auto"/>
          <w:color w:val="0000FF"/>
        </w:rPr>
        <w:t>either (A)</w:t>
      </w:r>
      <w:r>
        <w:rPr>
          <w:rFonts w:ascii="Times New Roman" w:cs="Times New Roman" w:eastAsia="Times New Roman" w:hAnsi="Times New Roman"/>
          <w:sz w:val="18"/>
          <w:szCs w:val="18"/>
          <w:color w:val="auto"/>
        </w:rPr>
        <w:t xml:space="preserve"> a specific payment of principal, interest, fees or other sum payable under the Loan Documents (which shall be applied as specified by the Borrower) </w:t>
      </w:r>
      <w:r>
        <w:rPr>
          <w:rFonts w:ascii="Times New Roman" w:cs="Times New Roman" w:eastAsia="Times New Roman" w:hAnsi="Times New Roman"/>
          <w:sz w:val="18"/>
          <w:szCs w:val="18"/>
          <w:u w:val="single" w:color="auto"/>
          <w:color w:val="0000FF"/>
        </w:rPr>
        <w:t>or (B) a mandatory prepayment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shall be applied in accordance with Section 2.11(b))</w:t>
      </w:r>
      <w:r>
        <w:rPr>
          <w:rFonts w:ascii="Times New Roman" w:cs="Times New Roman" w:eastAsia="Times New Roman" w:hAnsi="Times New Roman"/>
          <w:sz w:val="18"/>
          <w:szCs w:val="18"/>
          <w:color w:val="000000"/>
        </w:rPr>
        <w:t>, or (ii) after an Event of Default has occurred and is continuing, shall be applied ratably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first</w:t>
      </w:r>
      <w:r>
        <w:rPr>
          <w:rFonts w:ascii="Times New Roman" w:cs="Times New Roman" w:eastAsia="Times New Roman" w:hAnsi="Times New Roman"/>
          <w:sz w:val="18"/>
          <w:szCs w:val="18"/>
          <w:color w:val="000000"/>
        </w:rPr>
        <w:t>, to pay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any fees, indemnities, or expense reimbursements including amounts then due to the Administrative Agent and the Issuing Banks from the Borrower (other than in connection with Banking Services Obligations or Swap Agreement Obligations), </w:t>
      </w:r>
      <w:r>
        <w:rPr>
          <w:rFonts w:ascii="Times New Roman" w:cs="Times New Roman" w:eastAsia="Times New Roman" w:hAnsi="Times New Roman"/>
          <w:sz w:val="18"/>
          <w:szCs w:val="18"/>
          <w:u w:val="single" w:color="auto"/>
          <w:color w:val="000000"/>
        </w:rPr>
        <w:t>second</w:t>
      </w:r>
      <w:r>
        <w:rPr>
          <w:rFonts w:ascii="Times New Roman" w:cs="Times New Roman" w:eastAsia="Times New Roman" w:hAnsi="Times New Roman"/>
          <w:sz w:val="18"/>
          <w:szCs w:val="18"/>
          <w:color w:val="000000"/>
        </w:rPr>
        <w:t xml:space="preserve">, to pay any fees or expense reimbursements then due to the Lenders from the Borrower (other than in connection with Banking Services Obligations or Swap Agreement Obligations), </w:t>
      </w:r>
      <w:r>
        <w:rPr>
          <w:rFonts w:ascii="Times New Roman" w:cs="Times New Roman" w:eastAsia="Times New Roman" w:hAnsi="Times New Roman"/>
          <w:sz w:val="18"/>
          <w:szCs w:val="18"/>
          <w:u w:val="single" w:color="auto"/>
          <w:color w:val="000000"/>
        </w:rPr>
        <w:t>third</w:t>
      </w:r>
      <w:r>
        <w:rPr>
          <w:rFonts w:ascii="Times New Roman" w:cs="Times New Roman" w:eastAsia="Times New Roman" w:hAnsi="Times New Roman"/>
          <w:sz w:val="18"/>
          <w:szCs w:val="18"/>
          <w:color w:val="000000"/>
        </w:rPr>
        <w:t xml:space="preserve">, to pay interest then due and payable on the Loans ratably, </w:t>
      </w:r>
      <w:r>
        <w:rPr>
          <w:rFonts w:ascii="Times New Roman" w:cs="Times New Roman" w:eastAsia="Times New Roman" w:hAnsi="Times New Roman"/>
          <w:sz w:val="18"/>
          <w:szCs w:val="18"/>
          <w:u w:val="single" w:color="auto"/>
          <w:color w:val="000000"/>
        </w:rPr>
        <w:t>fourth</w:t>
      </w:r>
      <w:r>
        <w:rPr>
          <w:rFonts w:ascii="Times New Roman" w:cs="Times New Roman" w:eastAsia="Times New Roman" w:hAnsi="Times New Roman"/>
          <w:sz w:val="18"/>
          <w:szCs w:val="18"/>
          <w:color w:val="000000"/>
        </w:rPr>
        <w:t xml:space="preserve">, to prepay principal on the Loans and unreimbursed LC Disbursements, </w:t>
      </w:r>
      <w:r>
        <w:rPr>
          <w:rFonts w:ascii="Times New Roman" w:cs="Times New Roman" w:eastAsia="Times New Roman" w:hAnsi="Times New Roman"/>
          <w:sz w:val="18"/>
          <w:szCs w:val="18"/>
          <w:u w:val="single" w:color="auto"/>
          <w:color w:val="000000"/>
        </w:rPr>
        <w:t>fifth</w:t>
      </w:r>
      <w:r>
        <w:rPr>
          <w:rFonts w:ascii="Times New Roman" w:cs="Times New Roman" w:eastAsia="Times New Roman" w:hAnsi="Times New Roman"/>
          <w:sz w:val="18"/>
          <w:szCs w:val="18"/>
          <w:color w:val="000000"/>
        </w:rPr>
        <w:t xml:space="preserve">, to pay an amount to the Administrative Agent equal to one hundred five percent (105%) of the aggregate undrawn face amount of all outstanding Letters of Credit, to be held as cash collateral for such Obligations, </w:t>
      </w:r>
      <w:r>
        <w:rPr>
          <w:rFonts w:ascii="Times New Roman" w:cs="Times New Roman" w:eastAsia="Times New Roman" w:hAnsi="Times New Roman"/>
          <w:sz w:val="18"/>
          <w:szCs w:val="18"/>
          <w:u w:val="single" w:color="auto"/>
          <w:color w:val="000000"/>
        </w:rPr>
        <w:t>sixth</w:t>
      </w:r>
      <w:r>
        <w:rPr>
          <w:rFonts w:ascii="Times New Roman" w:cs="Times New Roman" w:eastAsia="Times New Roman" w:hAnsi="Times New Roman"/>
          <w:sz w:val="18"/>
          <w:szCs w:val="18"/>
          <w:color w:val="000000"/>
        </w:rPr>
        <w:t xml:space="preserve">, to payment of any amounts owing with respect to Secured Banking Services Obligations and Secured Swap Agreement Obligations, and </w:t>
      </w:r>
      <w:r>
        <w:rPr>
          <w:rFonts w:ascii="Times New Roman" w:cs="Times New Roman" w:eastAsia="Times New Roman" w:hAnsi="Times New Roman"/>
          <w:sz w:val="18"/>
          <w:szCs w:val="18"/>
          <w:u w:val="single" w:color="auto"/>
          <w:color w:val="000000"/>
        </w:rPr>
        <w:t>seventh</w:t>
      </w:r>
      <w:r>
        <w:rPr>
          <w:rFonts w:ascii="Times New Roman" w:cs="Times New Roman" w:eastAsia="Times New Roman" w:hAnsi="Times New Roman"/>
          <w:sz w:val="18"/>
          <w:szCs w:val="18"/>
          <w:color w:val="000000"/>
        </w:rPr>
        <w:t xml:space="preserve">,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SOFR Loan, except (a) on the expiration date of the Interest Period applicable to any such Term SOFR Loan or (b) in the event, and only to the extent, that there are no outstanding ABR Loans and, in any such event, the Borrower shall pay the break funding payment required in accordance with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00000"/>
        </w:rPr>
        <w:t>. The Administrative Agent and the Lenders shall have the continuing and exclusive right to apply and reverse and reapply any and all such proceeds and payments to any portion of the Secured Obligations.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right="4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Banking Services Obligations or Swap Agreement Obligations shall be excluded from the application described above and paid in </w:t>
      </w:r>
      <w:r>
        <w:rPr>
          <w:rFonts w:ascii="Times New Roman" w:cs="Times New Roman" w:eastAsia="Times New Roman" w:hAnsi="Times New Roman"/>
          <w:sz w:val="18"/>
          <w:szCs w:val="18"/>
          <w:u w:val="single" w:color="auto"/>
          <w:color w:val="auto"/>
        </w:rPr>
        <w:t>clause sixth</w:t>
      </w:r>
      <w:r>
        <w:rPr>
          <w:rFonts w:ascii="Times New Roman" w:cs="Times New Roman" w:eastAsia="Times New Roman" w:hAnsi="Times New Roman"/>
          <w:sz w:val="18"/>
          <w:szCs w:val="18"/>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At the election of the Borrower but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all payments of principal, interest, LC Disbursements, fees, premiums, reimbursable expenses (including, without limitation, all reimbursement for fees, costs and expenses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other sums payable under the Loan Documents, may be paid from the proceeds of Borrowings made hereunder whether made following a request by the Borrower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 deemed request as provided in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may be deducted from any deposit account of the Borrower maintained with the Administrative Agent.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the Borrower or any Subsidiary (as to which the provisions of this paragraph shall apply) or (B) to the extent such payment is made directly by the Borrower or any Subsidiary (and is not otherwise permitted by this Agreement), any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The Administrative Agent may from time to time provide the Borrower with billing statements or invoices with respect to any of the Secured Obligations (the “</w:t>
      </w:r>
      <w:r>
        <w:rPr>
          <w:rFonts w:ascii="Times New Roman" w:cs="Times New Roman" w:eastAsia="Times New Roman" w:hAnsi="Times New Roman"/>
          <w:sz w:val="18"/>
          <w:szCs w:val="18"/>
          <w:u w:val="single" w:color="auto"/>
          <w:color w:val="auto"/>
        </w:rPr>
        <w:t>Billing Statements</w:t>
      </w:r>
      <w:r>
        <w:rPr>
          <w:rFonts w:ascii="Times New Roman" w:cs="Times New Roman" w:eastAsia="Times New Roman" w:hAnsi="Times New Roman"/>
          <w:sz w:val="18"/>
          <w:szCs w:val="18"/>
          <w:color w:val="auto"/>
        </w:rPr>
        <w:t xml:space="preserve">”).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(iv)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Administrative Agent (and if a Commitment is being assigned, the Issuing Banks), which consent shall not unreasonably be withheld, (B)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fees shall cease to accrue on the unfunded portion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of such Defaulting Lender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such Defaulting Lender shall not have the right to vote on any issue on which voting is required (other than to the extent expressly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and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under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if any LC Exposure exists at the time a Lender becomes a Defaulting Lender then:</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all or any part of the LC Exposure of such Defaulting Lender shall be reallocated among the non-Defaulting Lenders in accordance with their respective Applicable Percentages but only to the extent that the sum of all non-Defaulting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Exposures plus such Defaulting Lender’s LC Exposure does not exceed the total of all non-Defaulting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and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within one Business Day following notice by the Administrative Agent, cash collateralize for the benefit of the Issuing Banks only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180"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if the Borrower cash collateralizes any portion of such Defaulting Lender’s LC Exposure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the Borrower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if the LC Exposure of the non-Defaulting Lenders is reallocated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then the fees payable to the Lenders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adjusted in accordance with such non-Defaulting Lenders’ Applicable Percentages; or</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            if all or any portion of such Defaulting Lender’s LC Exposure is neither cash collateralized nor reallocated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then, without prejudice to any rights or remedies of any Issuing Bank or any other Lender hereunder, all facility fees that otherwise would have been payable to such Defaulting Lender (solely with respect to the portion of such Defaulting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that was utilized by such LC Exposure) and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Issuing Banks until such LC Exposure is cash collateralized and/or reallocated;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so long as such Lender is a Defaulting Lender, no Issuing Bank shall be required to issue or increase any Letter of Credit, unless it is reasonably satisfied that the related exposure and the Defaulting Lender’s then outstanding LC Exposure will be 100% covered by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of the non-Defaulting Lenders and/or cash collateral will be provided by the Borrower in accordance with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participating interests in any such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2.20(c)(i)</w:t>
      </w:r>
      <w:r>
        <w:rPr>
          <w:rFonts w:ascii="Times New Roman" w:cs="Times New Roman" w:eastAsia="Times New Roman" w:hAnsi="Times New Roman"/>
          <w:sz w:val="18"/>
          <w:szCs w:val="18"/>
          <w:color w:val="auto"/>
        </w:rPr>
        <w:t xml:space="preserve"> (and such Defaulting Lender shall not participate therein);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if (i) a Bankruptcy Event with respect to a Parent of any Lender shall occur following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for so long as such event shall continue or (ii) an Issuing Bank has a good faith belief that any Lender has defaulted in fulfilling its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obligations under one or more other agreements in which such Lender commits to extend credit, such Issuing Bank shall not be required to issue or increase any Letter of Credit unless such Issuing Bank shall have entered into arrangements with the Borrower or such Lender, reasonably satisfactory to such Issuing Bank, as the case may be, to defease any risk to it in respect of such Lender hereunder; and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in the event and on the date that each of the Administrative Agent, the Borrower, and each Issuing Bank agrees that a Defaulting Lender has adequately remedied all matters that caused such Lender to be a Defaulting Lender, then the LC Exposure of the other Lenders shall be readjusted to reflect the inclusion of such Lender’s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Returned Payments</w:t>
      </w:r>
      <w:r>
        <w:rPr>
          <w:rFonts w:ascii="Times New Roman" w:cs="Times New Roman" w:eastAsia="Times New Roman" w:hAnsi="Times New Roman"/>
          <w:sz w:val="18"/>
          <w:szCs w:val="18"/>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survive the termination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Amend and Extend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0000FF"/>
        </w:rPr>
        <w:t>Extension of Revolving Commitments.</w:t>
      </w:r>
      <w:r>
        <w:rPr>
          <w:rFonts w:ascii="Times New Roman" w:cs="Times New Roman" w:eastAsia="Times New Roman" w:hAnsi="Times New Roman"/>
          <w:sz w:val="18"/>
          <w:szCs w:val="18"/>
          <w:color w:val="auto"/>
        </w:rPr>
        <w:t xml:space="preserve"> The Borrower may, by written notice to the Administrative Agent from time to time, request an extension (each, </w:t>
      </w:r>
      <w:r>
        <w:rPr>
          <w:rFonts w:ascii="Times New Roman" w:cs="Times New Roman" w:eastAsia="Times New Roman" w:hAnsi="Times New Roman"/>
          <w:sz w:val="18"/>
          <w:szCs w:val="18"/>
          <w:color w:val="FF0000"/>
          <w:strike w:val="1"/>
        </w:rPr>
        <w:t>an</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Maturity Date to the extended maturity date specified in such notice. Such notice shall (i) set forth the amount of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that will be subject to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(which request shall be in minimum increments of $1 million and a minimum amount of $5 million)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(ii) set forth the date on which such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is requested to become effective (which shall be not less than ten (10) Business Days nor more than sixty (60) days after the date of such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notice (or such longer or shorter periods as the Administrative Agent shall agree in its sole discretion)).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shall be offered (</w:t>
      </w:r>
      <w:r>
        <w:rPr>
          <w:rFonts w:ascii="Times New Roman" w:cs="Times New Roman" w:eastAsia="Times New Roman" w:hAnsi="Times New Roman"/>
          <w:sz w:val="18"/>
          <w:szCs w:val="18"/>
          <w:color w:val="FF0000"/>
          <w:strike w:val="1"/>
        </w:rPr>
        <w:t>an</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an opportunity to participate in such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on a pro rata basis and on the same terms and conditions as each other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pursuant to procedures established by, or reasonably acceptable to, the Administrative Agent and Borrower. If the aggregate principal amount of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in respect of which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shall have accepted the relevant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Offer shall exceed the maximum aggregate principal amount of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subject to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Offer as set forth in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notice, then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of the Lenders shall be extended ratably up to such maximum amount based on the respective principal amounts with respect to which such Lenders have accepted such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Offer </w:t>
      </w:r>
      <w:r>
        <w:rPr>
          <w:rFonts w:ascii="Times New Roman" w:cs="Times New Roman" w:eastAsia="Times New Roman" w:hAnsi="Times New Roman"/>
          <w:sz w:val="18"/>
          <w:szCs w:val="18"/>
          <w:u w:val="single" w:color="auto"/>
          <w:color w:val="0000FF"/>
        </w:rPr>
        <w:t>(such extended Revolving Commitments, the “Extended Revolving Commitments”)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Extension of Term Loan Commitments. The Borrower may, by written notice to the Administrative Agent from time to time,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request an extension (each, a “Term Loan Extension” and together with each Revolving Extension, the “Extensions” and each, an “Extension”) of the Term Loan Maturity Date to the extended maturity date specified in such notice. Such notice shall (i) set forth the amount of Term Loans that will be subject to the Term Loan Extension (which request shall be in minimum increments of $1 million and a minimum amount of $5 million) and (ii) set forth the date on which such Term Loan Extension is requested to become effective (which shall be not less than ten (10) Business Days nor more than sixty (60) days after the date of such Term Loan Extension notice (or such longer or shorter periods as the Administrative Agent shall agree in its sole discretion)). The Term Lenders shall be offered (a “Term Loan Extension Offer”) an opportunity to participate in such Term Loan Extension on a pro rata basis and on the same terms and conditions as each other Term Lender pursuant to procedures established by, or reasonably acceptable to, the Administrative Agent and Borrower. If the aggregate principal amount of Term Loans in respect of which Term Lenders shall have accepted the relevant Term Loan Extension Offer shall exceed the maximum aggregate principal amount of Term Loans subject to the Term Loan Extension Offer as set forth in the Term Loan Extension notice, then the Term Loans of the Lenders shall be extended ratably up to such maximum amount based on the respective principal amounts with respect to which such Lenders have accepted such Term Loan Extension Offer (such extended Term Loans, the “Extended Term Loans”).</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FF"/>
        </w:rPr>
        <w:t>Conditions to Extensions.</w:t>
      </w:r>
      <w:r>
        <w:rPr>
          <w:rFonts w:ascii="Times New Roman" w:cs="Times New Roman" w:eastAsia="Times New Roman" w:hAnsi="Times New Roman"/>
          <w:sz w:val="18"/>
          <w:szCs w:val="18"/>
          <w:color w:val="auto"/>
        </w:rPr>
        <w:t xml:space="preserve"> 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each other Loan Document shall be deemed to be made and shall be true and correct in all material respects on and as of the effective date of such Extension, (iii) </w:t>
      </w:r>
      <w:r>
        <w:rPr>
          <w:rFonts w:ascii="Times New Roman" w:cs="Times New Roman" w:eastAsia="Times New Roman" w:hAnsi="Times New Roman"/>
          <w:sz w:val="18"/>
          <w:szCs w:val="18"/>
          <w:u w:val="single" w:color="auto"/>
          <w:color w:val="0000FF"/>
        </w:rPr>
        <w:t>in the case of any Revolving Extensions, (A)</w:t>
      </w:r>
      <w:r>
        <w:rPr>
          <w:rFonts w:ascii="Times New Roman" w:cs="Times New Roman" w:eastAsia="Times New Roman" w:hAnsi="Times New Roman"/>
          <w:sz w:val="18"/>
          <w:szCs w:val="18"/>
          <w:color w:val="auto"/>
        </w:rPr>
        <w:t xml:space="preserve"> each relevant Issuing Bank shall have consented to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Extension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 to the extent that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Extension provides for the issuance or extension of Letters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Credit at any time during the extended period and (</w:t>
      </w:r>
      <w:r>
        <w:rPr>
          <w:rFonts w:ascii="Times New Roman" w:cs="Times New Roman" w:eastAsia="Times New Roman" w:hAnsi="Times New Roman"/>
          <w:sz w:val="18"/>
          <w:szCs w:val="18"/>
          <w:color w:val="FF0000"/>
          <w:strike w:val="1"/>
        </w:rPr>
        <w:t>iv</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the terms of such Extended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000000"/>
        </w:rPr>
        <w:t xml:space="preserve"> Commitments shall comply with </w:t>
      </w:r>
      <w:r>
        <w:rPr>
          <w:rFonts w:ascii="Times New Roman" w:cs="Times New Roman" w:eastAsia="Times New Roman" w:hAnsi="Times New Roman"/>
          <w:sz w:val="18"/>
          <w:szCs w:val="18"/>
          <w:u w:val="single" w:color="auto"/>
          <w:color w:val="000000"/>
        </w:rPr>
        <w:t>clause (</w:t>
      </w:r>
      <w:r>
        <w:rPr>
          <w:rFonts w:ascii="Times New Roman" w:cs="Times New Roman" w:eastAsia="Times New Roman" w:hAnsi="Times New Roman"/>
          <w:sz w:val="18"/>
          <w:szCs w:val="18"/>
          <w:u w:val="single" w:color="auto"/>
          <w:color w:val="FF0000"/>
          <w:strike w:val="1"/>
        </w:rPr>
        <w:t>c</w:t>
      </w:r>
      <w:r>
        <w:rPr>
          <w:rFonts w:ascii="Times New Roman" w:cs="Times New Roman" w:eastAsia="Times New Roman" w:hAnsi="Times New Roman"/>
          <w:sz w:val="18"/>
          <w:szCs w:val="18"/>
          <w:u w:val="single" w:color="auto"/>
          <w:color w:val="0000FF"/>
        </w:rPr>
        <w:t>d) of this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Section 2.22 and (iv) in the case of any Term Loan Extensions, the terms of such extended Term Loan Commitments shall comply with clause (e</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2.22.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         The terms of each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Extension shall be determined by the Borrower and the applicable extending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and set forth in an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final maturity date of any </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 xml:space="preserve">xtended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auto"/>
        </w:rPr>
        <w:t xml:space="preserve"> Commitment shall be no earlier than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Maturity Date, (ii) there shall be no scheduled amortization of the loans or reductions of commitments under any Extended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Commitments, (iii) the Extended Loans will rank </w:t>
      </w:r>
      <w:r>
        <w:rPr>
          <w:rFonts w:ascii="Times New Roman" w:cs="Times New Roman" w:eastAsia="Times New Roman" w:hAnsi="Times New Roman"/>
          <w:sz w:val="18"/>
          <w:szCs w:val="18"/>
          <w:i w:val="1"/>
          <w:iCs w:val="1"/>
          <w:color w:val="000000"/>
        </w:rPr>
        <w:t>pari passu</w:t>
      </w:r>
      <w:r>
        <w:rPr>
          <w:rFonts w:ascii="Times New Roman" w:cs="Times New Roman" w:eastAsia="Times New Roman" w:hAnsi="Times New Roman"/>
          <w:sz w:val="18"/>
          <w:szCs w:val="18"/>
          <w:color w:val="000000"/>
        </w:rPr>
        <w:t xml:space="preserve"> in right of payment and security with the existing Loans and the borrower, guarantors and collateral of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Extended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000000"/>
        </w:rPr>
        <w:t xml:space="preserve"> Commitments shall be the same as the borrower, Guarantors and Collateral with respect to the existing Loans, (iv) the interest rate margin and any fees applicable to any Extended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000000"/>
        </w:rPr>
        <w:t xml:space="preserve"> Commitment (and the Extended Loans thereunder) shall be determined by Borrower and the applicable extending Lenders, (v) borrowing and prepayment of Extended Loans, or reductions of Extended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Commitments, and participation in Letters of Credit, shall be on a pro rata basis with the other Loans or Commitments (other than upon the maturity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the non-extended Loans and Commitments) and (vi) the terms of the Extended Revolving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color w:val="000000"/>
        </w:rPr>
        <w:t xml:space="preserve"> Commitments shall be substantially identical to the terms set forth herein.</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terms of each Term Loan Extension shall be determined by the Borrower and the applicable extending Term Lenders and set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forth in an Extension Amendment; provided, that (i) the final maturity date of any Extended Term Loan shall be no earlier than the Term Loan Maturity Date, (ii) the weighted average life to maturity of any Extended Term Loans of a given Term Loan Extension at the time of establishment thereof shall be no shorter (other than by virtue of amortization or prepayment of such Indebtedness prior to the time of incurrence of such Extended Term Loans) than the remaining weighted average life to maturity of the Existing Term Loans from which such Extended Term Loans are to be amended, (iii) the Extended Term Loans will rank </w:t>
      </w:r>
      <w:r>
        <w:rPr>
          <w:rFonts w:ascii="Times New Roman" w:cs="Times New Roman" w:eastAsia="Times New Roman" w:hAnsi="Times New Roman"/>
          <w:sz w:val="18"/>
          <w:szCs w:val="18"/>
          <w:i w:val="1"/>
          <w:iCs w:val="1"/>
          <w:u w:val="single" w:color="auto"/>
          <w:color w:val="0000FF"/>
        </w:rPr>
        <w:t>pari passu</w:t>
      </w:r>
      <w:r>
        <w:rPr>
          <w:rFonts w:ascii="Times New Roman" w:cs="Times New Roman" w:eastAsia="Times New Roman" w:hAnsi="Times New Roman"/>
          <w:sz w:val="18"/>
          <w:szCs w:val="18"/>
          <w:u w:val="single" w:color="auto"/>
          <w:color w:val="0000FF"/>
        </w:rPr>
        <w:t xml:space="preserve"> in right of payment and security with the existing Loans and the borrower, guarantors and collateral of the Extended Loans shall be the same as the borrower, Guarantors and Collateral with respect to the existing Loans, (iv) the interest rate margin and any fees applicable to any Extended Term Loans shall be determined by Borrower and the applicable extending Lenders, (v) borrowing and prepayment of Extended Loans shall be on a pro rata basis with the other Loans or Commitments (other than upon the maturity of the non-extended Loans and Commitments) and (vi) the terms of the Extended Loans shall be substantially identical to the terms set forth herein.</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auto"/>
        </w:rPr>
        <w:t xml:space="preserve">)          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w:t>
      </w:r>
      <w:r>
        <w:rPr>
          <w:rFonts w:ascii="Times New Roman" w:cs="Times New Roman" w:eastAsia="Times New Roman" w:hAnsi="Times New Roman"/>
          <w:sz w:val="18"/>
          <w:szCs w:val="18"/>
          <w:color w:val="FF0000"/>
          <w:strike w:val="1"/>
        </w:rPr>
        <w:t>Revolving Credit</w:t>
      </w:r>
      <w:r>
        <w:rPr>
          <w:rFonts w:ascii="Times New Roman" w:cs="Times New Roman" w:eastAsia="Times New Roman" w:hAnsi="Times New Roman"/>
          <w:sz w:val="18"/>
          <w:szCs w:val="18"/>
          <w:u w:val="single" w:color="auto"/>
          <w:color w:val="0000FF"/>
        </w:rPr>
        <w:t>Loans or</w:t>
      </w:r>
      <w:r>
        <w:rPr>
          <w:rFonts w:ascii="Times New Roman" w:cs="Times New Roman" w:eastAsia="Times New Roman" w:hAnsi="Times New Roman"/>
          <w:sz w:val="18"/>
          <w:szCs w:val="18"/>
          <w:color w:val="auto"/>
        </w:rPr>
        <w:t xml:space="preserve"> Commitments as </w:t>
      </w:r>
      <w:r>
        <w:rPr>
          <w:rFonts w:ascii="Times New Roman" w:cs="Times New Roman" w:eastAsia="Times New Roman" w:hAnsi="Times New Roman"/>
          <w:sz w:val="18"/>
          <w:szCs w:val="18"/>
          <w:u w:val="single" w:color="auto"/>
          <w:color w:val="0000FF"/>
        </w:rPr>
        <w:t>a separate</w:t>
      </w:r>
      <w:r>
        <w:rPr>
          <w:rFonts w:ascii="Times New Roman" w:cs="Times New Roman" w:eastAsia="Times New Roman" w:hAnsi="Times New Roman"/>
          <w:sz w:val="18"/>
          <w:szCs w:val="18"/>
          <w:color w:val="auto"/>
        </w:rPr>
        <w:t xml:space="preserve"> tranche of </w:t>
      </w:r>
      <w:r>
        <w:rPr>
          <w:rFonts w:ascii="Times New Roman" w:cs="Times New Roman" w:eastAsia="Times New Roman" w:hAnsi="Times New Roman"/>
          <w:sz w:val="18"/>
          <w:szCs w:val="18"/>
          <w:u w:val="single" w:color="auto"/>
          <w:color w:val="0000FF"/>
        </w:rPr>
        <w:t>Loans or</w:t>
      </w:r>
      <w:r>
        <w:rPr>
          <w:rFonts w:ascii="Times New Roman" w:cs="Times New Roman" w:eastAsia="Times New Roman" w:hAnsi="Times New Roman"/>
          <w:sz w:val="18"/>
          <w:szCs w:val="18"/>
          <w:color w:val="auto"/>
        </w:rPr>
        <w:t xml:space="preserve"> Commitments</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Credit Exposure upon the expiration or termination of the commitments under any tranche), in each case on terms consistent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Increase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0000FF"/>
        </w:rPr>
        <w:t>Incremental Revolving Loans.</w:t>
      </w:r>
      <w:r>
        <w:rPr>
          <w:rFonts w:ascii="Times New Roman" w:cs="Times New Roman" w:eastAsia="Times New Roman" w:hAnsi="Times New Roman"/>
          <w:sz w:val="18"/>
          <w:szCs w:val="18"/>
          <w:color w:val="auto"/>
        </w:rPr>
        <w:t xml:space="preserve"> The Borrower shall have the right at any time after the Amendment and Restatement Effective Date to request that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hereunder be increased (a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in accordance with the following provisions and subject to the following conditions:</w:t>
      </w:r>
    </w:p>
    <w:p>
      <w:pPr>
        <w:spacing w:after="0" w:line="176"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The Borrower shall give the Administrative Agent, which shall promptly deliver a copy thereof to each of the Lenders, at least ten (10) Business Days’ prior written notice (a “</w:t>
      </w:r>
      <w:r>
        <w:rPr>
          <w:rFonts w:ascii="Times New Roman" w:cs="Times New Roman" w:eastAsia="Times New Roman" w:hAnsi="Times New Roman"/>
          <w:sz w:val="18"/>
          <w:szCs w:val="18"/>
          <w:u w:val="single" w:color="auto"/>
          <w:color w:val="auto"/>
        </w:rPr>
        <w:t>Notice of Increase</w:t>
      </w:r>
      <w:r>
        <w:rPr>
          <w:rFonts w:ascii="Times New Roman" w:cs="Times New Roman" w:eastAsia="Times New Roman" w:hAnsi="Times New Roman"/>
          <w:sz w:val="18"/>
          <w:szCs w:val="18"/>
          <w:color w:val="auto"/>
        </w:rPr>
        <w:t xml:space="preserve">”) of any such requested increase specifying the aggregate amount by which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are to be increased (the “</w:t>
      </w:r>
      <w:r>
        <w:rPr>
          <w:rFonts w:ascii="Times New Roman" w:cs="Times New Roman" w:eastAsia="Times New Roman" w:hAnsi="Times New Roman"/>
          <w:sz w:val="18"/>
          <w:szCs w:val="18"/>
          <w:u w:val="single" w:color="auto"/>
          <w:color w:val="auto"/>
        </w:rPr>
        <w:t>Requested Increase Amount</w:t>
      </w:r>
      <w:r>
        <w:rPr>
          <w:rFonts w:ascii="Times New Roman" w:cs="Times New Roman" w:eastAsia="Times New Roman" w:hAnsi="Times New Roman"/>
          <w:sz w:val="18"/>
          <w:szCs w:val="18"/>
          <w:color w:val="auto"/>
        </w:rPr>
        <w:t>”), which shall be at least $10 million, the requested date of increase (the “</w:t>
      </w:r>
      <w:r>
        <w:rPr>
          <w:rFonts w:ascii="Times New Roman" w:cs="Times New Roman" w:eastAsia="Times New Roman" w:hAnsi="Times New Roman"/>
          <w:sz w:val="18"/>
          <w:szCs w:val="18"/>
          <w:u w:val="single" w:color="auto"/>
          <w:color w:val="auto"/>
        </w:rPr>
        <w:t>Requested Increase Date</w:t>
      </w:r>
      <w:r>
        <w:rPr>
          <w:rFonts w:ascii="Times New Roman" w:cs="Times New Roman" w:eastAsia="Times New Roman" w:hAnsi="Times New Roman"/>
          <w:sz w:val="18"/>
          <w:szCs w:val="18"/>
          <w:color w:val="auto"/>
        </w:rPr>
        <w:t xml:space="preserve">”) and the date by which the Lenders wishing to participate in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Increase must commit to an increase in the amount of their respective </w:t>
      </w:r>
      <w:r>
        <w:rPr>
          <w:rFonts w:ascii="Times New Roman" w:cs="Times New Roman" w:eastAsia="Times New Roman" w:hAnsi="Times New Roman"/>
          <w:sz w:val="18"/>
          <w:szCs w:val="18"/>
          <w:color w:val="FF0000"/>
          <w:strike w:val="1"/>
        </w:rPr>
        <w:t>Credit</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xml:space="preserve">”). Each Lender that is willing in its sole discretion to participate in such requested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Increase (each an “</w:t>
      </w:r>
      <w:r>
        <w:rPr>
          <w:rFonts w:ascii="Times New Roman" w:cs="Times New Roman" w:eastAsia="Times New Roman" w:hAnsi="Times New Roman"/>
          <w:sz w:val="18"/>
          <w:szCs w:val="18"/>
          <w:u w:val="single" w:color="auto"/>
          <w:color w:val="auto"/>
        </w:rPr>
        <w:t>Increasing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70C0"/>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give written notice to the Administrative Agent on or prior to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Date of the amount by which it is willing to increase its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Promptly following each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Date, the Administrative Agent shall notify the Borrower as to the amount, if any, by which the </w:t>
      </w:r>
      <w:r>
        <w:rPr>
          <w:rFonts w:ascii="Times New Roman" w:cs="Times New Roman" w:eastAsia="Times New Roman" w:hAnsi="Times New Roman"/>
          <w:sz w:val="18"/>
          <w:szCs w:val="18"/>
          <w:u w:val="single" w:color="auto"/>
          <w:color w:val="0000FF"/>
        </w:rPr>
        <w:t>Increasing Revolving</w:t>
      </w:r>
      <w:r>
        <w:rPr>
          <w:rFonts w:ascii="Times New Roman" w:cs="Times New Roman" w:eastAsia="Times New Roman" w:hAnsi="Times New Roman"/>
          <w:sz w:val="18"/>
          <w:szCs w:val="18"/>
          <w:color w:val="auto"/>
        </w:rPr>
        <w:t xml:space="preserve"> Lenders are willing to participate in the requested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Increase. In addition, the Borrower may extend offers to one or more Eligible Assignees, each of which must be reasonably satisfactory to the Administrative Agent, (such consent not to be unreasonably withheld) to participate in any portion of the requested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Increase;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of each such Eligible Assignee shall be in an amount of not less than $1 million or an integral multiple of $1 million in excess thereof. Any such Eligible Assignee that agrees to acquire a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pursuant hereto is herein called an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Effective on the Requested Increase Date, subject to the terms and conditions hereof, (x)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shall be deemed to be amended to reflect the increases contemplated hereby, (y)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of each Increasing Lender shall be increased by an amount determined by the Administrative Agent and the Borrower (but in no event greater than the amount by which such Lender is willing to increase its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and (z) each Additional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shall enter into an agreement in form and substance reasonably satisfactory to the Borrower and the Administrative Agent pursuant to which it shall undertake, as of such Requested Increase Date, a new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in an amount determined by the Administrative Agent and the Borrower (but in no event greater than the amount by which such Lender is willing to participate in the requested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Increase), and such Additional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 shall thereupon be deemed to be a Lender for all purposes of this Agreement.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(iv)           If on the Requested Increase Date there are any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Loans outstanding hereunder, the Borrower shall borrow from all or certain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and/or prepay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Loans of all or certain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such that, after giving effect thereto,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Loans (including, without limitation, the Types and Interest Periods thereof) and such participations shall be held by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(including for such purposes the Increasing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and the Additional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ratably in accordance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with their respective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Commitments. On and after each Increase Date, the ratable share of each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Lender’s participation in Letters of Credit and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Loans from draws under Letters of Credit shall be calculated after giving effect to each such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00"/>
        </w:rPr>
        <w:t xml:space="preserve"> Commitment Increase.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Borrower will use the proceeds of the Revolving Commitment Increase for any purpose not prohibited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Agreement.</w:t>
      </w:r>
    </w:p>
    <w:p>
      <w:pPr>
        <w:spacing w:after="0" w:line="200" w:lineRule="exact"/>
        <w:rPr>
          <w:sz w:val="20"/>
          <w:szCs w:val="20"/>
          <w:color w:val="auto"/>
        </w:rPr>
      </w:pPr>
    </w:p>
    <w:p>
      <w:pPr>
        <w:spacing w:after="0" w:line="2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6" w:name="page87"/>
    <w:bookmarkEnd w:id="86"/>
    <w:p>
      <w:pPr>
        <w:ind w:left="1960"/>
        <w:spacing w:after="0"/>
        <w:rPr>
          <w:sz w:val="20"/>
          <w:szCs w:val="20"/>
          <w:color w:val="auto"/>
        </w:rPr>
      </w:pP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No Lender shall be obligated to provide any Revolving Commitment Increase, unless it so agrees.</w:t>
      </w: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Incremental Term Loans. The Borrower shall have the right at any time after the First Amendment Effective Date to request one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more tranches of term loans (each an “Incremental Term Loan Facility”; and the commitments with respect thereof, the “Incremental Term Loan Commitments”) in accordance with the following provisions and subject to the following conditions:</w:t>
      </w:r>
    </w:p>
    <w:p>
      <w:pPr>
        <w:spacing w:after="0" w:line="176"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Borrower shall give the Administrative Agent, which shall promptly deliver a copy thereof to each of the Lenders, 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least ten (10) Business Days’ prior written notice (the “Incremental Term Loan Notice”) of any such requested increase specifying the aggregate amount of such Incremental Term Loan Facility (the “Requested Incremental Term Loan Amount”), which shall be at least $10 million, the requested date of increase (the “Requested Incremental Term Loan Date”) and the date by which the Lenders wishing to participate in the Incremental Term Loan Facility must commit (the “Incremental Term Loan Commitment Date”). Each Lender that is willing in its sole discretion to participate in such requested Incremental Term Loan Facility (each an “Incremental Term Lender”) shall give written notice to the Administrative Agent on or prior to the Incremental Term Loan Commitment Date of the amount by which it is willing to commit.</w:t>
      </w:r>
    </w:p>
    <w:p>
      <w:pPr>
        <w:spacing w:after="0" w:line="189"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Promptly following each Incremental Term Loan Commitment Date, the Administrative Agent shall notify the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as to the amount, if any, by which the Lenders are willing to participate in the requested Incremental Term Loan Facility. In addition, the Borrower may extend offers to one or more Eligible Assignees, each of which must be reasonably satisfactory to the Administrative Agent, (such consent not to be unreasonably withheld) to participate in any portion of the requested Incremental Term Loan Facility; provided, however, that the Incremental Term Loan Commitment of each such Eligible Assignee shall be in an amount of not less than $1 million or an integral multiple of $1 million in excess thereof. Any such Eligible Assignee that agrees to acquire an Incremental Term Loan Commitment pursuant hereto is herein called an “Additional Incremental Term Lender”.</w:t>
      </w:r>
    </w:p>
    <w:p>
      <w:pPr>
        <w:spacing w:after="0" w:line="189"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Incremental Term Loan Commitments shall become effective under this Agreement pursuant to an amendment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“Incremental Term Loan Amendment”) to this Agreement and, as appropriate, the other Loan Documents, executed by the Borrower, each Lender agreeing to provide such Term Loan Commitments, if any, each Additional Term Lender, if any, and the Administrative Agent pursuant to Section 9.02(f) hereof. The Incremental Term Loan Amendment may, without need for the consent of any other Lenders, effect such amendments to this Agreement and the other Loan Documents as may be necessary or appropriate, in the reasonable opinion of the Administrative Agent and the Borrower, to effect the provisions of this Section 2.23(b).</w:t>
      </w:r>
    </w:p>
    <w:p>
      <w:pPr>
        <w:spacing w:after="0" w:line="18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Any Incremental Term Loan Facility shall be on the same terms (including the pricing and maturity date thereof, but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excluding fees payable at closing of such Incremental Term Loan Facility so long as such fees are reasonably acceptable to the Administrative Agent and the Borrower) as, and pursuant to the same documentation applicable to the Term Loans hereunder; provided that to the extent such terms and documentation are not consistent with the then existing Term Loan Commitments or Incremental Term Loan Commitments (other than with respect to pricing, amortization and maturity) they shall be reasonably satisfactory to the Administrative Agent (it being agreed that Incremental Term Loan Facilities may contain customary mandatory prepayments, voting rights and prepayment premiums).</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Borrower will use the proceeds of the Incremental Term Loan Facility for any purpose not prohibited by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ind w:right="-99"/>
        <w:spacing w:after="0"/>
        <w:rPr>
          <w:sz w:val="20"/>
          <w:szCs w:val="20"/>
          <w:color w:val="auto"/>
        </w:rPr>
      </w:pP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No Lender shall be obligated to provide any Incremental Term Loan Facility, unless it so agrees.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Anything in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to the contrary notwithstanding, no increase in the aggregate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0000FF"/>
        </w:rPr>
        <w: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Incremental Term Loan Facility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hereunder pursuant to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effective unless:</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as of the date of the relevant Notice of Increase </w:t>
      </w:r>
      <w:r>
        <w:rPr>
          <w:rFonts w:ascii="Times New Roman" w:cs="Times New Roman" w:eastAsia="Times New Roman" w:hAnsi="Times New Roman"/>
          <w:sz w:val="18"/>
          <w:szCs w:val="18"/>
          <w:u w:val="single" w:color="auto"/>
          <w:color w:val="0000FF"/>
        </w:rPr>
        <w:t>or Incremental Term Loan Notice, as applicable</w:t>
      </w:r>
      <w:r>
        <w:rPr>
          <w:rFonts w:ascii="Times New Roman" w:cs="Times New Roman" w:eastAsia="Times New Roman" w:hAnsi="Times New Roman"/>
          <w:sz w:val="18"/>
          <w:szCs w:val="18"/>
          <w:color w:val="auto"/>
        </w:rPr>
        <w:t xml:space="preserve"> and on the relevant Requested Increase Date </w:t>
      </w:r>
      <w:r>
        <w:rPr>
          <w:rFonts w:ascii="Times New Roman" w:cs="Times New Roman" w:eastAsia="Times New Roman" w:hAnsi="Times New Roman"/>
          <w:sz w:val="18"/>
          <w:szCs w:val="18"/>
          <w:u w:val="single" w:color="auto"/>
          <w:color w:val="0000FF"/>
        </w:rPr>
        <w:t>or Requested Incremental Term Loan Date, as applicable,</w:t>
      </w:r>
      <w:r>
        <w:rPr>
          <w:rFonts w:ascii="Times New Roman" w:cs="Times New Roman" w:eastAsia="Times New Roman" w:hAnsi="Times New Roman"/>
          <w:sz w:val="18"/>
          <w:szCs w:val="18"/>
          <w:color w:val="auto"/>
        </w:rPr>
        <w:t xml:space="preserve"> and after giving effect to such increase, (x) no Default or Event of Default shall have occurred and be continuing and (y) the condition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shall be required to be satisfied;</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to the extent reasonably requested by the Administrative Agent, receipt by the Administrative Agent of (A) customary legal opinions, board resolutions and officers’ certificates consistent with the documentation delivered on the Amendment and Restatement Effective Date (conformed as appropriate) other than changes to such legal opinions resulting from a change in law, change in fact or change to counsel’s form of opinion reasonably satisfactory to the Administrative Agent and (B) any reaffirmation or similar documentation as reasonably requested by the Administrative Agent in order to ensure that such Increasing </w:t>
      </w:r>
      <w:r>
        <w:rPr>
          <w:rFonts w:ascii="Times New Roman" w:cs="Times New Roman" w:eastAsia="Times New Roman" w:hAnsi="Times New Roman"/>
          <w:sz w:val="18"/>
          <w:szCs w:val="18"/>
          <w:u w:val="single" w:color="auto"/>
          <w:color w:val="0000FF"/>
        </w:rPr>
        <w:t>Revolving Lender, Additional Revolving Lender, Incremental Term</w:t>
      </w:r>
      <w:r>
        <w:rPr>
          <w:rFonts w:ascii="Times New Roman" w:cs="Times New Roman" w:eastAsia="Times New Roman" w:hAnsi="Times New Roman"/>
          <w:sz w:val="18"/>
          <w:szCs w:val="18"/>
          <w:color w:val="auto"/>
        </w:rPr>
        <w:t xml:space="preserve"> Lender or Additional </w:t>
      </w:r>
      <w:r>
        <w:rPr>
          <w:rFonts w:ascii="Times New Roman" w:cs="Times New Roman" w:eastAsia="Times New Roman" w:hAnsi="Times New Roman"/>
          <w:sz w:val="18"/>
          <w:szCs w:val="18"/>
          <w:u w:val="single" w:color="auto"/>
          <w:color w:val="0000FF"/>
        </w:rPr>
        <w:t>Incremental Term</w:t>
      </w:r>
      <w:r>
        <w:rPr>
          <w:rFonts w:ascii="Times New Roman" w:cs="Times New Roman" w:eastAsia="Times New Roman" w:hAnsi="Times New Roman"/>
          <w:sz w:val="18"/>
          <w:szCs w:val="18"/>
          <w:color w:val="auto"/>
        </w:rPr>
        <w:t xml:space="preserve"> Lender</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is provided with the benefit of the applicable Loan Documents; and</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after giving effect to any such increase after the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Amendment </w:t>
      </w:r>
      <w:r>
        <w:rPr>
          <w:rFonts w:ascii="Times New Roman" w:cs="Times New Roman" w:eastAsia="Times New Roman" w:hAnsi="Times New Roman"/>
          <w:sz w:val="18"/>
          <w:szCs w:val="18"/>
          <w:color w:val="FF0000"/>
          <w:strike w:val="1"/>
        </w:rPr>
        <w:t>and Restatement</w:t>
      </w:r>
      <w:r>
        <w:rPr>
          <w:rFonts w:ascii="Times New Roman" w:cs="Times New Roman" w:eastAsia="Times New Roman" w:hAnsi="Times New Roman"/>
          <w:sz w:val="18"/>
          <w:szCs w:val="18"/>
          <w:color w:val="auto"/>
        </w:rPr>
        <w:t xml:space="preserve"> Effective Date, the aggregate amount of the Commitments shall not exceed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auto"/>
        </w:rPr>
        <w:t>00 million.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Banking Services and Swap Agreements</w:t>
      </w:r>
      <w:r>
        <w:rPr>
          <w:rFonts w:ascii="Times New Roman" w:cs="Times New Roman" w:eastAsia="Times New Roman" w:hAnsi="Times New Roman"/>
          <w:sz w:val="18"/>
          <w:szCs w:val="18"/>
          <w:color w:val="auto"/>
        </w:rPr>
        <w:t xml:space="preserve">. Each Lender or Affiliate thereof providing Banking Services for, or having Swap Agreements with, the Borrower or any of its Subsidiaries shall deliver to the Administrative Agent, promptly after entering into such Banking Services or Swap Agreements, written notice thereof, in each case, to the extent such Banking Services or Swap Agreements relate to Secured Obligations. In furtherance of that requirement, each such Lender or Affiliate thereof shall furnish the Administrative Agent, from time to time promptly upon a request therefor, a summary of the amounts due or to become due in respect of such Banking Services 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such Banking Services Obligations and/or Swap Agreement Obligations will be placed.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the Administrative Agent and the Borrower may amend this Agreement to replace the applicable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2.25(d)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applicable then-current Benchmark is a term rate and either</w:t>
      </w:r>
    </w:p>
    <w:p>
      <w:pPr>
        <w:jc w:val="both"/>
        <w:ind w:firstLine="8"/>
        <w:spacing w:after="0" w:line="251" w:lineRule="auto"/>
        <w:tabs>
          <w:tab w:leader="none" w:pos="3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“Interest Payment Date”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“Interest Payment Date” (or any similar or analogous definition) for all Benchmark settings at or after such time to reinstate such previously removed tenor.</w:t>
      </w:r>
    </w:p>
    <w:p>
      <w:pPr>
        <w:spacing w:after="0" w:line="19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Upon the Borrower’s receipt of notice or the commencement of a Benchmark Unavailability Period, (i) the Borrower may revoke any pending request for Term SOFR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and (ii) any outstanding affected Term SOFR Loans will be deemed to have been converted into ABR Loans immediately. During a Benchmark Unavailability Period, the component of ABR based upon then-current Benchmark will not be used in any determination of ABR.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Powers</w:t>
      </w:r>
      <w:r>
        <w:rPr>
          <w:rFonts w:ascii="Times New Roman" w:cs="Times New Roman" w:eastAsia="Times New Roman" w:hAnsi="Times New Roman"/>
          <w:sz w:val="18"/>
          <w:szCs w:val="18"/>
          <w:color w:val="auto"/>
        </w:rPr>
        <w:t>. Each of the Loan Parties and each of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Authorization; Enforceability</w:t>
      </w:r>
      <w:r>
        <w:rPr>
          <w:rFonts w:ascii="Times New Roman" w:cs="Times New Roman" w:eastAsia="Times New Roman" w:hAnsi="Times New Roman"/>
          <w:sz w:val="18"/>
          <w:szCs w:val="18"/>
          <w:color w:val="auto"/>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Governmental Approvals; No Conflicts</w:t>
      </w:r>
      <w:r>
        <w:rPr>
          <w:rFonts w:ascii="Times New Roman" w:cs="Times New Roman" w:eastAsia="Times New Roman" w:hAnsi="Times New Roman"/>
          <w:sz w:val="18"/>
          <w:szCs w:val="18"/>
          <w:color w:val="auto"/>
        </w:rPr>
        <w:t xml:space="preserve">. The Transactions (a)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or any order of any Governmental Authority, (c) will not violate or result in a default under, or give rise to a right to require any payment to be made by any Loan Party or any of its Subsidiaries under, (i) any indenture or loan agreement, in each case, evidencing Indebtedness in excess of $2 million, (ii) any Swap Agreement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(c)(iii)</w:t>
      </w:r>
      <w:r>
        <w:rPr>
          <w:rFonts w:ascii="Times New Roman" w:cs="Times New Roman" w:eastAsia="Times New Roman" w:hAnsi="Times New Roman"/>
          <w:sz w:val="18"/>
          <w:szCs w:val="18"/>
          <w:color w:val="auto"/>
        </w:rPr>
        <w:t>, except as would not reasonably be expected to result in a Material Adverse Effect.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The Borrower has heretofore furnished to the Lenders its consolidated balance sheet and statements of income, stockholders equity and cash flows (i) as of and for the fiscal year ended December 31, 2021, reported on by Deloitte and Touche LLP, independent public accountants.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No event, change or condition has occurred that has had, or could reasonably be expected to have, a Material Adverse Effect, since December 31, 2016.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of the Loan Parties and its Subsidiaries has good title to, or valid leasehold interests in, all its real and personal property, except for defects in title that, individually or in the aggregate, could not reasonably be expected to result in a Material Adverse Effect.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Litigation and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There are no actions, suits or proceedings by or before any arbitrator or Governmental Authority pending against or, to the knowledge of any Loan Party, threatened against or affecting the Loan Parties or any of its Subsidiaries (i) that could reasonably be expected, individually or in the aggregate, to result in a Material Adverse Effect or (ii) that involve this Agreement or the Transactions.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Compliance with Laws and Agreements</w:t>
      </w:r>
      <w:r>
        <w:rPr>
          <w:rFonts w:ascii="Times New Roman" w:cs="Times New Roman" w:eastAsia="Times New Roman" w:hAnsi="Times New Roman"/>
          <w:sz w:val="18"/>
          <w:szCs w:val="18"/>
          <w:color w:val="auto"/>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Investment Company Status</w:t>
      </w:r>
      <w:r>
        <w:rPr>
          <w:rFonts w:ascii="Times New Roman" w:cs="Times New Roman" w:eastAsia="Times New Roman" w:hAnsi="Times New Roman"/>
          <w:sz w:val="18"/>
          <w:szCs w:val="18"/>
          <w:color w:val="auto"/>
        </w:rPr>
        <w:t>. No Loan Party nor any of its Subsidiaries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Borrower represents and warrants as of the Amendment and Restatement Effective Date that the Borrower is not and will not be using “plan assets” (within the meaning of 29 CFR § 2510.3-101, as modified by Section 3(42) of ERISA) of one or more Benefit Plans in connection with the Loans, the Letters of Credit or the Commitments.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xml:space="preserve">. 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as of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auto"/>
        </w:rPr>
        <w:t>, (a) a correct and complete list of the name and relationship to the Borrower of each and all of the Borrower’s Subsidiaries, (b) the type of entity and jurisdiction of organization of the Borrower and each of its Subsidiaries, and (c) which of the Borrower’s Subsidiaries are Material Domestic Subsidiaries and Material Foreign Subsidiaries. All of the issued and outstanding Equity Interests owned by any Loan Party has been (to the extent such concepts are relevant with respect to such ownership interests) duly authorized and issued and is fully paid and non-assessable.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Security Interest in Collateral</w:t>
      </w:r>
      <w:r>
        <w:rPr>
          <w:rFonts w:ascii="Times New Roman" w:cs="Times New Roman" w:eastAsia="Times New Roman" w:hAnsi="Times New Roman"/>
          <w:sz w:val="18"/>
          <w:szCs w:val="18"/>
          <w:color w:val="auto"/>
        </w:rPr>
        <w:t>. The provisions of this Agreement and the other Loan Documents create legal and valid Liens on all of the Collateral in favor of the Administrative Agent, for the benefit of the Secured Parties, and, upon filing a UCC financing statement in the Loan Parties’ applicable jurisdiction of organization such Liens, will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Federal Reserve Regulations</w:t>
      </w:r>
      <w:r>
        <w:rPr>
          <w:rFonts w:ascii="Times New Roman" w:cs="Times New Roman" w:eastAsia="Times New Roman" w:hAnsi="Times New Roman"/>
          <w:sz w:val="18"/>
          <w:szCs w:val="18"/>
          <w:color w:val="auto"/>
        </w:rPr>
        <w:t>. No part of the proceeds of any Loan or Letter of Credit has been used or will be used, whether directly or indirectly, for any purpose that entails a violation of any of the Regulations of the Board, including Regulations T, U and X.</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affiliates or directors, officers or employees, or (b) to the knowledge of any such Loan Party or Subsidiary, any agent of such Loan Party or any Subsidiary, or any of their respective affiliates,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Not an 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Conditions to Initial Loans</w:t>
      </w:r>
      <w:r>
        <w:rPr>
          <w:rFonts w:ascii="Times New Roman" w:cs="Times New Roman" w:eastAsia="Times New Roman" w:hAnsi="Times New Roman"/>
          <w:sz w:val="18"/>
          <w:szCs w:val="18"/>
          <w:color w:val="auto"/>
        </w:rPr>
        <w:t>. The obligations of the Lenders to make Loans and of the Issuing Banks to issue Letters of Credit hereunder shall not become effective until each of the conditions precedent to the Amendment and Restatement Effective Date set forth in Section 4 of the Amendment and Restatement are satisfied.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Each Credit Event</w:t>
      </w:r>
      <w:r>
        <w:rPr>
          <w:rFonts w:ascii="Times New Roman" w:cs="Times New Roman" w:eastAsia="Times New Roman" w:hAnsi="Times New Roman"/>
          <w:sz w:val="18"/>
          <w:szCs w:val="18"/>
          <w:color w:val="auto"/>
        </w:rPr>
        <w:t>. The obligation of each Lender to make any Loan, and of the Issuing Banks to issue or increase any Letter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 subject to the satisfaction of the following conditions: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(ii) any representation and warranty that is qualified as to “materiality” or “Material Adverse Effect” shall be true and correct in all respects.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Loan or the issuance or increase of such Letter of Credit, as applicable, no Default shall have occurred and be continuing.</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Each Loan and each issuance or increase of a Letter of Credit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or been cash collateralized and all LC Disbursements shall have been reimbursed (or cash collateralized on terms reasonably acceptable to the Administrative Agent), each Loan Party executing this Agreement covenants and agrees, jointly and severally with all of the Loan Parties, with the Lenders that: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Financial Statements and Other Information</w:t>
      </w:r>
      <w:r>
        <w:rPr>
          <w:rFonts w:ascii="Times New Roman" w:cs="Times New Roman" w:eastAsia="Times New Roman" w:hAnsi="Times New Roman"/>
          <w:sz w:val="18"/>
          <w:szCs w:val="18"/>
          <w:color w:val="auto"/>
        </w:rPr>
        <w:t>. The Borrower will furnish to the Administrative Agent and each Lender: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within 90 days after the end of each fiscal year of the Borrower, (i) its audited consolidated balance sheet and related statements of operations, stockholders’ equity and cash flows as of the end of and for such year, setting forth in each case in comparative form the figures for the previous fiscal year, all reported on by Deloitte and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and (ii) unaudited consolidating balance sheets and related statements of operations, stockholders’ equity and cash flows as of the end of and for such year, certified by one of the Borrower’s Financial Officers as presenting fairly in all material respects the financial condition and results of operations of the Borrower and its consolidated Subsidiaries on a consolidating basis in accordance with GAAP;</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concurrently with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certificate of a Financial Officer of the Borrower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and compliance with </w:t>
      </w:r>
      <w:r>
        <w:rPr>
          <w:rFonts w:ascii="Times New Roman" w:cs="Times New Roman" w:eastAsia="Times New Roman" w:hAnsi="Times New Roman"/>
          <w:sz w:val="18"/>
          <w:szCs w:val="18"/>
          <w:u w:val="single" w:color="auto"/>
          <w:color w:val="auto"/>
        </w:rPr>
        <w:t>Sections 6.04(c)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(iii) stating whether any change in GAAP or in the application thereof has occurred since the later of December 31, 2021 and the end date of the financial statements most recently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as soon as available, but in any event within sixty (60) days after the start of each fiscal year of the Borrower, a copy of the plan and forecast (including a projected consolidated balance sheet, income statement and funds flow statement) of the Borrower for each month of such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by the Borrower to its shareholders generally, as the case may be;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promptly following any request therefor, such other information regarding the operations, business affairs and financial condition of the Borrower or any Subsidiary, or compliance with the terms of this Agreement, as the Administrative Agent or any Lender may reasonably request;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promptly following any request therefor, information and documentation reasonably requested by the Administrative Agent and/or any Lender for purposes of compliance with applicable “know your customer” requirements under the PATRIOT Act or other applicable anti-money laundering laws.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(x) the Borrower shall be deemed to have complied with the terms of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with respect to the financial statements required to be delivered pursuant thereto if the Borrower delivers to the Administrative Agent and the Lenders, within the same time frame required under the Securities Act and the rules and regulations of the Securities Exchange Commission its annual report on Form 10-K for the applicable fiscal year or its quarterly report in Form 10-Q for the applicable fiscal quarter, respectively, that it has filed with the Securities and Exchange Commission, and (y) any documents required to be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be deemed to have been delivered on the date on which the Borrower provides notice to the Administrative Agent that such information has been posted on the Borrower’s website on the Internet (with such notice containing the link thereto), or posted on Borrower’s behalf on IntraLinks/‌IntraAgency or another relevant website, if any, to which each Lender and the Administrative Agent have access (whether a commercial, third-party website or whether sponsored by the Administrative Agent).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Notices of Material Events</w:t>
      </w:r>
      <w:r>
        <w:rPr>
          <w:rFonts w:ascii="Times New Roman" w:cs="Times New Roman" w:eastAsia="Times New Roman" w:hAnsi="Times New Roman"/>
          <w:sz w:val="18"/>
          <w:szCs w:val="18"/>
          <w:color w:val="auto"/>
        </w:rPr>
        <w:t>. The Borrower will furnish to the Administrative Agent and each Lender prompt written notice of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occurrence of any Default;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the occurrence of any ERISA Event that, alone or together with any other ERISA Events that have occurred, could reasonably be expected to result in liability of the Borrower and its Subsidiaries in an aggregate amount exceeding $5 million;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within two (2) Business Days (or such longer period as the Administrative Agent may agree) after the occurrence thereof, any Loan Party entering into a Swap Agreement or an amendment to a Swap Agreement, in each case, to the extent such Swap Agreement relates to Secured Swap Obligations, together with copies of all agreements evidencing such Swap Agreement or amendment; and</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(e)            any other development that results in, or could reasonably be expected to result in, a Material Adverse Effect.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Each notice delivered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(other than clause (d) above)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Existence; Conduct of Business</w:t>
      </w:r>
      <w:r>
        <w:rPr>
          <w:rFonts w:ascii="Times New Roman" w:cs="Times New Roman" w:eastAsia="Times New Roman" w:hAnsi="Times New Roman"/>
          <w:sz w:val="18"/>
          <w:szCs w:val="18"/>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(b) carry on and conduct its business in substantially the same manner and in substantially the same fields of enterprise as it is presently conducted or in fields which are, in the good faith judgment of the Board of Directors, similar, complimentary or substantially related thereto or are reasonable extensions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Each Loan Party will, and will cause each Subsidiary to, pay or discharge all material Taxes,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Maintenance of Properties; Insurance; Casualty and Condemnation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Books and Records; Inspection Rights</w:t>
      </w:r>
      <w:r>
        <w:rPr>
          <w:rFonts w:ascii="Times New Roman" w:cs="Times New Roman" w:eastAsia="Times New Roman" w:hAnsi="Times New Roman"/>
          <w:sz w:val="18"/>
          <w:szCs w:val="18"/>
          <w:color w:val="auto"/>
        </w:rPr>
        <w:t xml:space="preserve">.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following any Event of Default, any Lender)(including employees of the Administrative Agent, such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reimburse the Administrative Agent or any Lender for the cost of more than one such visit during any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or is subject to attorney client privilege or that constitutes attorney work product (in each case, as determined in good faith by legal counsel to any Loan Party and not in contemplation of any request for disclosure or otherwise to evade the disclosure requirements contained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it being understood that the Borrower shall use its commercially reasonable efforts to communicate any requested information in a way that would not violate the applicable law or agreement or waive the applicable privilege.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The proceeds of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Loans will be used after the Amendment and Restatement Effective Date for working capital and general corporate purposes including Permitted Acquisitions; it being understood and agreed that any Existing Loans shall be subject to a cashless settlement mechanism and other purchases and sales of interests in such Loans among the Lenders whereby the Borrower shall be deemed to have borrowed from all or certain of the Lenders and/or prepaid Loans of all or certain of the Lenders such that, after giving effect thereto, the Loans (including, without limitation, the Types and Interest Periods thereof) shall be held by the Lenders ratably in accordance with their respective Commitments.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The proceeds of the Term Loans borrowed on the First Amendment Effective Date shall be used to (i) repay the Existing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outstanding on the First Amendment Effective Date and (ii) pay fees and expenses incurred in connection with the First Amendment and the transactions contemplated thereby.</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No part of the proceeds of any Loan and no Letter of Credit will be used, whether directly or indirectly, for any purpose that entails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 violation of any of the Regulations of the Board, including Regulations T, U and X.</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(including any Person participating in the Loans, whether as Administrative Agent, Lead Arranger, Issuing Bank, Lender, underwriter, advisor, investor or otherwise).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Additional Collateral;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Subject to applicable law, the Borrower and each other Loan Party shall cause each of its wholly-owned Material Domestic Subsidiaries formed or acquired on or after the date of this Agreement in accordance with the terms of this Agreement to become a Loan Party, within 30 days (or such later date as the Administrative Agent may agree) after the date of such formation or acquisition, by executing the Joinder Agreement set forth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Upon execution and delivery thereof, each such Person shall automatically become a Loan Guarantor hereunder and thereupon shall have all of the rights, benefits, duties, and obligations in such capacity under the Loan Documents.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Subject to applicable law, the Borrower and other Loan Party shall cause each of its wholly-owned Material Domestic Subsidiaries formed or acquired after the date of this Agreement in accordance with the terms of this Agreement and each Subsidiary who hereafter becomes a Material Domestic Subsidiary, in each case, within 30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Subject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Borrower and each other Material Domestic Subsidiary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Material Foreign Subsidiary (including any Subsidiary who becomes a Material Foreign Subsidiary after the Amendment and Restatement Effective Date) directly owned by the Borrower or any Material Domestic Subsidiary to be subject at all times to a first priority, perfected Lien in favor of the Administrative Agent pursuant to the terms and conditions of the Loan Documents or other security documents as the Administrative Agent shall reasonably request.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 xml:space="preserve"> Each Loan Party shall implement and maintain in effect policies and procedures designed to promote compliance by such Loan Party, its Subsidiaries and their respective directors, officers, employees and agents with Anti-Corruption Laws and applicable Sanctions.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expenses and other amounts payable under any Loan Document have been paid in full and all Letters of Credit have expired or terminated or been cash collateralized and all LC Disbursements shall have been reimbursed (or cash collateralized on terms reasonably acceptable to the Administrative Agent), the Loan Parties covenant and agree, jointly and severally, with the Lenders that: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No Loan Party will, nor will it permit any Subsidiary to, create, incur or suffer to exist any Indebtedness, except: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Secured Obligations;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Indebtedness existing on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auto"/>
        </w:rPr>
        <w:t xml:space="preserve">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extensions, renewals and replacements of any such Indebtedness that do not increase the outstanding principal amount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300"/>
        <w:spacing w:after="0"/>
        <w:rPr>
          <w:sz w:val="20"/>
          <w:szCs w:val="20"/>
          <w:color w:val="auto"/>
        </w:rPr>
      </w:pPr>
      <w:r>
        <w:rPr>
          <w:rFonts w:ascii="Times New Roman" w:cs="Times New Roman" w:eastAsia="Times New Roman" w:hAnsi="Times New Roman"/>
          <w:sz w:val="18"/>
          <w:szCs w:val="18"/>
          <w:color w:val="auto"/>
        </w:rPr>
        <w:t xml:space="preserve">(c)            Indebtedness of the Borrower to any Subsidiary and of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7"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Subsidiary that is not a Loan Party to the Borrower or to any Subsidiary that is a Loan Party shall be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to any Subsidiary and Indebtedness of any Subsidiary that is a Loan Party to any Subsidiary that is not a Loan Party shall be subordinated to the Secured Obligations in accordance with the terms set forth on Schedule 1.01 or otherwise on terms reasonably satisfactory to the Administrative Agent;</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(d)            Guarantees by the Borrower of Indebtedness of any Subsidiary and by any Subsidiary of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 Guarantees by the Borrower or any Subsidiary that is a Loan Party of Indebtedness of any Subsidiary that is not a Loan Party shall be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(iii) Guarantees permitted under this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subordinated to the Obligations on the same terms as the Indebtedness so Guaranteed is subordinated to the Obligations;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 renewals and replacements of any such Indebtedness in accordance with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(including any refinancing thereof permitted by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shall not exceed $20 million at any time outstanding;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Indebtedness which represents an extension, refinancing, or renewal of any of the Indebtedness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jc w:val="both"/>
        <w:ind w:firstLine="8"/>
        <w:spacing w:after="0" w:line="251" w:lineRule="auto"/>
        <w:tabs>
          <w:tab w:leader="none" w:pos="272"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aggregate principal amount of such Indebtedness does not exceed the principal amount of such Indebtedness being refinancing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9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Indebtedness of the Borrower or any Subsidiary in respect of performance bonds, bid bonds, appeal bonds, surety bonds and similar obligations, in each case provided in the ordinary course of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Subordinated Indebtedness of any Loan Party in an aggregate principal amount not exceeding $25 million at any time outstanding;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18"/>
          <w:szCs w:val="18"/>
          <w:color w:val="auto"/>
        </w:rPr>
        <w:t>(j)             Indebtedness or Guarantees of the Borrower or any Subsidiary in connection with any Swap Agreement permitted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Judgments entered against the Borrower or any Subsidiary to the extent not constituting an Event of Default;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Indebtedness or Guarantees incurred in the ordinary course of business in connection with cash pooling, netting and cash management arrangements consisting of overdrafts or similar arrangements, provided that any such Indebtedness is owed to the financial institutions providing such arrangements and such Indebtedness is extinguished in accordance with the terms of such arrangement;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            Indebtedness of foreign Subsidiaries to finance the working capital needs of such foreign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outstanding principal amount of such Indebtedness shall not exceed $20 million (or the equivalent thereof) at any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Indebtedness owed to sellers constituting consideration for Permitted Acquisitions;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(p)            Indebtedness of a Person or Indebtedness attaching to assets of a Person that, in either case, becomes a Subsidiary or Indebtedness attaching to assets that are acquired by Borrower or any of its Subsidiaries, in each case as the result of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existed at the time such Person became a Subsidiary or at the time such assets were acquired and, in each case, was not created in anticipation thereof;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(q)            Indebtedness or Guarantees in an aggregate amount not exceeding $1 million consisting of reimbursement obligations owed to banks providing the Borrower or any of its Subsidiaries with backstop, letter of credit, guarantee or equivalent services in connection with its leased properties;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            Indebtedness of the Borrower or any Subsidiary owed to sublessees in respect of security deposits or advances held by the Borrower or any Subsidiary in connection with the subletting to such sublessees of any leasehold interests of the Borrower or any Subsidiary;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             Indebtedness of the Borrower or any Subsidiary in respect of Capital Lease Obligations incurred in connection with employee vehicle financing arrangements in India;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other Indebtedness in an aggregate principal amount at any time outstanding not exceeding the greater of (x) $40 million or</w:t>
      </w:r>
    </w:p>
    <w:p>
      <w:pPr>
        <w:spacing w:after="0" w:line="27" w:lineRule="exact"/>
        <w:rPr>
          <w:sz w:val="20"/>
          <w:szCs w:val="20"/>
          <w:color w:val="auto"/>
        </w:rPr>
      </w:pPr>
    </w:p>
    <w:p>
      <w:pPr>
        <w:ind w:right="20" w:firstLine="8"/>
        <w:spacing w:after="0" w:line="260"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EBITDA for the period of four consecutive fiscal quarters having most recently ended prior to such date of determination and for which financial statements have been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as applicable;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(v)            unsecured Indebtedness so long as the Total Net </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u w:val="single" w:color="auto"/>
          <w:color w:val="0000FF"/>
        </w:rPr>
        <w:t>L</w:t>
      </w:r>
      <w:r>
        <w:rPr>
          <w:rFonts w:ascii="Times New Roman" w:cs="Times New Roman" w:eastAsia="Times New Roman" w:hAnsi="Times New Roman"/>
          <w:sz w:val="18"/>
          <w:szCs w:val="18"/>
          <w:color w:val="auto"/>
        </w:rPr>
        <w:t xml:space="preserve">everage Ratio for the period of four consecutive fiscal quarters having most recently ended immediately prior to the incurrence of such Indebtedness (without netting any cash received from the incurrence thereof and assuming, in the case of any such Indebtedness in the form of revolving commitments or delayed draw term loan commitments, that such commitments are fully drawn) and for which financial statements have been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as applicable, would be no greater than 2.75 to 1.00.</w:t>
      </w:r>
    </w:p>
    <w:p>
      <w:pPr>
        <w:spacing w:after="0" w:line="39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Liens created pursuant to any Loan Document;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Permitted Encumbrances;</w:t>
      </w:r>
    </w:p>
    <w:p>
      <w:pPr>
        <w:spacing w:after="0" w:line="225"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 xml:space="preserve">(c)            any Lien on any property or asset of the Borrower or any Subsidiary existing on the </w:t>
      </w:r>
      <w:r>
        <w:rPr>
          <w:rFonts w:ascii="Times New Roman" w:cs="Times New Roman" w:eastAsia="Times New Roman" w:hAnsi="Times New Roman"/>
          <w:sz w:val="17"/>
          <w:szCs w:val="17"/>
          <w:u w:val="single" w:color="auto"/>
          <w:color w:val="0000FF"/>
        </w:rPr>
        <w:t>Amendment and Restatement 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d</w:t>
      </w:r>
      <w:r>
        <w:rPr>
          <w:rFonts w:ascii="Times New Roman" w:cs="Times New Roman" w:eastAsia="Times New Roman" w:hAnsi="Times New Roman"/>
          <w:sz w:val="17"/>
          <w:szCs w:val="17"/>
          <w:u w:val="single" w:color="auto"/>
          <w:color w:val="0000FF"/>
        </w:rPr>
        <w:t>D</w:t>
      </w:r>
      <w:r>
        <w:rPr>
          <w:rFonts w:ascii="Times New Roman" w:cs="Times New Roman" w:eastAsia="Times New Roman" w:hAnsi="Times New Roman"/>
          <w:sz w:val="17"/>
          <w:szCs w:val="17"/>
          <w:color w:val="auto"/>
        </w:rPr>
        <w:t xml:space="preserve">ate </w:t>
      </w:r>
      <w:r>
        <w:rPr>
          <w:rFonts w:ascii="Times New Roman" w:cs="Times New Roman" w:eastAsia="Times New Roman" w:hAnsi="Times New Roman"/>
          <w:sz w:val="17"/>
          <w:szCs w:val="17"/>
          <w:color w:val="FF0000"/>
          <w:strike w:val="1"/>
        </w:rPr>
        <w:t>hereof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and set forth in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Schedule 6.02</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that (i) such Lien shall not apply to any other property or asset of the Borrower or such Subsidiary and</w:t>
      </w:r>
    </w:p>
    <w:p>
      <w:pPr>
        <w:spacing w:after="0" w:line="1" w:lineRule="exact"/>
        <w:rPr>
          <w:sz w:val="20"/>
          <w:szCs w:val="20"/>
          <w:color w:val="auto"/>
        </w:rPr>
      </w:pPr>
    </w:p>
    <w:p>
      <w:pPr>
        <w:ind w:firstLine="8"/>
        <w:spacing w:after="0" w:line="260"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Lien shall secure only those obligations which it secures on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auto"/>
        </w:rPr>
        <w:t xml:space="preserve"> and extensions, renewals and replacements thereof that do not increase the outstanding principal amount thereof;</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any Lien existing on any property or asset prior to the acquisition thereof (including by way of any Permitted Acquisition) by the Borrower or any Subsidiary or existing on any property or asset of any Person that becomes a Subsidiary after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prior to the time such Person becomes a Subsidiary;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(i) such Lien is not created in contemplation of or in connection with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acquisition or such Person becoming a Subsidiary ,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permitted by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(ii) such security interests and the Indebtedness secured thereby are incurred prior to or within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Liens of a collecting bank arising in the ordinary course of business under Section 4-208 of the Uniform Commercial Code in effect in the relevant jurisdiction covering only the items being collected upon;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Liens granted by a Subsidiary that is not a Loan Party in favor of the Borrower or another Loan Party in respect of Indebtedness owed by such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Liens arising by operation of law under Article 2 of the Uniform Commercial Code in favor of a reclaiming seller of goods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of goods;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81" w:lineRule="auto"/>
        <w:rPr>
          <w:sz w:val="20"/>
          <w:szCs w:val="20"/>
          <w:color w:val="auto"/>
        </w:rPr>
      </w:pPr>
      <w:r>
        <w:rPr>
          <w:rFonts w:ascii="Times New Roman" w:cs="Times New Roman" w:eastAsia="Times New Roman" w:hAnsi="Times New Roman"/>
          <w:sz w:val="17"/>
          <w:szCs w:val="17"/>
          <w:color w:val="auto"/>
        </w:rPr>
        <w:t>(i)             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spacing w:after="0" w:line="16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(k)            Liens on assets of foreign Subsidiaries to secure Indebtedness of such foreign Subsidiaries permitted under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Liens on cash or Cash Equivalents constituting earnest money deposits made by the Borrower or any Subsidiary in connection with any letter of intent or purchase agreement for a Permitted Acquisition;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(m)           Liens on cash collateral securing the Indebtedness described in </w:t>
      </w:r>
      <w:r>
        <w:rPr>
          <w:rFonts w:ascii="Times New Roman" w:cs="Times New Roman" w:eastAsia="Times New Roman" w:hAnsi="Times New Roman"/>
          <w:sz w:val="18"/>
          <w:szCs w:val="18"/>
          <w:u w:val="single" w:color="auto"/>
          <w:color w:val="auto"/>
        </w:rPr>
        <w:t>Section 6.01(q)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            Liens on cash collateral of foreign Subsidiaries securing the Indebtedness described in </w:t>
      </w:r>
      <w:r>
        <w:rPr>
          <w:rFonts w:ascii="Times New Roman" w:cs="Times New Roman" w:eastAsia="Times New Roman" w:hAnsi="Times New Roman"/>
          <w:sz w:val="18"/>
          <w:szCs w:val="18"/>
          <w:u w:val="single" w:color="auto"/>
          <w:color w:val="auto"/>
        </w:rPr>
        <w:t>Section 6.01(r)</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(o)            Liens on cash collateral to secure any Swap Agreement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so long as the aggregate amount of such cash collateral does not, as of any date of determination, exceed $20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No Loan Party will, nor will it permit any Subsidiary to, merge into or consolidate with any other Person, or permit any other Person to merge into or consolidate with it,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so long as, in the case of a merger involving any Loan Party or Material Foreign Subsidiary, such Loan Party or Material Foreign Subsidiary is the surviving entity, (iv) any Subsidiary may sell, transfer, lease or otherwise dispose of its assets to the Borrower or to another Subsidiary and (v) 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at a future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shall be conditioned on (i) obtaining requisite approvals permitting the respective transaction (and any related financing or other transactions) in accordance with the requirements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(ii) the satisfaction and discharge of all outstanding Obligations under this Agreement and the other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agreement shall (x) not contain any provision imposing fees or damages on any Loan Party or its Subsidiary for failure to meet the conditions set forth above and (y) contain termination provisions which will provide for the termination of the agreement within a reasonable time if the conditions described in the preceding proviso have not been satisfied by such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Board of Directors, similar, complimentary or substantially related thereto or are reasonable extensions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Borrower will not change its fiscal year which currently ends on December 31 of each year.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Investments, Loans, Advances, Guarantees and Acquisitions</w:t>
      </w:r>
      <w:r>
        <w:rPr>
          <w:rFonts w:ascii="Times New Roman" w:cs="Times New Roman" w:eastAsia="Times New Roman" w:hAnsi="Times New Roman"/>
          <w:sz w:val="18"/>
          <w:szCs w:val="18"/>
          <w:color w:val="auto"/>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investments in cash and Cash Equivalents;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investments in existence on the date of this Agreement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investments by the Borrower and its Subsidiaries in the capital stock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(together with the aggregate amount of loans and advances described in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as of any date of determination, made by the Borrower or the other Loan Parties in the capital stock of their respective Subsidiaries who are not Loan Parties does not at any time exceed an amount equal to 50% of the EBITDA for the period of four consecutive fiscal quarters having most recently ended prior to such date of determination and for which financial statements are available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loans or advances made by the Borrower or any of its Subsidiaries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loans and advances (together with the aggregate amount of investments described in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made by the Borrower or the other Loan Parties to Subsidiaries who are not Loan Parties that are at any time outstanding does not, as of any date of determination, exceed an amount equal to 50% of the EBITDA for the period of four consecutive fiscal quarters having most recently ended prior to such date of determination and for which financial statements are available;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18"/>
          <w:szCs w:val="18"/>
          <w:color w:val="auto"/>
        </w:rPr>
        <w:t xml:space="preserve">(e)            Guarantees constituting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Permitted Acquisitions;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(g)            loans and advances to employees of the Borrower or any Subsidiaries in the ordinary course of business (including for travel, entertainment and relocation expenses and to finance the purchase of Equity Interests of the Borrower) in an aggregate amount for the Borrower and its Subsidiaries not to exceed $10 million at any time outstanding;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investments received in connection with the bankruptcy or reorganization of any Person or in settlement of obligations of, or disputes with, any Person arising in the ordinary course of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Swap Agreements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Transfer Pricing Transactions;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investments consisting of extensions of credit in the nature of accounts receivable or notes receivable arising from the grant of trade credit in the ordinary course of business;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             to the extent constituting investments, performance guarantees of obligations of the Borrower’s Subsidiaries in the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and</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(m)           in addition to investments otherwise expressly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investments, loans and advances by the Borrower or any of its Subsidiaries in an aggregate amount (valued at cost) not to exceed the greater of (x) $40 million and (y) 20% of EBITDA for the period of four consecutive fiscal quarters having most recently ended prior to such date of determination and for which financial statements have been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Asset Dispositions; 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 Loan Party will, nor will it permit any Subsidiary to, make any Disposition except: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             Dispositions of obsolete or worn out property, whether now owned or hereafter acquired, in the ordinary course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Dispositions (including non-exclusive licenses) of inventory in the ordinary course of business;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Dispositions of property by Borrower to any Subsidiary and by any Subsidiary to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property is subject to any Lien under any Collateral Document prior to any such Disposition, such property shall remain subject to valid and perfected Liens under the Collateral Documents after such Disposition;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(v)            Dispositions permitted by </w:t>
      </w:r>
      <w:r>
        <w:rPr>
          <w:rFonts w:ascii="Times New Roman" w:cs="Times New Roman" w:eastAsia="Times New Roman" w:hAnsi="Times New Roman"/>
          <w:sz w:val="18"/>
          <w:szCs w:val="18"/>
          <w:u w:val="single" w:color="auto"/>
          <w:color w:val="auto"/>
        </w:rPr>
        <w:t>Sections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1960"/>
        <w:spacing w:after="0"/>
        <w:rPr>
          <w:sz w:val="20"/>
          <w:szCs w:val="20"/>
          <w:color w:val="auto"/>
        </w:rPr>
      </w:pPr>
      <w:r>
        <w:rPr>
          <w:rFonts w:ascii="Times New Roman" w:cs="Times New Roman" w:eastAsia="Times New Roman" w:hAnsi="Times New Roman"/>
          <w:sz w:val="18"/>
          <w:szCs w:val="18"/>
          <w:color w:val="auto"/>
        </w:rPr>
        <w:t>(vi)           Dispositions of overdue accounts receivable solely in connection with the collection or compromise thereof;</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Dispositions pursuant to operating leases (not in connection with any sale and leaseback transactions or other Capital Lease Obligations) entered into in the ordinary course of business;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Dispositions of property and assets subject to condemnation and casualty events;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Dispositions of cash and Cash Equivalents in the ordinary course of business;</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             Dispositions by Borrower and any Subsidiary not otherwise permitted under this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the time of such Disposition, no Default shall exist or would result from such Disposition, and (B) the aggregate fair market value of all property Disposed of in reliance on this </w:t>
      </w:r>
      <w:r>
        <w:rPr>
          <w:rFonts w:ascii="Times New Roman" w:cs="Times New Roman" w:eastAsia="Times New Roman" w:hAnsi="Times New Roman"/>
          <w:sz w:val="18"/>
          <w:szCs w:val="18"/>
          <w:u w:val="single" w:color="auto"/>
          <w:color w:val="auto"/>
        </w:rPr>
        <w:t>subclause (x)</w:t>
      </w:r>
      <w:r>
        <w:rPr>
          <w:rFonts w:ascii="Times New Roman" w:cs="Times New Roman" w:eastAsia="Times New Roman" w:hAnsi="Times New Roman"/>
          <w:sz w:val="18"/>
          <w:szCs w:val="18"/>
          <w:color w:val="auto"/>
        </w:rPr>
        <w:t xml:space="preserve"> in any fiscal year (or in the case of any Disposition for which the fair market value cannot reasonably be determined, the aggregate purchase price therefor) shall not exceed $10 million; and</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            Dispositions pursuant to any Transfer Pricing Transactions;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Disposition pursuant to </w:t>
      </w:r>
      <w:r>
        <w:rPr>
          <w:rFonts w:ascii="Times New Roman" w:cs="Times New Roman" w:eastAsia="Times New Roman" w:hAnsi="Times New Roman"/>
          <w:sz w:val="18"/>
          <w:szCs w:val="18"/>
          <w:u w:val="single" w:color="auto"/>
          <w:color w:val="auto"/>
        </w:rPr>
        <w:t>Section 6.05(a)(i)</w:t>
      </w:r>
      <w:r>
        <w:rPr>
          <w:rFonts w:ascii="Times New Roman" w:cs="Times New Roman" w:eastAsia="Times New Roman" w:hAnsi="Times New Roman"/>
          <w:sz w:val="18"/>
          <w:szCs w:val="18"/>
          <w:color w:val="auto"/>
        </w:rPr>
        <w:t xml:space="preserve"> through (a)(iii), </w:t>
      </w:r>
      <w:r>
        <w:rPr>
          <w:rFonts w:ascii="Times New Roman" w:cs="Times New Roman" w:eastAsia="Times New Roman" w:hAnsi="Times New Roman"/>
          <w:sz w:val="18"/>
          <w:szCs w:val="18"/>
          <w:u w:val="single" w:color="auto"/>
          <w:color w:val="auto"/>
        </w:rPr>
        <w:t>Section 6.05(a)(v)</w:t>
      </w:r>
      <w:r>
        <w:rPr>
          <w:rFonts w:ascii="Times New Roman" w:cs="Times New Roman" w:eastAsia="Times New Roman" w:hAnsi="Times New Roman"/>
          <w:sz w:val="18"/>
          <w:szCs w:val="18"/>
          <w:color w:val="auto"/>
        </w:rPr>
        <w:t xml:space="preserve"> (except insofar as it relates to any transaction solely between the Borrower and any Subsidiary or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6.05(a)(vi)</w:t>
      </w:r>
      <w:r>
        <w:rPr>
          <w:rFonts w:ascii="Times New Roman" w:cs="Times New Roman" w:eastAsia="Times New Roman" w:hAnsi="Times New Roman"/>
          <w:sz w:val="18"/>
          <w:szCs w:val="18"/>
          <w:color w:val="auto"/>
        </w:rPr>
        <w:t xml:space="preserve"> (except to the extent determined by the applicable Person making such Disposition in good faith to be appropriate in accordance with its usual practice), </w:t>
      </w:r>
      <w:r>
        <w:rPr>
          <w:rFonts w:ascii="Times New Roman" w:cs="Times New Roman" w:eastAsia="Times New Roman" w:hAnsi="Times New Roman"/>
          <w:sz w:val="18"/>
          <w:szCs w:val="18"/>
          <w:u w:val="single" w:color="auto"/>
          <w:color w:val="auto"/>
        </w:rPr>
        <w:t>Section 6.05(a)(vii)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6.05(a)(x)</w:t>
      </w:r>
      <w:r>
        <w:rPr>
          <w:rFonts w:ascii="Times New Roman" w:cs="Times New Roman" w:eastAsia="Times New Roman" w:hAnsi="Times New Roman"/>
          <w:sz w:val="18"/>
          <w:szCs w:val="18"/>
          <w:color w:val="auto"/>
        </w:rPr>
        <w:t xml:space="preserve"> shall be for fair market value (or, in respect of </w:t>
      </w:r>
      <w:r>
        <w:rPr>
          <w:rFonts w:ascii="Times New Roman" w:cs="Times New Roman" w:eastAsia="Times New Roman" w:hAnsi="Times New Roman"/>
          <w:sz w:val="18"/>
          <w:szCs w:val="18"/>
          <w:u w:val="single" w:color="auto"/>
          <w:color w:val="auto"/>
        </w:rPr>
        <w:t>Section 6.05(a)(x)</w:t>
      </w:r>
      <w:r>
        <w:rPr>
          <w:rFonts w:ascii="Times New Roman" w:cs="Times New Roman" w:eastAsia="Times New Roman" w:hAnsi="Times New Roman"/>
          <w:sz w:val="18"/>
          <w:szCs w:val="18"/>
          <w:color w:val="auto"/>
        </w:rPr>
        <w:t xml:space="preserve">, where the fair market value cannot reasonably be determined, such disposition shall otherwise be in accordance with the terms of </w:t>
      </w:r>
      <w:r>
        <w:rPr>
          <w:rFonts w:ascii="Times New Roman" w:cs="Times New Roman" w:eastAsia="Times New Roman" w:hAnsi="Times New Roman"/>
          <w:sz w:val="18"/>
          <w:szCs w:val="18"/>
          <w:u w:val="single" w:color="auto"/>
          <w:color w:val="auto"/>
        </w:rPr>
        <w:t>Section 6.05(a)(x)</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any Borrower or any Subsidiary that is made for cash consideration in an amount not less than the fair market value of such fixed or capital asset and is consummated within 90 days after such Borrower or such Subsidiary acquires or completes the construction of such fixed or capital asset.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color w:val="auto"/>
        </w:rPr>
        <w:t>. No Loan Party will, nor will it permit any Subsidiary to, enter into any Swap Agreement, except (a) 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No Loan Party will, nor will it permit any Subsidiary to, declare or make, or agree to pay or make, directly or indirectly, any Restricted Payment, or incur any obligation (contingent or otherwise) to do so, except: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Borrower may declare and pay dividends with respect to its common stock payable solely in additional shares of its common stock, and, with respect to its preferred stock, payable solely in additional shares of such preferred stock or in shares of its common stock, and</w:t>
      </w:r>
    </w:p>
    <w:p>
      <w:pPr>
        <w:ind w:left="5300" w:right="4560" w:hanging="5292"/>
        <w:spacing w:after="0" w:line="761" w:lineRule="auto"/>
        <w:tabs>
          <w:tab w:leader="none" w:pos="2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dividends ratably with respect to their Equity Interests; 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without limitation of the exception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so long as the Total Net Leverage Ratio is less than 2.50 to 1.00 after giving effect thereto, and no Event of Default has occurred and is continuing, other Restricted Payments paid to shareholders of the Borrower;</w:t>
      </w:r>
    </w:p>
    <w:p>
      <w:pPr>
        <w:spacing w:after="0" w:line="37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Restricted Payments paid in cash to shareholders of the Borrower, whether in connection with a share buyback plan or otherwise in an amount not to exceed $150,000,000 for any calendar year, so long as no Event of Default has occurred and is continuing;</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issuances of Equity Interests to sellers of Permitted Acquisitions in satisfaction of obligations of the type described in </w:t>
      </w:r>
      <w:r>
        <w:rPr>
          <w:rFonts w:ascii="Times New Roman" w:cs="Times New Roman" w:eastAsia="Times New Roman" w:hAnsi="Times New Roman"/>
          <w:sz w:val="18"/>
          <w:szCs w:val="18"/>
          <w:u w:val="single" w:color="auto"/>
          <w:color w:val="auto"/>
        </w:rPr>
        <w:t>Section 6.01(k)</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the Borrower may repurchase, redeem, retire or otherwise acquire for value Equity Interests (including any stock appreciation rights in respect thereof) of the Borrower from current or former employees or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annual cash payments in respect of such repurchases, redemptions, retirements and acquisitions shall not exceed $10 million.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Subsidiary not involving any other Affiliate, (c) any Restricted Payment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(d) reasonable and customary director, officer and employee compensation (including bonuses) and other benefits (including retirement, health, stock option and other benefit plans) and indemnification arrangements, (e) Transfer Pricing Transactions, and (f) transactions described in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except for: (i) such encumbrances or restrictions existing under or by reason of applicable law or any Loan Document; (ii) restrictions and conditions existing on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Amendment and Restatement Effective Date</w:t>
      </w:r>
      <w:r>
        <w:rPr>
          <w:rFonts w:ascii="Times New Roman" w:cs="Times New Roman" w:eastAsia="Times New Roman" w:hAnsi="Times New Roman"/>
          <w:sz w:val="18"/>
          <w:szCs w:val="18"/>
          <w:color w:val="auto"/>
        </w:rPr>
        <w:t xml:space="preserve"> identified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restricting the transfer of the property subject thereto; (x) without affecting the Loan Parties’ obligations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or (xii) without affecting the Loan Parties’ obligations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restrictions imposed solely on foreign Subsidiaries pursuant to any Swap Agreement entered into by the Borrower or any Subsidiary and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Amendment of Material Documents</w:t>
      </w:r>
      <w:r>
        <w:rPr>
          <w:rFonts w:ascii="Times New Roman" w:cs="Times New Roman" w:eastAsia="Times New Roman" w:hAnsi="Times New Roman"/>
          <w:sz w:val="18"/>
          <w:szCs w:val="18"/>
          <w:color w:val="auto"/>
        </w:rPr>
        <w:t>. No Loan Party will, nor will it permit any Subsidiary to, amend, modify or waive any of its rights under its certificate of incorporation, by-laws, operating, management or partnership agreement or other organizational documents, to the extent, any such amendment, modification or waiver would be materially adverse to the Lenders as reasonably determined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Interest Coverage Ratio</w:t>
      </w:r>
      <w:r>
        <w:rPr>
          <w:rFonts w:ascii="Times New Roman" w:cs="Times New Roman" w:eastAsia="Times New Roman" w:hAnsi="Times New Roman"/>
          <w:sz w:val="18"/>
          <w:szCs w:val="18"/>
          <w:color w:val="auto"/>
        </w:rPr>
        <w:t>. The Borrower will not permit the Interest Coverage Ratio, determined for the four consecutive fiscal quarter period ending on the last day of each fiscal quarter, to be less than 3.00 to 1.00.</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Total Net Leverage Ratio</w:t>
      </w:r>
      <w:r>
        <w:rPr>
          <w:rFonts w:ascii="Times New Roman" w:cs="Times New Roman" w:eastAsia="Times New Roman" w:hAnsi="Times New Roman"/>
          <w:sz w:val="18"/>
          <w:szCs w:val="18"/>
          <w:color w:val="auto"/>
        </w:rPr>
        <w:t xml:space="preserve">. The Borrower will not permit the Total Net Leverage Ratio, determined for the four consecutive fiscal quarter period ending on the last day of each fiscal quarter, to be greater than 3.50 to 1.00. Notwithstanding the foregoing, the Company shall be permitted, in no event on more than two occasions after the Amendment and Restatement Effective Date and prior to the Maturity Date, to allow the maximum Total Net Leverage Ratio permitted under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to be increased to 4.00:1.00 for a period of four consecutive fiscal quarters (such period, an “</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xml:space="preserve">”) in connection with a Qualifying Material Acquisition occurring during the first of such four fiscal quarters (and in respect of which the Borrower shall provide notice in writing to the Administrative Agent (for distribution to the Lenders) of such increase), so long as the Borrower is in compliance on a pro forma basis with the maximum Total Net Leverage Ratio of 4:00:1:00 on the closing date of such Qualifying Material Acquisition immediately after giving effect (including pro forma effect) to such Qualifying Material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(x) the Borrower may not elect a new Adjusted Covenant Period for at least three fiscal quarters following the end of an Adjusted Covenant Period and (y) the maximum Total Net Leverage Ratio permitted under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shall revert to 3.50:1:00 following the end of such Adjusted Covenant Period and thereafter until another Adjusted Covenant Period (if any) is elected pursuant to the terms and conditions described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            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firstLine="8"/>
        <w:spacing w:after="0" w:line="260" w:lineRule="auto"/>
        <w:tabs>
          <w:tab w:leader="none" w:pos="245" w:val="left"/>
        </w:tabs>
        <w:numPr>
          <w:ilvl w:val="0"/>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payable under this Agreement, when and as the same shall become due and payable, and such failure shall continue unremedied for a period of five Business Days;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 (unless, in the case of any such representation and warranty made pursuant to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this Agreement 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Security Agreement, such misstatement was made with respect to Collateral having a book value not exceeding $2 million);</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any Loan Party shall fail to observe or perform any covenant, condition or agreement contained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(with respect to maintaining a Loan Party’s existence),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5.09(b)</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any Loan Party shall fail to observe or perform any covenant, condition or agreement contained in this Agreement (other than those which constitute a default under another Section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 such failure shall continue unremedied for a period of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Loan Party or any Subsidiary shall fail to make any payment (whether of principal or interest and regardless of amount) in respect of any Material Indebtedness, when and as the same shall become due and payable;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60 days (or 90 days in the case of any Material Foreign Subsidiary) or an order or decree approving or ordering any of the foregoing shall be entered;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any Loan Party or any Material Foreign Subsidiary shall (i) voluntarily commence any proceeding or file any petition seeking liquidation, reorganization or other relief under any Federal, state or foreign bankruptcy, insolvency, receivership or similar law now or hereafter in effect,</w:t>
      </w: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any Loan Party or any Subsidiary of any Loan Party shall become unable, admit in writing its inability or fail generally to pay its debts as they become due;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(k)            one or more judgments for the payment of money in an aggregate amount in excess of $10 million (not paid or fully covered by insurance company as to which the relevant insurance company has acknowledged coverage) shall be rendered against any Loan Party, any Subsidiary of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or any Subsidiary of any Loan Party to enforce any such judgment;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an ERISA Event shall have occurred that, when taken together with all other ERISA Events that have occurred, could reasonably be expected to result in aggregate liability of the Borrower and its Subsidiaries in excess of $10 million;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a Change in Control shall occur;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the Loan Guaranty shall fail to remain in full force or effect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            any Collateral Document shall for any reason fail to create a valid and perfected first priority security interest in any Collateral purported to be covered thereby (other than with respect to Collateral having a book value not exceeding $2 million), except (A) as permitted by the terms of any Collateral Document or other Loan Document or (B) as a result of the Administrative Agent’s failure to (1) maintain possession of any stock certificates, promissory notes or other instruments delivered to it under the Collateral Documents, or (2) file Uniform Commercial Code continuation statements, (ii) any material provision of any Collateral Document shall fail to remain in full force or effect or (iii) any action shall be taken to discontinue or to assert the invalidity or unenforceability of any Collateral Document; or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(q)            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(i)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Appointment</w:t>
      </w:r>
      <w:r>
        <w:rPr>
          <w:rFonts w:ascii="Times New Roman" w:cs="Times New Roman" w:eastAsia="Times New Roman" w:hAnsi="Times New Roman"/>
          <w:sz w:val="18"/>
          <w:szCs w:val="18"/>
          <w:color w:val="auto"/>
        </w:rPr>
        <w:t xml:space="preserve">. 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Rights as a Lender</w:t>
      </w:r>
      <w:r>
        <w:rPr>
          <w:rFonts w:ascii="Times New Roman" w:cs="Times New Roman" w:eastAsia="Times New Roman" w:hAnsi="Times New Roman"/>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Duties and Obligations</w:t>
      </w:r>
      <w:r>
        <w:rPr>
          <w:rFonts w:ascii="Times New Roman" w:cs="Times New Roman" w:eastAsia="Times New Roman" w:hAnsi="Times New Roman"/>
          <w:sz w:val="18"/>
          <w:szCs w:val="18"/>
          <w:color w:val="auto"/>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the Administrative Agent. None of the Lenders or other Persons identified on the facing page or signature pages of this Agreement as a “syndication agent,” “documentation agent,” “lead arranger,” “bookrunner” or other similar term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Actions through Sub-Agents</w:t>
      </w:r>
      <w:r>
        <w:rPr>
          <w:rFonts w:ascii="Times New Roman" w:cs="Times New Roman" w:eastAsia="Times New Roman" w:hAnsi="Times New Roman"/>
          <w:sz w:val="18"/>
          <w:szCs w:val="18"/>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Resignation</w:t>
      </w:r>
      <w:r>
        <w:rPr>
          <w:rFonts w:ascii="Times New Roman" w:cs="Times New Roman" w:eastAsia="Times New Roman" w:hAnsi="Times New Roman"/>
          <w:sz w:val="18"/>
          <w:szCs w:val="18"/>
          <w:color w:val="auto"/>
        </w:rPr>
        <w:t xml:space="preserve">. 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commercial bank or an Affiliate of any such commercial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w:t>
      </w:r>
      <w:r>
        <w:rPr>
          <w:rFonts w:ascii="Times New Roman" w:cs="Times New Roman" w:eastAsia="Times New Roman" w:hAnsi="Times New Roman"/>
          <w:sz w:val="18"/>
          <w:szCs w:val="18"/>
          <w:u w:val="single" w:color="auto"/>
          <w:color w:val="auto"/>
        </w:rPr>
        <w:t>clause</w:t>
      </w:r>
    </w:p>
    <w:p>
      <w:pPr>
        <w:spacing w:after="0" w:line="6"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Lender hereby agrees that (i) it has requested a copy of each Report prepared by or on behalf of the Administrative Agent;</w:t>
      </w:r>
    </w:p>
    <w:p>
      <w:pPr>
        <w:spacing w:after="0" w:line="27" w:lineRule="exact"/>
        <w:rPr>
          <w:sz w:val="20"/>
          <w:szCs w:val="20"/>
          <w:color w:val="auto"/>
        </w:rPr>
      </w:pPr>
    </w:p>
    <w:p>
      <w:pPr>
        <w:jc w:val="both"/>
        <w:ind w:firstLine="8"/>
        <w:spacing w:after="0" w:line="251" w:lineRule="auto"/>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Not Partners or Co-Venturers; Administrative Agent as Representative of the Secured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In its capacity, the Administrative Agent is a “representative” of the Secured Parties within the meaning of the term “secured party” as defined in the New York Uniform Commercial Code. Each Lender (and other Secured Party by its acceptance of the benefits of the Loan Documents) authorizes the Administrative Agent to enter into each of the Collateral Documents to which it is a party and to take all action contemplated by such documents. Each Lender (and other Secured Party by its acceptance of the benefits of the Loan Documents)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Lenders Not Subject to ERISA</w:t>
      </w:r>
      <w:r>
        <w:rPr>
          <w:rFonts w:ascii="Times New Roman" w:cs="Times New Roman" w:eastAsia="Times New Roman" w:hAnsi="Times New Roman"/>
          <w:sz w:val="18"/>
          <w:szCs w:val="18"/>
          <w:color w:val="auto"/>
        </w:rPr>
        <w:t>. Each Lender as of the Amendment and Restatement Effective Date represents and warrants to the Administrative Agent, the Lead Arrangers and their respective Affiliates, and not, for the avoidance of doubt, for the benefit of the Borrower or any other Loan Party, that such Lender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Erroneous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9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8.10(b)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Lender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System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Each party’s obligations, agreements and waivers under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Syndication Agents and Documentation Agents</w:t>
      </w:r>
      <w:r>
        <w:rPr>
          <w:rFonts w:ascii="Times New Roman" w:cs="Times New Roman" w:eastAsia="Times New Roman" w:hAnsi="Times New Roman"/>
          <w:sz w:val="18"/>
          <w:szCs w:val="18"/>
          <w:color w:val="auto"/>
        </w:rPr>
        <w:t>. Each Lender hereby designates JPMorgan Chase Bank, N.A., and Bank of America, N.A. as Syndication Agents and Documentation Agents and agrees that the Syndication Agents and Documentation Agents shall have no duties or obligations under any Loan Documents to any Lender or any Loan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Except in the case of notices and other communications expressly permitted to be given by telephone or Electronic Systems (and subject in each case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any Loan Party, to the Borrower 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280</w:t>
      </w:r>
      <w:r>
        <w:rPr>
          <w:rFonts w:ascii="Times New Roman" w:cs="Times New Roman" w:eastAsia="Times New Roman" w:hAnsi="Times New Roman"/>
          <w:sz w:val="18"/>
          <w:szCs w:val="18"/>
          <w:u w:val="single" w:color="auto"/>
          <w:color w:val="0000FF"/>
        </w:rPr>
        <w:t>320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Park Avenue,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38th</w:t>
      </w:r>
      <w:r>
        <w:rPr>
          <w:rFonts w:ascii="Times New Roman" w:cs="Times New Roman" w:eastAsia="Times New Roman" w:hAnsi="Times New Roman"/>
          <w:sz w:val="18"/>
          <w:szCs w:val="18"/>
          <w:u w:val="single" w:color="auto"/>
          <w:color w:val="0000FF"/>
        </w:rPr>
        <w:t>29th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New York, New York </w:t>
      </w:r>
      <w:r>
        <w:rPr>
          <w:rFonts w:ascii="Times New Roman" w:cs="Times New Roman" w:eastAsia="Times New Roman" w:hAnsi="Times New Roman"/>
          <w:sz w:val="18"/>
          <w:szCs w:val="18"/>
          <w:u w:val="single" w:color="auto"/>
          <w:color w:val="0000FF"/>
        </w:rPr>
        <w:t>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Attention: Ajay Ayyappan, Esq., </w:t>
      </w:r>
      <w:r>
        <w:rPr>
          <w:rFonts w:ascii="Times New Roman" w:cs="Times New Roman" w:eastAsia="Times New Roman" w:hAnsi="Times New Roman"/>
          <w:sz w:val="18"/>
          <w:szCs w:val="18"/>
          <w:color w:val="FF0000"/>
          <w:strike w:val="1"/>
        </w:rPr>
        <w:t>SVP</w:t>
      </w:r>
      <w:r>
        <w:rPr>
          <w:rFonts w:ascii="Times New Roman" w:cs="Times New Roman" w:eastAsia="Times New Roman" w:hAnsi="Times New Roman"/>
          <w:sz w:val="18"/>
          <w:szCs w:val="18"/>
          <w:u w:val="single" w:color="auto"/>
          <w:color w:val="0000FF"/>
        </w:rPr>
        <w:t>Executive Vice President</w:t>
      </w:r>
      <w:r>
        <w:rPr>
          <w:rFonts w:ascii="Times New Roman" w:cs="Times New Roman" w:eastAsia="Times New Roman" w:hAnsi="Times New Roman"/>
          <w:sz w:val="18"/>
          <w:szCs w:val="18"/>
          <w:color w:val="auto"/>
        </w:rPr>
        <w:t>, General Counsel &amp; Corporate Secretary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ajay.ayyappan@exlservice.com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Troutman Pepper Hamilton Sanders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301 S College Street, Suite 3400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McGuireWoods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Two Embarcadero Center, Suite 1300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San Francisco, CA 94111</w:t>
      </w:r>
      <w:r>
        <w:rPr>
          <w:rFonts w:ascii="Times New Roman" w:cs="Times New Roman" w:eastAsia="Times New Roman" w:hAnsi="Times New Roman"/>
          <w:sz w:val="18"/>
          <w:szCs w:val="18"/>
          <w:u w:val="single" w:color="auto"/>
          <w:color w:val="0000FF"/>
          <w:strike w:val="1"/>
        </w:rPr>
        <w:t>Charlotte, NC 28202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Brian Coughlan</w:t>
      </w:r>
      <w:r>
        <w:rPr>
          <w:rFonts w:ascii="Times New Roman" w:cs="Times New Roman" w:eastAsia="Times New Roman" w:hAnsi="Times New Roman"/>
          <w:sz w:val="18"/>
          <w:szCs w:val="18"/>
          <w:u w:val="single" w:color="auto"/>
          <w:color w:val="0000FF"/>
        </w:rPr>
        <w:t>Rakesh Gopalan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Address: </w:t>
      </w:r>
      <w:r>
        <w:rPr>
          <w:rFonts w:ascii="Times New Roman" w:cs="Times New Roman" w:eastAsia="Times New Roman" w:hAnsi="Times New Roman"/>
          <w:sz w:val="18"/>
          <w:szCs w:val="18"/>
          <w:color w:val="FF0000"/>
          <w:strike w:val="1"/>
        </w:rPr>
        <w:t>bcoughlan@mcguirewoods</w:t>
      </w:r>
      <w:r>
        <w:rPr>
          <w:rFonts w:ascii="Times New Roman" w:cs="Times New Roman" w:eastAsia="Times New Roman" w:hAnsi="Times New Roman"/>
          <w:sz w:val="18"/>
          <w:szCs w:val="18"/>
          <w:u w:val="single" w:color="auto"/>
          <w:color w:val="0000FF"/>
        </w:rPr>
        <w:t>rakesh.gopalan@troutman</w:t>
      </w:r>
      <w:r>
        <w:rPr>
          <w:rFonts w:ascii="Times New Roman" w:cs="Times New Roman" w:eastAsia="Times New Roman" w:hAnsi="Times New Roman"/>
          <w:sz w:val="18"/>
          <w:szCs w:val="18"/>
          <w:color w:val="auto"/>
        </w:rPr>
        <w:t>.com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Administrative Agent or to Citi, in its capacity as Issuing Bank, to Citibank, N.A. 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388 Greenwich Street, 26th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New York, New York 10013</w:t>
      </w:r>
      <w:r>
        <w:rPr>
          <w:rFonts w:ascii="Times New Roman" w:cs="Times New Roman" w:eastAsia="Times New Roman" w:hAnsi="Times New Roman"/>
          <w:sz w:val="18"/>
          <w:szCs w:val="18"/>
          <w:u w:val="single" w:color="auto"/>
          <w:color w:val="0000FF"/>
          <w:strike w:val="1"/>
        </w:rPr>
        <w:t>6400 Las Colinas Blvd.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Irving, TX 75039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Linda Tam</w:t>
      </w:r>
      <w:r>
        <w:rPr>
          <w:rFonts w:ascii="Times New Roman" w:cs="Times New Roman" w:eastAsia="Times New Roman" w:hAnsi="Times New Roman"/>
          <w:sz w:val="18"/>
          <w:szCs w:val="18"/>
          <w:u w:val="single" w:color="auto"/>
          <w:color w:val="0000FF"/>
        </w:rPr>
        <w:t>Syndications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Address: </w:t>
      </w:r>
      <w:r>
        <w:rPr>
          <w:rFonts w:ascii="Times New Roman" w:cs="Times New Roman" w:eastAsia="Times New Roman" w:hAnsi="Times New Roman"/>
          <w:sz w:val="18"/>
          <w:szCs w:val="18"/>
          <w:u w:val="single" w:color="auto"/>
          <w:color w:val="FF0000"/>
          <w:strike w:val="1"/>
        </w:rPr>
        <w:t>Linda.tam</w:t>
      </w:r>
      <w:r>
        <w:rPr>
          <w:rFonts w:ascii="Times New Roman" w:cs="Times New Roman" w:eastAsia="Times New Roman" w:hAnsi="Times New Roman"/>
          <w:sz w:val="18"/>
          <w:szCs w:val="18"/>
          <w:u w:val="single" w:color="auto"/>
          <w:color w:val="0000FF"/>
        </w:rPr>
        <w:t>clo.cbgdlo@citi.com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Fax Number: (866) 634-5642</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Justin Lee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Justin.D.Lee@weil.com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Number: (212) 310-8007</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if to any other Lender, to it at its address or fax number set forth in its Administrative Questionnaire.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hereunder may be delivered or furnished by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to compliance and no Event of Default certificates delivered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(b)</w:t>
      </w:r>
    </w:p>
    <w:p>
      <w:pPr>
        <w:spacing w:after="0" w:line="5" w:lineRule="exact"/>
        <w:rPr>
          <w:sz w:val="20"/>
          <w:szCs w:val="20"/>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w:t>
      </w:r>
    </w:p>
    <w:p>
      <w:pPr>
        <w:spacing w:after="0" w:line="9" w:lineRule="exact"/>
        <w:rPr>
          <w:rFonts w:ascii="Times New Roman" w:cs="Times New Roman" w:eastAsia="Times New Roman" w:hAnsi="Times New Roman"/>
          <w:sz w:val="18"/>
          <w:szCs w:val="18"/>
          <w:u w:val="single" w:color="auto"/>
          <w:color w:val="auto"/>
        </w:rPr>
      </w:pPr>
    </w:p>
    <w:p>
      <w:pPr>
        <w:ind w:firstLine="8"/>
        <w:spacing w:after="0" w:line="260" w:lineRule="auto"/>
        <w:tabs>
          <w:tab w:leader="none" w:pos="272"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(c)            Any party hereto may change its address, fax number or e-mail address for notices and other communications hereunder by notice to the other parties 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Electronic Systems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76"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including through an Electronic System.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(with respect to any commitment increase),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(d) in a manner that would alter the manner in which payments are shared, without the written consent of each Lender (other than any Defaulting Lender), (v) change any of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 change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without the consent of each Lender (other than any Defaulting Lender), (vii) release any Loan Guarantor from its obligation under its Loan Guaranty (except as otherwise permitted herein or in the other Loan Documents), without the written consent of each Lender (other than any Defaulting Lender), (ix) except as provided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in any Collateral Document, release all or substantially all of the Collateral, without the written consent of each Lender, (x) </w:t>
      </w:r>
      <w:r>
        <w:rPr>
          <w:rFonts w:ascii="Times New Roman" w:cs="Times New Roman" w:eastAsia="Times New Roman" w:hAnsi="Times New Roman"/>
          <w:sz w:val="18"/>
          <w:szCs w:val="18"/>
          <w:color w:val="FF0000"/>
          <w:strike w:val="1"/>
        </w:rPr>
        <w:t>increase the aggregate Commitments in excess of $600 million,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written consent of each Lender</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(xi) subordinate the Liens on all or substantially all the value of the Collateral to the Liens securing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other Indebtedness, or contractually subordinate with respect to payment any Obligations, without the written consent of each Lender;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no such agreement shall amend, modify or otherwise affect the rights or duties of the Administrative Agent or the Issuing Banks hereunder without the prior written consent of the Administrative Agent or the Issuing Banks, as the case may be (it being understood that any change to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xml:space="preserve"> shall require the consent of the Administrative Agent and the Issuing Banks). The Administrative Agent may also amend the </w:t>
      </w:r>
      <w:r>
        <w:rPr>
          <w:rFonts w:ascii="Times New Roman" w:cs="Times New Roman" w:eastAsia="Times New Roman" w:hAnsi="Times New Roman"/>
          <w:sz w:val="18"/>
          <w:szCs w:val="18"/>
          <w:u w:val="single" w:color="auto"/>
          <w:color w:val="000000"/>
        </w:rPr>
        <w:t>Commitment Schedule</w:t>
      </w:r>
      <w:r>
        <w:rPr>
          <w:rFonts w:ascii="Times New Roman" w:cs="Times New Roman" w:eastAsia="Times New Roman" w:hAnsi="Times New Roman"/>
          <w:sz w:val="18"/>
          <w:szCs w:val="18"/>
          <w:color w:val="000000"/>
        </w:rPr>
        <w:t xml:space="preserve"> to reflect assignments entered into pursuant to </w:t>
      </w:r>
      <w:r>
        <w:rPr>
          <w:rFonts w:ascii="Times New Roman" w:cs="Times New Roman" w:eastAsia="Times New Roman" w:hAnsi="Times New Roman"/>
          <w:sz w:val="18"/>
          <w:szCs w:val="18"/>
          <w:u w:val="single" w:color="auto"/>
          <w:color w:val="000000"/>
        </w:rPr>
        <w:t>Section 9.04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may, in its discretion, release its Liens on Collateral valued in the aggregate not in excess of $1 million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18"/>
          <w:szCs w:val="18"/>
          <w:u w:val="single" w:color="auto"/>
          <w:color w:val="auto"/>
        </w:rPr>
        <w:t>clause</w:t>
      </w:r>
    </w:p>
    <w:p>
      <w:pPr>
        <w:spacing w:after="0" w:line="3" w:lineRule="exact"/>
        <w:rPr>
          <w:sz w:val="20"/>
          <w:szCs w:val="20"/>
          <w:color w:val="auto"/>
        </w:rPr>
      </w:pPr>
    </w:p>
    <w:p>
      <w:pPr>
        <w:jc w:val="both"/>
        <w:ind w:firstLine="8"/>
        <w:spacing w:after="0" w:line="253" w:lineRule="auto"/>
        <w:tabs>
          <w:tab w:leader="none" w:pos="255" w:val="left"/>
        </w:tabs>
        <w:numPr>
          <w:ilvl w:val="0"/>
          <w:numId w:val="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In addition, notwithstanding the foregoing, this Agreement, including this Section 9.02, and the other Loan Documents may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amended (or amended and restated) pursuant to Section 2.23 to add any Incremental Term Loan Facility to this Agreement and (a) to permit the extensions of credit from time to time outstanding thereunder and the accrued interest and fees in respect thereof to share ratably in the benefits of this Agreement (including the rights of the Incremental Term Lenders to share ratably in prepayments pursuant to Section 2.11), the Security Agreement and the other Loan Documents with the Loans and the accrued interest and fees in respect thereof, (b) to include appropriately the Lenders holding such credit facility in any determination of the Required Lenders and (c) to amend other provisions of the Loan Documents so that the Incremental Term Loan Facility is appropriately incorporated (including this Section 9.02).</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Borrower shall pay (i) all reasonable and documented out-of-pocket expenses incurred by the Administrative Agent and its Affiliates, including the reasonable fees, charges and disbursements of outside counsel for the Administrative Agent, in connection with the syndication and distribution (including, without limitation,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any Issuing Bank or any Lender, including the fees, charges and disbursements of any outside counsel for the Administrative Agent, any Issuing Bank or any Lender, in connection with the enforcement, collection or protection of its rights in connection with the Loan Documents, including its rights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or in connection with the Loans made or Letters of Credit issued hereunder, including all such out-of-pocket expenses incurred during any workout, restructuring or negotiations in respect of such Loans or Letters of Credit. Expenses being reimbursed by the Borrower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include, without limiting the generality of the foregoing, costs and expenses incurred in connection with:</w:t>
      </w:r>
    </w:p>
    <w:p>
      <w:pPr>
        <w:spacing w:after="0" w:line="190"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taxes, fees and other charges for (A) lien searches and (B) filing financing statements and continuations, and other actions to perfect, protect, and continue the Administrative Agent’s Liens;</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sums paid or incurred to take any action required of any Loan Party under the Loan Documents that such Loan Party fails to pay or take; and</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forwarding loan proceeds, collecting checks and other items of payment, and costs and expenses of preserving and protecting the Collateral.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of the foregoing costs and expenses may be charged to the Borrower as Loans or to another deposit account, all as described in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The Borrower shall indemnify the Administrative Agent,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penalties, liabilities and related expenses (except for taxes, which shall be covered by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10.09</w:t>
      </w:r>
      <w:r>
        <w:rPr>
          <w:rFonts w:ascii="Times New Roman" w:cs="Times New Roman" w:eastAsia="Times New Roman" w:hAnsi="Times New Roman"/>
          <w:sz w:val="18"/>
          <w:szCs w:val="18"/>
          <w:color w:val="auto"/>
        </w:rPr>
        <w:t xml:space="preserve">), including the fees, charges and disbursements of any counsel for any Indemnitee (except during the continuation of an event of default and/or in connection with the enforcement of the Loan Documents, such legal expenses shall be limited to one counsel for all Indemnitees taken as a whole and, if reasonably necessary, a single local counsel for all Indemnitees taken as a whole in each relevant jurisdiction and, solely in the case of a conflict of interest, one additional counsel (and, if reasonably necessary, one firm of local counsel in each relevant jurisdiction) to each group of affected Indemnitees similarly situated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(v) any actual or prospective claim, litigation, investigation or proceeding relating to any of the foregoing,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any Related Indemnitee Party of such Indemnitee or (y) result from a claim brought by the Borrower or any of its Subsidiaries against an Indemnitee or any Related Indemnitee Party of such Indemnitee for breach in bad faith of such Indemnitee’s obligations hereunder or under any other Loan Document, if the Borrower or such Subsidiary has obtained a final and non-appealable judgment in its favor on such claim as determined by a court of competent jurisdiction.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To the extent that the Borrower fails to pay any amount required to be paid by it to the Administrative Agent or any Issuing Bank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unreimbursed expense or indemnified loss, claim, damage, penalty, liability or related expense, as the case may be, was incurred by or asserted against the Administrative Agent or such Issuing Bank in its capacity as such.</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To the extent permitted by applicable law, no Loan Party shall assert, and each hereby waives, any claim against any Indemnitee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Indemnitee or any Related Indemnitee Party of such Indemnitee.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No Indemnitee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relieve any Loan Party of any obligation it may have to indemnify an Indemnitee against special, indirect, consequential or punitive damages asserted against such Indemnitee by a third party.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All amounts due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payable promptly after written demand therefor.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and, to the extent expressly contemplated hereby, the Related Parties of each of the Administrative Agent, the Issuing Banks and the Lenders) any legal or equitable right, remedy or claim under or by reason of this Agreement.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or, if a Specified Default has occurred and is continuing, any other assignee;</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Administrative Agent;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(C)           the Issuing Banks </w:t>
      </w:r>
      <w:r>
        <w:rPr>
          <w:rFonts w:ascii="Times New Roman" w:cs="Times New Roman" w:eastAsia="Times New Roman" w:hAnsi="Times New Roman"/>
          <w:sz w:val="18"/>
          <w:szCs w:val="18"/>
          <w:u w:val="single" w:color="auto"/>
          <w:color w:val="0000FF"/>
        </w:rPr>
        <w:t>(solely if such assignment pertains to Revolving Commitments or 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Approved Fund or an assignment of the entire remaining amount of the assigning Lender’s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Commitment or Loans, the amount of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Commitment or Loans of the assigning Lender subject to each such assignment (determined as of the date the Assignment and Assumption with respect to such assignment is delivered to the Administrative Agent) shall not be less than $5 million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consent of the Borrower shall be required if a Specified Default has occurred and is continuing;</w:t>
      </w:r>
    </w:p>
    <w:p>
      <w:pPr>
        <w:spacing w:after="0" w:line="187"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the parties to each assignment shall execute and deliver to the Administrative Agent an Assignment and Assumption, together with a processing and recordation fee of $3,500 and the tax forms required by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left="644" w:firstLine="648"/>
        <w:spacing w:after="0" w:line="258"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Subject to acceptance and recording thereof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from and after the effective date specified in each Assignment and Assumption (A) the assignee thereunder shall be a party hereto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18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7"/>
          <w:szCs w:val="17"/>
          <w:color w:val="auto"/>
        </w:rPr>
        <w:t>(v)            Upon its receipt of (x) a duly completed Assignment and Assumption executed by an assigning Lender and an assignee or</w:t>
      </w:r>
    </w:p>
    <w:p>
      <w:pPr>
        <w:spacing w:after="0" w:line="39" w:lineRule="exact"/>
        <w:rPr>
          <w:sz w:val="20"/>
          <w:szCs w:val="20"/>
          <w:color w:val="auto"/>
        </w:rPr>
      </w:pPr>
    </w:p>
    <w:p>
      <w:pPr>
        <w:jc w:val="both"/>
        <w:ind w:left="4" w:hanging="4"/>
        <w:spacing w:after="0" w:line="251" w:lineRule="auto"/>
        <w:tabs>
          <w:tab w:leader="none" w:pos="2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 already be a Lender hereunder), the processing and recordation fee and tax forms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9"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3" w:name="page124"/>
    <w:bookmarkEnd w:id="12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Any Lender may, without the consent of the Borrower, the Administrative Agent or any Issuing Bank,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the provisions of </w:t>
      </w:r>
      <w:r>
        <w:rPr>
          <w:rFonts w:ascii="Times New Roman" w:cs="Times New Roman" w:eastAsia="Times New Roman" w:hAnsi="Times New Roman"/>
          <w:sz w:val="18"/>
          <w:szCs w:val="18"/>
          <w:u w:val="single" w:color="auto"/>
          <w:color w:val="auto"/>
        </w:rPr>
        <w:t>Sections 2.18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(i) to the extent such entitlement to receive a greater payment results from a Change in Law that occurs after the Participant acquired the applicable participation or (ii) such participating Lender failed to deliver the tax forms required by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rights of each Lender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are in addition to other rights and remedies (including other rights of setoff) which such Lender may have.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Loan Documents (other than those containing a contrary express choice of law provision) shall be governed by and construed in accordance with the laws of the State of New York.</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xml:space="preserve">. Each of the Administrative Agent, the Issuing Banks and the Lenders agrees to maintain the confidentiality of the Information (as defined below), except that Information may be disclosed (a) to its and its Affiliates’ respective officers, directors, employees, legal 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 counterparty (or its advisors) to any swap or derivative transaction relating to the Loan Parties and their obligations, (g) with the consent of the Borrower, (h) to holders of Equity Interests in the Borrower, (i) to the extent that such information is independently developed by it or its Affiliates, in each case, so long as not based on information obtained in a manner that would otherwise violate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(j) for purposes of establishing a “due diligence” defense, (k) to ratings agencies or (l) 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(ii) becomes available to the Administrative Agent, any Issuing Bank or any Lender on a non-confidential basis from a source other than the Borrower. For the purposes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w:t>
      </w:r>
      <w:r>
        <w:rPr>
          <w:rFonts w:ascii="Times New Roman" w:cs="Times New Roman" w:eastAsia="Times New Roman" w:hAnsi="Times New Roman"/>
          <w:sz w:val="18"/>
          <w:szCs w:val="18"/>
          <w:u w:val="single" w:color="auto"/>
          <w:color w:val="0000FF"/>
        </w:rPr>
        <w:t>Amendment and 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000000"/>
        </w:rPr>
        <w:t>, such information is clearly identified at the time of delivery as confidential. Any Person required to maintain the confidentiality of Information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provided in this </w:t>
      </w:r>
      <w:r>
        <w:rPr>
          <w:rFonts w:ascii="Times New Roman" w:cs="Times New Roman" w:eastAsia="Times New Roman" w:hAnsi="Times New Roman"/>
          <w:sz w:val="18"/>
          <w:szCs w:val="18"/>
          <w:u w:val="single" w:color="auto"/>
          <w:color w:val="000000"/>
        </w:rPr>
        <w:t>Section 9.12</w:t>
      </w:r>
      <w:r>
        <w:rPr>
          <w:rFonts w:ascii="Times New Roman" w:cs="Times New Roman" w:eastAsia="Times New Roman" w:hAnsi="Times New Roman"/>
          <w:sz w:val="18"/>
          <w:szCs w:val="18"/>
          <w:color w:val="000000"/>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SECTION 9.12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u w:val="single" w:color="auto"/>
          <w:color w:val="auto"/>
        </w:rPr>
        <w:t>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that:</w:t>
      </w:r>
    </w:p>
    <w:p>
      <w:pPr>
        <w:jc w:val="both"/>
        <w:ind w:firstLine="8"/>
        <w:spacing w:after="0" w:line="251" w:lineRule="auto"/>
        <w:tabs>
          <w:tab w:leader="none" w:pos="2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9.19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(all such liabilities, the “</w:t>
      </w:r>
      <w:r>
        <w:rPr>
          <w:rFonts w:ascii="Times New Roman" w:cs="Times New Roman" w:eastAsia="Times New Roman" w:hAnsi="Times New Roman"/>
          <w:sz w:val="18"/>
          <w:szCs w:val="18"/>
          <w:u w:val="single" w:color="auto"/>
          <w:color w:val="auto"/>
        </w:rPr>
        <w:t>Covered Liabilities</w:t>
      </w:r>
      <w:r>
        <w:rPr>
          <w:rFonts w:ascii="Times New Roman" w:cs="Times New Roman" w:eastAsia="Times New Roman" w:hAnsi="Times New Roman"/>
          <w:sz w:val="18"/>
          <w:szCs w:val="18"/>
          <w:color w:val="auto"/>
        </w:rPr>
        <w:t>”), may be subject to the Write-Down and Conversion Powers and agrees and consents to, and acknowledges and agrees to be bound by: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Covered Liability arising hereunder which may be payable to it by any party hereto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Covered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Covered Liability;</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Covered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spacing w:after="0" w:line="180"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Covered Liability in connection with the exercise of the Write-Down and Conversion Powers of the applicable Resolution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9.20     </w:t>
      </w:r>
      <w:r>
        <w:rPr>
          <w:rFonts w:ascii="Times New Roman" w:cs="Times New Roman" w:eastAsia="Times New Roman" w:hAnsi="Times New Roman"/>
          <w:sz w:val="18"/>
          <w:szCs w:val="18"/>
          <w:u w:val="single" w:color="auto"/>
          <w:color w:val="auto"/>
        </w:rPr>
        <w:t>  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No Discharge or Diminishment of Loan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(other than Unliquidated Obligations),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w:t>
      </w:r>
    </w:p>
    <w:p>
      <w:pPr>
        <w:spacing w:after="0" w:line="1" w:lineRule="exact"/>
        <w:rPr>
          <w:sz w:val="20"/>
          <w:szCs w:val="20"/>
          <w:color w:val="auto"/>
        </w:rPr>
      </w:pPr>
    </w:p>
    <w:p>
      <w:pPr>
        <w:jc w:val="both"/>
        <w:ind w:firstLine="8"/>
        <w:spacing w:after="0" w:line="252" w:lineRule="auto"/>
        <w:tabs>
          <w:tab w:leader="none" w:pos="3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10.07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10.08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Each of the Lenders and the Issuing Bank may continue to make loans or extend credit to the Borrower based on this Loan Guaranty until five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 Nothing in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as a result of any such notice of termination.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10.09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xml:space="preserve">.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the Administrative Agent, Lender or Issuing Bank (as the case may be) receives the amount it would have received had no such withholding been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10.10   </w:t>
      </w:r>
      <w:r>
        <w:rPr>
          <w:rFonts w:ascii="Times New Roman" w:cs="Times New Roman" w:eastAsia="Times New Roman" w:hAnsi="Times New Roman"/>
          <w:sz w:val="18"/>
          <w:szCs w:val="18"/>
          <w:u w:val="single" w:color="auto"/>
          <w:color w:val="auto"/>
        </w:rPr>
        <w:t>  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10.11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is intended only to define the relative rights of the Loan Guarantors, and nothing set forth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parties hereto acknowledge that the rights of contribution and indemnification hereunder shall constitute assets of the Loan Guarantor or Loan Guarantors to which such contribution and indemnification is owing.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The rights of the indemnifying Loan Guarantors against other Loan Guarantors under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exercisable upon the full and indefeasible payment of the Guaranteed Obligations in cash (other than Unliquidated Obligations that have not yet arisen) and the termination or expiry (or, in the case of all Letters of Credit, full cash collateralization), on terms reasonably acceptable to the Administrative Agent and the Issuing Bank, of the Commitments and all Letters of Credit issued hereunder and the termination of this Agreement, the Swap Agreement Obligations and the Banking Services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10.12   </w:t>
      </w:r>
      <w:r>
        <w:rPr>
          <w:rFonts w:ascii="Times New Roman" w:cs="Times New Roman" w:eastAsia="Times New Roman" w:hAnsi="Times New Roman"/>
          <w:sz w:val="18"/>
          <w:szCs w:val="18"/>
          <w:u w:val="single" w:color="auto"/>
          <w:color w:val="auto"/>
        </w:rPr>
        <w:t>  Liability Cumulative</w:t>
      </w:r>
      <w:r>
        <w:rPr>
          <w:rFonts w:ascii="Times New Roman" w:cs="Times New Roman" w:eastAsia="Times New Roman" w:hAnsi="Times New Roman"/>
          <w:sz w:val="18"/>
          <w:szCs w:val="18"/>
          <w:color w:val="auto"/>
        </w:rPr>
        <w:t xml:space="preserve">. The liability of each Loan Party as a Loan Guarantor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10.13   </w:t>
      </w:r>
      <w:r>
        <w:rPr>
          <w:rFonts w:ascii="Times New Roman" w:cs="Times New Roman" w:eastAsia="Times New Roman" w:hAnsi="Times New Roman"/>
          <w:sz w:val="18"/>
          <w:szCs w:val="18"/>
          <w:u w:val="single" w:color="auto"/>
          <w:color w:val="auto"/>
        </w:rPr>
        <w:t>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Guarantee in respect of a Swap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Qualified ECP Guarantor shall only be liable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remain in full force and effect until the termination of all Swap Obligations. Each Qualified ECP Guarantor intends that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10.14   </w:t>
      </w:r>
      <w:r>
        <w:rPr>
          <w:rFonts w:ascii="Times New Roman" w:cs="Times New Roman" w:eastAsia="Times New Roman" w:hAnsi="Times New Roman"/>
          <w:sz w:val="18"/>
          <w:szCs w:val="18"/>
          <w:u w:val="single" w:color="auto"/>
          <w:color w:val="auto"/>
        </w:rPr>
        <w:t>  Amendment and Restatement</w:t>
      </w:r>
      <w:r>
        <w:rPr>
          <w:rFonts w:ascii="Times New Roman" w:cs="Times New Roman" w:eastAsia="Times New Roman" w:hAnsi="Times New Roman"/>
          <w:sz w:val="18"/>
          <w:szCs w:val="18"/>
          <w:color w:val="auto"/>
        </w:rPr>
        <w:t>. This Agreement is an amendment and restatement of the Original Credit Agreement, it being acknowledged and agreed that as of the Amendment and Restatement Effective Date all obligations outstanding under or in connection with the Original Credit Agreement and any of the other Loan Documents (such obligations, collectively, the “Existing Obligations”) constitute obligations under this Agreement. This Agreement is in no way intended to constitute a novation of the Original Credit Agreement or the Existing Obligations. With respect to</w:t>
      </w:r>
    </w:p>
    <w:p>
      <w:pPr>
        <w:spacing w:after="0" w:line="3" w:lineRule="exact"/>
        <w:rPr>
          <w:sz w:val="20"/>
          <w:szCs w:val="20"/>
          <w:color w:val="auto"/>
        </w:rPr>
      </w:pPr>
    </w:p>
    <w:p>
      <w:pPr>
        <w:jc w:val="both"/>
        <w:ind w:firstLine="8"/>
        <w:spacing w:after="0" w:line="251" w:lineRule="auto"/>
        <w:tabs>
          <w:tab w:leader="none" w:pos="2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date or time period occurring and ending prior to the Amendment and Restatement Effective Date, the Original Credit Agreement and the other Loan Documents shall govern the respective rights and obligations of any party or parties hereto also party thereto and shall for such purposes remain in full force and effect; and (ii) any date or time period occurring or ending on or after the Amendment and Restatement Effective Date, the rights and obligations of the parties hereto shall be governed by this Agreement (including, without limitation, the exhibits and schedules hereto) and the other Loan Documents. From and after the Amendment and Restatement Effective Date, any reference to the Original Credit Agreement in any of the other Loan Documents executed or issued by and/or delivered to any one or more parties hereto pursuant to or in connection therewith shall be deemed to be a reference to this Agreement, and the provisions of this Agreement shall prevail in the event of any conflict or inconsistency between such provisions and those of the Original Credit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Intentionally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COMMITMENT SCHEDULE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[On file with Administrative Agent]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04"/>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1)"/>
      <w:numFmt w:val="lowerLetter"/>
      <w:start w:val="2"/>
    </w:lvl>
  </w:abstractNum>
  <w:abstractNum w:abstractNumId="5">
    <w:nsid w:val="2443A858"/>
    <w:multiLevelType w:val="hybridMultilevel"/>
    <w:lvl w:ilvl="0">
      <w:lvlJc w:val="left"/>
      <w:lvlText w:val="(%1)"/>
      <w:numFmt w:val="lowerRoman"/>
      <w:start w:val="1"/>
    </w:lvl>
  </w:abstractNum>
  <w:abstractNum w:abstractNumId="6">
    <w:nsid w:val="2D1D5AE9"/>
    <w:multiLevelType w:val="hybridMultilevel"/>
    <w:lvl w:ilvl="0">
      <w:lvlJc w:val="left"/>
      <w:lvlText w:val="(%1)"/>
      <w:numFmt w:val="lowerRoman"/>
      <w:start w:val="2"/>
    </w:lvl>
  </w:abstractNum>
  <w:abstractNum w:abstractNumId="7">
    <w:nsid w:val="6763845E"/>
    <w:multiLevelType w:val="hybridMultilevel"/>
    <w:lvl w:ilvl="0">
      <w:lvlJc w:val="left"/>
      <w:lvlText w:val="(%1)"/>
      <w:numFmt w:val="lowerRoman"/>
      <w:start w:val="1"/>
    </w:lvl>
  </w:abstractNum>
  <w:abstractNum w:abstractNumId="8">
    <w:nsid w:val="75A2A8D4"/>
    <w:multiLevelType w:val="hybridMultilevel"/>
    <w:lvl w:ilvl="0">
      <w:lvlJc w:val="left"/>
      <w:lvlText w:val="(%1)"/>
      <w:numFmt w:val="lowerLetter"/>
      <w:start w:val="26"/>
    </w:lvl>
  </w:abstractNum>
  <w:abstractNum w:abstractNumId="9">
    <w:nsid w:val="8EDBDAB"/>
    <w:multiLevelType w:val="hybridMultilevel"/>
    <w:lvl w:ilvl="0">
      <w:lvlJc w:val="left"/>
      <w:lvlText w:val="(%1)"/>
      <w:numFmt w:val="upperLetter"/>
      <w:start w:val="2"/>
    </w:lvl>
  </w:abstractNum>
  <w:abstractNum w:abstractNumId="10">
    <w:nsid w:val="79838CB2"/>
    <w:multiLevelType w:val="hybridMultilevel"/>
    <w:lvl w:ilvl="0">
      <w:lvlJc w:val="left"/>
      <w:lvlText w:val="(%1)"/>
      <w:numFmt w:val="lowerLetter"/>
      <w:start w:val="2"/>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lowerLetter"/>
      <w:start w:val="2"/>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lowerRoman"/>
      <w:start w:val="2"/>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upperLetter"/>
      <w:start w:val="2"/>
    </w:lvl>
  </w:abstractNum>
  <w:abstractNum w:abstractNumId="17">
    <w:nsid w:val="836C40E"/>
    <w:multiLevelType w:val="hybridMultilevel"/>
    <w:lvl w:ilvl="0">
      <w:lvlJc w:val="left"/>
      <w:lvlText w:val="(%1)"/>
      <w:numFmt w:val="lowerRoman"/>
      <w:start w:val="1"/>
    </w:lvl>
  </w:abstractNum>
  <w:abstractNum w:abstractNumId="18">
    <w:nsid w:val="2901D82"/>
    <w:multiLevelType w:val="hybridMultilevel"/>
    <w:lvl w:ilvl="0">
      <w:lvlJc w:val="left"/>
      <w:lvlText w:val="(%1)"/>
      <w:numFmt w:val="lowerRoman"/>
      <w:start w:val="1"/>
    </w:lvl>
  </w:abstractNum>
  <w:abstractNum w:abstractNumId="19">
    <w:nsid w:val="3A95F874"/>
    <w:multiLevelType w:val="hybridMultilevel"/>
    <w:lvl w:ilvl="0">
      <w:lvlJc w:val="left"/>
      <w:lvlText w:val="(%1)"/>
      <w:numFmt w:val="upperLetter"/>
      <w:start w:val="2"/>
    </w:lvl>
  </w:abstractNum>
  <w:abstractNum w:abstractNumId="20">
    <w:nsid w:val="8138641"/>
    <w:multiLevelType w:val="hybridMultilevel"/>
    <w:lvl w:ilvl="0">
      <w:lvlJc w:val="left"/>
      <w:lvlText w:val="(%1)"/>
      <w:numFmt w:val="lowerRoman"/>
      <w:start w:val="4"/>
    </w:lvl>
  </w:abstractNum>
  <w:abstractNum w:abstractNumId="21">
    <w:nsid w:val="1E7FF521"/>
    <w:multiLevelType w:val="hybridMultilevel"/>
    <w:lvl w:ilvl="0">
      <w:lvlJc w:val="left"/>
      <w:lvlText w:val="(%1)"/>
      <w:numFmt w:val="lowerRoman"/>
      <w:start w:val="10"/>
    </w:lvl>
  </w:abstractNum>
  <w:abstractNum w:abstractNumId="22">
    <w:nsid w:val="7C3DBD3D"/>
    <w:multiLevelType w:val="hybridMultilevel"/>
    <w:lvl w:ilvl="0">
      <w:lvlJc w:val="left"/>
      <w:lvlText w:val="(%1)"/>
      <w:numFmt w:val="upperLetter"/>
      <w:start w:val="1"/>
    </w:lvl>
  </w:abstractNum>
  <w:abstractNum w:abstractNumId="23">
    <w:nsid w:val="737B8DDC"/>
    <w:multiLevelType w:val="hybridMultilevel"/>
    <w:lvl w:ilvl="0">
      <w:lvlJc w:val="left"/>
      <w:lvlText w:val="(%1)"/>
      <w:numFmt w:val="lowerRoman"/>
      <w:start w:val="1"/>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lowerLetter"/>
      <w:start w:val="5"/>
    </w:lvl>
  </w:abstractNum>
  <w:abstractNum w:abstractNumId="26">
    <w:nsid w:val="4516DDE9"/>
    <w:multiLevelType w:val="hybridMultilevel"/>
    <w:lvl w:ilvl="0">
      <w:lvlJc w:val="left"/>
      <w:lvlText w:val="(%1)"/>
      <w:numFmt w:val="lowerLetter"/>
      <w:start w:val="25"/>
    </w:lvl>
  </w:abstractNum>
  <w:abstractNum w:abstractNumId="27">
    <w:nsid w:val="3006C83E"/>
    <w:multiLevelType w:val="hybridMultilevel"/>
    <w:lvl w:ilvl="0">
      <w:lvlJc w:val="left"/>
      <w:lvlText w:val="(%1)"/>
      <w:numFmt w:val="lowerRoman"/>
      <w:start w:val="2"/>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Roman"/>
      <w:start w:val="2"/>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Roman"/>
      <w:start w:val="2"/>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lowerLetter"/>
      <w:start w:val="25"/>
    </w:lvl>
  </w:abstractNum>
  <w:abstractNum w:abstractNumId="36">
    <w:nsid w:val="5C482A97"/>
    <w:multiLevelType w:val="hybridMultilevel"/>
    <w:lvl w:ilvl="0">
      <w:lvlJc w:val="left"/>
      <w:lvlText w:val="(%1)"/>
      <w:numFmt w:val="lowerRoman"/>
      <w:start w:val="1"/>
    </w:lvl>
  </w:abstractNum>
  <w:abstractNum w:abstractNumId="37">
    <w:nsid w:val="2463B9EA"/>
    <w:multiLevelType w:val="hybridMultilevel"/>
    <w:lvl w:ilvl="0">
      <w:lvlJc w:val="left"/>
      <w:lvlText w:val="(%1)"/>
      <w:numFmt w:val="lowerRoman"/>
      <w:start w:val="3"/>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2024-08-15T07:08:15Z</dcterms:created>
  <dcterms:modified xsi:type="dcterms:W3CDTF">2024-08-15T07:08:15Z</dcterms:modified>
</cp:coreProperties>
</file>