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11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11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8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0" w:type="dxa"/>
            <w:vAlign w:val="bottom"/>
            <w:gridSpan w:val="8"/>
            <w:vMerge w:val="continue"/>
          </w:tcPr>
          <w:p>
            <w:pPr>
              <w:spacing w:after="0"/>
              <w:rPr>
                <w:sz w:val="11"/>
                <w:szCs w:val="11"/>
                <w:color w:val="auto"/>
              </w:rPr>
            </w:pPr>
          </w:p>
        </w:tc>
        <w:tc>
          <w:tcPr>
            <w:tcW w:w="380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gridSpan w:val="4"/>
          </w:tcPr>
          <w:p>
            <w:pPr>
              <w:ind w:left="34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tcPr>
          <w:p>
            <w:pPr>
              <w:spacing w:after="0"/>
              <w:rPr>
                <w:sz w:val="20"/>
                <w:szCs w:val="20"/>
                <w:color w:val="auto"/>
              </w:rPr>
            </w:pPr>
            <w:r>
              <w:rPr>
                <w:rFonts w:ascii="Arial" w:cs="Arial" w:eastAsia="Arial" w:hAnsi="Arial"/>
                <w:sz w:val="18"/>
                <w:szCs w:val="18"/>
                <w:color w:val="0000FF"/>
              </w:rPr>
              <w:t>NY</w:t>
            </w:r>
          </w:p>
        </w:tc>
        <w:tc>
          <w:tcPr>
            <w:tcW w:w="600" w:type="dxa"/>
            <w:vAlign w:val="bottom"/>
          </w:tcPr>
          <w:p>
            <w:pPr>
              <w:ind w:left="2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30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0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52"/>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6"/>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3"/>
          </w:tcPr>
          <w:p>
            <w:pPr>
              <w:jc w:val="center"/>
              <w:ind w:left="26"/>
              <w:spacing w:after="0"/>
              <w:rPr>
                <w:sz w:val="20"/>
                <w:szCs w:val="20"/>
                <w:color w:val="auto"/>
              </w:rPr>
            </w:pPr>
            <w:r>
              <w:rPr>
                <w:rFonts w:ascii="Arial" w:cs="Arial" w:eastAsia="Arial" w:hAnsi="Arial"/>
                <w:sz w:val="18"/>
                <w:szCs w:val="18"/>
                <w:color w:val="0000FF"/>
                <w:w w:val="88"/>
              </w:rPr>
              <w:t>02/07/2015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9,375</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307,293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6"/>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3"/>
          </w:tcPr>
          <w:p>
            <w:pPr>
              <w:jc w:val="center"/>
              <w:ind w:left="26"/>
              <w:spacing w:after="0"/>
              <w:rPr>
                <w:sz w:val="20"/>
                <w:szCs w:val="20"/>
                <w:color w:val="auto"/>
              </w:rPr>
            </w:pPr>
            <w:r>
              <w:rPr>
                <w:rFonts w:ascii="Arial" w:cs="Arial" w:eastAsia="Arial" w:hAnsi="Arial"/>
                <w:sz w:val="18"/>
                <w:szCs w:val="18"/>
                <w:color w:val="0000FF"/>
                <w:w w:val="88"/>
              </w:rPr>
              <w:t>02/07/2015</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1,244</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308,537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7"/>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gridSpan w:val="12"/>
          </w:tcPr>
          <w:p>
            <w:pPr>
              <w:jc w:val="right"/>
              <w:ind w:right="52"/>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2"/>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52"/>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9,375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02/07/2015</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9,375</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0000FF"/>
              </w:rPr>
              <w:t>9,375</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1,244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02/07/2015</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1,244</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convert into common stock, par value $0.001 per share on a one-for-one basis.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37,500 restricted stock units, vesting in four equal annual installments beginning on the first anniversary of the grant date. The remaining balance i/n/o 9,375 shares of restricted stock units will vest on February 7, 2016.</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7, 2012, the reporting person was granted 3,730 restricted stock units, vesting in three annual installments beginning on the first anniversary of the grant date. 1,243 shares of the restricted stock units became vested on February 7, 2013, an additional 1,243 shares of the restricted stock units became vested on February 7, 2014, and the remaining balance i/n/o 1,244 shares of restricted stock units became vested on February 7, 2015.</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2019-12-08T11:59:48Z</dcterms:created>
  <dcterms:modified xsi:type="dcterms:W3CDTF">2019-12-08T11:59:48Z</dcterms:modified>
</cp:coreProperties>
</file>