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376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37654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Nicolelli Maurizio</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560"/>
        <w:spacing w:after="0" w:line="321" w:lineRule="auto"/>
        <w:rPr>
          <w:sz w:val="20"/>
          <w:szCs w:val="20"/>
          <w:color w:val="auto"/>
        </w:rPr>
      </w:pPr>
      <w:r>
        <w:rPr>
          <w:rFonts w:ascii="Times New Roman" w:cs="Times New Roman" w:eastAsia="Times New Roman" w:hAnsi="Times New Roman"/>
          <w:sz w:val="16"/>
          <w:szCs w:val="16"/>
          <w:color w:val="0000FF"/>
        </w:rPr>
        <w:t>EXLSERVICE HOLDINGS INC 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243"/>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02/03/2023</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7"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57"/>
        <w:spacing w:after="0"/>
        <w:rPr>
          <w:sz w:val="20"/>
          <w:szCs w:val="20"/>
          <w:color w:val="auto"/>
        </w:rPr>
      </w:pPr>
      <w:r>
        <w:rPr>
          <w:rFonts w:ascii="Times New Roman" w:cs="Times New Roman" w:eastAsia="Times New Roman" w:hAnsi="Times New Roman"/>
          <w:sz w:val="17"/>
          <w:szCs w:val="17"/>
          <w:color w:val="0000FF"/>
        </w:rPr>
        <w:t>Executive Vice President &amp; CFO</w:t>
      </w:r>
    </w:p>
    <w:p>
      <w:pPr>
        <w:spacing w:after="0" w:line="427"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640" w:type="dxa"/>
            <w:vAlign w:val="bottom"/>
            <w:gridSpan w:val="6"/>
          </w:tcPr>
          <w:p>
            <w:pPr>
              <w:jc w:val="center"/>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680" w:type="dxa"/>
            <w:vAlign w:val="bottom"/>
            <w:gridSpan w:val="10"/>
          </w:tcPr>
          <w:p>
            <w:pPr>
              <w:ind w:left="34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gridSpan w:val="3"/>
          </w:tcPr>
          <w:p>
            <w:pPr>
              <w:ind w:left="3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80" w:type="dxa"/>
            <w:vAlign w:val="bottom"/>
            <w:gridSpan w:val="10"/>
            <w:vMerge w:val="restart"/>
          </w:tcPr>
          <w:p>
            <w:pPr>
              <w:ind w:left="5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10022</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4"/>
          </w:tcPr>
          <w:p>
            <w:pPr>
              <w:spacing w:after="0"/>
              <w:rPr>
                <w:sz w:val="10"/>
                <w:szCs w:val="10"/>
                <w:color w:val="auto"/>
              </w:rPr>
            </w:pPr>
          </w:p>
        </w:tc>
        <w:tc>
          <w:tcPr>
            <w:tcW w:w="420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jc w:val="center"/>
              <w:ind w:left="71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40" w:type="dxa"/>
            <w:vAlign w:val="bottom"/>
          </w:tcPr>
          <w:p>
            <w:pPr>
              <w:spacing w:after="0"/>
              <w:rPr>
                <w:sz w:val="14"/>
                <w:szCs w:val="14"/>
                <w:color w:val="auto"/>
              </w:rPr>
            </w:pPr>
          </w:p>
        </w:tc>
        <w:tc>
          <w:tcPr>
            <w:tcW w:w="1060" w:type="dxa"/>
            <w:vAlign w:val="bottom"/>
            <w:gridSpan w:val="3"/>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7"/>
              </w:rPr>
              <w:t>Disposed Of (D) (Instr. 3, 4 and 5)</w:t>
            </w:r>
          </w:p>
        </w:tc>
        <w:tc>
          <w:tcPr>
            <w:tcW w:w="16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7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3"/>
              </w:rPr>
              <w:t>(A) or</w:t>
            </w:r>
          </w:p>
        </w:tc>
        <w:tc>
          <w:tcPr>
            <w:tcW w:w="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60" w:type="dxa"/>
            <w:vAlign w:val="bottom"/>
            <w:tcBorders>
              <w:bottom w:val="single" w:sz="8" w:color="2C2C2C"/>
            </w:tcBorders>
            <w:gridSpan w:val="6"/>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6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060" w:type="dxa"/>
            <w:vAlign w:val="bottom"/>
            <w:tcBorders>
              <w:bottom w:val="single" w:sz="8" w:color="2C2C2C"/>
            </w:tcBorders>
            <w:gridSpan w:val="3"/>
          </w:tcPr>
          <w:p>
            <w:pPr>
              <w:jc w:val="right"/>
              <w:ind w:right="58"/>
              <w:spacing w:after="0"/>
              <w:rPr>
                <w:sz w:val="20"/>
                <w:szCs w:val="20"/>
                <w:color w:val="auto"/>
              </w:rPr>
            </w:pPr>
            <w:r>
              <w:rPr>
                <w:rFonts w:ascii="Times New Roman" w:cs="Times New Roman" w:eastAsia="Times New Roman" w:hAnsi="Times New Roman"/>
                <w:sz w:val="17"/>
                <w:szCs w:val="17"/>
                <w:color w:val="0000FF"/>
              </w:rPr>
              <w:t>02/03/2023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right"/>
              <w:ind w:right="34"/>
              <w:spacing w:after="0"/>
              <w:rPr>
                <w:sz w:val="20"/>
                <w:szCs w:val="20"/>
                <w:color w:val="auto"/>
              </w:rPr>
            </w:pPr>
            <w:r>
              <w:rPr>
                <w:rFonts w:ascii="Times New Roman" w:cs="Times New Roman" w:eastAsia="Times New Roman" w:hAnsi="Times New Roman"/>
                <w:sz w:val="17"/>
                <w:szCs w:val="17"/>
                <w:color w:val="0000FF"/>
              </w:rPr>
              <w:t>1,474</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6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13,915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060" w:type="dxa"/>
            <w:vAlign w:val="bottom"/>
            <w:tcBorders>
              <w:bottom w:val="single" w:sz="8" w:color="2C2C2C"/>
            </w:tcBorders>
            <w:gridSpan w:val="3"/>
          </w:tcPr>
          <w:p>
            <w:pPr>
              <w:jc w:val="right"/>
              <w:ind w:right="58"/>
              <w:spacing w:after="0"/>
              <w:rPr>
                <w:sz w:val="20"/>
                <w:szCs w:val="20"/>
                <w:color w:val="auto"/>
              </w:rPr>
            </w:pPr>
            <w:r>
              <w:rPr>
                <w:rFonts w:ascii="Times New Roman" w:cs="Times New Roman" w:eastAsia="Times New Roman" w:hAnsi="Times New Roman"/>
                <w:sz w:val="17"/>
                <w:szCs w:val="17"/>
                <w:color w:val="0000FF"/>
              </w:rPr>
              <w:t>02/03/2023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jc w:val="right"/>
              <w:ind w:right="94"/>
              <w:spacing w:after="0"/>
              <w:rPr>
                <w:sz w:val="20"/>
                <w:szCs w:val="20"/>
                <w:color w:val="auto"/>
              </w:rPr>
            </w:pPr>
            <w:r>
              <w:rPr>
                <w:rFonts w:ascii="Times New Roman" w:cs="Times New Roman" w:eastAsia="Times New Roman" w:hAnsi="Times New Roman"/>
                <w:sz w:val="17"/>
                <w:szCs w:val="17"/>
                <w:color w:val="0000FF"/>
              </w:rPr>
              <w:t>581</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173.13</w:t>
            </w:r>
            <w:r>
              <w:rPr>
                <w:rFonts w:ascii="Times New Roman" w:cs="Times New Roman" w:eastAsia="Times New Roman" w:hAnsi="Times New Roman"/>
                <w:sz w:val="21"/>
                <w:szCs w:val="21"/>
                <w:color w:val="008000"/>
                <w:w w:val="90"/>
                <w:vertAlign w:val="superscript"/>
              </w:rPr>
              <w:t>(2)</w:t>
            </w: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13,334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900" w:type="dxa"/>
            <w:vAlign w:val="bottom"/>
            <w:gridSpan w:val="10"/>
          </w:tcPr>
          <w:p>
            <w:pPr>
              <w:jc w:val="center"/>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spacing w:after="0"/>
              <w:rPr>
                <w:sz w:val="12"/>
                <w:szCs w:val="12"/>
                <w:color w:val="auto"/>
              </w:rPr>
            </w:pPr>
          </w:p>
        </w:tc>
        <w:tc>
          <w:tcPr>
            <w:tcW w:w="66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7"/>
              </w:rPr>
              <w:t>Stock,</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1,474</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02/03/2023</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ind w:right="118"/>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720" w:type="dxa"/>
            <w:vAlign w:val="bottom"/>
          </w:tcPr>
          <w:p>
            <w:pPr>
              <w:ind w:left="300"/>
              <w:spacing w:after="0" w:line="143" w:lineRule="exact"/>
              <w:rPr>
                <w:sz w:val="20"/>
                <w:szCs w:val="20"/>
                <w:color w:val="auto"/>
              </w:rPr>
            </w:pPr>
            <w:r>
              <w:rPr>
                <w:rFonts w:ascii="Times New Roman" w:cs="Times New Roman" w:eastAsia="Times New Roman" w:hAnsi="Times New Roman"/>
                <w:sz w:val="13"/>
                <w:szCs w:val="13"/>
                <w:color w:val="0000FF"/>
              </w:rPr>
              <w:t>1,474</w:t>
            </w:r>
          </w:p>
        </w:tc>
        <w:tc>
          <w:tcPr>
            <w:tcW w:w="760" w:type="dxa"/>
            <w:vAlign w:val="bottom"/>
            <w:vMerge w:val="continue"/>
          </w:tcPr>
          <w:p>
            <w:pPr>
              <w:spacing w:after="0"/>
              <w:rPr>
                <w:sz w:val="12"/>
                <w:szCs w:val="12"/>
                <w:color w:val="auto"/>
              </w:rPr>
            </w:pPr>
          </w:p>
        </w:tc>
        <w:tc>
          <w:tcPr>
            <w:tcW w:w="70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02/03/2031</w:t>
            </w:r>
          </w:p>
        </w:tc>
        <w:tc>
          <w:tcPr>
            <w:tcW w:w="66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80"/>
              <w:spacing w:after="0" w:line="143" w:lineRule="exact"/>
              <w:rPr>
                <w:sz w:val="20"/>
                <w:szCs w:val="20"/>
                <w:color w:val="auto"/>
              </w:rPr>
            </w:pPr>
            <w:r>
              <w:rPr>
                <w:rFonts w:ascii="Times New Roman" w:cs="Times New Roman" w:eastAsia="Times New Roman" w:hAnsi="Times New Roman"/>
                <w:sz w:val="13"/>
                <w:szCs w:val="13"/>
                <w:color w:val="0000FF"/>
              </w:rPr>
              <w:t>1,475</w:t>
            </w:r>
          </w:p>
        </w:tc>
        <w:tc>
          <w:tcPr>
            <w:tcW w:w="28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-2287905</wp:posOffset>
            </wp:positionV>
            <wp:extent cx="29210" cy="2292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9298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5" w:lineRule="exact"/>
        <w:rPr>
          <w:rFonts w:ascii="Times New Roman" w:cs="Times New Roman" w:eastAsia="Times New Roman" w:hAnsi="Times New Roman"/>
          <w:sz w:val="13"/>
          <w:szCs w:val="13"/>
          <w:color w:val="008000"/>
        </w:rPr>
      </w:pPr>
    </w:p>
    <w:p>
      <w:pPr>
        <w:ind w:left="40" w:right="200" w:firstLine="3"/>
        <w:spacing w:after="0" w:line="293" w:lineRule="auto"/>
        <w:tabs>
          <w:tab w:leader="none" w:pos="17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person's restricted stock units reported in this report vested on February 3, 2023. Under the Company's 2018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ind w:left="40" w:right="26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3, 2020, the reporting person was granted 5,898 restricted stock units, vesting in four equal annual installments beginning on the first anniversary of the grant date. 25 percent of the restricted stock units became vested on February 3, 2021, an additional 25 percent of the restricted stock units became vested on February 3, 2022, an additional 25 percent of the restricted stock units became vested on February 3, 2023, and the remaining balance of 25 percent of the restricted stock units will vest on February 3, 2024.</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Oseni is the Company's Head of Administration and Accounts.</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3"/>
          <w:szCs w:val="33"/>
          <w:color w:val="0000FF"/>
          <w:vertAlign w:val="subscript"/>
        </w:rPr>
        <w:t>02/07/2023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214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7265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2023-02-07T16:13:19Z</dcterms:created>
  <dcterms:modified xsi:type="dcterms:W3CDTF">2023-02-07T16:13:19Z</dcterms:modified>
</cp:coreProperties>
</file>