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141" w:lineRule="exact"/>
        <w:rPr>
          <w:sz w:val="24"/>
          <w:szCs w:val="24"/>
          <w:color w:val="auto"/>
        </w:rPr>
      </w:pPr>
    </w:p>
    <w:p>
      <w:pPr>
        <w:ind w:right="70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is not an offer to sell these securities and it is not soliciting an offer to buy these securities in any jurisdiction where the offer or sale is not permitted.</w:t>
      </w:r>
    </w:p>
    <w:p>
      <w:pPr>
        <w:spacing w:after="0" w:line="26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DE1A1E"/>
        </w:rPr>
        <w:t>SUBJECT TO COMPLETION, DATED SEPTEMBER 13, 2011</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DE1A1E"/>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DE1A1E"/>
        </w:rPr>
        <w:t>(To Prospectus dated January 20,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50165</wp:posOffset>
            </wp:positionV>
            <wp:extent cx="120078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4,000,000 Shares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45" w:lineRule="exact"/>
        <w:rPr>
          <w:sz w:val="24"/>
          <w:szCs w:val="24"/>
          <w:color w:val="auto"/>
        </w:rPr>
      </w:pPr>
    </w:p>
    <w:p>
      <w:pPr>
        <w:ind w:left="5460" w:hanging="801"/>
        <w:spacing w:after="0"/>
        <w:tabs>
          <w:tab w:leader="none" w:pos="546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135255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74" w:lineRule="exact"/>
        <w:rPr>
          <w:sz w:val="24"/>
          <w:szCs w:val="24"/>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selling 1,000,000 shares of our common stock and the selling stockholders named in this prospectus supplement are selling 3,000,000 shares. We will not receive any proceeds from the sale of the shares by the selling stockholders. We intend to use the net proceeds to us from this offering for general corporate purposes, which may include, among other things, debt repayment, financing of possible acquisitions, working capital and/or capital expenditures.</w:t>
      </w:r>
    </w:p>
    <w:p>
      <w:pPr>
        <w:spacing w:after="0" w:line="1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and the selling stockholders have granted the underwriters an option to purchase up to 600,000 additional shares.</w:t>
      </w:r>
    </w:p>
    <w:p>
      <w:pPr>
        <w:spacing w:after="0" w:line="77"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“EXLS.” The last reported sale price of our common stock on the Nasdaq Global Select Market on September 12, 2011 was $24.89 per share.</w:t>
      </w:r>
    </w:p>
    <w:p>
      <w:pPr>
        <w:spacing w:after="0" w:line="18" w:lineRule="exact"/>
        <w:rPr>
          <w:sz w:val="24"/>
          <w:szCs w:val="24"/>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122555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4"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67945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to ExlService Holdings, Inc. (before expenses)</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to the selling stockholders (before expenses)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220" w:type="dxa"/>
            <w:vAlign w:val="bottom"/>
            <w:gridSpan w:val="3"/>
          </w:tcPr>
          <w:p>
            <w:pPr>
              <w:ind w:left="460"/>
              <w:spacing w:after="0"/>
              <w:rPr>
                <w:sz w:val="20"/>
                <w:szCs w:val="20"/>
                <w:color w:val="auto"/>
              </w:rPr>
            </w:pPr>
            <w:r>
              <w:rPr>
                <w:rFonts w:ascii="Arial" w:cs="Arial" w:eastAsia="Arial" w:hAnsi="Arial"/>
                <w:sz w:val="18"/>
                <w:szCs w:val="18"/>
                <w:color w:val="auto"/>
                <w:w w:val="94"/>
              </w:rPr>
              <w:t>The underwriters expect to deliver the shares of common stock to purchasers on or about</w:t>
            </w:r>
          </w:p>
        </w:tc>
        <w:tc>
          <w:tcPr>
            <w:tcW w:w="4200" w:type="dxa"/>
            <w:vAlign w:val="bottom"/>
          </w:tcPr>
          <w:p>
            <w:pPr>
              <w:ind w:left="400"/>
              <w:spacing w:after="0"/>
              <w:rPr>
                <w:sz w:val="20"/>
                <w:szCs w:val="20"/>
                <w:color w:val="auto"/>
              </w:rPr>
            </w:pPr>
            <w:r>
              <w:rPr>
                <w:rFonts w:ascii="Arial" w:cs="Arial" w:eastAsia="Arial" w:hAnsi="Arial"/>
                <w:sz w:val="18"/>
                <w:szCs w:val="18"/>
                <w:color w:val="auto"/>
              </w:rPr>
              <w:t>, 2011 through the book-entry facilities of The</w:t>
            </w:r>
          </w:p>
        </w:tc>
      </w:tr>
      <w:tr>
        <w:trPr>
          <w:trHeight w:val="222"/>
        </w:trPr>
        <w:tc>
          <w:tcPr>
            <w:tcW w:w="7220" w:type="dxa"/>
            <w:vAlign w:val="bottom"/>
            <w:gridSpan w:val="3"/>
          </w:tcPr>
          <w:p>
            <w:pPr>
              <w:spacing w:after="0"/>
              <w:rPr>
                <w:sz w:val="20"/>
                <w:szCs w:val="20"/>
                <w:color w:val="auto"/>
              </w:rPr>
            </w:pPr>
            <w:r>
              <w:rPr>
                <w:rFonts w:ascii="Arial" w:cs="Arial" w:eastAsia="Arial" w:hAnsi="Arial"/>
                <w:sz w:val="18"/>
                <w:szCs w:val="18"/>
                <w:color w:val="auto"/>
              </w:rPr>
              <w:t>Depository Trust Company.</w:t>
            </w:r>
          </w:p>
        </w:tc>
        <w:tc>
          <w:tcPr>
            <w:tcW w:w="4200" w:type="dxa"/>
            <w:vAlign w:val="bottom"/>
          </w:tcPr>
          <w:p>
            <w:pPr>
              <w:spacing w:after="0"/>
              <w:rPr>
                <w:sz w:val="19"/>
                <w:szCs w:val="19"/>
                <w:color w:val="auto"/>
              </w:rPr>
            </w:pPr>
          </w:p>
        </w:tc>
      </w:tr>
      <w:tr>
        <w:trPr>
          <w:trHeight w:val="259"/>
        </w:trPr>
        <w:tc>
          <w:tcPr>
            <w:tcW w:w="4840" w:type="dxa"/>
            <w:vAlign w:val="bottom"/>
          </w:tcPr>
          <w:p>
            <w:pPr>
              <w:spacing w:after="0"/>
              <w:rPr>
                <w:sz w:val="22"/>
                <w:szCs w:val="22"/>
                <w:color w:val="auto"/>
              </w:rPr>
            </w:pPr>
          </w:p>
        </w:tc>
        <w:tc>
          <w:tcPr>
            <w:tcW w:w="1740" w:type="dxa"/>
            <w:vAlign w:val="bottom"/>
            <w:tcBorders>
              <w:bottom w:val="single" w:sz="8" w:color="808080"/>
            </w:tcBorders>
          </w:tcPr>
          <w:p>
            <w:pPr>
              <w:spacing w:after="0"/>
              <w:rPr>
                <w:sz w:val="22"/>
                <w:szCs w:val="22"/>
                <w:color w:val="auto"/>
              </w:rPr>
            </w:pPr>
          </w:p>
        </w:tc>
        <w:tc>
          <w:tcPr>
            <w:tcW w:w="640" w:type="dxa"/>
            <w:vAlign w:val="bottom"/>
          </w:tcPr>
          <w:p>
            <w:pPr>
              <w:spacing w:after="0"/>
              <w:rPr>
                <w:sz w:val="22"/>
                <w:szCs w:val="22"/>
                <w:color w:val="auto"/>
              </w:rPr>
            </w:pPr>
          </w:p>
        </w:tc>
        <w:tc>
          <w:tcPr>
            <w:tcW w:w="4200" w:type="dxa"/>
            <w:vAlign w:val="bottom"/>
          </w:tcPr>
          <w:p>
            <w:pPr>
              <w:spacing w:after="0"/>
              <w:rPr>
                <w:sz w:val="22"/>
                <w:szCs w:val="22"/>
                <w:color w:val="auto"/>
              </w:rPr>
            </w:pPr>
          </w:p>
        </w:tc>
      </w:tr>
      <w:tr>
        <w:trPr>
          <w:trHeight w:val="383"/>
        </w:trPr>
        <w:tc>
          <w:tcPr>
            <w:tcW w:w="7220" w:type="dxa"/>
            <w:vAlign w:val="bottom"/>
            <w:gridSpan w:val="3"/>
          </w:tcPr>
          <w:p>
            <w:pPr>
              <w:jc w:val="center"/>
              <w:ind w:left="4086"/>
              <w:spacing w:after="0"/>
              <w:rPr>
                <w:sz w:val="20"/>
                <w:szCs w:val="20"/>
                <w:color w:val="auto"/>
              </w:rPr>
            </w:pPr>
            <w:r>
              <w:rPr>
                <w:rFonts w:ascii="Arial" w:cs="Arial" w:eastAsia="Arial" w:hAnsi="Arial"/>
                <w:sz w:val="18"/>
                <w:szCs w:val="18"/>
                <w:i w:val="1"/>
                <w:iCs w:val="1"/>
                <w:color w:val="auto"/>
                <w:w w:val="89"/>
              </w:rPr>
              <w:t>Joint Book-Running Managers</w:t>
            </w:r>
          </w:p>
        </w:tc>
        <w:tc>
          <w:tcPr>
            <w:tcW w:w="4200" w:type="dxa"/>
            <w:vAlign w:val="bottom"/>
          </w:tcPr>
          <w:p>
            <w:pPr>
              <w:spacing w:after="0"/>
              <w:rPr>
                <w:sz w:val="24"/>
                <w:szCs w:val="24"/>
                <w:color w:val="auto"/>
              </w:rPr>
            </w:pPr>
          </w:p>
        </w:tc>
      </w:tr>
      <w:tr>
        <w:trPr>
          <w:trHeight w:val="591"/>
        </w:trPr>
        <w:tc>
          <w:tcPr>
            <w:tcW w:w="7220" w:type="dxa"/>
            <w:vAlign w:val="bottom"/>
            <w:gridSpan w:val="3"/>
          </w:tcPr>
          <w:p>
            <w:pPr>
              <w:spacing w:after="0"/>
              <w:rPr>
                <w:sz w:val="20"/>
                <w:szCs w:val="20"/>
                <w:color w:val="auto"/>
              </w:rPr>
            </w:pPr>
            <w:r>
              <w:rPr>
                <w:rFonts w:ascii="Arial" w:cs="Arial" w:eastAsia="Arial" w:hAnsi="Arial"/>
                <w:sz w:val="43"/>
                <w:szCs w:val="43"/>
                <w:b w:val="1"/>
                <w:bCs w:val="1"/>
                <w:color w:val="auto"/>
              </w:rPr>
              <w:t>Citigroup</w:t>
            </w:r>
          </w:p>
        </w:tc>
        <w:tc>
          <w:tcPr>
            <w:tcW w:w="4200" w:type="dxa"/>
            <w:vAlign w:val="bottom"/>
          </w:tcPr>
          <w:p>
            <w:pPr>
              <w:ind w:left="1940"/>
              <w:spacing w:after="0"/>
              <w:rPr>
                <w:sz w:val="20"/>
                <w:szCs w:val="20"/>
                <w:color w:val="auto"/>
              </w:rPr>
            </w:pPr>
            <w:r>
              <w:rPr>
                <w:rFonts w:ascii="Arial" w:cs="Arial" w:eastAsia="Arial" w:hAnsi="Arial"/>
                <w:sz w:val="43"/>
                <w:szCs w:val="43"/>
                <w:b w:val="1"/>
                <w:bCs w:val="1"/>
                <w:color w:val="auto"/>
                <w:w w:val="91"/>
              </w:rPr>
              <w:t>J.P. Morgan</w:t>
            </w:r>
          </w:p>
        </w:tc>
      </w:tr>
      <w:tr>
        <w:trPr>
          <w:trHeight w:val="154"/>
        </w:trPr>
        <w:tc>
          <w:tcPr>
            <w:tcW w:w="4840" w:type="dxa"/>
            <w:vAlign w:val="bottom"/>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640" w:type="dxa"/>
            <w:vAlign w:val="bottom"/>
          </w:tcPr>
          <w:p>
            <w:pPr>
              <w:spacing w:after="0"/>
              <w:rPr>
                <w:sz w:val="13"/>
                <w:szCs w:val="13"/>
                <w:color w:val="auto"/>
              </w:rPr>
            </w:pPr>
          </w:p>
        </w:tc>
        <w:tc>
          <w:tcPr>
            <w:tcW w:w="4200" w:type="dxa"/>
            <w:vAlign w:val="bottom"/>
          </w:tcPr>
          <w:p>
            <w:pPr>
              <w:spacing w:after="0"/>
              <w:rPr>
                <w:sz w:val="13"/>
                <w:szCs w:val="13"/>
                <w:color w:val="auto"/>
              </w:rPr>
            </w:pPr>
          </w:p>
        </w:tc>
      </w:tr>
      <w:tr>
        <w:trPr>
          <w:trHeight w:val="383"/>
        </w:trPr>
        <w:tc>
          <w:tcPr>
            <w:tcW w:w="4840" w:type="dxa"/>
            <w:vAlign w:val="bottom"/>
          </w:tcPr>
          <w:p>
            <w:pPr>
              <w:spacing w:after="0"/>
              <w:rPr>
                <w:sz w:val="24"/>
                <w:szCs w:val="24"/>
                <w:color w:val="auto"/>
              </w:rPr>
            </w:pPr>
          </w:p>
        </w:tc>
        <w:tc>
          <w:tcPr>
            <w:tcW w:w="238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89"/>
              </w:rPr>
              <w:t>Co-Managers</w:t>
            </w:r>
          </w:p>
        </w:tc>
        <w:tc>
          <w:tcPr>
            <w:tcW w:w="4200" w:type="dxa"/>
            <w:vAlign w:val="bottom"/>
          </w:tcPr>
          <w:p>
            <w:pPr>
              <w:spacing w:after="0"/>
              <w:rPr>
                <w:sz w:val="24"/>
                <w:szCs w:val="24"/>
                <w:color w:val="auto"/>
              </w:rPr>
            </w:pPr>
          </w:p>
        </w:tc>
      </w:tr>
      <w:tr>
        <w:trPr>
          <w:trHeight w:val="393"/>
        </w:trPr>
        <w:tc>
          <w:tcPr>
            <w:tcW w:w="7220" w:type="dxa"/>
            <w:vAlign w:val="bottom"/>
            <w:gridSpan w:val="3"/>
          </w:tcPr>
          <w:p>
            <w:pPr>
              <w:spacing w:after="0"/>
              <w:rPr>
                <w:sz w:val="20"/>
                <w:szCs w:val="20"/>
                <w:color w:val="auto"/>
              </w:rPr>
            </w:pPr>
            <w:r>
              <w:rPr>
                <w:rFonts w:ascii="Arial" w:cs="Arial" w:eastAsia="Arial" w:hAnsi="Arial"/>
                <w:sz w:val="32"/>
                <w:szCs w:val="32"/>
                <w:b w:val="1"/>
                <w:bCs w:val="1"/>
                <w:color w:val="auto"/>
              </w:rPr>
              <w:t>Baird</w:t>
            </w:r>
          </w:p>
        </w:tc>
        <w:tc>
          <w:tcPr>
            <w:tcW w:w="4200" w:type="dxa"/>
            <w:vAlign w:val="bottom"/>
          </w:tcPr>
          <w:p>
            <w:pPr>
              <w:spacing w:after="0"/>
              <w:rPr>
                <w:sz w:val="24"/>
                <w:szCs w:val="24"/>
                <w:color w:val="auto"/>
              </w:rPr>
            </w:pPr>
          </w:p>
        </w:tc>
      </w:tr>
      <w:tr>
        <w:trPr>
          <w:trHeight w:val="421"/>
        </w:trPr>
        <w:tc>
          <w:tcPr>
            <w:tcW w:w="7220" w:type="dxa"/>
            <w:vAlign w:val="bottom"/>
            <w:gridSpan w:val="3"/>
          </w:tcPr>
          <w:p>
            <w:pPr>
              <w:ind w:left="3220"/>
              <w:spacing w:after="0"/>
              <w:rPr>
                <w:sz w:val="20"/>
                <w:szCs w:val="20"/>
                <w:color w:val="auto"/>
              </w:rPr>
            </w:pPr>
            <w:r>
              <w:rPr>
                <w:rFonts w:ascii="Arial" w:cs="Arial" w:eastAsia="Arial" w:hAnsi="Arial"/>
                <w:sz w:val="32"/>
                <w:szCs w:val="32"/>
                <w:b w:val="1"/>
                <w:bCs w:val="1"/>
                <w:color w:val="auto"/>
              </w:rPr>
              <w:t>Stifel Nicolaus Weisel</w:t>
            </w:r>
          </w:p>
        </w:tc>
        <w:tc>
          <w:tcPr>
            <w:tcW w:w="4200" w:type="dxa"/>
            <w:vAlign w:val="bottom"/>
          </w:tcPr>
          <w:p>
            <w:pPr>
              <w:spacing w:after="0"/>
              <w:rPr>
                <w:sz w:val="24"/>
                <w:szCs w:val="24"/>
                <w:color w:val="auto"/>
              </w:rPr>
            </w:pPr>
          </w:p>
        </w:tc>
      </w:tr>
    </w:tbl>
    <w:p>
      <w:pPr>
        <w:spacing w:after="0" w:line="65" w:lineRule="exact"/>
        <w:rPr>
          <w:sz w:val="24"/>
          <w:szCs w:val="24"/>
          <w:color w:val="auto"/>
        </w:rPr>
      </w:pPr>
    </w:p>
    <w:p>
      <w:pPr>
        <w:jc w:val="right"/>
        <w:spacing w:after="0"/>
        <w:rPr>
          <w:sz w:val="20"/>
          <w:szCs w:val="20"/>
          <w:color w:val="auto"/>
        </w:rPr>
      </w:pPr>
      <w:r>
        <w:rPr>
          <w:rFonts w:ascii="Arial" w:cs="Arial" w:eastAsia="Arial" w:hAnsi="Arial"/>
          <w:sz w:val="32"/>
          <w:szCs w:val="32"/>
          <w:b w:val="1"/>
          <w:bCs w:val="1"/>
          <w:color w:val="auto"/>
        </w:rPr>
        <w:t>Janney Montgomery Scott</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880"/>
        <w:spacing w:after="0"/>
        <w:rPr>
          <w:sz w:val="20"/>
          <w:szCs w:val="20"/>
          <w:color w:val="auto"/>
        </w:rPr>
      </w:pPr>
      <w:r>
        <w:rPr>
          <w:rFonts w:ascii="Arial" w:cs="Arial" w:eastAsia="Arial" w:hAnsi="Arial"/>
          <w:sz w:val="15"/>
          <w:szCs w:val="15"/>
          <w:color w:val="auto"/>
        </w:rPr>
        <w:t>,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We are responsible for the information contained in or incorporated by reference in this prospectus supplement and the accompanying prospectus and in any free-writing prospectus we prepare or authorize. We have not authorized anyone to provide you with different information, and we take no responsibility for any other information others may give you. We, the selling stockholders and the underwriters are not making an offer to sell these securities in any jurisdiction where the offer or sale is not permitted. You should not assume that the information contained in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137795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20" w:type="dxa"/>
            <w:vAlign w:val="bottom"/>
            <w:gridSpan w:val="4"/>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20" w:type="dxa"/>
            <w:vAlign w:val="bottom"/>
            <w:gridSpan w:val="4"/>
            <w:vMerge w:val="restart"/>
          </w:tcPr>
          <w:p>
            <w:pPr>
              <w:jc w:val="center"/>
              <w:ind w:right="34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2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00" w:type="dxa"/>
            <w:vAlign w:val="bottom"/>
            <w:tcBorders>
              <w:bottom w:val="single" w:sz="8" w:color="0000EE"/>
            </w:tcBorders>
            <w:gridSpan w:val="21"/>
          </w:tcPr>
          <w:p>
            <w:pPr>
              <w:spacing w:after="0" w:line="18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02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12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9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Price Range of Common Stock</w:t>
              </w:r>
            </w:hyperlink>
          </w:p>
        </w:tc>
        <w:tc>
          <w:tcPr>
            <w:tcW w:w="862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Capitalization</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Selling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Material United States Federal Income Tax Consequences for Non-U.S.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Underwriting (Conflicts of Interest)</w:t>
              </w:r>
            </w:hyperlink>
          </w:p>
        </w:tc>
        <w:tc>
          <w:tcPr>
            <w:tcW w:w="3120" w:type="dxa"/>
            <w:vAlign w:val="bottom"/>
            <w:tcBorders>
              <w:top w:val="single" w:sz="8" w:color="0000EE"/>
            </w:tcBorders>
            <w:gridSpan w:val="6"/>
          </w:tcPr>
          <w:p>
            <w:pPr>
              <w:spacing w:after="0"/>
              <w:rPr>
                <w:sz w:val="17"/>
                <w:szCs w:val="17"/>
                <w:color w:val="auto"/>
              </w:rPr>
            </w:pPr>
          </w:p>
        </w:tc>
        <w:tc>
          <w:tcPr>
            <w:tcW w:w="5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Validity of Securities</w:t>
              </w:r>
            </w:hyperlink>
          </w:p>
        </w:tc>
        <w:tc>
          <w:tcPr>
            <w:tcW w:w="932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8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820" w:type="dxa"/>
            <w:vAlign w:val="bottom"/>
            <w:gridSpan w:val="25"/>
          </w:tcPr>
          <w:p>
            <w:pPr>
              <w:spacing w:after="0" w:line="184" w:lineRule="exact"/>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922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87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99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83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88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the Debt Securities</w:t>
              </w:r>
            </w:hyperlink>
          </w:p>
        </w:tc>
        <w:tc>
          <w:tcPr>
            <w:tcW w:w="84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Depositary Shares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Warrants</w:t>
              </w:r>
            </w:hyperlink>
          </w:p>
        </w:tc>
        <w:tc>
          <w:tcPr>
            <w:tcW w:w="82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888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Description of the Purchase Contracts</w:t>
              </w:r>
            </w:hyperlink>
          </w:p>
        </w:tc>
        <w:tc>
          <w:tcPr>
            <w:tcW w:w="81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the Units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936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982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by Reference</w:t>
              </w:r>
            </w:hyperlink>
          </w:p>
        </w:tc>
        <w:tc>
          <w:tcPr>
            <w:tcW w:w="80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updates information in the prospectus dated January 20, 2010. You should read this prospectus supplement in conjunction with the prospectus.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supplement incorporates by reference important information. You should read the information incorporated by reference before deciding to invest in our common stock, and you may obtain this information incorporated by reference without charge by following the instructions under “Where You Can Find More Information” appearing below. In this prospectus supplement, the terms “ExlService,” “we,” “us,” “our” and the “Company” refer to ExlService Holdings,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contain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supplement, the accompanying prospectus and the information incorporated by reference,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33"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and other factors are more fully discussed elsewhere in this prospectus supplement and in the documents incorporated by reference herein.</w:t>
      </w:r>
    </w:p>
    <w:p>
      <w:pPr>
        <w:spacing w:after="0" w:line="18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keep in mind that any forward-looking statement made by us in this prospectus supplement, the accompanying prospectus and in the documents incorporated by reference, or elsewhere, speaks only as of the date on which we make it. New risks and uncertainties may come up from time to time, and it is impossible for us to predict these events or how they may affect us. We have no obligation to update any forward-looking statements in this prospectus supplement after the date of this prospectus supplement, except as required by federal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information contained or incorporated by reference in this prospectus supplement. This summary does not contain all of the information that you should consider before deciding to invest in our common stock. You should read this entire prospectus supplement carefully, including the information incorporated by reference in this prospectus supplement. See “Item 1A. Risk Factors” in our Annual Report on Form 10-K for the fiscal year ended December 31, 2010 and our Quarterly Reports on Form 10-Q for the quarters ended March 31, 2011 and June 30, 2011, incorporated by reference herein.</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ExlService Holdings, Inc.</w:t>
      </w:r>
    </w:p>
    <w:p>
      <w:pPr>
        <w:spacing w:after="0" w:line="164"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United States based and United Kingdom 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 Our 17,400 professionals service our clients from fifteen operations centers in India, three operations centers in the United States, two operations centers in Bulgaria and one operations center in each of the Philippines, Romania, the Czech Republic and Malaysia.</w:t>
      </w:r>
    </w:p>
    <w:p>
      <w:pPr>
        <w:spacing w:after="0" w:line="11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ExlService is a Delaware corporation. Our principal executive offices are located at 280 Park Avenue, 38th Floor, New York, New York 10017, and our telephone number at that address is (212) 277-7100. Our website is www.exlservice.com. The information contained in, or that can be accessed through, our website is not part of, and is not incorporated by reference into, this prospectus supplement or the accompanying prospectus and should not be considered part of this prospectus supplement or the accompanying prospectus.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of OPI</w:t>
      </w:r>
    </w:p>
    <w:p>
      <w:pPr>
        <w:spacing w:after="0" w:line="83"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On May 31, 2011, we completed the acquisition of Business Process Outsourcing, Inc. (“OPI”), pursuant to a Merger Agreement, dated as of April 30, 2011 (the “OPI Acquisition”). The aggregate consideration paid to OPI’s former stockholders in the OPI Acquisition was $91 million in cash excluding adjustments based on OPI’s working capital, debt and certain expenses incurred by OPI in connection with the consummation of the OPI Acquisition.</w:t>
      </w:r>
    </w:p>
    <w:p>
      <w:pPr>
        <w:spacing w:after="0" w:line="9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acquired OPI to further strengthen our position as a provider of finance and accounting outsourcing services. At the time of the OPI Acquisition, OPI had over 3,700 professionals globally and approximately 80 clients. By combining our existing finance and accounting outsourcing and transformation capabilities with OPI’s end-to-end finance and accounting outsourcing capabilities and proprietary platforms, we intend to provide a comprehensive set of finance and accounting services to our clients. The OPI Acquisition also furthers our strategic objective of leveraging technology and proprietary intellectual property in our services to our client offerings.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30,122,194 shares</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 shares</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3,000,000 shares</w:t>
      </w:r>
    </w:p>
    <w:p>
      <w:pPr>
        <w:spacing w:after="0" w:line="205" w:lineRule="exact"/>
        <w:rPr>
          <w:sz w:val="20"/>
          <w:szCs w:val="20"/>
          <w:color w:val="auto"/>
        </w:rPr>
      </w:pPr>
    </w:p>
    <w:p>
      <w:pPr>
        <w:sectPr>
          <w:pgSz w:w="11900" w:h="16838" w:orient="portrait"/>
          <w:cols w:equalWidth="0" w:num="2">
            <w:col w:w="3740" w:space="66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600,000 shares</w:t>
      </w:r>
    </w:p>
    <w:p>
      <w:pPr>
        <w:spacing w:after="0" w:line="205" w:lineRule="exact"/>
        <w:rPr>
          <w:sz w:val="20"/>
          <w:szCs w:val="20"/>
          <w:color w:val="auto"/>
        </w:rPr>
      </w:pPr>
    </w:p>
    <w:p>
      <w:pPr>
        <w:sectPr>
          <w:pgSz w:w="11900" w:h="16838" w:orient="portrait"/>
          <w:cols w:equalWidth="0" w:num="2">
            <w:col w:w="3760" w:space="64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31,122,194 shares (31,272,194 shares if the underwriters exercise their option in full)</w:t>
      </w:r>
    </w:p>
    <w:p>
      <w:pPr>
        <w:spacing w:after="0" w:line="205"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color w:val="auto"/>
        </w:rPr>
        <w:t>We expect to use a portion of the net proceeds from the offering to repay the outstanding borrowings under our revolving credit facility. We intend to use the remaining net proceeds to us from this offering for general corporate purposes, which may include, among other things, financing of possible acquisitions, working capital and/or capital expenditures. We will not receive any proceeds from the sale of common stock by the selling stockholders.</w:t>
      </w:r>
    </w:p>
    <w:p>
      <w:pPr>
        <w:spacing w:after="0" w:line="10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As a portion of the net proceeds of this offering will be used to reduce our indebtedness under our revolving credit facility and as affiliates of Citigroup and J.P. Morgan serve as lenders under that facility, Citigroup and J.P. Morgan are each deemed to have a “conflict of interest” as defined in Rule 5121 of the Conduct Rules (Rule 5121) of the Financial Industry Regulatory Authority, Inc. Accordingly, this offering will be made in compliance with the applicable provisions of Rule 5121. Citigroup and J.P. Morgan will not make sales to discretionary accounts without the prior written consent of the customer. The appointment of a “qualified independent underwriter” is not required in connection with this offering, as a “bona fide public market,” as defined in Rule 5121, exists for our common shares.</w:t>
      </w:r>
    </w:p>
    <w:p>
      <w:pPr>
        <w:spacing w:after="0" w:line="106"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20"/>
        <w:spacing w:after="0" w:line="332" w:lineRule="auto"/>
        <w:rPr>
          <w:sz w:val="20"/>
          <w:szCs w:val="20"/>
          <w:color w:val="auto"/>
        </w:rPr>
      </w:pPr>
      <w:r>
        <w:rPr>
          <w:rFonts w:ascii="Arial" w:cs="Arial" w:eastAsia="Arial" w:hAnsi="Arial"/>
          <w:sz w:val="16"/>
          <w:szCs w:val="16"/>
          <w:color w:val="auto"/>
        </w:rPr>
        <w:t>You should read the “Risk Factors” section of this prospectus supplement for a discussion of factors that you should consider carefully before deciding to invest in our common stock.</w:t>
      </w:r>
    </w:p>
    <w:p>
      <w:pPr>
        <w:spacing w:after="0" w:line="7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EXLS</w:t>
      </w:r>
    </w:p>
    <w:p>
      <w:pPr>
        <w:spacing w:after="0" w:line="113"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right="260" w:firstLine="443"/>
        <w:spacing w:after="0" w:line="268" w:lineRule="auto"/>
        <w:rPr>
          <w:sz w:val="20"/>
          <w:szCs w:val="20"/>
          <w:color w:val="auto"/>
        </w:rPr>
      </w:pPr>
      <w:r>
        <w:rPr>
          <w:rFonts w:ascii="Arial" w:cs="Arial" w:eastAsia="Arial" w:hAnsi="Arial"/>
          <w:sz w:val="18"/>
          <w:szCs w:val="18"/>
          <w:color w:val="auto"/>
        </w:rPr>
        <w:t>Unless otherwise indicated, all information in this prospectus supplement relating to outstanding shares of our common stock is as of September 9, 2011 and excludes as of that date:</w:t>
      </w:r>
    </w:p>
    <w:p>
      <w:pPr>
        <w:spacing w:after="0" w:line="37" w:lineRule="exact"/>
        <w:rPr>
          <w:sz w:val="20"/>
          <w:szCs w:val="20"/>
          <w:color w:val="auto"/>
        </w:rPr>
      </w:pPr>
    </w:p>
    <w:p>
      <w:pPr>
        <w:ind w:left="840" w:right="260" w:hanging="211"/>
        <w:spacing w:after="0" w:line="325"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3,004,041 shares of our common stock issuable upon the exercise of stock options outstanding with a weighted average exercise price of $13.01 and 1,036,158 restricted stock units (each of which represents the right to receive a share of our common stock upon vesting); and</w:t>
      </w:r>
    </w:p>
    <w:p>
      <w:pPr>
        <w:spacing w:after="0" w:line="1" w:lineRule="exact"/>
        <w:rPr>
          <w:rFonts w:ascii="Arial" w:cs="Arial" w:eastAsia="Arial" w:hAnsi="Arial"/>
          <w:sz w:val="16"/>
          <w:szCs w:val="16"/>
          <w:color w:val="auto"/>
        </w:rPr>
      </w:pPr>
    </w:p>
    <w:p>
      <w:pPr>
        <w:ind w:left="840" w:hanging="211"/>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2,211,172 shares of our common stock available as of that date for future grant or issuance pursuant to our stock plans.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supplement assumes no exercise by the underwriters of their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risk. You should carefully consider the specific risks discussed in this prospectus supplement and the accompanying prospectus, together with all the other information contained or incorporated by reference in this prospectus supplement and the accompanying prospectus. You should also consider the risks, uncertainties and assumptions discussed under the heading “Item 1A. Risk Factors” included in our Annual Report on Form 10-K for the fiscal year ended December 31, 2010 and our Quarterly Reports on Form 10-Q for the quarters ended March 31, 2011 and June 30, 2011, incorporated by reference herein. These risk factors may be amended, supplemented or superseded from time to time by other reports we file with the Securities and Exchange Commission (the “SEC”)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this Offering and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intend to pay dividends in the foreseeable future, and, because we are a holding company, we may be unable to pay dividends.</w:t>
      </w:r>
    </w:p>
    <w:p>
      <w:pPr>
        <w:spacing w:after="0" w:line="1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 holding company, any dividend payments would depend on the cash flow of our subsidiaries. Accordingly, we may not be able to pay dividends even if our board of directors would otherwise deem it appropriate. For the foregoing reasons, you will not be able to rely on dividends to receive a return on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documents and Delaware law may delay or prevent our acquisition by a third party.</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relating to creating a board of directors that is divided into three classes with staggered terms;</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provisions relating to the number and election of directors, the appointment of directors upon an increase in the number of directors or vacancy and provisions permitting the removal of directors only for cause and with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w:t>
      </w:r>
    </w:p>
    <w:p>
      <w:pPr>
        <w:spacing w:after="0" w:line="37"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provisions requiring a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certificate of incorporation and for the adoption, amendment and repeal of our by-laws;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barring stockholders from calling a special meeting of stockholders or requiring one to be called;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the right of our stockholders to act by written consent; and</w:t>
      </w:r>
    </w:p>
    <w:p>
      <w:pPr>
        <w:spacing w:after="0" w:line="103" w:lineRule="exact"/>
        <w:rPr>
          <w:rFonts w:ascii="Arial" w:cs="Arial" w:eastAsia="Arial" w:hAnsi="Arial"/>
          <w:sz w:val="18"/>
          <w:szCs w:val="18"/>
          <w:color w:val="auto"/>
        </w:rPr>
      </w:pPr>
    </w:p>
    <w:p>
      <w:pPr>
        <w:ind w:left="660" w:right="90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that set forth advance notice procedures for stockholders’ nominations of directors and proposals for consideration at meetings of stockholders.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Additionally, because we are incorporated in Delaware, 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became an interested stockholder unless various conditions are satisfied. For more information, see “Description of Capital Stock” in the accompanying prospectus.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and you may lose all or part of your investment.</w:t>
      </w:r>
    </w:p>
    <w:p>
      <w:pPr>
        <w:spacing w:after="0" w:line="83" w:lineRule="exact"/>
        <w:rPr>
          <w:sz w:val="20"/>
          <w:szCs w:val="20"/>
          <w:color w:val="auto"/>
        </w:rPr>
      </w:pPr>
    </w:p>
    <w:p>
      <w:pPr>
        <w:jc w:val="both"/>
        <w:ind w:right="400" w:firstLine="456"/>
        <w:spacing w:after="0" w:line="347" w:lineRule="auto"/>
        <w:rPr>
          <w:sz w:val="20"/>
          <w:szCs w:val="20"/>
          <w:color w:val="auto"/>
        </w:rPr>
      </w:pPr>
      <w:r>
        <w:rPr>
          <w:rFonts w:ascii="Arial" w:cs="Arial" w:eastAsia="Arial" w:hAnsi="Arial"/>
          <w:sz w:val="15"/>
          <w:szCs w:val="15"/>
          <w:color w:val="auto"/>
        </w:rPr>
        <w:t>The market price of our common stock could fluctuate significantly, in which case you may not be able to resell your shares at or above your purchase price. The market price of our common stock may fluctuate based on a number of factors in addition to those listed in this prospectus supplement, including:</w:t>
      </w:r>
    </w:p>
    <w:p>
      <w:pPr>
        <w:spacing w:after="0" w:line="1"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other similar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research analysts who track our common stock or the stocks of other companies in our industry;</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our publicly traded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our current stockholders, including this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arrival or departure of key personnel or personal matters affecting our principal stockholders;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These fluctuations are often unrelated to the operating performance of particular companies. These broad market fluctuations may cause declines in the market price of our common stock. The price of our common stock could fluctuate based upon factors that have little or nothing to do with our company or its performance, and these fluctuations could materially reduce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Sales of a substantial number of shares of our common stock, or the perception that a large number of shares will be sold, could cause the market price of our common stock to decline. As of September 9, 2011, we had 30,122,194 shares of our common stock outstanding. Of these, 10,597,497 shares (or 10,147,497 shares if the underwriters exercise their option in full) will be restricted pursuant to Rule 144 under the Securities Act after giving effect to this offering. The holders of approximately 3,000,000 of these restricted shares of our common stock after giving effect to this offering (or 2,550,000 shares if the underwriters exercise their option in full) have caused their shares to be registered under the registration statement of which this prospectus supplement and the accompanying prospectus are parts. In addition, the restricted shares may be sold under Rule 144 from time to time subject to the volume, manner of sale and other conditions of Rule 144. Although the selling stockholders and our directors, executive officers and stockholders who beneficially own in the aggregate 10,597,497 shares of our common stock after giving effect to this offering (or 10,147,497 shares if the underwriters exercise their option in full) have entered into 90-day underwriter lock-up agreements, the underwriter may waive the lock-up restrictions at its discretion.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380"/>
          </w:cols>
          <w:pgMar w:left="240" w:top="459" w:right="279" w:bottom="1440" w:gutter="0" w:footer="0" w:header="0"/>
        </w:sectPr>
      </w:pP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the net proceeds from the sale of common stock by us in this offering will be approximately $ sale of common stock by the selling stockholders.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We will not receive any proceeds from the</w:t>
      </w:r>
    </w:p>
    <w:p>
      <w:pPr>
        <w:spacing w:after="0" w:line="396" w:lineRule="exact"/>
        <w:rPr>
          <w:sz w:val="20"/>
          <w:szCs w:val="20"/>
          <w:color w:val="auto"/>
        </w:rPr>
      </w:pPr>
    </w:p>
    <w:p>
      <w:pPr>
        <w:sectPr>
          <w:pgSz w:w="11900" w:h="16838" w:orient="portrait"/>
          <w:cols w:equalWidth="0" w:num="2">
            <w:col w:w="7960" w:space="340"/>
            <w:col w:w="3080"/>
          </w:cols>
          <w:pgMar w:left="240" w:top="459" w:right="279" w:bottom="1440" w:gutter="0" w:footer="0" w:header="0"/>
          <w:type w:val="continuous"/>
        </w:sectPr>
      </w:pPr>
    </w:p>
    <w:p>
      <w:pPr>
        <w:ind w:firstLine="456"/>
        <w:spacing w:after="0" w:line="256" w:lineRule="auto"/>
        <w:rPr>
          <w:sz w:val="20"/>
          <w:szCs w:val="20"/>
          <w:color w:val="auto"/>
        </w:rPr>
      </w:pPr>
      <w:r>
        <w:rPr>
          <w:rFonts w:ascii="Arial" w:cs="Arial" w:eastAsia="Arial" w:hAnsi="Arial"/>
          <w:sz w:val="18"/>
          <w:szCs w:val="18"/>
          <w:color w:val="auto"/>
        </w:rPr>
        <w:t>We expect to use a portion of the net proceeds from the offering to repay the outstanding borrowings under our $50 million revolving credit facility. The borrowings under the revolving credit facility were used to fund the OPI Acquisition. Following such repayment, the revolving credit facility will remain in effect with available borrowings of up to $50 million. The revolving credit facility bears interest at a variable rate based on our leverage ratio and either the prime rate or LIBOR, and will mature on May 26, 2014.</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intend to use the remaining net proceeds to us from this offering for general corporate purposes, which may include, among other things, financing of possible acquisitions, working capital and/or capital expenditures.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“EXLS.” The following table sets forth the high and low sales prices per share of our common stock, as reported by the Nasdaq Global Select Market, for the periods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6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Third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18.39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6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Fourth Quarter</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622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First Quarter</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24.75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Third Quarter (through September 12, 2011)</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26.55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closing sale price of our common stock, as reported by the Nasdaq Global Select Market, on September 12, 2011 was $24.89. As of September 9, 2011, there were approximately 23 holders of record of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our cash and cash equivalents and capitalization as of June 30, 2011 on an actual basis and as adjusted to give effect to this offering and the use of net proceeds thereof.</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table should be read in conjunction with “Item 7. Management’s Discussion and Analysis of Financial Condition and Results of Operations” and the financial statements and notes thereto set forth in our Quarterly Report on Form 10-Q for the quarter ended June 30, 2011, incorporated by reference herein.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6"/>
          </w:tcPr>
          <w:p>
            <w:pPr>
              <w:jc w:val="center"/>
              <w:ind w:left="177"/>
              <w:spacing w:after="0"/>
              <w:rPr>
                <w:sz w:val="20"/>
                <w:szCs w:val="20"/>
                <w:color w:val="auto"/>
              </w:rPr>
            </w:pPr>
            <w:r>
              <w:rPr>
                <w:rFonts w:ascii="Arial" w:cs="Arial" w:eastAsia="Arial" w:hAnsi="Arial"/>
                <w:sz w:val="14"/>
                <w:szCs w:val="14"/>
                <w:b w:val="1"/>
                <w:bCs w:val="1"/>
                <w:color w:val="auto"/>
                <w:w w:val="86"/>
              </w:rPr>
              <w:t>As of June 30, 2011</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8"/>
              </w:rPr>
              <w:t>Actual</w:t>
            </w:r>
          </w:p>
        </w:tc>
        <w:tc>
          <w:tcPr>
            <w:tcW w:w="20" w:type="dxa"/>
            <w:vAlign w:val="bottom"/>
          </w:tcPr>
          <w:p>
            <w:pPr>
              <w:spacing w:after="0"/>
              <w:rPr>
                <w:sz w:val="22"/>
                <w:szCs w:val="22"/>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84"/>
              </w:rPr>
              <w:t>(in thousands, except share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center"/>
              <w:ind w:left="177"/>
              <w:spacing w:after="0"/>
              <w:rPr>
                <w:sz w:val="20"/>
                <w:szCs w:val="20"/>
                <w:color w:val="auto"/>
              </w:rPr>
            </w:pPr>
            <w:r>
              <w:rPr>
                <w:rFonts w:ascii="Arial" w:cs="Arial" w:eastAsia="Arial" w:hAnsi="Arial"/>
                <w:sz w:val="14"/>
                <w:szCs w:val="14"/>
                <w:b w:val="1"/>
                <w:bCs w:val="1"/>
                <w:color w:val="auto"/>
                <w:w w:val="86"/>
              </w:rPr>
              <w:t>per share amounts)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12"/>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30,312,901 shares issued and 29,989,504 shares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144,878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129,102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stockholders’ equity including shares held in treasury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276,399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Less: 323,397 shares held in treasury, at cost</w:t>
            </w: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(2,712)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ExlService Holdings, Inc. stockholders’ equity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273,687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279,439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1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7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-3011805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-3011805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-3011805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-3011805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-3011805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-3011805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-2711450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-2711450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-2711450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-2711450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-2711450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-2711450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-172720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5220" w:hanging="5583"/>
        <w:spacing w:after="0" w:line="440" w:lineRule="auto"/>
        <w:tabs>
          <w:tab w:leader="none" w:pos="440" w:val="left"/>
        </w:tabs>
        <w:rPr>
          <w:sz w:val="20"/>
          <w:szCs w:val="20"/>
          <w:color w:val="auto"/>
        </w:rPr>
      </w:pPr>
      <w:r>
        <w:rPr>
          <w:rFonts w:ascii="Arial" w:cs="Arial" w:eastAsia="Arial" w:hAnsi="Arial"/>
          <w:sz w:val="18"/>
          <w:szCs w:val="18"/>
          <w:color w:val="auto"/>
        </w:rPr>
        <w:t>(1)</w:t>
        <w:tab/>
        <w:t>Represents borrowings under our revolving credit facility. See “Use of Proceeds.” 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for each selling stockholder:</w:t>
      </w:r>
    </w:p>
    <w:p>
      <w:pPr>
        <w:spacing w:after="0" w:line="7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selling stockholder’s name;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owned by the selling stockholder prior to the offering;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to be offered for the selling stockholder’s account;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percentage of shares of common stock to be owned by the selling stockholder after completion of the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8"/>
          </w:tcPr>
          <w:p>
            <w:pPr>
              <w:jc w:val="center"/>
              <w:ind w:left="252"/>
              <w:spacing w:after="0"/>
              <w:rPr>
                <w:sz w:val="20"/>
                <w:szCs w:val="20"/>
                <w:color w:val="auto"/>
              </w:rPr>
            </w:pPr>
            <w:r>
              <w:rPr>
                <w:rFonts w:ascii="Arial" w:cs="Arial" w:eastAsia="Arial" w:hAnsi="Arial"/>
                <w:sz w:val="14"/>
                <w:szCs w:val="14"/>
                <w:b w:val="1"/>
                <w:bCs w:val="1"/>
                <w:color w:val="auto"/>
                <w:w w:val="87"/>
              </w:rPr>
              <w:t>Shares Beneficially Owned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Shares Offered Hereby</w:t>
            </w:r>
          </w:p>
        </w:tc>
        <w:tc>
          <w:tcPr>
            <w:tcW w:w="200" w:type="dxa"/>
            <w:vAlign w:val="bottom"/>
          </w:tcPr>
          <w:p>
            <w:pPr>
              <w:spacing w:after="0"/>
              <w:rPr>
                <w:sz w:val="15"/>
                <w:szCs w:val="15"/>
                <w:color w:val="auto"/>
              </w:rPr>
            </w:pPr>
          </w:p>
        </w:tc>
        <w:tc>
          <w:tcPr>
            <w:tcW w:w="2520" w:type="dxa"/>
            <w:vAlign w:val="bottom"/>
            <w:gridSpan w:val="8"/>
          </w:tcPr>
          <w:p>
            <w:pPr>
              <w:jc w:val="center"/>
              <w:ind w:left="252"/>
              <w:spacing w:after="0"/>
              <w:rPr>
                <w:sz w:val="20"/>
                <w:szCs w:val="20"/>
                <w:color w:val="auto"/>
              </w:rPr>
            </w:pPr>
            <w:r>
              <w:rPr>
                <w:rFonts w:ascii="Arial" w:cs="Arial" w:eastAsia="Arial" w:hAnsi="Arial"/>
                <w:sz w:val="14"/>
                <w:szCs w:val="14"/>
                <w:b w:val="1"/>
                <w:bCs w:val="1"/>
                <w:color w:val="auto"/>
                <w:w w:val="89"/>
              </w:rPr>
              <w:t>Immediately After the Closing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Assuming No</w:t>
            </w:r>
          </w:p>
        </w:tc>
        <w:tc>
          <w:tcPr>
            <w:tcW w:w="1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Assuming Full</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252"/>
              <w:spacing w:after="0" w:line="149" w:lineRule="exact"/>
              <w:rPr>
                <w:sz w:val="20"/>
                <w:szCs w:val="20"/>
                <w:color w:val="auto"/>
              </w:rPr>
            </w:pPr>
            <w:r>
              <w:rPr>
                <w:rFonts w:ascii="Arial" w:cs="Arial" w:eastAsia="Arial" w:hAnsi="Arial"/>
                <w:sz w:val="14"/>
                <w:szCs w:val="14"/>
                <w:b w:val="1"/>
                <w:bCs w:val="1"/>
                <w:color w:val="auto"/>
                <w:w w:val="85"/>
              </w:rPr>
              <w:t>Exercise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247"/>
              <w:spacing w:after="0" w:line="149" w:lineRule="exact"/>
              <w:rPr>
                <w:sz w:val="20"/>
                <w:szCs w:val="20"/>
                <w:color w:val="auto"/>
              </w:rPr>
            </w:pPr>
            <w:r>
              <w:rPr>
                <w:rFonts w:ascii="Arial" w:cs="Arial" w:eastAsia="Arial" w:hAnsi="Arial"/>
                <w:sz w:val="14"/>
                <w:szCs w:val="14"/>
                <w:b w:val="1"/>
                <w:bCs w:val="1"/>
                <w:color w:val="auto"/>
                <w:w w:val="85"/>
              </w:rPr>
              <w:t>Exercise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4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1040" w:type="dxa"/>
            <w:vAlign w:val="bottom"/>
            <w:gridSpan w:val="2"/>
          </w:tcPr>
          <w:p>
            <w:pPr>
              <w:jc w:val="center"/>
              <w:ind w:left="306"/>
              <w:spacing w:after="0"/>
              <w:rPr>
                <w:sz w:val="20"/>
                <w:szCs w:val="20"/>
                <w:color w:val="auto"/>
              </w:rPr>
            </w:pPr>
            <w:r>
              <w:rPr>
                <w:rFonts w:ascii="Arial" w:cs="Arial" w:eastAsia="Arial" w:hAnsi="Arial"/>
                <w:sz w:val="14"/>
                <w:szCs w:val="14"/>
                <w:b w:val="1"/>
                <w:bCs w:val="1"/>
                <w:color w:val="auto"/>
                <w:w w:val="92"/>
              </w:rPr>
              <w:t>Offering(1)</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Underwriters’</w:t>
            </w: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Offering</w:t>
            </w:r>
          </w:p>
        </w:tc>
        <w:tc>
          <w:tcPr>
            <w:tcW w:w="840" w:type="dxa"/>
            <w:vAlign w:val="bottom"/>
          </w:tcPr>
          <w:p>
            <w:pPr>
              <w:jc w:val="right"/>
              <w:ind w:right="142"/>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10,278,942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2,925,000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438,750</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7,353,942</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6,915,192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Oak Hill Capital Management Partners, L.P.(2)</w:t>
            </w:r>
          </w:p>
        </w:tc>
        <w:tc>
          <w:tcPr>
            <w:tcW w:w="840" w:type="dxa"/>
            <w:vAlign w:val="bottom"/>
          </w:tcPr>
          <w:p>
            <w:pPr>
              <w:jc w:val="right"/>
              <w:spacing w:after="0"/>
              <w:rPr>
                <w:sz w:val="20"/>
                <w:szCs w:val="20"/>
                <w:color w:val="auto"/>
              </w:rPr>
            </w:pPr>
            <w:r>
              <w:rPr>
                <w:rFonts w:ascii="Arial" w:cs="Arial" w:eastAsia="Arial" w:hAnsi="Arial"/>
                <w:sz w:val="18"/>
                <w:szCs w:val="18"/>
                <w:color w:val="auto"/>
              </w:rPr>
              <w:t>263,562</w:t>
            </w:r>
          </w:p>
        </w:tc>
        <w:tc>
          <w:tcPr>
            <w:tcW w:w="20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188,562</w:t>
            </w:r>
          </w:p>
        </w:tc>
        <w:tc>
          <w:tcPr>
            <w:tcW w:w="40" w:type="dxa"/>
            <w:vAlign w:val="bottom"/>
          </w:tcPr>
          <w:p>
            <w:pPr>
              <w:spacing w:after="0"/>
              <w:rPr>
                <w:sz w:val="19"/>
                <w:szCs w:val="19"/>
                <w:color w:val="auto"/>
              </w:rPr>
            </w:pP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177,312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pursuant to Rule 13(d)-l as of September 9, 2011, at which date there were 30,122,194 shares of common stock outstanding.</w:t>
      </w:r>
    </w:p>
    <w:p>
      <w:pPr>
        <w:spacing w:after="0" w:line="76"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1620,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are made by an investment committee of OHCP MGP, LLC. The members of such committee are J. Taylor Crandall, Jonathan E. Friesel, Michael S. Green, Steven B. Gruber, Stratton R. Heath III, Robert L. Morse Jr. and Dennis J. Nayden. Each of these individuals disclaims beneficial ownership of the shares owned by the Oak Hill Partnerships.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B. Gruber, our Lead Director, is a Managing Partner of Oak Hill Capital Management, Inc., the investment advisor to Oak Hill Capital Partners, L.P., and Edward V. Dardani, one of our directors, is a partner of Oak Hill Capital Management,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FOR NON-U.S. HOLDERS</w:t>
      </w:r>
    </w:p>
    <w:p>
      <w:pPr>
        <w:spacing w:after="0" w:line="1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is a discussion of the material U.S. federal income tax consequences of the acquisition, ownership and disposition of our common stock by Non-U.S. Holders (as defined below) that acquire our common stock pursuant to this offering and that hold such shares as capital assets (generally, for investment). This discussion is not a complete analysis or listing of all of the possible tax consequences of such transactions and does not address all tax considerations that might be relevant to particular holders in light of their personal circumstances or to persons that are subject to special tax rules. In addition, this description of the material U.S. federal income tax consequences does not address the tax treatment of special classes of Non-U.S. Holders, such as:</w:t>
      </w:r>
    </w:p>
    <w:p>
      <w:pPr>
        <w:spacing w:after="0" w:line="21"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the shares as part of a hedging, integrated or conversion transaction, constructive sale or “straddle;”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persons who acquired common stock through the exercise or cancellation of employee stock options or otherwise as compensation for their services;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the alternative minimum tax;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summary does not address estate and gift tax consequences (except to the extent specifically provided herein) or tax consequences under any state, local or foreign laws.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you are a “U.S. Holder” if you are: (1) an individual citizen of the United States or a resident alien of the United States as determined for U.S. federal income tax purposes; (2) a corporation (or other entity treated as a corporation for U.S. federal income tax purposes) created or organized under the laws of the United States or any state thereof or the District of Columbia; (3) an estate, the income of which is subject to U.S. federal income taxation regardless of its source; or (4) a trust (A) if a court within the United States is able to exercise primary jurisdiction over its administration and one or more U.S. persons have authority to control all substantial decisions of the trust or (B) that has a valid election in effect under applicable U.S. Department of Treasury (“Treasury”) regulations to be treated as a U.S. person.</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term “Non-U.S. Holder” means any Holder of our common stock that is neither a U.S. Holder nor a partnership (including for this purpose any entity that is treated as a partnership for U.S. federal income tax purposes).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or other pass-through entity is a beneficial owner of our common stock, the tax treatment of a partner or other owner will generally depend upon the status of the partner (or other owner) and the activities of the entity. If you are a partner (or other owner) of a pass-through entity that acquires our common stock, you should consult your tax advisor regarding the tax consequences of acquiring, owning and disposing of our common stock.</w:t>
      </w:r>
    </w:p>
    <w:p>
      <w:pPr>
        <w:spacing w:after="0" w:line="9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discussion is based upon the Internal Revenue Code of 1986, as amended (the “Code”), U.S. judicial decisions, administrative pronouncements and existing and proposed Treasury regulations, all as in effect as of the date hereof. All of the preceding authorities are subject to change, possibly with retroactive effect,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which may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discussion is for general information only and is not intended to be, nor should it be construed to be, legal or tax advice to any holder or prospective holder of our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We do not presently anticipate paying dividends on shares of our common stock in the foreseeable future. For more information, please see “Risk Factors—Risks Related to this Offering and our Common Stock” above. Subject to the discussion of U.S. trade or business income below, distributions of cash and property that constitute dividends for U.S. federal income tax purposes generally will be subject to U.S. federal withholding at a thirty percent (30%) rate unless a reduced rate is prescribed by an applicable income tax treaty.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on the entire distribution, in which case you would be entitled to a refund from the IRS for the withholding tax on the portion of the distribution that exceeded our current and accumulated earnings and profits.</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discussion of FATCA below, in order to obtain a reduced rate of U.S. federal withholding tax under an applicable income tax treaty, you will be required to provide a properly executed IRS Form W-8BEN (or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income tax treaty.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the discussion below concerning backup withholding and FATCA, you generally will not be subject to U.S. federal income or withholding tax in respect of any gain on a sale, exchange or other disposition of our common stock unless:</w:t>
      </w:r>
    </w:p>
    <w:p>
      <w:pPr>
        <w:spacing w:after="0" w:line="37"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26" w:lineRule="exact"/>
        <w:rPr>
          <w:rFonts w:ascii="Arial" w:cs="Arial" w:eastAsia="Arial" w:hAnsi="Arial"/>
          <w:sz w:val="16"/>
          <w:szCs w:val="16"/>
          <w:color w:val="auto"/>
        </w:rPr>
      </w:pPr>
    </w:p>
    <w:p>
      <w:pPr>
        <w:ind w:left="660" w:right="6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tax treaty) on the amount by which certain capital gains allocable to U.S. sources exceed certain capital losses allocable to U.S. sources; or</w:t>
      </w:r>
    </w:p>
    <w:p>
      <w:pPr>
        <w:spacing w:after="0" w:line="12"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 “USRPHC”)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in the same manner as U.S. trade or business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if your holdings (direct and indirect) at all times during the applicable period constituted 5% or less of our common stock, provided that our common stock was regularly traded on an established securities market during such period. We believe that we are not currently, and we do not anticipate becoming in the future, a “U.S. real property holding corporation” for U.S. federal income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Trade or Business Income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(A) such income or gain is (i) effectively connected with your conduct of a trade or business within the United States and (ii) if you are eligible for the benefits of an income tax treaty with the United States, attributable to a permanent establishment (or, if you are an individual, a fixed base) that you maintain in the United States or (B) we are or have been a USRPHC at any time during the shorter of the five-year period ending on the date of the disposition of your interest and your holding period for the common stock (subject to the exception set forth above in the second paragraph of “Sale, Exchange or Other Taxable Disposition of Common Stock”).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are an individual Non-U.S. Holder who is treated as the owner of or has made certain lifetime transfers of an interest in our common stock, you will be required to include the value thereof in your gross estate for U.S. federal estate tax purposes, and you may be subject to U.S. federal estate tax unless an applicable estate tax treaty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Tax</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successor form) or otherwise establish an exemption and we do not have actual knowledge or reason to know that you are a U.S. person or that the conditions of such other exemption are not, in fact, satisfied.</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Treasury regulations require information reporting (but not backup withholding) on the payment unless the broker has documentary evidence in its files that the owner is a Non-U.S. Holder and the broker has no knowledge to the contrary. You are urged to consult your tax advisor on the application of information reporting and backup withholding in light of your particular circumstances.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Code provisions commonly referred to as “FATCA,” foreign financial institutions (which include most hedge funds, private equity funds, mutual funds, securitization vehicles and any other investment vehicles regardless of their size) must comply with certain information reporting rules with respect to their U.S. account holders and investors or be subject to a 30% withholding tax with respect to certain “withholdable payments.” For this purpose, withholdable payments are U.S.-source payments otherwise subject to nonresident withholding tax and also include the entire gross proceeds from the sale of any equity or debt instruments of U.S. issuers. The new FATCA withholding tax will apply even if the payment would otherwise not be subject to U.S. nonresident withholding tax (e.g., because it is capital gain treated as foreign source income under the Code). 2011 IRS guidance provides that regulations implementing this legislation will defer this withholding obligation until January 1, 2014 for payments of dividends on U.S. common stock and until January 1, 2015 for gross proceeds from dispositions of U.S. common stock. Treasury is authorized to provide rules for implementing the FATCA withholding regime and coordinating the FATCA withholding regime with the existing nonresident withholding tax rules.</w:t>
      </w:r>
    </w:p>
    <w:p>
      <w:pPr>
        <w:spacing w:after="0" w:line="1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FATCA withholding will not apply to withholdable payments made directly to foreign governments, international organizations, and foreign central banks of issue, and Treasury is authorized to provide additional exceptions.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Non-U.S. Holders are urged to consult with their own tax advisors regarding the effect, if any, of the FATCA provisions to them based on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 on Investment Income</w:t>
      </w:r>
    </w:p>
    <w:p>
      <w:pPr>
        <w:spacing w:after="0" w:line="8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For taxable years beginning after December 31, 2012, certain persons, including certain individuals, estates and trusts that do not qualify as “nonresident aliens” within the meaning of Section 1411 of the Code, will be required to pay a 3.8% Medicare surtax on “net investment income” including, among other things, dividends and net gain from disposition of property (other than property held in a trade or business). The term “nonresident alien” is not defined in Section 1411 or elsewhere in the Code, and it is unclear whether the term refers only to nonresident alien individuals or whether the term also includes foreign estates and trusts. Accordingly, Non-U.S. Holders are urged to consult with their own tax advisors regarding the effect, if any, of the Health Care and Education Reconciliation Act of 2010 on their ownership and disposition of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Citigroup Global Markets Inc. (“Citigroup”) and J.P. Morgan Securities LLC (“J.P. Morgan”) are acting as joint book-running managers of the offering and as representatives of the underwriters named below. Subject to the terms and conditions stated in the underwriting agreement dated as of the date of this prospectus supplement, each underwriter named below has severally agreed to purchase, and we and the selling stockholders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65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Number</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81915</wp:posOffset>
            </wp:positionV>
            <wp:extent cx="523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20" w:space="720"/>
            <w:col w:w="780"/>
          </w:cols>
          <w:pgMar w:left="240" w:top="459"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75565</wp:posOffset>
            </wp:positionV>
            <wp:extent cx="548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r>
      <w:tr>
        <w:trPr>
          <w:trHeight w:val="132"/>
        </w:trPr>
        <w:tc>
          <w:tcPr>
            <w:tcW w:w="1048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supplement.</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Any shares sold by the underwriters to securities dealers may be sold at a discount from the initial public offering price not to exceed $ per share. If all the shares are not sold at the initial offering price, the underwriters may change the offering price and the other selling terms.</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If the underwriters sell more shares than the total number set forth in the table above, we and the selling stockholders have granted to the underwriters an option, exercisable for 30 days from the date of this prospectus supplement, to purchase up to 600,000 additional shares at the public offering price less the underwriting discount.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2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We, our executive officers and directors, and the selling stockholders have agreed that for a period of 90 days from the date of this prospectus supplement, we and they will not, without the prior written consent of Citigroup and J.P. Morgan, dispose of any shares or any securities convertible into or exchangeable for our common stock. The lock-up agreements are subject to certain exceptions, including, among others, (i) sales of shares of our common stock disposed of pursuant to written trading plans existing on the date of the lock-up agreements and meeting the requirements of Rule 10b5-1 under the Exchange Act, and (ii) distributions of shares of common stock or any security convertible into common stock to limited partners, members or stockholders of the person signing the agreement or to its affiliates or to any investment fund or other entity controlled or managed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each distributee shall sign and deliver a lock-up agreement. Citigroup and J.P. Morgan in their sole discretion may release any of the securities subject to these lock-up agreements at any time without notice.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are listed on the Nasdaq Global Select Market under the symbol “EXLS.”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and the selling stockholders are to pay to the underwriters in connection with this offering. These amounts are shown assuming both no exercise and full exercise of the underwriters’ option.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Paid by ExlService</w:t>
            </w:r>
          </w:p>
        </w:tc>
        <w:tc>
          <w:tcPr>
            <w:tcW w:w="540" w:type="dxa"/>
            <w:vAlign w:val="bottom"/>
          </w:tcPr>
          <w:p>
            <w:pPr>
              <w:spacing w:after="0"/>
              <w:rPr>
                <w:sz w:val="15"/>
                <w:szCs w:val="15"/>
                <w:color w:val="auto"/>
              </w:rPr>
            </w:pPr>
          </w:p>
        </w:tc>
        <w:tc>
          <w:tcPr>
            <w:tcW w:w="2100" w:type="dxa"/>
            <w:vAlign w:val="bottom"/>
            <w:gridSpan w:val="4"/>
          </w:tcPr>
          <w:p>
            <w:pPr>
              <w:ind w:left="180"/>
              <w:spacing w:after="0"/>
              <w:rPr>
                <w:sz w:val="20"/>
                <w:szCs w:val="20"/>
                <w:color w:val="auto"/>
              </w:rPr>
            </w:pPr>
            <w:r>
              <w:rPr>
                <w:rFonts w:ascii="Arial" w:cs="Arial" w:eastAsia="Arial" w:hAnsi="Arial"/>
                <w:sz w:val="14"/>
                <w:szCs w:val="14"/>
                <w:b w:val="1"/>
                <w:bCs w:val="1"/>
                <w:color w:val="auto"/>
                <w:w w:val="98"/>
              </w:rPr>
              <w:t>Paid by Selling 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2"/>
              </w:rPr>
              <w:t>No Exercise</w:t>
            </w:r>
          </w:p>
        </w:tc>
        <w:tc>
          <w:tcPr>
            <w:tcW w:w="54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3"/>
              </w:rPr>
              <w:t>Full Exercise</w:t>
            </w:r>
          </w:p>
        </w:tc>
        <w:tc>
          <w:tcPr>
            <w:tcW w:w="54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4"/>
              </w:rPr>
              <w:t>No Exercise</w:t>
            </w:r>
          </w:p>
        </w:tc>
        <w:tc>
          <w:tcPr>
            <w:tcW w:w="5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4400" w:type="dxa"/>
            <w:vAlign w:val="bottom"/>
            <w:gridSpan w:val="2"/>
            <w:shd w:val="clear" w:color="auto" w:fill="CCEEFF"/>
          </w:tcPr>
          <w:p>
            <w:pPr>
              <w:ind w:left="37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ind w:left="37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0" w:type="dxa"/>
            <w:vAlign w:val="bottom"/>
            <w:gridSpan w:val="2"/>
          </w:tcPr>
          <w:p>
            <w:pPr>
              <w:ind w:left="2440"/>
              <w:spacing w:after="0"/>
              <w:rPr>
                <w:sz w:val="20"/>
                <w:szCs w:val="20"/>
                <w:color w:val="auto"/>
              </w:rPr>
            </w:pPr>
            <w:r>
              <w:rPr>
                <w:rFonts w:ascii="Arial" w:cs="Arial" w:eastAsia="Arial" w:hAnsi="Arial"/>
                <w:sz w:val="18"/>
                <w:szCs w:val="18"/>
                <w:color w:val="auto"/>
              </w:rPr>
              <w:t>S-13</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6"/>
          <w:szCs w:val="16"/>
          <w:color w:val="auto"/>
        </w:rPr>
        <w:t>We estimate that our portion of the total expenses of this offering will be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4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26" w:lineRule="exact"/>
        <w:rPr>
          <w:rFonts w:ascii="Arial" w:cs="Arial" w:eastAsia="Arial" w:hAnsi="Arial"/>
          <w:sz w:val="16"/>
          <w:szCs w:val="16"/>
          <w:color w:val="auto"/>
        </w:rPr>
      </w:pPr>
    </w:p>
    <w:p>
      <w:pPr>
        <w:ind w:left="900" w:right="36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37" w:lineRule="exact"/>
        <w:rPr>
          <w:rFonts w:ascii="Arial" w:cs="Arial" w:eastAsia="Arial" w:hAnsi="Arial"/>
          <w:sz w:val="18"/>
          <w:szCs w:val="18"/>
          <w:color w:val="auto"/>
        </w:rPr>
      </w:pPr>
    </w:p>
    <w:p>
      <w:pPr>
        <w:ind w:left="900" w:right="20" w:hanging="217"/>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00" w:hanging="217"/>
        <w:spacing w:after="0" w:line="306"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right="360" w:hanging="217"/>
        <w:spacing w:after="0" w:line="256"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shares in the open market after the distribution has been completed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Select Market, in the over-the-counter market or otherwise. If the underwriters commence any of these transactions, they may discontinue them at any time.</w:t>
      </w:r>
    </w:p>
    <w:p>
      <w:pPr>
        <w:spacing w:after="0" w:line="99"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Citigroup and J.P. Morgan are lenders, and in some cases agents or managers for the lenders, under our revolving credit facility.</w:t>
      </w:r>
    </w:p>
    <w:p>
      <w:pPr>
        <w:spacing w:after="0" w:line="9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a portion of the net proceeds of this offering will be used to reduce our indebtedness under our revolving credit facility and as affiliates of Citigroup and J.P. Morgan serve as lenders under that facility, Citigroup and J.P. Morgan are each deemed to have a “conflict of interest” as defined in Rule 5121 of the Conduct Rules (Rule 5121) of the Financial Industry Regulatory Authority, Inc. Accordingly, this offering will be made in compliance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applicable provisions of Rule 5121. Citigroup and J.P. Morgan will not make sales to discretionary accounts without the prior written consent of the customer. The appointment of a “qualified independent underwriter” is not required in connection with this offering, as a “bona fide public market,” as defined in Rule 5121, exists for our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93"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supplement. Accordingly, no purchaser of the shares, other than the underwriters, is authorized to make any further offer of the shares on behalf of the sellers or the underwriters.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are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8"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 offered in this prospectus supplement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40" w:hanging="206"/>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upon the validity of the common stock offered by this prospectus supplement and the accompanying prospectus for us. Shearman &amp; Sterling LLP New York, New York, is representing the underwriters in connection with this offering. Paul, Weiss, Rifkind, Wharton &amp; Garrison LLP has represented the Oak Hill Partnerships from time to time and certain members of Paul, Weiss, Rifkind, Wharton &amp; Garrison LLP own an indirect interest in Oak Hill Capital Management Partners, L.P.</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consolidated financial statements of ExlService Holdings, Inc. appearing in ExlService Holdings Inc.’s Annual Report (Form 10-K) for the year ended December 31, 2010, and the effectiveness of ExlService Holdings, Inc.’s internal control over financial reporting as of December 31, 2010 have been audited by Ernst &amp; Young LLP, independent registered public accounting firm, as set forth in their reports thereon, included therein, and incorporated herein by reference.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Such consolidated financial statements and ExlService Holdings Inc. management’s assessment of the effectiveness of internal control over financial reporting as of December 31, 2010 are incorporated herein by reference in reliance upon such reports given on the authority of such firm as experts in accounting and auditing.</w:t>
      </w:r>
    </w:p>
    <w:p>
      <w:pPr>
        <w:spacing w:after="0" w:line="1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consolidated financial statements of Business Process Outsourcing, Inc. as of December 31, 2010 and 2009, and for each of the three years in the period ended December 31, 2010 have been audited by Ernst &amp; Young, an independent registered public accounting firm, as set forth in their report thereon and incorporated herein by reference, and are included in reliance upon such report given on the authority of such firm as experts in accounting and auditing.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http://www.exlservice.com. Our website is not a part of this prospectus supplement. You may also read and copy any document we file at the SEC’s public reference room, 100 F Street, N.E., Washington, D.C. 20549. Please call the SEC at 1-800-SEC-0330 for further information on the operation of the public reference room.</w:t>
      </w:r>
    </w:p>
    <w:p>
      <w:pPr>
        <w:spacing w:after="0" w:line="1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except for any information superseded by information that is included directly in this document or incorporated by reference subsequent to the date of this document. This prospectus supplement incorporates by reference the documents listed below (File No. 001-33089) and any future filings we make with the SEC under Sections 13(a), 13(c), 14 or 15(d) of the Securities Exchange Act of 1934, as amended (in each case, other than those documents or the portions of those documents not deemed to be filed) until all the securities offered under this prospectus supplement are sold:</w:t>
      </w:r>
    </w:p>
    <w:p>
      <w:pPr>
        <w:spacing w:after="0" w:line="26" w:lineRule="exact"/>
        <w:rPr>
          <w:sz w:val="20"/>
          <w:szCs w:val="20"/>
          <w:color w:val="auto"/>
        </w:rPr>
      </w:pPr>
    </w:p>
    <w:p>
      <w:pPr>
        <w:ind w:left="660" w:right="1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2010, including information specifically incorporated by reference into our Form 10-K from our definitive proxy statement for our 2011 Annual Meeting of Stockholders;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2011 and June 30, 2011;</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Reports on Form 8-K filed on May 2, 2011, June 2, 2011, June 6, 2011 (as amended on August 1, 2011), June 20, 2011 and September 13, 2011; and</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16, 2006, including any amendments or reports filed for the purpose of updating such description.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(212) 277-7109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2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January 20, 2010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7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Depositary Shares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the Units</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Nine Months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2005(1)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Shares Beneficially</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5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5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May be</w:t>
            </w:r>
          </w:p>
        </w:tc>
        <w:tc>
          <w:tcPr>
            <w:tcW w:w="1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60" w:type="dxa"/>
            <w:vAlign w:val="bottom"/>
            <w:gridSpan w:val="2"/>
            <w:vMerge w:val="restart"/>
          </w:tcPr>
          <w:p>
            <w:pPr>
              <w:jc w:val="center"/>
              <w:ind w:left="268"/>
              <w:spacing w:after="0"/>
              <w:rPr>
                <w:sz w:val="20"/>
                <w:szCs w:val="20"/>
                <w:color w:val="auto"/>
              </w:rPr>
            </w:pPr>
            <w:r>
              <w:rPr>
                <w:rFonts w:ascii="Arial" w:cs="Arial" w:eastAsia="Arial" w:hAnsi="Arial"/>
                <w:sz w:val="14"/>
                <w:szCs w:val="14"/>
                <w:b w:val="1"/>
                <w:bCs w:val="1"/>
                <w:color w:val="auto"/>
                <w:w w:val="89"/>
              </w:rPr>
              <w:t>Offering(1)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60" w:type="dxa"/>
            <w:vAlign w:val="bottom"/>
            <w:gridSpan w:val="2"/>
            <w:vMerge w:val="restart"/>
          </w:tcPr>
          <w:p>
            <w:pPr>
              <w:jc w:val="center"/>
              <w:ind w:left="262"/>
              <w:spacing w:after="0"/>
              <w:rPr>
                <w:sz w:val="20"/>
                <w:szCs w:val="20"/>
                <w:color w:val="auto"/>
              </w:rPr>
            </w:pPr>
            <w:r>
              <w:rPr>
                <w:rFonts w:ascii="Arial" w:cs="Arial" w:eastAsia="Arial" w:hAnsi="Arial"/>
                <w:sz w:val="14"/>
                <w:szCs w:val="14"/>
                <w:b w:val="1"/>
                <w:bCs w:val="1"/>
                <w:color w:val="auto"/>
                <w:w w:val="91"/>
              </w:rPr>
              <w:t>Offering</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6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Sold</w:t>
            </w:r>
          </w:p>
        </w:tc>
        <w:tc>
          <w:tcPr>
            <w:tcW w:w="116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80" w:type="dxa"/>
            <w:vAlign w:val="bottom"/>
            <w:vMerge w:val="restart"/>
          </w:tcPr>
          <w:p>
            <w:pPr>
              <w:spacing w:after="0"/>
              <w:rPr>
                <w:sz w:val="5"/>
                <w:szCs w:val="5"/>
                <w:color w:val="auto"/>
              </w:rPr>
            </w:pPr>
          </w:p>
        </w:tc>
        <w:tc>
          <w:tcPr>
            <w:tcW w:w="2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Hereunder</w:t>
            </w:r>
          </w:p>
        </w:tc>
        <w:tc>
          <w:tcPr>
            <w:tcW w:w="11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Oak Hill Capital Partners, L.P.(2)</w:t>
            </w:r>
          </w:p>
        </w:tc>
        <w:tc>
          <w:tcPr>
            <w:tcW w:w="2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10,278,942</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35.3</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4,875,000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5,403,942</w:t>
            </w: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263,562</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138,562</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920,229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420,229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700" w:type="dxa"/>
            <w:vAlign w:val="bottom"/>
            <w:gridSpan w:val="3"/>
          </w:tcPr>
          <w:p>
            <w:pPr>
              <w:jc w:val="right"/>
              <w:ind w:right="320"/>
              <w:spacing w:after="0"/>
              <w:rPr>
                <w:sz w:val="20"/>
                <w:szCs w:val="20"/>
                <w:color w:val="auto"/>
              </w:rPr>
            </w:pPr>
            <w:r>
              <w:rPr>
                <w:rFonts w:ascii="Arial" w:cs="Arial" w:eastAsia="Arial" w:hAnsi="Arial"/>
                <w:sz w:val="18"/>
                <w:szCs w:val="18"/>
                <w:color w:val="auto"/>
              </w:rPr>
              <w:t>2,104,605</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1,604,605</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41"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Vikram Talwar, our Executive Chairman, and his spouse are the trustees of this trust and share dispositive and voting control over the shares in the trust. The shares registered hereunder by this trust consist of shares of common stock acquired by this trust from Mr. Talwar in transactions completed prior to October 5, 2009.</w:t>
      </w:r>
    </w:p>
    <w:p>
      <w:pPr>
        <w:spacing w:after="0" w:line="59"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 The shares registered hereunder by Mr. Kapoor consist of shares of common stock that were acquired in transactions completed in connection with the Conseco Acquisition, shares of common stock that were issued in connection with the Share Split and shares of common stock acquired pursuant to our equity compensation plans to the extent such shares were received prior to October 5,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/3% of the voting power of our issued and outstanding capital stock entitled to vote in the election of directors, is required to amend the following provisions of our certificate of incorporation:</w:t>
      </w:r>
    </w:p>
    <w:p>
      <w:pPr>
        <w:spacing w:after="0" w:line="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Current Reports on Form 8-K filed on January 30, 2009, March 11, 2009 (with regard to Item 5.02 thereof only), April 7, 2009 and January 5, 2010;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4,000,000 Shares</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63"/>
          <w:szCs w:val="63"/>
          <w:b w:val="1"/>
          <w:bCs w:val="1"/>
          <w:color w:val="auto"/>
        </w:rPr>
        <w:t>ExlService Holdings, Inc.</w:t>
      </w:r>
    </w:p>
    <w:p>
      <w:pPr>
        <w:spacing w:after="0" w:line="183"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1087755</wp:posOffset>
            </wp:positionV>
            <wp:extent cx="11061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118110</wp:posOffset>
            </wp:positionV>
            <wp:extent cx="1200785" cy="805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7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96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5960" w:type="dxa"/>
            <w:vAlign w:val="bottom"/>
            <w:gridSpan w:val="3"/>
          </w:tcPr>
          <w:p>
            <w:pPr>
              <w:ind w:left="60"/>
              <w:spacing w:after="0"/>
              <w:rPr>
                <w:sz w:val="20"/>
                <w:szCs w:val="20"/>
                <w:color w:val="auto"/>
              </w:rPr>
            </w:pPr>
            <w:r>
              <w:rPr>
                <w:rFonts w:ascii="Arial" w:cs="Arial" w:eastAsia="Arial" w:hAnsi="Arial"/>
                <w:sz w:val="18"/>
                <w:szCs w:val="18"/>
                <w:b w:val="1"/>
                <w:bCs w:val="1"/>
                <w:color w:val="auto"/>
              </w:rPr>
              <w:t>PRELIMINARY PROSPECTUS SUPPLEMENT</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2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2011</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840" w:type="dxa"/>
            <w:vAlign w:val="bottom"/>
            <w:vMerge w:val="restart"/>
          </w:tcPr>
          <w:p>
            <w:pPr>
              <w:spacing w:after="0"/>
              <w:rPr>
                <w:sz w:val="20"/>
                <w:szCs w:val="20"/>
                <w:color w:val="auto"/>
              </w:rPr>
            </w:pPr>
            <w:r>
              <w:rPr>
                <w:rFonts w:ascii="Arial" w:cs="Arial" w:eastAsia="Arial" w:hAnsi="Arial"/>
                <w:sz w:val="43"/>
                <w:szCs w:val="43"/>
                <w:b w:val="1"/>
                <w:bCs w:val="1"/>
                <w:color w:val="auto"/>
                <w:w w:val="95"/>
              </w:rPr>
              <w:t>Citigroup</w:t>
            </w:r>
          </w:p>
        </w:tc>
        <w:tc>
          <w:tcPr>
            <w:tcW w:w="1040" w:type="dxa"/>
            <w:vAlign w:val="bottom"/>
          </w:tcPr>
          <w:p>
            <w:pPr>
              <w:spacing w:after="0"/>
              <w:rPr>
                <w:sz w:val="22"/>
                <w:szCs w:val="22"/>
                <w:color w:val="auto"/>
              </w:rPr>
            </w:pPr>
          </w:p>
        </w:tc>
        <w:tc>
          <w:tcPr>
            <w:tcW w:w="1740" w:type="dxa"/>
            <w:vAlign w:val="bottom"/>
            <w:tcBorders>
              <w:bottom w:val="single" w:sz="8" w:color="808080"/>
            </w:tcBorders>
          </w:tcPr>
          <w:p>
            <w:pPr>
              <w:spacing w:after="0"/>
              <w:rPr>
                <w:sz w:val="22"/>
                <w:szCs w:val="22"/>
                <w:color w:val="auto"/>
              </w:rPr>
            </w:pPr>
          </w:p>
        </w:tc>
        <w:tc>
          <w:tcPr>
            <w:tcW w:w="3180" w:type="dxa"/>
            <w:vAlign w:val="bottom"/>
            <w:vMerge w:val="restart"/>
          </w:tcPr>
          <w:p>
            <w:pPr>
              <w:ind w:left="920"/>
              <w:spacing w:after="0"/>
              <w:rPr>
                <w:sz w:val="20"/>
                <w:szCs w:val="20"/>
                <w:color w:val="auto"/>
              </w:rPr>
            </w:pPr>
            <w:r>
              <w:rPr>
                <w:rFonts w:ascii="Arial" w:cs="Arial" w:eastAsia="Arial" w:hAnsi="Arial"/>
                <w:sz w:val="43"/>
                <w:szCs w:val="43"/>
                <w:b w:val="1"/>
                <w:bCs w:val="1"/>
                <w:color w:val="auto"/>
                <w:w w:val="91"/>
              </w:rPr>
              <w:t>J.P. Morgan</w:t>
            </w:r>
          </w:p>
        </w:tc>
        <w:tc>
          <w:tcPr>
            <w:tcW w:w="0" w:type="dxa"/>
            <w:vAlign w:val="bottom"/>
          </w:tcPr>
          <w:p>
            <w:pPr>
              <w:spacing w:after="0"/>
              <w:rPr>
                <w:sz w:val="1"/>
                <w:szCs w:val="1"/>
                <w:color w:val="auto"/>
              </w:rPr>
            </w:pPr>
          </w:p>
        </w:tc>
      </w:tr>
      <w:tr>
        <w:trPr>
          <w:trHeight w:val="920"/>
        </w:trPr>
        <w:tc>
          <w:tcPr>
            <w:tcW w:w="18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Baird</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Stifel Nicolaus Weisel</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lvl w:ilvl="1">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2019-12-11T00:31:10Z</dcterms:created>
  <dcterms:modified xsi:type="dcterms:W3CDTF">2019-12-11T00:31:10Z</dcterms:modified>
</cp:coreProperties>
</file>